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4AE10" w14:textId="691F73BA" w:rsidR="00D90E1F" w:rsidRPr="009B546D" w:rsidRDefault="00D90E1F" w:rsidP="00F432B9">
      <w:pPr>
        <w:widowControl w:val="0"/>
        <w:spacing w:line="240" w:lineRule="auto"/>
        <w:rPr>
          <w:rFonts w:cstheme="minorHAnsi"/>
          <w:sz w:val="16"/>
          <w:szCs w:val="16"/>
        </w:rPr>
      </w:pPr>
      <w:r w:rsidRPr="00384557">
        <w:rPr>
          <w:rFonts w:cstheme="minorHAnsi"/>
          <w:b/>
          <w:bCs/>
          <w:sz w:val="16"/>
          <w:szCs w:val="16"/>
        </w:rPr>
        <w:t>THIS DOCUMENT IS IMPORTANT AND REQUIRES YOUR IMMEDIATE ATTENTION.</w:t>
      </w:r>
      <w:r w:rsidRPr="009B546D">
        <w:rPr>
          <w:rFonts w:cstheme="minorHAnsi"/>
          <w:sz w:val="16"/>
          <w:szCs w:val="16"/>
        </w:rPr>
        <w:t xml:space="preserve"> If you are in any doubt about the contents of this </w:t>
      </w:r>
      <w:r w:rsidR="00A44413" w:rsidRPr="009B546D">
        <w:rPr>
          <w:rFonts w:cstheme="minorHAnsi"/>
          <w:sz w:val="16"/>
          <w:szCs w:val="16"/>
        </w:rPr>
        <w:t>Prospectus</w:t>
      </w:r>
      <w:r w:rsidRPr="009B546D">
        <w:rPr>
          <w:rFonts w:cstheme="minorHAnsi"/>
          <w:sz w:val="16"/>
          <w:szCs w:val="16"/>
        </w:rPr>
        <w:t xml:space="preserve"> or the action you should take, you are recommended to seek your own financial advice immediately from an appropriately authorised stockbroker, bank manager, solicitor, accountant or other independent financial adviser who, if you are taking advice in the United Kingdom (“</w:t>
      </w:r>
      <w:r w:rsidRPr="009B546D">
        <w:rPr>
          <w:rFonts w:cstheme="minorHAnsi"/>
          <w:b/>
          <w:bCs/>
          <w:sz w:val="16"/>
          <w:szCs w:val="16"/>
        </w:rPr>
        <w:t>UK</w:t>
      </w:r>
      <w:r w:rsidRPr="009B546D">
        <w:rPr>
          <w:rFonts w:cstheme="minorHAnsi"/>
          <w:sz w:val="16"/>
          <w:szCs w:val="16"/>
        </w:rPr>
        <w:t>”), is duly authorised under the Financial Services and Markets Act 2000 (as amended) (“</w:t>
      </w:r>
      <w:r w:rsidRPr="009B546D">
        <w:rPr>
          <w:rFonts w:cstheme="minorHAnsi"/>
          <w:b/>
          <w:bCs/>
          <w:sz w:val="16"/>
          <w:szCs w:val="16"/>
        </w:rPr>
        <w:t>FSMA</w:t>
      </w:r>
      <w:r w:rsidRPr="009B546D">
        <w:rPr>
          <w:rFonts w:cstheme="minorHAnsi"/>
          <w:sz w:val="16"/>
          <w:szCs w:val="16"/>
        </w:rPr>
        <w:t>”) or, if you are not resident in the UK, from another appropriately authorised independent financial adviser in your own jurisdiction.</w:t>
      </w:r>
    </w:p>
    <w:p w14:paraId="1D06604D" w14:textId="528FBC64" w:rsidR="00D90E1F" w:rsidRPr="009B546D" w:rsidRDefault="00D90E1F" w:rsidP="00F432B9">
      <w:pPr>
        <w:widowControl w:val="0"/>
        <w:spacing w:line="240" w:lineRule="auto"/>
        <w:rPr>
          <w:sz w:val="16"/>
          <w:szCs w:val="16"/>
        </w:rPr>
      </w:pPr>
      <w:r w:rsidRPr="15D66BA0">
        <w:rPr>
          <w:sz w:val="16"/>
          <w:szCs w:val="16"/>
        </w:rPr>
        <w:t xml:space="preserve">This </w:t>
      </w:r>
      <w:r w:rsidR="00A44413" w:rsidRPr="15D66BA0">
        <w:rPr>
          <w:sz w:val="16"/>
          <w:szCs w:val="16"/>
        </w:rPr>
        <w:t>Prospectus</w:t>
      </w:r>
      <w:r w:rsidRPr="15D66BA0">
        <w:rPr>
          <w:sz w:val="16"/>
          <w:szCs w:val="16"/>
        </w:rPr>
        <w:t xml:space="preserve"> comprises a </w:t>
      </w:r>
      <w:r w:rsidR="0077279D" w:rsidRPr="15D66BA0">
        <w:rPr>
          <w:sz w:val="16"/>
          <w:szCs w:val="16"/>
        </w:rPr>
        <w:t>Prospectus</w:t>
      </w:r>
      <w:r w:rsidRPr="15D66BA0">
        <w:rPr>
          <w:sz w:val="16"/>
          <w:szCs w:val="16"/>
        </w:rPr>
        <w:t xml:space="preserve"> (“</w:t>
      </w:r>
      <w:r w:rsidRPr="15D66BA0">
        <w:rPr>
          <w:b/>
          <w:sz w:val="16"/>
          <w:szCs w:val="16"/>
        </w:rPr>
        <w:t>Prospectus</w:t>
      </w:r>
      <w:r w:rsidRPr="15D66BA0">
        <w:rPr>
          <w:sz w:val="16"/>
          <w:szCs w:val="16"/>
        </w:rPr>
        <w:t>”) relating to AIQ Limited (the “</w:t>
      </w:r>
      <w:r w:rsidRPr="15D66BA0">
        <w:rPr>
          <w:b/>
          <w:sz w:val="16"/>
          <w:szCs w:val="16"/>
        </w:rPr>
        <w:t>Company</w:t>
      </w:r>
      <w:r w:rsidRPr="15D66BA0">
        <w:rPr>
          <w:sz w:val="16"/>
          <w:szCs w:val="16"/>
        </w:rPr>
        <w:t>” or “</w:t>
      </w:r>
      <w:r w:rsidRPr="15D66BA0">
        <w:rPr>
          <w:b/>
          <w:sz w:val="16"/>
          <w:szCs w:val="16"/>
        </w:rPr>
        <w:t>AIQ</w:t>
      </w:r>
      <w:r w:rsidRPr="15D66BA0">
        <w:rPr>
          <w:sz w:val="16"/>
          <w:szCs w:val="16"/>
        </w:rPr>
        <w:t xml:space="preserve">”) prepared in accordance with the Prospectus Rules of the UK </w:t>
      </w:r>
      <w:r w:rsidR="00552514" w:rsidRPr="15D66BA0">
        <w:rPr>
          <w:sz w:val="16"/>
          <w:szCs w:val="16"/>
        </w:rPr>
        <w:t>F</w:t>
      </w:r>
      <w:r w:rsidRPr="15D66BA0">
        <w:rPr>
          <w:sz w:val="16"/>
          <w:szCs w:val="16"/>
        </w:rPr>
        <w:t>inancial Conduct Authority (the “</w:t>
      </w:r>
      <w:r w:rsidRPr="15D66BA0">
        <w:rPr>
          <w:b/>
          <w:sz w:val="16"/>
          <w:szCs w:val="16"/>
        </w:rPr>
        <w:t>FCA</w:t>
      </w:r>
      <w:r w:rsidRPr="15D66BA0">
        <w:rPr>
          <w:sz w:val="16"/>
          <w:szCs w:val="16"/>
        </w:rPr>
        <w:t>”) made under section 73A of FSMA (the “</w:t>
      </w:r>
      <w:r w:rsidRPr="15D66BA0">
        <w:rPr>
          <w:b/>
          <w:sz w:val="16"/>
          <w:szCs w:val="16"/>
        </w:rPr>
        <w:t>Prospectus Rules</w:t>
      </w:r>
      <w:r w:rsidRPr="15D66BA0">
        <w:rPr>
          <w:sz w:val="16"/>
          <w:szCs w:val="16"/>
        </w:rPr>
        <w:t>”) and approved by the FCA, as competent authority under Regulation (EU) 2017/1129 (the “</w:t>
      </w:r>
      <w:r w:rsidRPr="15D66BA0">
        <w:rPr>
          <w:b/>
          <w:sz w:val="16"/>
          <w:szCs w:val="16"/>
        </w:rPr>
        <w:t>Prospectus Regulation</w:t>
      </w:r>
      <w:r w:rsidRPr="15D66BA0">
        <w:rPr>
          <w:sz w:val="16"/>
          <w:szCs w:val="16"/>
        </w:rPr>
        <w:t xml:space="preserve">”) under section 87A of FSMA. This Prospectus has been filed with the FCA and made available to the public in accordance with Rule 3.2 of the Prospectus Rules by being made available, free of charge, at </w:t>
      </w:r>
      <w:hyperlink r:id="rId11" w:history="1">
        <w:r w:rsidRPr="15D66BA0">
          <w:rPr>
            <w:rStyle w:val="Hyperlink"/>
            <w:sz w:val="16"/>
            <w:szCs w:val="16"/>
          </w:rPr>
          <w:t>www.aiqhub.com</w:t>
        </w:r>
      </w:hyperlink>
      <w:r w:rsidRPr="15D66BA0">
        <w:rPr>
          <w:sz w:val="16"/>
          <w:szCs w:val="16"/>
        </w:rPr>
        <w:t xml:space="preserve"> and at the Company’s registered office at Genesis Building, 5</w:t>
      </w:r>
      <w:r w:rsidRPr="15D66BA0">
        <w:rPr>
          <w:sz w:val="16"/>
          <w:szCs w:val="16"/>
          <w:vertAlign w:val="superscript"/>
        </w:rPr>
        <w:t>th</w:t>
      </w:r>
      <w:r w:rsidRPr="15D66BA0">
        <w:rPr>
          <w:sz w:val="16"/>
          <w:szCs w:val="16"/>
        </w:rPr>
        <w:t xml:space="preserve"> Floor, Genesis Close, PO Box 446, Cayman Islands, KY1-1106</w:t>
      </w:r>
      <w:r w:rsidR="00476D6A" w:rsidRPr="15D66BA0">
        <w:rPr>
          <w:sz w:val="16"/>
          <w:szCs w:val="16"/>
        </w:rPr>
        <w:t>,</w:t>
      </w:r>
      <w:r w:rsidR="00C11A13" w:rsidRPr="15D66BA0">
        <w:rPr>
          <w:sz w:val="16"/>
          <w:szCs w:val="16"/>
        </w:rPr>
        <w:t xml:space="preserve"> as well as</w:t>
      </w:r>
      <w:r w:rsidR="00E3681E" w:rsidRPr="15D66BA0">
        <w:rPr>
          <w:sz w:val="16"/>
          <w:szCs w:val="16"/>
        </w:rPr>
        <w:t xml:space="preserve"> at </w:t>
      </w:r>
      <w:r w:rsidR="00887161" w:rsidRPr="15D66BA0">
        <w:rPr>
          <w:sz w:val="16"/>
          <w:szCs w:val="16"/>
        </w:rPr>
        <w:t>VSA Capital</w:t>
      </w:r>
      <w:r w:rsidR="000E6C7E" w:rsidRPr="15D66BA0">
        <w:rPr>
          <w:sz w:val="16"/>
          <w:szCs w:val="16"/>
        </w:rPr>
        <w:t>’s</w:t>
      </w:r>
      <w:r w:rsidR="00887161" w:rsidRPr="15D66BA0">
        <w:rPr>
          <w:sz w:val="16"/>
          <w:szCs w:val="16"/>
        </w:rPr>
        <w:t xml:space="preserve"> </w:t>
      </w:r>
      <w:r w:rsidR="00E3681E" w:rsidRPr="15D66BA0">
        <w:rPr>
          <w:sz w:val="16"/>
          <w:szCs w:val="16"/>
        </w:rPr>
        <w:t xml:space="preserve">registered office </w:t>
      </w:r>
      <w:r w:rsidR="00887161" w:rsidRPr="15D66BA0">
        <w:rPr>
          <w:sz w:val="16"/>
          <w:szCs w:val="16"/>
        </w:rPr>
        <w:t>at</w:t>
      </w:r>
      <w:r w:rsidR="002C1065" w:rsidRPr="15D66BA0">
        <w:rPr>
          <w:sz w:val="16"/>
          <w:szCs w:val="16"/>
        </w:rPr>
        <w:t xml:space="preserve"> New Liverpool House,</w:t>
      </w:r>
      <w:r w:rsidR="00C11A13" w:rsidRPr="15D66BA0">
        <w:rPr>
          <w:sz w:val="16"/>
          <w:szCs w:val="16"/>
        </w:rPr>
        <w:t xml:space="preserve"> 15</w:t>
      </w:r>
      <w:r w:rsidR="00E3681E" w:rsidRPr="15D66BA0">
        <w:rPr>
          <w:sz w:val="16"/>
          <w:szCs w:val="16"/>
        </w:rPr>
        <w:t>-17 Eldon Street,</w:t>
      </w:r>
      <w:r w:rsidR="002C1065" w:rsidRPr="15D66BA0">
        <w:rPr>
          <w:sz w:val="16"/>
          <w:szCs w:val="16"/>
        </w:rPr>
        <w:t xml:space="preserve"> London, </w:t>
      </w:r>
      <w:r w:rsidR="005643D4" w:rsidRPr="15D66BA0">
        <w:rPr>
          <w:sz w:val="16"/>
          <w:szCs w:val="16"/>
        </w:rPr>
        <w:t>EC2M 7LD, UK</w:t>
      </w:r>
      <w:r w:rsidRPr="15D66BA0">
        <w:rPr>
          <w:sz w:val="16"/>
          <w:szCs w:val="16"/>
        </w:rPr>
        <w:t xml:space="preserve">. The FCA only </w:t>
      </w:r>
      <w:r w:rsidR="00D60702" w:rsidRPr="15D66BA0">
        <w:rPr>
          <w:sz w:val="16"/>
          <w:szCs w:val="16"/>
        </w:rPr>
        <w:t>approves</w:t>
      </w:r>
      <w:r w:rsidRPr="15D66BA0">
        <w:rPr>
          <w:sz w:val="16"/>
          <w:szCs w:val="16"/>
        </w:rPr>
        <w:t xml:space="preserve"> this </w:t>
      </w:r>
      <w:r w:rsidR="0077279D" w:rsidRPr="15D66BA0">
        <w:rPr>
          <w:sz w:val="16"/>
          <w:szCs w:val="16"/>
        </w:rPr>
        <w:t>Prospectus</w:t>
      </w:r>
      <w:r w:rsidRPr="15D66BA0">
        <w:rPr>
          <w:sz w:val="16"/>
          <w:szCs w:val="16"/>
        </w:rPr>
        <w:t xml:space="preserve"> as meeting the standards of completeness, comprehensibility and consistency imposed by the Prospectus Regulation and such approval shall not be considered an endorsement of the Company that is the subject of this Prospectus.</w:t>
      </w:r>
    </w:p>
    <w:p w14:paraId="18A91E33" w14:textId="77777777" w:rsidR="00D90E1F" w:rsidRPr="009B546D" w:rsidRDefault="00D90E1F" w:rsidP="00F432B9">
      <w:pPr>
        <w:widowControl w:val="0"/>
        <w:spacing w:line="240" w:lineRule="auto"/>
        <w:rPr>
          <w:rFonts w:cstheme="minorHAnsi"/>
          <w:sz w:val="16"/>
          <w:szCs w:val="16"/>
        </w:rPr>
      </w:pPr>
      <w:r w:rsidRPr="009B546D">
        <w:rPr>
          <w:rFonts w:cstheme="minorHAnsi"/>
          <w:sz w:val="16"/>
          <w:szCs w:val="16"/>
        </w:rPr>
        <w:t>The current entire issued share capital of the Company (the “</w:t>
      </w:r>
      <w:r w:rsidRPr="009B546D">
        <w:rPr>
          <w:rFonts w:cstheme="minorHAnsi"/>
          <w:b/>
          <w:bCs/>
          <w:sz w:val="16"/>
          <w:szCs w:val="16"/>
        </w:rPr>
        <w:t>Existing Ordinary Shares</w:t>
      </w:r>
      <w:r w:rsidRPr="009B546D">
        <w:rPr>
          <w:rFonts w:cstheme="minorHAnsi"/>
          <w:sz w:val="16"/>
          <w:szCs w:val="16"/>
        </w:rPr>
        <w:t>”) comprising of ordinary shares of nominal value of £0.01 each (the “</w:t>
      </w:r>
      <w:r w:rsidRPr="009B546D">
        <w:rPr>
          <w:rFonts w:cstheme="minorHAnsi"/>
          <w:b/>
          <w:sz w:val="16"/>
          <w:szCs w:val="16"/>
        </w:rPr>
        <w:t>Ordinary Shares</w:t>
      </w:r>
      <w:r w:rsidRPr="009B546D">
        <w:rPr>
          <w:rFonts w:cstheme="minorHAnsi"/>
          <w:sz w:val="16"/>
          <w:szCs w:val="16"/>
        </w:rPr>
        <w:t>”)</w:t>
      </w:r>
      <w:r w:rsidRPr="009B546D">
        <w:rPr>
          <w:rFonts w:cstheme="minorHAnsi"/>
          <w:b/>
          <w:sz w:val="16"/>
          <w:szCs w:val="16"/>
        </w:rPr>
        <w:t xml:space="preserve"> </w:t>
      </w:r>
      <w:r w:rsidRPr="009B546D">
        <w:rPr>
          <w:rFonts w:cstheme="minorHAnsi"/>
          <w:sz w:val="16"/>
          <w:szCs w:val="16"/>
        </w:rPr>
        <w:t>is admitted to the Official List of the FCA (the “</w:t>
      </w:r>
      <w:r w:rsidRPr="009B546D">
        <w:rPr>
          <w:rFonts w:cstheme="minorHAnsi"/>
          <w:b/>
          <w:bCs/>
          <w:sz w:val="16"/>
          <w:szCs w:val="16"/>
        </w:rPr>
        <w:t>Official List</w:t>
      </w:r>
      <w:r w:rsidRPr="009B546D">
        <w:rPr>
          <w:rFonts w:cstheme="minorHAnsi"/>
          <w:sz w:val="16"/>
          <w:szCs w:val="16"/>
        </w:rPr>
        <w:t>”) by way of a standard listing under Chapter 14 of the listing rules (“</w:t>
      </w:r>
      <w:r w:rsidRPr="009B546D">
        <w:rPr>
          <w:rFonts w:cstheme="minorHAnsi"/>
          <w:b/>
          <w:bCs/>
          <w:sz w:val="16"/>
          <w:szCs w:val="16"/>
        </w:rPr>
        <w:t>Standard Listing</w:t>
      </w:r>
      <w:r w:rsidRPr="009B546D">
        <w:rPr>
          <w:rFonts w:cstheme="minorHAnsi"/>
          <w:sz w:val="16"/>
          <w:szCs w:val="16"/>
        </w:rPr>
        <w:t>”) published by the FCA under section 73A of FSMA (the “</w:t>
      </w:r>
      <w:r w:rsidRPr="009B546D">
        <w:rPr>
          <w:rFonts w:cstheme="minorHAnsi"/>
          <w:b/>
          <w:bCs/>
          <w:sz w:val="16"/>
          <w:szCs w:val="16"/>
        </w:rPr>
        <w:t>Listing Rules</w:t>
      </w:r>
      <w:r w:rsidRPr="009B546D">
        <w:rPr>
          <w:rFonts w:cstheme="minorHAnsi"/>
          <w:sz w:val="16"/>
          <w:szCs w:val="16"/>
        </w:rPr>
        <w:t>”) and to trading on the main market for listed securities (“</w:t>
      </w:r>
      <w:r w:rsidRPr="009B546D">
        <w:rPr>
          <w:rFonts w:cstheme="minorHAnsi"/>
          <w:b/>
          <w:bCs/>
          <w:sz w:val="16"/>
          <w:szCs w:val="16"/>
        </w:rPr>
        <w:t>Main Market</w:t>
      </w:r>
      <w:r w:rsidRPr="009B546D">
        <w:rPr>
          <w:rFonts w:cstheme="minorHAnsi"/>
          <w:sz w:val="16"/>
          <w:szCs w:val="16"/>
        </w:rPr>
        <w:t>”) of London Stock Exchange plc (the “</w:t>
      </w:r>
      <w:r w:rsidRPr="009B546D">
        <w:rPr>
          <w:rFonts w:cstheme="minorHAnsi"/>
          <w:b/>
          <w:bCs/>
          <w:sz w:val="16"/>
          <w:szCs w:val="16"/>
        </w:rPr>
        <w:t>London Stock Exchange</w:t>
      </w:r>
      <w:r w:rsidRPr="009B546D">
        <w:rPr>
          <w:rFonts w:cstheme="minorHAnsi"/>
          <w:sz w:val="16"/>
          <w:szCs w:val="16"/>
        </w:rPr>
        <w:t>” or “</w:t>
      </w:r>
      <w:r w:rsidRPr="009B546D">
        <w:rPr>
          <w:rFonts w:cstheme="minorHAnsi"/>
          <w:b/>
          <w:bCs/>
          <w:sz w:val="16"/>
          <w:szCs w:val="16"/>
        </w:rPr>
        <w:t>LSE</w:t>
      </w:r>
      <w:r w:rsidRPr="009B546D">
        <w:rPr>
          <w:rFonts w:cstheme="minorHAnsi"/>
          <w:sz w:val="16"/>
          <w:szCs w:val="16"/>
        </w:rPr>
        <w:t xml:space="preserve">”). </w:t>
      </w:r>
    </w:p>
    <w:p w14:paraId="2AF85528" w14:textId="71D4C3EB" w:rsidR="00D90E1F" w:rsidRPr="009B546D" w:rsidRDefault="00D90E1F" w:rsidP="00F432B9">
      <w:pPr>
        <w:widowControl w:val="0"/>
        <w:spacing w:line="240" w:lineRule="auto"/>
        <w:rPr>
          <w:rFonts w:cstheme="minorHAnsi"/>
          <w:sz w:val="16"/>
          <w:szCs w:val="16"/>
        </w:rPr>
      </w:pPr>
      <w:r w:rsidRPr="009B546D">
        <w:rPr>
          <w:rFonts w:cstheme="minorHAnsi"/>
          <w:sz w:val="16"/>
          <w:szCs w:val="16"/>
        </w:rPr>
        <w:t xml:space="preserve">As the proposed acquisition of the entire issued share capital of </w:t>
      </w:r>
      <w:r w:rsidR="00AF0C4A" w:rsidRPr="009B546D">
        <w:rPr>
          <w:rFonts w:cstheme="minorHAnsi"/>
          <w:sz w:val="16"/>
          <w:szCs w:val="16"/>
        </w:rPr>
        <w:t>Alchemist Codes</w:t>
      </w:r>
      <w:r w:rsidRPr="009B546D">
        <w:rPr>
          <w:rFonts w:cstheme="minorHAnsi"/>
          <w:sz w:val="16"/>
          <w:szCs w:val="16"/>
        </w:rPr>
        <w:t xml:space="preserve"> Sdn Bhd (“</w:t>
      </w:r>
      <w:r w:rsidR="00AF0C4A" w:rsidRPr="009B546D">
        <w:rPr>
          <w:rFonts w:cstheme="minorHAnsi"/>
          <w:b/>
          <w:sz w:val="16"/>
          <w:szCs w:val="16"/>
        </w:rPr>
        <w:t>Alchemist Codes</w:t>
      </w:r>
      <w:r w:rsidRPr="009B546D">
        <w:rPr>
          <w:rFonts w:cstheme="minorHAnsi"/>
          <w:sz w:val="16"/>
          <w:szCs w:val="16"/>
        </w:rPr>
        <w:t>”), as detailed f</w:t>
      </w:r>
      <w:r w:rsidR="00EF13CC" w:rsidRPr="009B546D">
        <w:rPr>
          <w:rFonts w:cstheme="minorHAnsi"/>
          <w:sz w:val="16"/>
          <w:szCs w:val="16"/>
        </w:rPr>
        <w:t xml:space="preserve">urther </w:t>
      </w:r>
      <w:r w:rsidRPr="009B546D">
        <w:rPr>
          <w:rFonts w:cstheme="minorHAnsi"/>
          <w:sz w:val="16"/>
          <w:szCs w:val="16"/>
        </w:rPr>
        <w:t>in Part</w:t>
      </w:r>
      <w:r w:rsidR="00AE7D9D" w:rsidRPr="009B546D">
        <w:rPr>
          <w:rFonts w:cstheme="minorHAnsi"/>
          <w:sz w:val="16"/>
          <w:szCs w:val="16"/>
        </w:rPr>
        <w:t xml:space="preserve"> </w:t>
      </w:r>
      <w:r w:rsidR="00B04FC9" w:rsidRPr="009B546D">
        <w:rPr>
          <w:rFonts w:cstheme="minorHAnsi"/>
          <w:sz w:val="16"/>
          <w:szCs w:val="16"/>
        </w:rPr>
        <w:t>VII</w:t>
      </w:r>
      <w:r w:rsidRPr="009B546D">
        <w:rPr>
          <w:rFonts w:cstheme="minorHAnsi"/>
          <w:sz w:val="16"/>
          <w:szCs w:val="16"/>
        </w:rPr>
        <w:t xml:space="preserve"> (</w:t>
      </w:r>
      <w:r w:rsidRPr="009B546D">
        <w:rPr>
          <w:rFonts w:cstheme="minorHAnsi"/>
          <w:i/>
          <w:sz w:val="16"/>
          <w:szCs w:val="16"/>
        </w:rPr>
        <w:t>Letter from the Chairman</w:t>
      </w:r>
      <w:r w:rsidRPr="009B546D">
        <w:rPr>
          <w:rFonts w:cstheme="minorHAnsi"/>
          <w:sz w:val="16"/>
          <w:szCs w:val="16"/>
        </w:rPr>
        <w:t>)</w:t>
      </w:r>
      <w:r w:rsidR="000E6C7E" w:rsidRPr="009B546D">
        <w:rPr>
          <w:rFonts w:cstheme="minorHAnsi"/>
          <w:sz w:val="16"/>
          <w:szCs w:val="16"/>
        </w:rPr>
        <w:t xml:space="preserve"> of this Prospectus</w:t>
      </w:r>
      <w:r w:rsidRPr="009B546D">
        <w:rPr>
          <w:rFonts w:cstheme="minorHAnsi"/>
          <w:sz w:val="16"/>
          <w:szCs w:val="16"/>
        </w:rPr>
        <w:t xml:space="preserve"> (the “</w:t>
      </w:r>
      <w:r w:rsidR="00EB3072" w:rsidRPr="009B546D">
        <w:rPr>
          <w:rFonts w:cstheme="minorHAnsi"/>
          <w:b/>
          <w:bCs/>
          <w:sz w:val="16"/>
          <w:szCs w:val="16"/>
        </w:rPr>
        <w:t>Proposed</w:t>
      </w:r>
      <w:r w:rsidR="00EB3072" w:rsidRPr="009B546D">
        <w:rPr>
          <w:rFonts w:cstheme="minorHAnsi"/>
          <w:sz w:val="16"/>
          <w:szCs w:val="16"/>
        </w:rPr>
        <w:t xml:space="preserve"> </w:t>
      </w:r>
      <w:r w:rsidRPr="009B546D">
        <w:rPr>
          <w:rFonts w:cstheme="minorHAnsi"/>
          <w:b/>
          <w:bCs/>
          <w:sz w:val="16"/>
          <w:szCs w:val="16"/>
        </w:rPr>
        <w:t>Acquisition</w:t>
      </w:r>
      <w:r w:rsidRPr="009B546D">
        <w:rPr>
          <w:rFonts w:cstheme="minorHAnsi"/>
          <w:sz w:val="16"/>
          <w:szCs w:val="16"/>
        </w:rPr>
        <w:t xml:space="preserve">”), is classified as a reverse takeover under the Listing Rules, upon completion of the Acquisition, the listing </w:t>
      </w:r>
      <w:r w:rsidR="001A5650" w:rsidRPr="009B546D">
        <w:rPr>
          <w:rFonts w:cstheme="minorHAnsi"/>
          <w:sz w:val="16"/>
          <w:szCs w:val="16"/>
        </w:rPr>
        <w:t>of AIQ Limited</w:t>
      </w:r>
      <w:r w:rsidRPr="009B546D">
        <w:rPr>
          <w:rFonts w:cstheme="minorHAnsi"/>
          <w:sz w:val="16"/>
          <w:szCs w:val="16"/>
        </w:rPr>
        <w:t xml:space="preserve"> </w:t>
      </w:r>
      <w:r w:rsidR="00A13695" w:rsidRPr="009B546D">
        <w:rPr>
          <w:rFonts w:cstheme="minorHAnsi"/>
          <w:sz w:val="16"/>
          <w:szCs w:val="16"/>
        </w:rPr>
        <w:t xml:space="preserve">on </w:t>
      </w:r>
      <w:r w:rsidRPr="009B546D">
        <w:rPr>
          <w:rFonts w:cstheme="minorHAnsi"/>
          <w:sz w:val="16"/>
          <w:szCs w:val="16"/>
        </w:rPr>
        <w:t>the standard listing segment of the Official List of all the Existing Ordinary Shares will be cancelled. Simultaneously, applications will be made to (i) the FCA for the Existing Ordinary Shares to be readmitted and for the</w:t>
      </w:r>
      <w:r w:rsidR="002609D4">
        <w:rPr>
          <w:rFonts w:cstheme="minorHAnsi"/>
          <w:sz w:val="16"/>
          <w:szCs w:val="16"/>
        </w:rPr>
        <w:t xml:space="preserve"> </w:t>
      </w:r>
      <w:r w:rsidR="00043D57">
        <w:rPr>
          <w:rFonts w:cstheme="minorHAnsi"/>
          <w:sz w:val="16"/>
          <w:szCs w:val="16"/>
        </w:rPr>
        <w:t xml:space="preserve">12,921,346 </w:t>
      </w:r>
      <w:r w:rsidRPr="009B546D">
        <w:rPr>
          <w:rFonts w:cstheme="minorHAnsi"/>
          <w:sz w:val="16"/>
          <w:szCs w:val="16"/>
        </w:rPr>
        <w:t>new Ordinary Shares (the “</w:t>
      </w:r>
      <w:r w:rsidRPr="009B546D">
        <w:rPr>
          <w:rFonts w:cstheme="minorHAnsi"/>
          <w:b/>
          <w:sz w:val="16"/>
          <w:szCs w:val="16"/>
        </w:rPr>
        <w:t>New Ordinary Shares</w:t>
      </w:r>
      <w:r w:rsidRPr="009B546D">
        <w:rPr>
          <w:rFonts w:cstheme="minorHAnsi"/>
          <w:sz w:val="16"/>
          <w:szCs w:val="16"/>
        </w:rPr>
        <w:t xml:space="preserve">”) to be issued by the Company in connection with the </w:t>
      </w:r>
      <w:r w:rsidR="00EB3072" w:rsidRPr="009B546D">
        <w:rPr>
          <w:rFonts w:cstheme="minorHAnsi"/>
          <w:sz w:val="16"/>
          <w:szCs w:val="16"/>
        </w:rPr>
        <w:t xml:space="preserve">Proposed </w:t>
      </w:r>
      <w:r w:rsidRPr="009B546D">
        <w:rPr>
          <w:rFonts w:cstheme="minorHAnsi"/>
          <w:sz w:val="16"/>
          <w:szCs w:val="16"/>
        </w:rPr>
        <w:t>Acquisition</w:t>
      </w:r>
      <w:r w:rsidR="003D0694" w:rsidRPr="009B546D">
        <w:rPr>
          <w:rFonts w:cstheme="minorHAnsi"/>
          <w:sz w:val="16"/>
          <w:szCs w:val="16"/>
        </w:rPr>
        <w:t>.</w:t>
      </w:r>
      <w:r w:rsidRPr="009B546D">
        <w:rPr>
          <w:rFonts w:cstheme="minorHAnsi"/>
          <w:sz w:val="16"/>
          <w:szCs w:val="16"/>
        </w:rPr>
        <w:t>to be admitted to the Official List by way of a Standard Listing and (ii) the London Stock Exchange for the Existing Ordinary Shares to be readmitted and the New Ordinary Shares to be admitted to trading on the Main Market (together, “</w:t>
      </w:r>
      <w:r w:rsidRPr="009B546D">
        <w:rPr>
          <w:rFonts w:cstheme="minorHAnsi"/>
          <w:b/>
          <w:bCs/>
          <w:sz w:val="16"/>
          <w:szCs w:val="16"/>
        </w:rPr>
        <w:t>Re-Admission</w:t>
      </w:r>
      <w:r w:rsidRPr="009B546D">
        <w:rPr>
          <w:rFonts w:cstheme="minorHAnsi"/>
          <w:sz w:val="16"/>
          <w:szCs w:val="16"/>
        </w:rPr>
        <w:t xml:space="preserve">”). It is expected that Re-Admission will become effective, and that unconditional dealings in the Ordinary Shares will commence, at 8.00 a.m. on </w:t>
      </w:r>
      <w:r w:rsidR="00D71E6B">
        <w:rPr>
          <w:rFonts w:cstheme="minorHAnsi"/>
          <w:sz w:val="16"/>
          <w:szCs w:val="16"/>
        </w:rPr>
        <w:t>26</w:t>
      </w:r>
      <w:r w:rsidRPr="009B546D">
        <w:rPr>
          <w:rFonts w:cstheme="minorHAnsi"/>
          <w:sz w:val="16"/>
          <w:szCs w:val="16"/>
        </w:rPr>
        <w:t xml:space="preserve"> </w:t>
      </w:r>
      <w:r w:rsidR="00D76E92" w:rsidRPr="00090AAB">
        <w:rPr>
          <w:rFonts w:cstheme="minorHAnsi"/>
          <w:sz w:val="16"/>
          <w:szCs w:val="16"/>
        </w:rPr>
        <w:t xml:space="preserve">March </w:t>
      </w:r>
      <w:r w:rsidRPr="009B546D">
        <w:rPr>
          <w:rFonts w:cstheme="minorHAnsi"/>
          <w:sz w:val="16"/>
          <w:szCs w:val="16"/>
        </w:rPr>
        <w:t>20</w:t>
      </w:r>
      <w:r w:rsidR="00A13695" w:rsidRPr="009B546D">
        <w:rPr>
          <w:rFonts w:cstheme="minorHAnsi"/>
          <w:sz w:val="16"/>
          <w:szCs w:val="16"/>
        </w:rPr>
        <w:t>20</w:t>
      </w:r>
      <w:r w:rsidRPr="009B546D">
        <w:rPr>
          <w:rFonts w:cstheme="minorHAnsi"/>
          <w:sz w:val="16"/>
          <w:szCs w:val="16"/>
        </w:rPr>
        <w:t>.</w:t>
      </w:r>
      <w:r w:rsidR="00084F85">
        <w:rPr>
          <w:rFonts w:cstheme="minorHAnsi"/>
          <w:sz w:val="16"/>
          <w:szCs w:val="16"/>
        </w:rPr>
        <w:t xml:space="preserve"> </w:t>
      </w:r>
    </w:p>
    <w:p w14:paraId="3F670846" w14:textId="77777777" w:rsidR="00D90E1F" w:rsidRPr="009B546D" w:rsidRDefault="00D90E1F" w:rsidP="00F432B9">
      <w:pPr>
        <w:widowControl w:val="0"/>
        <w:spacing w:line="240" w:lineRule="auto"/>
        <w:jc w:val="center"/>
        <w:rPr>
          <w:rFonts w:cstheme="minorHAnsi"/>
          <w:sz w:val="16"/>
          <w:szCs w:val="16"/>
        </w:rPr>
      </w:pPr>
      <w:r w:rsidRPr="00384557">
        <w:rPr>
          <w:rFonts w:cstheme="minorHAnsi"/>
          <w:noProof/>
          <w:sz w:val="16"/>
          <w:szCs w:val="16"/>
          <w:lang w:val="en-MY" w:eastAsia="zh-CN"/>
        </w:rPr>
        <w:drawing>
          <wp:inline distT="0" distB="0" distL="0" distR="0" wp14:anchorId="5650FA15" wp14:editId="7B96DF7A">
            <wp:extent cx="1160254" cy="757292"/>
            <wp:effectExtent l="0" t="0" r="1905"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206931" cy="787758"/>
                    </a:xfrm>
                    <a:prstGeom prst="rect">
                      <a:avLst/>
                    </a:prstGeom>
                  </pic:spPr>
                </pic:pic>
              </a:graphicData>
            </a:graphic>
          </wp:inline>
        </w:drawing>
      </w:r>
      <w:r w:rsidRPr="00384557">
        <w:rPr>
          <w:rFonts w:cstheme="minorHAnsi"/>
          <w:b/>
          <w:bCs/>
          <w:sz w:val="16"/>
          <w:szCs w:val="16"/>
        </w:rPr>
        <w:br/>
        <w:t>AIQ</w:t>
      </w:r>
      <w:r w:rsidRPr="009B546D">
        <w:rPr>
          <w:rFonts w:cstheme="minorHAnsi"/>
          <w:b/>
          <w:bCs/>
          <w:sz w:val="16"/>
          <w:szCs w:val="16"/>
        </w:rPr>
        <w:t xml:space="preserve"> Limited</w:t>
      </w:r>
      <w:r w:rsidRPr="009B546D">
        <w:rPr>
          <w:rFonts w:cstheme="minorHAnsi"/>
          <w:b/>
          <w:bCs/>
          <w:sz w:val="16"/>
          <w:szCs w:val="16"/>
        </w:rPr>
        <w:br/>
      </w:r>
      <w:r w:rsidRPr="009B546D">
        <w:rPr>
          <w:rFonts w:cstheme="minorHAnsi"/>
          <w:sz w:val="16"/>
          <w:szCs w:val="16"/>
        </w:rPr>
        <w:t>(Incorporated in the Cayman Islands under the Companies Law of the Cayman Islands with registered number 327983)</w:t>
      </w:r>
    </w:p>
    <w:p w14:paraId="6EB54988" w14:textId="41D84185" w:rsidR="00D90E1F" w:rsidRPr="009B546D" w:rsidRDefault="00D90E1F" w:rsidP="008B2D76">
      <w:pPr>
        <w:widowControl w:val="0"/>
        <w:spacing w:after="0" w:line="240" w:lineRule="auto"/>
        <w:jc w:val="center"/>
        <w:rPr>
          <w:rFonts w:cstheme="minorHAnsi"/>
          <w:b/>
          <w:bCs/>
          <w:sz w:val="16"/>
          <w:szCs w:val="16"/>
        </w:rPr>
      </w:pPr>
      <w:r w:rsidRPr="009B546D">
        <w:rPr>
          <w:rFonts w:cstheme="minorHAnsi"/>
          <w:b/>
          <w:bCs/>
          <w:sz w:val="16"/>
          <w:szCs w:val="16"/>
        </w:rPr>
        <w:t xml:space="preserve">Proposed issue of </w:t>
      </w:r>
      <w:r w:rsidR="00043D57">
        <w:rPr>
          <w:rFonts w:cstheme="minorHAnsi"/>
          <w:b/>
          <w:bCs/>
          <w:sz w:val="16"/>
          <w:szCs w:val="16"/>
        </w:rPr>
        <w:t xml:space="preserve">12,921,346 </w:t>
      </w:r>
      <w:r w:rsidRPr="009B546D">
        <w:rPr>
          <w:rFonts w:cstheme="minorHAnsi"/>
          <w:b/>
          <w:bCs/>
          <w:sz w:val="16"/>
          <w:szCs w:val="16"/>
        </w:rPr>
        <w:t xml:space="preserve">new Ordinary Shares to the shareholders of </w:t>
      </w:r>
      <w:r w:rsidR="00AF0C4A" w:rsidRPr="009B546D">
        <w:rPr>
          <w:rFonts w:cstheme="minorHAnsi"/>
          <w:b/>
          <w:bCs/>
          <w:sz w:val="16"/>
          <w:szCs w:val="16"/>
        </w:rPr>
        <w:t>Alchemist Codes</w:t>
      </w:r>
      <w:r w:rsidRPr="009B546D">
        <w:rPr>
          <w:rFonts w:cstheme="minorHAnsi"/>
          <w:b/>
          <w:bCs/>
          <w:sz w:val="16"/>
          <w:szCs w:val="16"/>
        </w:rPr>
        <w:t xml:space="preserve"> in connection with the</w:t>
      </w:r>
      <w:r w:rsidR="00EB3072" w:rsidRPr="009B546D">
        <w:rPr>
          <w:rFonts w:cstheme="minorHAnsi"/>
          <w:b/>
          <w:bCs/>
          <w:sz w:val="16"/>
          <w:szCs w:val="16"/>
        </w:rPr>
        <w:t xml:space="preserve"> Proposed</w:t>
      </w:r>
      <w:r w:rsidRPr="009B546D">
        <w:rPr>
          <w:rFonts w:cstheme="minorHAnsi"/>
          <w:b/>
          <w:bCs/>
          <w:sz w:val="16"/>
          <w:szCs w:val="16"/>
        </w:rPr>
        <w:t xml:space="preserve"> Acquisition and </w:t>
      </w:r>
    </w:p>
    <w:p w14:paraId="3BD2DA05" w14:textId="2ADFFE4F" w:rsidR="00D90E1F" w:rsidRPr="009B546D" w:rsidRDefault="00D90E1F" w:rsidP="00F432B9">
      <w:pPr>
        <w:widowControl w:val="0"/>
        <w:spacing w:line="240" w:lineRule="auto"/>
        <w:jc w:val="center"/>
        <w:rPr>
          <w:rFonts w:cstheme="minorHAnsi"/>
          <w:b/>
          <w:bCs/>
          <w:sz w:val="16"/>
          <w:szCs w:val="16"/>
        </w:rPr>
      </w:pPr>
      <w:r w:rsidRPr="009B546D">
        <w:rPr>
          <w:rFonts w:cstheme="minorHAnsi"/>
          <w:b/>
          <w:bCs/>
          <w:sz w:val="16"/>
          <w:szCs w:val="16"/>
        </w:rPr>
        <w:t xml:space="preserve">Application for </w:t>
      </w:r>
      <w:r w:rsidR="006E6E54" w:rsidRPr="009B546D">
        <w:rPr>
          <w:rFonts w:cstheme="minorHAnsi"/>
          <w:b/>
          <w:bCs/>
          <w:sz w:val="16"/>
          <w:szCs w:val="16"/>
        </w:rPr>
        <w:t>Re-Admission</w:t>
      </w:r>
      <w:r w:rsidRPr="009B546D">
        <w:rPr>
          <w:rFonts w:cstheme="minorHAnsi"/>
          <w:b/>
          <w:bCs/>
          <w:sz w:val="16"/>
          <w:szCs w:val="16"/>
        </w:rPr>
        <w:t xml:space="preserve"> of the Existing Ordinary Shares and admission of the New Ordinary Shares to the Official List (by way of a Standard Listing under Chapter 14 of the Listing Rules) and to trading on the London Stock Exchange’s Main Market </w:t>
      </w:r>
    </w:p>
    <w:p w14:paraId="2302D626" w14:textId="77777777" w:rsidR="00D90E1F" w:rsidRPr="009B546D" w:rsidRDefault="00D90E1F" w:rsidP="00F432B9">
      <w:pPr>
        <w:widowControl w:val="0"/>
        <w:spacing w:line="240" w:lineRule="auto"/>
        <w:jc w:val="center"/>
        <w:rPr>
          <w:rFonts w:cstheme="minorHAnsi"/>
          <w:sz w:val="16"/>
          <w:szCs w:val="16"/>
        </w:rPr>
      </w:pPr>
      <w:r w:rsidRPr="00384557">
        <w:rPr>
          <w:rFonts w:cstheme="minorHAnsi"/>
          <w:b/>
          <w:noProof/>
          <w:sz w:val="16"/>
          <w:szCs w:val="16"/>
          <w:lang w:val="en-MY" w:eastAsia="zh-CN"/>
        </w:rPr>
        <w:drawing>
          <wp:inline distT="0" distB="0" distL="0" distR="0" wp14:anchorId="66084214" wp14:editId="65DBF5B8">
            <wp:extent cx="717959" cy="70579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A_Capital_Logo_Smal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2810" cy="710559"/>
                    </a:xfrm>
                    <a:prstGeom prst="rect">
                      <a:avLst/>
                    </a:prstGeom>
                  </pic:spPr>
                </pic:pic>
              </a:graphicData>
            </a:graphic>
          </wp:inline>
        </w:drawing>
      </w:r>
      <w:r w:rsidRPr="00384557">
        <w:rPr>
          <w:rFonts w:cstheme="minorHAnsi"/>
          <w:b/>
          <w:bCs/>
          <w:sz w:val="16"/>
          <w:szCs w:val="16"/>
        </w:rPr>
        <w:br/>
        <w:t>VSA Capital Limited</w:t>
      </w:r>
      <w:r w:rsidRPr="00384557">
        <w:rPr>
          <w:rFonts w:cstheme="minorHAnsi"/>
          <w:b/>
          <w:bCs/>
          <w:sz w:val="16"/>
          <w:szCs w:val="16"/>
        </w:rPr>
        <w:br/>
      </w:r>
      <w:r w:rsidRPr="009B546D">
        <w:rPr>
          <w:rFonts w:cstheme="minorHAnsi"/>
          <w:i/>
          <w:iCs/>
          <w:sz w:val="16"/>
          <w:szCs w:val="16"/>
        </w:rPr>
        <w:t>Financial Adviser</w:t>
      </w:r>
    </w:p>
    <w:p w14:paraId="3EDE2B99" w14:textId="77777777" w:rsidR="00D90E1F" w:rsidRPr="009B546D" w:rsidRDefault="00D90E1F" w:rsidP="00F432B9">
      <w:pPr>
        <w:widowControl w:val="0"/>
        <w:spacing w:line="240" w:lineRule="auto"/>
        <w:rPr>
          <w:rFonts w:cstheme="minorHAnsi"/>
          <w:sz w:val="16"/>
          <w:szCs w:val="16"/>
        </w:rPr>
      </w:pPr>
      <w:r w:rsidRPr="009B546D">
        <w:rPr>
          <w:rFonts w:cstheme="minorHAnsi"/>
          <w:sz w:val="16"/>
          <w:szCs w:val="16"/>
        </w:rPr>
        <w:t>This Prospectus does not constitute an offer to sell or an invitation to purchase or subscribe for, or the solicitation of an offer or invitation to purchase or subscribe for, Ordinary Shares in any jurisdiction where such an offer or solicitation is unlawful or would impose any unfulfilled registration, publication or approval requirements on the Company.</w:t>
      </w:r>
    </w:p>
    <w:p w14:paraId="6C3B6478" w14:textId="07040E4A" w:rsidR="00D90E1F" w:rsidRPr="009B546D" w:rsidRDefault="00D90E1F" w:rsidP="00F432B9">
      <w:pPr>
        <w:widowControl w:val="0"/>
        <w:spacing w:line="240" w:lineRule="auto"/>
        <w:rPr>
          <w:rFonts w:cstheme="minorHAnsi"/>
          <w:sz w:val="16"/>
          <w:szCs w:val="16"/>
        </w:rPr>
      </w:pPr>
      <w:r w:rsidRPr="009B546D">
        <w:rPr>
          <w:rFonts w:cstheme="minorHAnsi"/>
          <w:sz w:val="16"/>
          <w:szCs w:val="16"/>
        </w:rPr>
        <w:t>The Ordinary Shares have not been and will not be registered under the US Securities Act of 1933 (the “</w:t>
      </w:r>
      <w:r w:rsidRPr="009B546D">
        <w:rPr>
          <w:rFonts w:cstheme="minorHAnsi"/>
          <w:b/>
          <w:bCs/>
          <w:sz w:val="16"/>
          <w:szCs w:val="16"/>
        </w:rPr>
        <w:t>US Securities Act</w:t>
      </w:r>
      <w:r w:rsidRPr="009B546D">
        <w:rPr>
          <w:rFonts w:cstheme="minorHAnsi"/>
          <w:sz w:val="16"/>
          <w:szCs w:val="16"/>
        </w:rPr>
        <w:t>”), or the securities laws of any state or other jurisdiction of the United States or under applicable securities laws of Australia, Canada, Japan or the Republic of South Africa. Subject to certain exceptions, the Ordinary Shares may not b</w:t>
      </w:r>
      <w:r w:rsidR="00AF188F" w:rsidRPr="009B546D">
        <w:rPr>
          <w:rFonts w:cstheme="minorHAnsi"/>
          <w:sz w:val="16"/>
          <w:szCs w:val="16"/>
        </w:rPr>
        <w:t xml:space="preserve">e </w:t>
      </w:r>
      <w:r w:rsidRPr="009B546D">
        <w:rPr>
          <w:rFonts w:cstheme="minorHAnsi"/>
          <w:sz w:val="16"/>
          <w:szCs w:val="16"/>
        </w:rPr>
        <w:t>offered, sold, resold, transferred or distributed, directly or indirectly, within, into or in the United States or to or for the account or benefit of persons in the United States, Australia, Canada, Japan, the Republic of South Africa or any other jurisdiction where such offer or sale would violate the relevant securities laws or regulations of such jurisdiction (each, a “</w:t>
      </w:r>
      <w:r w:rsidRPr="009B546D">
        <w:rPr>
          <w:rFonts w:cstheme="minorHAnsi"/>
          <w:b/>
          <w:bCs/>
          <w:sz w:val="16"/>
          <w:szCs w:val="16"/>
        </w:rPr>
        <w:t>Restricted Jurisdiction</w:t>
      </w:r>
      <w:r w:rsidRPr="009B546D">
        <w:rPr>
          <w:rFonts w:cstheme="minorHAnsi"/>
          <w:sz w:val="16"/>
          <w:szCs w:val="16"/>
        </w:rPr>
        <w:t>”).</w:t>
      </w:r>
    </w:p>
    <w:p w14:paraId="3D8A5245" w14:textId="77777777" w:rsidR="00D90E1F" w:rsidRPr="009B546D" w:rsidRDefault="00D90E1F" w:rsidP="00F432B9">
      <w:pPr>
        <w:widowControl w:val="0"/>
        <w:spacing w:line="240" w:lineRule="auto"/>
        <w:rPr>
          <w:rFonts w:cstheme="minorHAnsi"/>
          <w:sz w:val="16"/>
          <w:szCs w:val="16"/>
        </w:rPr>
      </w:pPr>
      <w:r w:rsidRPr="009B546D">
        <w:rPr>
          <w:rFonts w:cstheme="minorHAnsi"/>
          <w:sz w:val="16"/>
          <w:szCs w:val="16"/>
        </w:rPr>
        <w:t>The Ordinary Shares may not be taken up, offered, sold, resold, transferred or distributed, directly or indirectly within, into or in the United States except pursuant to an exemption from, or in a transaction that is not subject to, the registration requirements of the US Securities Act. There will be no public offer in the United States. The Company has not been and will not be registered under the US Investment Company Act of 1940 (“</w:t>
      </w:r>
      <w:r w:rsidRPr="009B546D">
        <w:rPr>
          <w:rFonts w:cstheme="minorHAnsi"/>
          <w:b/>
          <w:bCs/>
          <w:sz w:val="16"/>
          <w:szCs w:val="16"/>
        </w:rPr>
        <w:t>US Investment Company Act</w:t>
      </w:r>
      <w:r w:rsidRPr="009B546D">
        <w:rPr>
          <w:rFonts w:cstheme="minorHAnsi"/>
          <w:sz w:val="16"/>
          <w:szCs w:val="16"/>
        </w:rPr>
        <w:t>”) pursuant to the exemption provided by Section 3(c)(7) thereof, and investors will not be entitled to the benefits of the US Investment Company Act.</w:t>
      </w:r>
    </w:p>
    <w:p w14:paraId="7E82F283" w14:textId="080F0103" w:rsidR="00D90E1F" w:rsidRPr="009B546D" w:rsidRDefault="00D90E1F" w:rsidP="00F432B9">
      <w:pPr>
        <w:widowControl w:val="0"/>
        <w:spacing w:line="240" w:lineRule="auto"/>
        <w:rPr>
          <w:rFonts w:cstheme="minorHAnsi"/>
          <w:sz w:val="16"/>
          <w:szCs w:val="16"/>
        </w:rPr>
      </w:pPr>
      <w:r w:rsidRPr="009B546D">
        <w:rPr>
          <w:rFonts w:cstheme="minorHAnsi"/>
          <w:sz w:val="16"/>
          <w:szCs w:val="16"/>
        </w:rPr>
        <w:t xml:space="preserve">The Ordinary Shares have not been approved or disapproved by the US Securities and Exchange Commission, any State securities commission in the United States or any other US regulatory authority, nor have any of the foregoing authorities passed comment upon or endorsed the merits of the adequacy of this </w:t>
      </w:r>
      <w:r w:rsidR="0077279D" w:rsidRPr="009B546D">
        <w:rPr>
          <w:rFonts w:cstheme="minorHAnsi"/>
          <w:sz w:val="16"/>
          <w:szCs w:val="16"/>
        </w:rPr>
        <w:t>Prospectus</w:t>
      </w:r>
      <w:r w:rsidRPr="009B546D">
        <w:rPr>
          <w:rFonts w:cstheme="minorHAnsi"/>
          <w:sz w:val="16"/>
          <w:szCs w:val="16"/>
        </w:rPr>
        <w:t>. Any representation to the contrary is a criminal offence in the United States.</w:t>
      </w:r>
    </w:p>
    <w:p w14:paraId="009E7671" w14:textId="4A23D09A" w:rsidR="00D90E1F" w:rsidRPr="009B546D" w:rsidRDefault="00D90E1F" w:rsidP="00F432B9">
      <w:pPr>
        <w:widowControl w:val="0"/>
        <w:spacing w:line="240" w:lineRule="auto"/>
        <w:rPr>
          <w:rFonts w:cstheme="minorHAnsi"/>
          <w:sz w:val="16"/>
          <w:szCs w:val="16"/>
        </w:rPr>
      </w:pPr>
      <w:r w:rsidRPr="009B546D">
        <w:rPr>
          <w:rFonts w:cstheme="minorHAnsi"/>
          <w:sz w:val="16"/>
          <w:szCs w:val="16"/>
        </w:rPr>
        <w:lastRenderedPageBreak/>
        <w:t xml:space="preserve">The distribution of this Prospectus in or into jurisdictions other than the United Kingdom may be restricted by law and therefore persons into whose possession this </w:t>
      </w:r>
      <w:r w:rsidR="0077279D" w:rsidRPr="009B546D">
        <w:rPr>
          <w:rFonts w:cstheme="minorHAnsi"/>
          <w:sz w:val="16"/>
          <w:szCs w:val="16"/>
        </w:rPr>
        <w:t>Prospectus</w:t>
      </w:r>
      <w:r w:rsidRPr="009B546D">
        <w:rPr>
          <w:rFonts w:cstheme="minorHAnsi"/>
          <w:sz w:val="16"/>
          <w:szCs w:val="16"/>
        </w:rPr>
        <w:t xml:space="preserve"> comes should inform themselves about and observe any such restrictions. Any failure to comply with these restrictions may constitute a violation of securities laws of any such jurisdiction.</w:t>
      </w:r>
    </w:p>
    <w:p w14:paraId="5A32816D" w14:textId="22F30536" w:rsidR="00D90E1F" w:rsidRPr="009B546D" w:rsidRDefault="00D90E1F" w:rsidP="00F432B9">
      <w:pPr>
        <w:widowControl w:val="0"/>
        <w:spacing w:line="240" w:lineRule="auto"/>
        <w:rPr>
          <w:rFonts w:cstheme="minorHAnsi"/>
          <w:sz w:val="16"/>
          <w:szCs w:val="16"/>
        </w:rPr>
      </w:pPr>
      <w:r w:rsidRPr="009B546D">
        <w:rPr>
          <w:rFonts w:cstheme="minorHAnsi"/>
          <w:sz w:val="16"/>
          <w:szCs w:val="16"/>
        </w:rPr>
        <w:t xml:space="preserve">Application will be made for the </w:t>
      </w:r>
      <w:r w:rsidR="0007786E" w:rsidRPr="009B546D">
        <w:rPr>
          <w:rFonts w:cstheme="minorHAnsi"/>
          <w:sz w:val="16"/>
          <w:szCs w:val="16"/>
        </w:rPr>
        <w:t xml:space="preserve">Re-Admission of the Existing Ordinary Shares and the admission of the </w:t>
      </w:r>
      <w:r w:rsidR="003730BB" w:rsidRPr="009B546D">
        <w:rPr>
          <w:rFonts w:cstheme="minorHAnsi"/>
          <w:sz w:val="16"/>
          <w:szCs w:val="16"/>
        </w:rPr>
        <w:t xml:space="preserve">New Ordinary Shares to the Official List (by way of a Standard Listing under Chapter 14 of the Listing Rules) and to trading on the London Stock Exchange’s Main Market. </w:t>
      </w:r>
      <w:r w:rsidRPr="009B546D">
        <w:rPr>
          <w:rFonts w:cstheme="minorHAnsi"/>
          <w:sz w:val="16"/>
          <w:szCs w:val="16"/>
        </w:rPr>
        <w:t>A Standard Listing will afford investors in the Company a lower level of regulatory protection than that afforded to investors in companies with premium listings on the Official List, which are subject to additional obligations under the Listing Rules.</w:t>
      </w:r>
    </w:p>
    <w:p w14:paraId="5CFC934F" w14:textId="7D160EBD" w:rsidR="000347E6" w:rsidRPr="009B546D" w:rsidRDefault="000347E6" w:rsidP="00F432B9">
      <w:pPr>
        <w:widowControl w:val="0"/>
        <w:spacing w:line="240" w:lineRule="auto"/>
        <w:rPr>
          <w:rFonts w:cstheme="minorHAnsi"/>
          <w:sz w:val="16"/>
          <w:szCs w:val="16"/>
        </w:rPr>
      </w:pPr>
      <w:r w:rsidRPr="009B546D">
        <w:rPr>
          <w:rFonts w:cstheme="minorHAnsi"/>
          <w:sz w:val="16"/>
          <w:szCs w:val="16"/>
        </w:rPr>
        <w:t xml:space="preserve">The whole of the text of this Prospectus should be read by prospective investors. Your attention is specifically drawn to the discussion of certain risks and other factors that should be considered in connection with an investment in the Ordinary Shares, as set out in </w:t>
      </w:r>
      <w:r w:rsidRPr="009B546D">
        <w:rPr>
          <w:rFonts w:cstheme="minorHAnsi"/>
          <w:iCs/>
          <w:sz w:val="16"/>
          <w:szCs w:val="16"/>
        </w:rPr>
        <w:t>Part II (</w:t>
      </w:r>
      <w:r w:rsidRPr="009B546D">
        <w:rPr>
          <w:rFonts w:cstheme="minorHAnsi"/>
          <w:i/>
          <w:iCs/>
          <w:sz w:val="16"/>
          <w:szCs w:val="16"/>
        </w:rPr>
        <w:t>Risk Factors</w:t>
      </w:r>
      <w:r w:rsidRPr="009B546D">
        <w:rPr>
          <w:rFonts w:cstheme="minorHAnsi"/>
          <w:iCs/>
          <w:sz w:val="16"/>
          <w:szCs w:val="16"/>
        </w:rPr>
        <w:t>)</w:t>
      </w:r>
      <w:r w:rsidRPr="009B546D">
        <w:rPr>
          <w:rFonts w:cstheme="minorHAnsi"/>
          <w:sz w:val="16"/>
          <w:szCs w:val="16"/>
        </w:rPr>
        <w:t xml:space="preserve"> of this Prospectus. Investors should make their own assessment as to the suitability of investing in the Ordinary Shares.</w:t>
      </w:r>
    </w:p>
    <w:p w14:paraId="7FE7365D" w14:textId="1DFB816C" w:rsidR="000347E6" w:rsidRPr="009B546D" w:rsidRDefault="000347E6" w:rsidP="00F432B9">
      <w:pPr>
        <w:widowControl w:val="0"/>
        <w:spacing w:line="240" w:lineRule="auto"/>
        <w:rPr>
          <w:sz w:val="16"/>
          <w:szCs w:val="16"/>
        </w:rPr>
      </w:pPr>
      <w:r w:rsidRPr="15D66BA0">
        <w:rPr>
          <w:sz w:val="16"/>
          <w:szCs w:val="16"/>
        </w:rPr>
        <w:t>The Company, the directors of the Company and the proposed director of the Company (together, the “</w:t>
      </w:r>
      <w:r w:rsidRPr="15D66BA0">
        <w:rPr>
          <w:b/>
          <w:sz w:val="16"/>
          <w:szCs w:val="16"/>
        </w:rPr>
        <w:t>Directors</w:t>
      </w:r>
      <w:r w:rsidRPr="15D66BA0">
        <w:rPr>
          <w:sz w:val="16"/>
          <w:szCs w:val="16"/>
        </w:rPr>
        <w:t xml:space="preserve">”), whose names appear in Part </w:t>
      </w:r>
      <w:r w:rsidR="00476D6A" w:rsidRPr="15D66BA0">
        <w:rPr>
          <w:sz w:val="16"/>
          <w:szCs w:val="16"/>
        </w:rPr>
        <w:t>VI</w:t>
      </w:r>
      <w:r w:rsidRPr="15D66BA0">
        <w:rPr>
          <w:sz w:val="16"/>
          <w:szCs w:val="16"/>
        </w:rPr>
        <w:t xml:space="preserve"> of this Prospectus, accept responsibility for the information contained in this Prospectus. To the best of the knowledge of the Company and the Directors, the information contained in this Prospectus is in accordance with the facts and does not omit anything likely to affect the import of such information.</w:t>
      </w:r>
    </w:p>
    <w:p w14:paraId="5E9C0B2A" w14:textId="5F2E409F" w:rsidR="00D90E1F" w:rsidRPr="009B546D" w:rsidRDefault="00D90E1F" w:rsidP="00F432B9">
      <w:pPr>
        <w:widowControl w:val="0"/>
        <w:spacing w:line="240" w:lineRule="auto"/>
        <w:rPr>
          <w:rFonts w:cstheme="minorHAnsi"/>
          <w:sz w:val="16"/>
          <w:szCs w:val="16"/>
        </w:rPr>
      </w:pPr>
      <w:r w:rsidRPr="009B546D">
        <w:rPr>
          <w:rFonts w:cstheme="minorHAnsi"/>
          <w:sz w:val="16"/>
          <w:szCs w:val="16"/>
        </w:rPr>
        <w:t>Apart from the responsibilities and liabilities, if any, which may be imposed on VSA Capital Limited (“</w:t>
      </w:r>
      <w:r w:rsidRPr="009B546D">
        <w:rPr>
          <w:rFonts w:cstheme="minorHAnsi"/>
          <w:b/>
          <w:bCs/>
          <w:sz w:val="16"/>
          <w:szCs w:val="16"/>
        </w:rPr>
        <w:t>VSA</w:t>
      </w:r>
      <w:r w:rsidRPr="009B546D">
        <w:rPr>
          <w:rFonts w:cstheme="minorHAnsi"/>
          <w:sz w:val="16"/>
          <w:szCs w:val="16"/>
        </w:rPr>
        <w:t>” or “</w:t>
      </w:r>
      <w:r w:rsidRPr="009B546D">
        <w:rPr>
          <w:rFonts w:cstheme="minorHAnsi"/>
          <w:b/>
          <w:bCs/>
          <w:sz w:val="16"/>
          <w:szCs w:val="16"/>
        </w:rPr>
        <w:t>Financial Adviser</w:t>
      </w:r>
      <w:r w:rsidRPr="009B546D">
        <w:rPr>
          <w:rFonts w:cstheme="minorHAnsi"/>
          <w:sz w:val="16"/>
          <w:szCs w:val="16"/>
        </w:rPr>
        <w:t>”), in its capacity as financial adviser and broker to the Company by FSMA or the regulatory regime established thereunder, VSA does not accept any responsibility whatsoever for, or make any representation or warranty, express or implied, as to the contents of this Prospectus or for any other statement made or purported to be made by them, or on their behalf, in connection with the Company, the Ordinary Shares, or Re-Admission and nothing in this Prospectus will be relied upon as a promise or representation in this respect, whether or not to the past or future. VSA accordingly disclaims all and any responsibility or liability, whether arising in tort, contract or otherwise (save as referred to above), which it might otherwise have in respect of this prospect or any such statement.</w:t>
      </w:r>
    </w:p>
    <w:p w14:paraId="23652406" w14:textId="77777777" w:rsidR="00D90E1F" w:rsidRPr="009B546D" w:rsidRDefault="00D90E1F" w:rsidP="00F432B9">
      <w:pPr>
        <w:widowControl w:val="0"/>
        <w:spacing w:line="240" w:lineRule="auto"/>
        <w:rPr>
          <w:rFonts w:cstheme="minorHAnsi"/>
          <w:sz w:val="16"/>
          <w:szCs w:val="16"/>
        </w:rPr>
      </w:pPr>
      <w:r w:rsidRPr="009B546D">
        <w:rPr>
          <w:rFonts w:cstheme="minorHAnsi"/>
          <w:sz w:val="16"/>
          <w:szCs w:val="16"/>
        </w:rPr>
        <w:t>Neither VSA nor any of its respective representatives, are making any representation to any prospective investor of the Ordinary Shares regarding the legality of an investment in the Ordinary Shares by such prospective investor under the laws applicable to such prospective investor. The contents of this Prospectus should not be construed as legal, financial or tax advice. Each prospective investor should consult their own legal, financial or tax adviser for legal, financial or tax advice.</w:t>
      </w:r>
    </w:p>
    <w:p w14:paraId="7A23C4E1" w14:textId="77777777" w:rsidR="00D90E1F" w:rsidRPr="009B546D" w:rsidRDefault="00D90E1F" w:rsidP="00F432B9">
      <w:pPr>
        <w:widowControl w:val="0"/>
        <w:spacing w:line="240" w:lineRule="auto"/>
        <w:rPr>
          <w:rFonts w:cstheme="minorHAnsi"/>
          <w:sz w:val="16"/>
          <w:szCs w:val="16"/>
        </w:rPr>
      </w:pPr>
      <w:r w:rsidRPr="009B546D">
        <w:rPr>
          <w:rFonts w:cstheme="minorHAnsi"/>
          <w:sz w:val="16"/>
          <w:szCs w:val="16"/>
        </w:rPr>
        <w:t>VSA, which is authorised and regulated by the FCA, is acting exclusively for the Company and for no one else in connection with the production of this Prospectus and/or Re-Admission. VSA will not regard any other person as a client in relation to the production of this Prospectus and/or Re-Admission, and VSA will not be responsible to anyone (whether or not a recipient of this Prospectus) other than the Company for providing the protections afforded to its clients, or for providing advice in connection with the production of this Prospectus and/or Re-Admission, or any other matter, transaction or arrangement referred to in this Prospectus.</w:t>
      </w:r>
    </w:p>
    <w:p w14:paraId="4944EF9D" w14:textId="205671E5" w:rsidR="00D90E1F" w:rsidRPr="009B546D" w:rsidRDefault="00D90E1F" w:rsidP="00F432B9">
      <w:pPr>
        <w:widowControl w:val="0"/>
        <w:spacing w:line="240" w:lineRule="auto"/>
        <w:rPr>
          <w:rFonts w:cstheme="minorHAnsi"/>
          <w:sz w:val="18"/>
          <w:szCs w:val="20"/>
        </w:rPr>
      </w:pPr>
      <w:r w:rsidRPr="009B546D">
        <w:rPr>
          <w:rFonts w:cstheme="minorHAnsi"/>
          <w:sz w:val="16"/>
          <w:szCs w:val="16"/>
        </w:rPr>
        <w:t xml:space="preserve">The date of this Prospectus is </w:t>
      </w:r>
      <w:r w:rsidR="00D71E6B">
        <w:rPr>
          <w:rFonts w:cstheme="minorHAnsi"/>
          <w:sz w:val="16"/>
          <w:szCs w:val="16"/>
        </w:rPr>
        <w:t>20</w:t>
      </w:r>
      <w:r w:rsidR="00D71E6B" w:rsidRPr="009B546D">
        <w:rPr>
          <w:rFonts w:cstheme="minorHAnsi"/>
          <w:sz w:val="16"/>
          <w:szCs w:val="16"/>
        </w:rPr>
        <w:t xml:space="preserve"> </w:t>
      </w:r>
      <w:r w:rsidR="00D76E92" w:rsidRPr="009B546D">
        <w:rPr>
          <w:rFonts w:cstheme="minorHAnsi"/>
          <w:sz w:val="16"/>
          <w:szCs w:val="16"/>
        </w:rPr>
        <w:t xml:space="preserve">March </w:t>
      </w:r>
      <w:r w:rsidRPr="009B546D">
        <w:rPr>
          <w:rFonts w:cstheme="minorHAnsi"/>
          <w:sz w:val="16"/>
          <w:szCs w:val="16"/>
        </w:rPr>
        <w:t>20</w:t>
      </w:r>
      <w:r w:rsidR="00AF188F" w:rsidRPr="009B546D">
        <w:rPr>
          <w:rFonts w:cstheme="minorHAnsi"/>
          <w:sz w:val="16"/>
          <w:szCs w:val="16"/>
        </w:rPr>
        <w:t>20</w:t>
      </w:r>
      <w:r w:rsidR="00F753A2" w:rsidRPr="009B546D">
        <w:rPr>
          <w:rFonts w:cstheme="minorHAnsi"/>
          <w:sz w:val="16"/>
          <w:szCs w:val="16"/>
        </w:rPr>
        <w:t>.</w:t>
      </w:r>
      <w:r w:rsidRPr="009B546D">
        <w:rPr>
          <w:rFonts w:cstheme="minorHAnsi"/>
          <w:sz w:val="18"/>
          <w:szCs w:val="20"/>
        </w:rPr>
        <w:br w:type="page"/>
      </w:r>
    </w:p>
    <w:p w14:paraId="74A927E2" w14:textId="77777777" w:rsidR="00D90E1F" w:rsidRPr="009B546D" w:rsidRDefault="00D90E1F" w:rsidP="00F432B9">
      <w:pPr>
        <w:widowControl w:val="0"/>
        <w:spacing w:line="240" w:lineRule="auto"/>
        <w:jc w:val="center"/>
        <w:rPr>
          <w:rFonts w:cstheme="minorHAnsi"/>
          <w:szCs w:val="20"/>
        </w:rPr>
      </w:pPr>
      <w:r w:rsidRPr="009B546D">
        <w:rPr>
          <w:rFonts w:cstheme="minorHAnsi"/>
          <w:b/>
          <w:bCs/>
          <w:szCs w:val="20"/>
        </w:rPr>
        <w:lastRenderedPageBreak/>
        <w:t>Table of Contents</w:t>
      </w:r>
    </w:p>
    <w:sdt>
      <w:sdtPr>
        <w:rPr>
          <w:rFonts w:asciiTheme="minorHAnsi" w:eastAsiaTheme="minorHAnsi" w:hAnsiTheme="minorHAnsi" w:cstheme="minorHAnsi"/>
          <w:color w:val="auto"/>
          <w:sz w:val="20"/>
          <w:szCs w:val="20"/>
          <w:lang w:val="en-GB"/>
        </w:rPr>
        <w:id w:val="-79295821"/>
        <w:docPartObj>
          <w:docPartGallery w:val="Table of Contents"/>
          <w:docPartUnique/>
        </w:docPartObj>
      </w:sdtPr>
      <w:sdtEndPr>
        <w:rPr>
          <w:b/>
          <w:bCs/>
        </w:rPr>
      </w:sdtEndPr>
      <w:sdtContent>
        <w:p w14:paraId="186BFEBE" w14:textId="77777777" w:rsidR="00D90E1F" w:rsidRPr="00384557" w:rsidRDefault="00D90E1F" w:rsidP="00496B89">
          <w:pPr>
            <w:pStyle w:val="TOCHeading"/>
            <w:keepNext w:val="0"/>
            <w:widowControl w:val="0"/>
            <w:spacing w:after="80" w:line="240" w:lineRule="auto"/>
            <w:rPr>
              <w:rFonts w:asciiTheme="minorHAnsi" w:hAnsiTheme="minorHAnsi" w:cstheme="minorHAnsi"/>
              <w:sz w:val="20"/>
              <w:szCs w:val="20"/>
              <w:lang w:val="en-GB"/>
            </w:rPr>
          </w:pPr>
        </w:p>
        <w:p w14:paraId="6B04106E" w14:textId="584ACD3F" w:rsidR="004712BD" w:rsidRDefault="00D90E1F">
          <w:pPr>
            <w:pStyle w:val="TOC1"/>
            <w:rPr>
              <w:rFonts w:eastAsiaTheme="minorEastAsia"/>
              <w:noProof/>
              <w:sz w:val="22"/>
              <w:lang w:eastAsia="en-GB"/>
            </w:rPr>
          </w:pPr>
          <w:r w:rsidRPr="009B546D">
            <w:rPr>
              <w:rFonts w:cstheme="minorHAnsi"/>
              <w:szCs w:val="20"/>
            </w:rPr>
            <w:fldChar w:fldCharType="begin"/>
          </w:r>
          <w:r w:rsidRPr="009B546D">
            <w:rPr>
              <w:rFonts w:cstheme="minorHAnsi"/>
              <w:szCs w:val="20"/>
            </w:rPr>
            <w:instrText xml:space="preserve"> TOC \o "1-1" \h \z \u </w:instrText>
          </w:r>
          <w:r w:rsidRPr="009B546D">
            <w:rPr>
              <w:rFonts w:cstheme="minorHAnsi"/>
              <w:szCs w:val="20"/>
            </w:rPr>
            <w:fldChar w:fldCharType="separate"/>
          </w:r>
          <w:hyperlink w:anchor="_Toc35456730" w:history="1">
            <w:r w:rsidR="004712BD" w:rsidRPr="0091506E">
              <w:rPr>
                <w:rStyle w:val="Hyperlink"/>
                <w:rFonts w:cstheme="minorHAnsi"/>
                <w:noProof/>
              </w:rPr>
              <w:t>Part I Summary</w:t>
            </w:r>
            <w:r w:rsidR="004712BD">
              <w:rPr>
                <w:noProof/>
                <w:webHidden/>
              </w:rPr>
              <w:tab/>
            </w:r>
            <w:r w:rsidR="004712BD">
              <w:rPr>
                <w:noProof/>
                <w:webHidden/>
              </w:rPr>
              <w:fldChar w:fldCharType="begin"/>
            </w:r>
            <w:r w:rsidR="004712BD">
              <w:rPr>
                <w:noProof/>
                <w:webHidden/>
              </w:rPr>
              <w:instrText xml:space="preserve"> PAGEREF _Toc35456730 \h </w:instrText>
            </w:r>
            <w:r w:rsidR="004712BD">
              <w:rPr>
                <w:noProof/>
                <w:webHidden/>
              </w:rPr>
            </w:r>
            <w:r w:rsidR="004712BD">
              <w:rPr>
                <w:noProof/>
                <w:webHidden/>
              </w:rPr>
              <w:fldChar w:fldCharType="separate"/>
            </w:r>
            <w:r w:rsidR="004712BD">
              <w:rPr>
                <w:noProof/>
                <w:webHidden/>
              </w:rPr>
              <w:t>4</w:t>
            </w:r>
            <w:r w:rsidR="004712BD">
              <w:rPr>
                <w:noProof/>
                <w:webHidden/>
              </w:rPr>
              <w:fldChar w:fldCharType="end"/>
            </w:r>
          </w:hyperlink>
        </w:p>
        <w:p w14:paraId="15F74F2A" w14:textId="5C14BAF3" w:rsidR="004712BD" w:rsidRDefault="001164FD">
          <w:pPr>
            <w:pStyle w:val="TOC1"/>
            <w:rPr>
              <w:rFonts w:eastAsiaTheme="minorEastAsia"/>
              <w:noProof/>
              <w:sz w:val="22"/>
              <w:lang w:eastAsia="en-GB"/>
            </w:rPr>
          </w:pPr>
          <w:hyperlink w:anchor="_Toc35456731" w:history="1">
            <w:r w:rsidR="004712BD" w:rsidRPr="0091506E">
              <w:rPr>
                <w:rStyle w:val="Hyperlink"/>
                <w:rFonts w:cstheme="minorHAnsi"/>
                <w:noProof/>
              </w:rPr>
              <w:t>Part II Risk Factors</w:t>
            </w:r>
            <w:r w:rsidR="004712BD">
              <w:rPr>
                <w:noProof/>
                <w:webHidden/>
              </w:rPr>
              <w:tab/>
            </w:r>
            <w:r w:rsidR="004712BD">
              <w:rPr>
                <w:noProof/>
                <w:webHidden/>
              </w:rPr>
              <w:fldChar w:fldCharType="begin"/>
            </w:r>
            <w:r w:rsidR="004712BD">
              <w:rPr>
                <w:noProof/>
                <w:webHidden/>
              </w:rPr>
              <w:instrText xml:space="preserve"> PAGEREF _Toc35456731 \h </w:instrText>
            </w:r>
            <w:r w:rsidR="004712BD">
              <w:rPr>
                <w:noProof/>
                <w:webHidden/>
              </w:rPr>
            </w:r>
            <w:r w:rsidR="004712BD">
              <w:rPr>
                <w:noProof/>
                <w:webHidden/>
              </w:rPr>
              <w:fldChar w:fldCharType="separate"/>
            </w:r>
            <w:r w:rsidR="004712BD">
              <w:rPr>
                <w:noProof/>
                <w:webHidden/>
              </w:rPr>
              <w:t>11</w:t>
            </w:r>
            <w:r w:rsidR="004712BD">
              <w:rPr>
                <w:noProof/>
                <w:webHidden/>
              </w:rPr>
              <w:fldChar w:fldCharType="end"/>
            </w:r>
          </w:hyperlink>
        </w:p>
        <w:p w14:paraId="4BA4B3D5" w14:textId="5EEEAA12" w:rsidR="004712BD" w:rsidRDefault="001164FD">
          <w:pPr>
            <w:pStyle w:val="TOC1"/>
            <w:rPr>
              <w:rFonts w:eastAsiaTheme="minorEastAsia"/>
              <w:noProof/>
              <w:sz w:val="22"/>
              <w:lang w:eastAsia="en-GB"/>
            </w:rPr>
          </w:pPr>
          <w:hyperlink w:anchor="_Toc35456732" w:history="1">
            <w:r w:rsidR="004712BD" w:rsidRPr="0091506E">
              <w:rPr>
                <w:rStyle w:val="Hyperlink"/>
                <w:rFonts w:cstheme="minorHAnsi"/>
                <w:noProof/>
              </w:rPr>
              <w:t>Part III Important information</w:t>
            </w:r>
            <w:r w:rsidR="004712BD">
              <w:rPr>
                <w:noProof/>
                <w:webHidden/>
              </w:rPr>
              <w:tab/>
            </w:r>
            <w:r w:rsidR="004712BD">
              <w:rPr>
                <w:noProof/>
                <w:webHidden/>
              </w:rPr>
              <w:fldChar w:fldCharType="begin"/>
            </w:r>
            <w:r w:rsidR="004712BD">
              <w:rPr>
                <w:noProof/>
                <w:webHidden/>
              </w:rPr>
              <w:instrText xml:space="preserve"> PAGEREF _Toc35456732 \h </w:instrText>
            </w:r>
            <w:r w:rsidR="004712BD">
              <w:rPr>
                <w:noProof/>
                <w:webHidden/>
              </w:rPr>
            </w:r>
            <w:r w:rsidR="004712BD">
              <w:rPr>
                <w:noProof/>
                <w:webHidden/>
              </w:rPr>
              <w:fldChar w:fldCharType="separate"/>
            </w:r>
            <w:r w:rsidR="004712BD">
              <w:rPr>
                <w:noProof/>
                <w:webHidden/>
              </w:rPr>
              <w:t>22</w:t>
            </w:r>
            <w:r w:rsidR="004712BD">
              <w:rPr>
                <w:noProof/>
                <w:webHidden/>
              </w:rPr>
              <w:fldChar w:fldCharType="end"/>
            </w:r>
          </w:hyperlink>
        </w:p>
        <w:p w14:paraId="0893C75A" w14:textId="294093B4" w:rsidR="004712BD" w:rsidRDefault="001164FD">
          <w:pPr>
            <w:pStyle w:val="TOC1"/>
            <w:rPr>
              <w:rFonts w:eastAsiaTheme="minorEastAsia"/>
              <w:noProof/>
              <w:sz w:val="22"/>
              <w:lang w:eastAsia="en-GB"/>
            </w:rPr>
          </w:pPr>
          <w:hyperlink w:anchor="_Toc35456733" w:history="1">
            <w:r w:rsidR="004712BD" w:rsidRPr="0091506E">
              <w:rPr>
                <w:rStyle w:val="Hyperlink"/>
                <w:rFonts w:cstheme="minorHAnsi"/>
                <w:noProof/>
              </w:rPr>
              <w:t>Part IV Relevant Documentation Incorporated by Reference</w:t>
            </w:r>
            <w:r w:rsidR="004712BD">
              <w:rPr>
                <w:noProof/>
                <w:webHidden/>
              </w:rPr>
              <w:tab/>
            </w:r>
            <w:r w:rsidR="004712BD">
              <w:rPr>
                <w:noProof/>
                <w:webHidden/>
              </w:rPr>
              <w:fldChar w:fldCharType="begin"/>
            </w:r>
            <w:r w:rsidR="004712BD">
              <w:rPr>
                <w:noProof/>
                <w:webHidden/>
              </w:rPr>
              <w:instrText xml:space="preserve"> PAGEREF _Toc35456733 \h </w:instrText>
            </w:r>
            <w:r w:rsidR="004712BD">
              <w:rPr>
                <w:noProof/>
                <w:webHidden/>
              </w:rPr>
            </w:r>
            <w:r w:rsidR="004712BD">
              <w:rPr>
                <w:noProof/>
                <w:webHidden/>
              </w:rPr>
              <w:fldChar w:fldCharType="separate"/>
            </w:r>
            <w:r w:rsidR="004712BD">
              <w:rPr>
                <w:noProof/>
                <w:webHidden/>
              </w:rPr>
              <w:t>26</w:t>
            </w:r>
            <w:r w:rsidR="004712BD">
              <w:rPr>
                <w:noProof/>
                <w:webHidden/>
              </w:rPr>
              <w:fldChar w:fldCharType="end"/>
            </w:r>
          </w:hyperlink>
        </w:p>
        <w:p w14:paraId="28537A6C" w14:textId="2C96A952" w:rsidR="004712BD" w:rsidRDefault="001164FD">
          <w:pPr>
            <w:pStyle w:val="TOC1"/>
            <w:rPr>
              <w:rFonts w:eastAsiaTheme="minorEastAsia"/>
              <w:noProof/>
              <w:sz w:val="22"/>
              <w:lang w:eastAsia="en-GB"/>
            </w:rPr>
          </w:pPr>
          <w:hyperlink w:anchor="_Toc35456734" w:history="1">
            <w:r w:rsidR="004712BD" w:rsidRPr="0091506E">
              <w:rPr>
                <w:rStyle w:val="Hyperlink"/>
                <w:rFonts w:cstheme="minorHAnsi"/>
                <w:noProof/>
              </w:rPr>
              <w:t>Part V Expected Timetable of Principal Events, Re-Admission Statistics  and Dealing Codes</w:t>
            </w:r>
            <w:r w:rsidR="004712BD">
              <w:rPr>
                <w:noProof/>
                <w:webHidden/>
              </w:rPr>
              <w:tab/>
            </w:r>
            <w:r w:rsidR="004712BD">
              <w:rPr>
                <w:noProof/>
                <w:webHidden/>
              </w:rPr>
              <w:fldChar w:fldCharType="begin"/>
            </w:r>
            <w:r w:rsidR="004712BD">
              <w:rPr>
                <w:noProof/>
                <w:webHidden/>
              </w:rPr>
              <w:instrText xml:space="preserve"> PAGEREF _Toc35456734 \h </w:instrText>
            </w:r>
            <w:r w:rsidR="004712BD">
              <w:rPr>
                <w:noProof/>
                <w:webHidden/>
              </w:rPr>
            </w:r>
            <w:r w:rsidR="004712BD">
              <w:rPr>
                <w:noProof/>
                <w:webHidden/>
              </w:rPr>
              <w:fldChar w:fldCharType="separate"/>
            </w:r>
            <w:r w:rsidR="004712BD">
              <w:rPr>
                <w:noProof/>
                <w:webHidden/>
              </w:rPr>
              <w:t>28</w:t>
            </w:r>
            <w:r w:rsidR="004712BD">
              <w:rPr>
                <w:noProof/>
                <w:webHidden/>
              </w:rPr>
              <w:fldChar w:fldCharType="end"/>
            </w:r>
          </w:hyperlink>
        </w:p>
        <w:p w14:paraId="258C59F4" w14:textId="430D264A" w:rsidR="004712BD" w:rsidRDefault="001164FD">
          <w:pPr>
            <w:pStyle w:val="TOC1"/>
            <w:rPr>
              <w:rFonts w:eastAsiaTheme="minorEastAsia"/>
              <w:noProof/>
              <w:sz w:val="22"/>
              <w:lang w:eastAsia="en-GB"/>
            </w:rPr>
          </w:pPr>
          <w:hyperlink w:anchor="_Toc35456735" w:history="1">
            <w:r w:rsidR="004712BD" w:rsidRPr="0091506E">
              <w:rPr>
                <w:rStyle w:val="Hyperlink"/>
                <w:rFonts w:cstheme="minorHAnsi"/>
                <w:noProof/>
              </w:rPr>
              <w:t>Part VI Existing Directors, Proposed Director, Company Secretary  and Advisers</w:t>
            </w:r>
            <w:r w:rsidR="004712BD">
              <w:rPr>
                <w:noProof/>
                <w:webHidden/>
              </w:rPr>
              <w:tab/>
            </w:r>
            <w:r w:rsidR="004712BD">
              <w:rPr>
                <w:noProof/>
                <w:webHidden/>
              </w:rPr>
              <w:fldChar w:fldCharType="begin"/>
            </w:r>
            <w:r w:rsidR="004712BD">
              <w:rPr>
                <w:noProof/>
                <w:webHidden/>
              </w:rPr>
              <w:instrText xml:space="preserve"> PAGEREF _Toc35456735 \h </w:instrText>
            </w:r>
            <w:r w:rsidR="004712BD">
              <w:rPr>
                <w:noProof/>
                <w:webHidden/>
              </w:rPr>
            </w:r>
            <w:r w:rsidR="004712BD">
              <w:rPr>
                <w:noProof/>
                <w:webHidden/>
              </w:rPr>
              <w:fldChar w:fldCharType="separate"/>
            </w:r>
            <w:r w:rsidR="004712BD">
              <w:rPr>
                <w:noProof/>
                <w:webHidden/>
              </w:rPr>
              <w:t>29</w:t>
            </w:r>
            <w:r w:rsidR="004712BD">
              <w:rPr>
                <w:noProof/>
                <w:webHidden/>
              </w:rPr>
              <w:fldChar w:fldCharType="end"/>
            </w:r>
          </w:hyperlink>
        </w:p>
        <w:p w14:paraId="14639B84" w14:textId="374E6AC1" w:rsidR="004712BD" w:rsidRDefault="001164FD">
          <w:pPr>
            <w:pStyle w:val="TOC1"/>
            <w:rPr>
              <w:rFonts w:eastAsiaTheme="minorEastAsia"/>
              <w:noProof/>
              <w:sz w:val="22"/>
              <w:lang w:eastAsia="en-GB"/>
            </w:rPr>
          </w:pPr>
          <w:hyperlink w:anchor="_Toc35456736" w:history="1">
            <w:r w:rsidR="004712BD" w:rsidRPr="0091506E">
              <w:rPr>
                <w:rStyle w:val="Hyperlink"/>
                <w:rFonts w:cstheme="minorHAnsi"/>
                <w:noProof/>
              </w:rPr>
              <w:t>Part VII Letter from the Chairman of AIQ Limited</w:t>
            </w:r>
            <w:r w:rsidR="004712BD">
              <w:rPr>
                <w:noProof/>
                <w:webHidden/>
              </w:rPr>
              <w:tab/>
            </w:r>
            <w:r w:rsidR="004712BD">
              <w:rPr>
                <w:noProof/>
                <w:webHidden/>
              </w:rPr>
              <w:fldChar w:fldCharType="begin"/>
            </w:r>
            <w:r w:rsidR="004712BD">
              <w:rPr>
                <w:noProof/>
                <w:webHidden/>
              </w:rPr>
              <w:instrText xml:space="preserve"> PAGEREF _Toc35456736 \h </w:instrText>
            </w:r>
            <w:r w:rsidR="004712BD">
              <w:rPr>
                <w:noProof/>
                <w:webHidden/>
              </w:rPr>
            </w:r>
            <w:r w:rsidR="004712BD">
              <w:rPr>
                <w:noProof/>
                <w:webHidden/>
              </w:rPr>
              <w:fldChar w:fldCharType="separate"/>
            </w:r>
            <w:r w:rsidR="004712BD">
              <w:rPr>
                <w:noProof/>
                <w:webHidden/>
              </w:rPr>
              <w:t>30</w:t>
            </w:r>
            <w:r w:rsidR="004712BD">
              <w:rPr>
                <w:noProof/>
                <w:webHidden/>
              </w:rPr>
              <w:fldChar w:fldCharType="end"/>
            </w:r>
          </w:hyperlink>
        </w:p>
        <w:p w14:paraId="4C51E16E" w14:textId="18277E98" w:rsidR="004712BD" w:rsidRDefault="001164FD">
          <w:pPr>
            <w:pStyle w:val="TOC1"/>
            <w:rPr>
              <w:rFonts w:eastAsiaTheme="minorEastAsia"/>
              <w:noProof/>
              <w:sz w:val="22"/>
              <w:lang w:eastAsia="en-GB"/>
            </w:rPr>
          </w:pPr>
          <w:hyperlink w:anchor="_Toc35456737" w:history="1">
            <w:r w:rsidR="004712BD" w:rsidRPr="0091506E">
              <w:rPr>
                <w:rStyle w:val="Hyperlink"/>
                <w:rFonts w:cstheme="minorHAnsi"/>
                <w:noProof/>
              </w:rPr>
              <w:t>Part VIII Information on the Company</w:t>
            </w:r>
            <w:r w:rsidR="004712BD">
              <w:rPr>
                <w:noProof/>
                <w:webHidden/>
              </w:rPr>
              <w:tab/>
            </w:r>
            <w:r w:rsidR="004712BD">
              <w:rPr>
                <w:noProof/>
                <w:webHidden/>
              </w:rPr>
              <w:fldChar w:fldCharType="begin"/>
            </w:r>
            <w:r w:rsidR="004712BD">
              <w:rPr>
                <w:noProof/>
                <w:webHidden/>
              </w:rPr>
              <w:instrText xml:space="preserve"> PAGEREF _Toc35456737 \h </w:instrText>
            </w:r>
            <w:r w:rsidR="004712BD">
              <w:rPr>
                <w:noProof/>
                <w:webHidden/>
              </w:rPr>
            </w:r>
            <w:r w:rsidR="004712BD">
              <w:rPr>
                <w:noProof/>
                <w:webHidden/>
              </w:rPr>
              <w:fldChar w:fldCharType="separate"/>
            </w:r>
            <w:r w:rsidR="004712BD">
              <w:rPr>
                <w:noProof/>
                <w:webHidden/>
              </w:rPr>
              <w:t>34</w:t>
            </w:r>
            <w:r w:rsidR="004712BD">
              <w:rPr>
                <w:noProof/>
                <w:webHidden/>
              </w:rPr>
              <w:fldChar w:fldCharType="end"/>
            </w:r>
          </w:hyperlink>
        </w:p>
        <w:p w14:paraId="7C4227ED" w14:textId="316D1CCE" w:rsidR="004712BD" w:rsidRDefault="001164FD">
          <w:pPr>
            <w:pStyle w:val="TOC1"/>
            <w:rPr>
              <w:rFonts w:eastAsiaTheme="minorEastAsia"/>
              <w:noProof/>
              <w:sz w:val="22"/>
              <w:lang w:eastAsia="en-GB"/>
            </w:rPr>
          </w:pPr>
          <w:hyperlink w:anchor="_Toc35456738" w:history="1">
            <w:r w:rsidR="004712BD" w:rsidRPr="0091506E">
              <w:rPr>
                <w:rStyle w:val="Hyperlink"/>
                <w:rFonts w:eastAsia="Calibri" w:cstheme="minorHAnsi"/>
                <w:noProof/>
              </w:rPr>
              <w:t>Part IX Information on Alchemist Codes</w:t>
            </w:r>
            <w:r w:rsidR="004712BD">
              <w:rPr>
                <w:noProof/>
                <w:webHidden/>
              </w:rPr>
              <w:tab/>
            </w:r>
            <w:r w:rsidR="004712BD">
              <w:rPr>
                <w:noProof/>
                <w:webHidden/>
              </w:rPr>
              <w:fldChar w:fldCharType="begin"/>
            </w:r>
            <w:r w:rsidR="004712BD">
              <w:rPr>
                <w:noProof/>
                <w:webHidden/>
              </w:rPr>
              <w:instrText xml:space="preserve"> PAGEREF _Toc35456738 \h </w:instrText>
            </w:r>
            <w:r w:rsidR="004712BD">
              <w:rPr>
                <w:noProof/>
                <w:webHidden/>
              </w:rPr>
            </w:r>
            <w:r w:rsidR="004712BD">
              <w:rPr>
                <w:noProof/>
                <w:webHidden/>
              </w:rPr>
              <w:fldChar w:fldCharType="separate"/>
            </w:r>
            <w:r w:rsidR="004712BD">
              <w:rPr>
                <w:noProof/>
                <w:webHidden/>
              </w:rPr>
              <w:t>36</w:t>
            </w:r>
            <w:r w:rsidR="004712BD">
              <w:rPr>
                <w:noProof/>
                <w:webHidden/>
              </w:rPr>
              <w:fldChar w:fldCharType="end"/>
            </w:r>
          </w:hyperlink>
        </w:p>
        <w:p w14:paraId="1102AFAE" w14:textId="1887AA28" w:rsidR="004712BD" w:rsidRDefault="001164FD">
          <w:pPr>
            <w:pStyle w:val="TOC1"/>
            <w:rPr>
              <w:rFonts w:eastAsiaTheme="minorEastAsia"/>
              <w:noProof/>
              <w:sz w:val="22"/>
              <w:lang w:eastAsia="en-GB"/>
            </w:rPr>
          </w:pPr>
          <w:hyperlink w:anchor="_Toc35456739" w:history="1">
            <w:r w:rsidR="004712BD" w:rsidRPr="0091506E">
              <w:rPr>
                <w:rStyle w:val="Hyperlink"/>
                <w:rFonts w:cstheme="minorHAnsi"/>
                <w:noProof/>
              </w:rPr>
              <w:t>Part X Existing Directors, the Proposed Director and Corporate Governance</w:t>
            </w:r>
            <w:r w:rsidR="004712BD">
              <w:rPr>
                <w:noProof/>
                <w:webHidden/>
              </w:rPr>
              <w:tab/>
            </w:r>
            <w:r w:rsidR="004712BD">
              <w:rPr>
                <w:noProof/>
                <w:webHidden/>
              </w:rPr>
              <w:fldChar w:fldCharType="begin"/>
            </w:r>
            <w:r w:rsidR="004712BD">
              <w:rPr>
                <w:noProof/>
                <w:webHidden/>
              </w:rPr>
              <w:instrText xml:space="preserve"> PAGEREF _Toc35456739 \h </w:instrText>
            </w:r>
            <w:r w:rsidR="004712BD">
              <w:rPr>
                <w:noProof/>
                <w:webHidden/>
              </w:rPr>
            </w:r>
            <w:r w:rsidR="004712BD">
              <w:rPr>
                <w:noProof/>
                <w:webHidden/>
              </w:rPr>
              <w:fldChar w:fldCharType="separate"/>
            </w:r>
            <w:r w:rsidR="004712BD">
              <w:rPr>
                <w:noProof/>
                <w:webHidden/>
              </w:rPr>
              <w:t>47</w:t>
            </w:r>
            <w:r w:rsidR="004712BD">
              <w:rPr>
                <w:noProof/>
                <w:webHidden/>
              </w:rPr>
              <w:fldChar w:fldCharType="end"/>
            </w:r>
          </w:hyperlink>
        </w:p>
        <w:p w14:paraId="2F1A4E00" w14:textId="371DEB09" w:rsidR="004712BD" w:rsidRDefault="001164FD">
          <w:pPr>
            <w:pStyle w:val="TOC1"/>
            <w:rPr>
              <w:rFonts w:eastAsiaTheme="minorEastAsia"/>
              <w:noProof/>
              <w:sz w:val="22"/>
              <w:lang w:eastAsia="en-GB"/>
            </w:rPr>
          </w:pPr>
          <w:hyperlink w:anchor="_Toc35456740" w:history="1">
            <w:r w:rsidR="004712BD" w:rsidRPr="0091506E">
              <w:rPr>
                <w:rStyle w:val="Hyperlink"/>
                <w:rFonts w:cstheme="minorHAnsi"/>
                <w:noProof/>
              </w:rPr>
              <w:t>Part XI Operating and Financial Review of AIQ</w:t>
            </w:r>
            <w:r w:rsidR="004712BD">
              <w:rPr>
                <w:noProof/>
                <w:webHidden/>
              </w:rPr>
              <w:tab/>
            </w:r>
            <w:r w:rsidR="004712BD">
              <w:rPr>
                <w:noProof/>
                <w:webHidden/>
              </w:rPr>
              <w:fldChar w:fldCharType="begin"/>
            </w:r>
            <w:r w:rsidR="004712BD">
              <w:rPr>
                <w:noProof/>
                <w:webHidden/>
              </w:rPr>
              <w:instrText xml:space="preserve"> PAGEREF _Toc35456740 \h </w:instrText>
            </w:r>
            <w:r w:rsidR="004712BD">
              <w:rPr>
                <w:noProof/>
                <w:webHidden/>
              </w:rPr>
            </w:r>
            <w:r w:rsidR="004712BD">
              <w:rPr>
                <w:noProof/>
                <w:webHidden/>
              </w:rPr>
              <w:fldChar w:fldCharType="separate"/>
            </w:r>
            <w:r w:rsidR="004712BD">
              <w:rPr>
                <w:noProof/>
                <w:webHidden/>
              </w:rPr>
              <w:t>51</w:t>
            </w:r>
            <w:r w:rsidR="004712BD">
              <w:rPr>
                <w:noProof/>
                <w:webHidden/>
              </w:rPr>
              <w:fldChar w:fldCharType="end"/>
            </w:r>
          </w:hyperlink>
        </w:p>
        <w:p w14:paraId="1F2F1AC9" w14:textId="71DA69E3" w:rsidR="004712BD" w:rsidRDefault="001164FD">
          <w:pPr>
            <w:pStyle w:val="TOC1"/>
            <w:rPr>
              <w:rFonts w:eastAsiaTheme="minorEastAsia"/>
              <w:noProof/>
              <w:sz w:val="22"/>
              <w:lang w:eastAsia="en-GB"/>
            </w:rPr>
          </w:pPr>
          <w:hyperlink w:anchor="_Toc35456741" w:history="1">
            <w:r w:rsidR="004712BD" w:rsidRPr="0091506E">
              <w:rPr>
                <w:rStyle w:val="Hyperlink"/>
                <w:rFonts w:cstheme="minorHAnsi"/>
                <w:noProof/>
              </w:rPr>
              <w:t>Part XII Operating and Financial Review of Alchemist Codes</w:t>
            </w:r>
            <w:r w:rsidR="004712BD">
              <w:rPr>
                <w:noProof/>
                <w:webHidden/>
              </w:rPr>
              <w:tab/>
            </w:r>
            <w:r w:rsidR="004712BD">
              <w:rPr>
                <w:noProof/>
                <w:webHidden/>
              </w:rPr>
              <w:fldChar w:fldCharType="begin"/>
            </w:r>
            <w:r w:rsidR="004712BD">
              <w:rPr>
                <w:noProof/>
                <w:webHidden/>
              </w:rPr>
              <w:instrText xml:space="preserve"> PAGEREF _Toc35456741 \h </w:instrText>
            </w:r>
            <w:r w:rsidR="004712BD">
              <w:rPr>
                <w:noProof/>
                <w:webHidden/>
              </w:rPr>
            </w:r>
            <w:r w:rsidR="004712BD">
              <w:rPr>
                <w:noProof/>
                <w:webHidden/>
              </w:rPr>
              <w:fldChar w:fldCharType="separate"/>
            </w:r>
            <w:r w:rsidR="004712BD">
              <w:rPr>
                <w:noProof/>
                <w:webHidden/>
              </w:rPr>
              <w:t>54</w:t>
            </w:r>
            <w:r w:rsidR="004712BD">
              <w:rPr>
                <w:noProof/>
                <w:webHidden/>
              </w:rPr>
              <w:fldChar w:fldCharType="end"/>
            </w:r>
          </w:hyperlink>
        </w:p>
        <w:p w14:paraId="6D23611E" w14:textId="119909CF" w:rsidR="004712BD" w:rsidRDefault="001164FD">
          <w:pPr>
            <w:pStyle w:val="TOC1"/>
            <w:rPr>
              <w:rFonts w:eastAsiaTheme="minorEastAsia"/>
              <w:noProof/>
              <w:sz w:val="22"/>
              <w:lang w:eastAsia="en-GB"/>
            </w:rPr>
          </w:pPr>
          <w:hyperlink w:anchor="_Toc35456742" w:history="1">
            <w:r w:rsidR="004712BD" w:rsidRPr="0091506E">
              <w:rPr>
                <w:rStyle w:val="Hyperlink"/>
                <w:rFonts w:cstheme="minorHAnsi"/>
                <w:noProof/>
              </w:rPr>
              <w:t>Part XIII Financial Information on the Company</w:t>
            </w:r>
            <w:r w:rsidR="004712BD">
              <w:rPr>
                <w:noProof/>
                <w:webHidden/>
              </w:rPr>
              <w:tab/>
            </w:r>
            <w:r w:rsidR="004712BD">
              <w:rPr>
                <w:noProof/>
                <w:webHidden/>
              </w:rPr>
              <w:fldChar w:fldCharType="begin"/>
            </w:r>
            <w:r w:rsidR="004712BD">
              <w:rPr>
                <w:noProof/>
                <w:webHidden/>
              </w:rPr>
              <w:instrText xml:space="preserve"> PAGEREF _Toc35456742 \h </w:instrText>
            </w:r>
            <w:r w:rsidR="004712BD">
              <w:rPr>
                <w:noProof/>
                <w:webHidden/>
              </w:rPr>
            </w:r>
            <w:r w:rsidR="004712BD">
              <w:rPr>
                <w:noProof/>
                <w:webHidden/>
              </w:rPr>
              <w:fldChar w:fldCharType="separate"/>
            </w:r>
            <w:r w:rsidR="004712BD">
              <w:rPr>
                <w:noProof/>
                <w:webHidden/>
              </w:rPr>
              <w:t>57</w:t>
            </w:r>
            <w:r w:rsidR="004712BD">
              <w:rPr>
                <w:noProof/>
                <w:webHidden/>
              </w:rPr>
              <w:fldChar w:fldCharType="end"/>
            </w:r>
          </w:hyperlink>
        </w:p>
        <w:p w14:paraId="01519C69" w14:textId="7195A37C" w:rsidR="004712BD" w:rsidRDefault="001164FD">
          <w:pPr>
            <w:pStyle w:val="TOC1"/>
            <w:rPr>
              <w:rFonts w:eastAsiaTheme="minorEastAsia"/>
              <w:noProof/>
              <w:sz w:val="22"/>
              <w:lang w:eastAsia="en-GB"/>
            </w:rPr>
          </w:pPr>
          <w:hyperlink w:anchor="_Toc35456743" w:history="1">
            <w:r w:rsidR="004712BD" w:rsidRPr="0091506E">
              <w:rPr>
                <w:rStyle w:val="Hyperlink"/>
                <w:rFonts w:cstheme="minorHAnsi"/>
                <w:noProof/>
              </w:rPr>
              <w:t>Part XIV Financial Information on Alchemist Codes</w:t>
            </w:r>
            <w:r w:rsidR="004712BD">
              <w:rPr>
                <w:noProof/>
                <w:webHidden/>
              </w:rPr>
              <w:tab/>
            </w:r>
            <w:r w:rsidR="004712BD">
              <w:rPr>
                <w:noProof/>
                <w:webHidden/>
              </w:rPr>
              <w:fldChar w:fldCharType="begin"/>
            </w:r>
            <w:r w:rsidR="004712BD">
              <w:rPr>
                <w:noProof/>
                <w:webHidden/>
              </w:rPr>
              <w:instrText xml:space="preserve"> PAGEREF _Toc35456743 \h </w:instrText>
            </w:r>
            <w:r w:rsidR="004712BD">
              <w:rPr>
                <w:noProof/>
                <w:webHidden/>
              </w:rPr>
            </w:r>
            <w:r w:rsidR="004712BD">
              <w:rPr>
                <w:noProof/>
                <w:webHidden/>
              </w:rPr>
              <w:fldChar w:fldCharType="separate"/>
            </w:r>
            <w:r w:rsidR="004712BD">
              <w:rPr>
                <w:noProof/>
                <w:webHidden/>
              </w:rPr>
              <w:t>58</w:t>
            </w:r>
            <w:r w:rsidR="004712BD">
              <w:rPr>
                <w:noProof/>
                <w:webHidden/>
              </w:rPr>
              <w:fldChar w:fldCharType="end"/>
            </w:r>
          </w:hyperlink>
        </w:p>
        <w:p w14:paraId="32EA19D3" w14:textId="1ED22722" w:rsidR="004712BD" w:rsidRDefault="001164FD">
          <w:pPr>
            <w:pStyle w:val="TOC1"/>
            <w:rPr>
              <w:rFonts w:eastAsiaTheme="minorEastAsia"/>
              <w:noProof/>
              <w:sz w:val="22"/>
              <w:lang w:eastAsia="en-GB"/>
            </w:rPr>
          </w:pPr>
          <w:hyperlink w:anchor="_Toc35456744" w:history="1">
            <w:r w:rsidR="004712BD" w:rsidRPr="0091506E">
              <w:rPr>
                <w:rStyle w:val="Hyperlink"/>
                <w:noProof/>
              </w:rPr>
              <w:t>Part XV Unaudited Interim Financial Information on AI Codes</w:t>
            </w:r>
            <w:r w:rsidR="004712BD">
              <w:rPr>
                <w:noProof/>
                <w:webHidden/>
              </w:rPr>
              <w:tab/>
            </w:r>
            <w:r w:rsidR="004712BD">
              <w:rPr>
                <w:noProof/>
                <w:webHidden/>
              </w:rPr>
              <w:fldChar w:fldCharType="begin"/>
            </w:r>
            <w:r w:rsidR="004712BD">
              <w:rPr>
                <w:noProof/>
                <w:webHidden/>
              </w:rPr>
              <w:instrText xml:space="preserve"> PAGEREF _Toc35456744 \h </w:instrText>
            </w:r>
            <w:r w:rsidR="004712BD">
              <w:rPr>
                <w:noProof/>
                <w:webHidden/>
              </w:rPr>
            </w:r>
            <w:r w:rsidR="004712BD">
              <w:rPr>
                <w:noProof/>
                <w:webHidden/>
              </w:rPr>
              <w:fldChar w:fldCharType="separate"/>
            </w:r>
            <w:r w:rsidR="004712BD">
              <w:rPr>
                <w:noProof/>
                <w:webHidden/>
              </w:rPr>
              <w:t>83</w:t>
            </w:r>
            <w:r w:rsidR="004712BD">
              <w:rPr>
                <w:noProof/>
                <w:webHidden/>
              </w:rPr>
              <w:fldChar w:fldCharType="end"/>
            </w:r>
          </w:hyperlink>
        </w:p>
        <w:p w14:paraId="59ED778A" w14:textId="74BD9BA8" w:rsidR="004712BD" w:rsidRDefault="001164FD">
          <w:pPr>
            <w:pStyle w:val="TOC1"/>
            <w:rPr>
              <w:rFonts w:eastAsiaTheme="minorEastAsia"/>
              <w:noProof/>
              <w:sz w:val="22"/>
              <w:lang w:eastAsia="en-GB"/>
            </w:rPr>
          </w:pPr>
          <w:hyperlink w:anchor="_Toc35456745" w:history="1">
            <w:r w:rsidR="004712BD" w:rsidRPr="0091506E">
              <w:rPr>
                <w:rStyle w:val="Hyperlink"/>
                <w:rFonts w:cstheme="minorHAnsi"/>
                <w:noProof/>
              </w:rPr>
              <w:t>Part XVI Accountant’s Report on the Unaudited Pro Forma Financial Information</w:t>
            </w:r>
            <w:r w:rsidR="004712BD">
              <w:rPr>
                <w:noProof/>
                <w:webHidden/>
              </w:rPr>
              <w:tab/>
            </w:r>
            <w:r w:rsidR="004712BD">
              <w:rPr>
                <w:noProof/>
                <w:webHidden/>
              </w:rPr>
              <w:fldChar w:fldCharType="begin"/>
            </w:r>
            <w:r w:rsidR="004712BD">
              <w:rPr>
                <w:noProof/>
                <w:webHidden/>
              </w:rPr>
              <w:instrText xml:space="preserve"> PAGEREF _Toc35456745 \h </w:instrText>
            </w:r>
            <w:r w:rsidR="004712BD">
              <w:rPr>
                <w:noProof/>
                <w:webHidden/>
              </w:rPr>
            </w:r>
            <w:r w:rsidR="004712BD">
              <w:rPr>
                <w:noProof/>
                <w:webHidden/>
              </w:rPr>
              <w:fldChar w:fldCharType="separate"/>
            </w:r>
            <w:r w:rsidR="004712BD">
              <w:rPr>
                <w:noProof/>
                <w:webHidden/>
              </w:rPr>
              <w:t>95</w:t>
            </w:r>
            <w:r w:rsidR="004712BD">
              <w:rPr>
                <w:noProof/>
                <w:webHidden/>
              </w:rPr>
              <w:fldChar w:fldCharType="end"/>
            </w:r>
          </w:hyperlink>
        </w:p>
        <w:p w14:paraId="060FBDD8" w14:textId="7614A62E" w:rsidR="004712BD" w:rsidRDefault="001164FD">
          <w:pPr>
            <w:pStyle w:val="TOC1"/>
            <w:rPr>
              <w:rFonts w:eastAsiaTheme="minorEastAsia"/>
              <w:noProof/>
              <w:sz w:val="22"/>
              <w:lang w:eastAsia="en-GB"/>
            </w:rPr>
          </w:pPr>
          <w:hyperlink w:anchor="_Toc35456746" w:history="1">
            <w:r w:rsidR="004712BD" w:rsidRPr="0091506E">
              <w:rPr>
                <w:rStyle w:val="Hyperlink"/>
                <w:rFonts w:cstheme="minorHAnsi"/>
                <w:noProof/>
              </w:rPr>
              <w:t>Part XVII Unaudited Pro Forma Financial Information of Net Assets of The Enlarged Group</w:t>
            </w:r>
            <w:r w:rsidR="004712BD">
              <w:rPr>
                <w:noProof/>
                <w:webHidden/>
              </w:rPr>
              <w:tab/>
            </w:r>
            <w:r w:rsidR="004712BD">
              <w:rPr>
                <w:noProof/>
                <w:webHidden/>
              </w:rPr>
              <w:fldChar w:fldCharType="begin"/>
            </w:r>
            <w:r w:rsidR="004712BD">
              <w:rPr>
                <w:noProof/>
                <w:webHidden/>
              </w:rPr>
              <w:instrText xml:space="preserve"> PAGEREF _Toc35456746 \h </w:instrText>
            </w:r>
            <w:r w:rsidR="004712BD">
              <w:rPr>
                <w:noProof/>
                <w:webHidden/>
              </w:rPr>
            </w:r>
            <w:r w:rsidR="004712BD">
              <w:rPr>
                <w:noProof/>
                <w:webHidden/>
              </w:rPr>
              <w:fldChar w:fldCharType="separate"/>
            </w:r>
            <w:r w:rsidR="004712BD">
              <w:rPr>
                <w:noProof/>
                <w:webHidden/>
              </w:rPr>
              <w:t>97</w:t>
            </w:r>
            <w:r w:rsidR="004712BD">
              <w:rPr>
                <w:noProof/>
                <w:webHidden/>
              </w:rPr>
              <w:fldChar w:fldCharType="end"/>
            </w:r>
          </w:hyperlink>
        </w:p>
        <w:p w14:paraId="24F2B507" w14:textId="779C8F44" w:rsidR="004712BD" w:rsidRDefault="001164FD">
          <w:pPr>
            <w:pStyle w:val="TOC1"/>
            <w:rPr>
              <w:rFonts w:eastAsiaTheme="minorEastAsia"/>
              <w:noProof/>
              <w:sz w:val="22"/>
              <w:lang w:eastAsia="en-GB"/>
            </w:rPr>
          </w:pPr>
          <w:hyperlink w:anchor="_Toc35456747" w:history="1">
            <w:r w:rsidR="004712BD" w:rsidRPr="0091506E">
              <w:rPr>
                <w:rStyle w:val="Hyperlink"/>
                <w:rFonts w:cstheme="minorHAnsi"/>
                <w:noProof/>
              </w:rPr>
              <w:t>Part XVIII Taxation</w:t>
            </w:r>
            <w:r w:rsidR="004712BD">
              <w:rPr>
                <w:noProof/>
                <w:webHidden/>
              </w:rPr>
              <w:tab/>
            </w:r>
            <w:r w:rsidR="004712BD">
              <w:rPr>
                <w:noProof/>
                <w:webHidden/>
              </w:rPr>
              <w:fldChar w:fldCharType="begin"/>
            </w:r>
            <w:r w:rsidR="004712BD">
              <w:rPr>
                <w:noProof/>
                <w:webHidden/>
              </w:rPr>
              <w:instrText xml:space="preserve"> PAGEREF _Toc35456747 \h </w:instrText>
            </w:r>
            <w:r w:rsidR="004712BD">
              <w:rPr>
                <w:noProof/>
                <w:webHidden/>
              </w:rPr>
            </w:r>
            <w:r w:rsidR="004712BD">
              <w:rPr>
                <w:noProof/>
                <w:webHidden/>
              </w:rPr>
              <w:fldChar w:fldCharType="separate"/>
            </w:r>
            <w:r w:rsidR="004712BD">
              <w:rPr>
                <w:noProof/>
                <w:webHidden/>
              </w:rPr>
              <w:t>100</w:t>
            </w:r>
            <w:r w:rsidR="004712BD">
              <w:rPr>
                <w:noProof/>
                <w:webHidden/>
              </w:rPr>
              <w:fldChar w:fldCharType="end"/>
            </w:r>
          </w:hyperlink>
        </w:p>
        <w:p w14:paraId="0E1791CE" w14:textId="3A2ACC2E" w:rsidR="004712BD" w:rsidRDefault="001164FD">
          <w:pPr>
            <w:pStyle w:val="TOC1"/>
            <w:rPr>
              <w:rFonts w:eastAsiaTheme="minorEastAsia"/>
              <w:noProof/>
              <w:sz w:val="22"/>
              <w:lang w:eastAsia="en-GB"/>
            </w:rPr>
          </w:pPr>
          <w:hyperlink w:anchor="_Toc35456748" w:history="1">
            <w:r w:rsidR="004712BD" w:rsidRPr="0091506E">
              <w:rPr>
                <w:rStyle w:val="Hyperlink"/>
                <w:rFonts w:cstheme="minorHAnsi"/>
                <w:noProof/>
              </w:rPr>
              <w:t>Part XIX Consequences of a Standard Listing</w:t>
            </w:r>
            <w:r w:rsidR="004712BD">
              <w:rPr>
                <w:noProof/>
                <w:webHidden/>
              </w:rPr>
              <w:tab/>
            </w:r>
            <w:r w:rsidR="004712BD">
              <w:rPr>
                <w:noProof/>
                <w:webHidden/>
              </w:rPr>
              <w:fldChar w:fldCharType="begin"/>
            </w:r>
            <w:r w:rsidR="004712BD">
              <w:rPr>
                <w:noProof/>
                <w:webHidden/>
              </w:rPr>
              <w:instrText xml:space="preserve"> PAGEREF _Toc35456748 \h </w:instrText>
            </w:r>
            <w:r w:rsidR="004712BD">
              <w:rPr>
                <w:noProof/>
                <w:webHidden/>
              </w:rPr>
            </w:r>
            <w:r w:rsidR="004712BD">
              <w:rPr>
                <w:noProof/>
                <w:webHidden/>
              </w:rPr>
              <w:fldChar w:fldCharType="separate"/>
            </w:r>
            <w:r w:rsidR="004712BD">
              <w:rPr>
                <w:noProof/>
                <w:webHidden/>
              </w:rPr>
              <w:t>103</w:t>
            </w:r>
            <w:r w:rsidR="004712BD">
              <w:rPr>
                <w:noProof/>
                <w:webHidden/>
              </w:rPr>
              <w:fldChar w:fldCharType="end"/>
            </w:r>
          </w:hyperlink>
        </w:p>
        <w:p w14:paraId="39415185" w14:textId="14E24E6E" w:rsidR="004712BD" w:rsidRDefault="001164FD">
          <w:pPr>
            <w:pStyle w:val="TOC1"/>
            <w:rPr>
              <w:rFonts w:eastAsiaTheme="minorEastAsia"/>
              <w:noProof/>
              <w:sz w:val="22"/>
              <w:lang w:eastAsia="en-GB"/>
            </w:rPr>
          </w:pPr>
          <w:hyperlink w:anchor="_Toc35456749" w:history="1">
            <w:r w:rsidR="004712BD" w:rsidRPr="0091506E">
              <w:rPr>
                <w:rStyle w:val="Hyperlink"/>
                <w:rFonts w:cstheme="minorHAnsi"/>
                <w:noProof/>
              </w:rPr>
              <w:t>Part XX Additional Information</w:t>
            </w:r>
            <w:r w:rsidR="004712BD">
              <w:rPr>
                <w:noProof/>
                <w:webHidden/>
              </w:rPr>
              <w:tab/>
            </w:r>
            <w:r w:rsidR="004712BD">
              <w:rPr>
                <w:noProof/>
                <w:webHidden/>
              </w:rPr>
              <w:fldChar w:fldCharType="begin"/>
            </w:r>
            <w:r w:rsidR="004712BD">
              <w:rPr>
                <w:noProof/>
                <w:webHidden/>
              </w:rPr>
              <w:instrText xml:space="preserve"> PAGEREF _Toc35456749 \h </w:instrText>
            </w:r>
            <w:r w:rsidR="004712BD">
              <w:rPr>
                <w:noProof/>
                <w:webHidden/>
              </w:rPr>
            </w:r>
            <w:r w:rsidR="004712BD">
              <w:rPr>
                <w:noProof/>
                <w:webHidden/>
              </w:rPr>
              <w:fldChar w:fldCharType="separate"/>
            </w:r>
            <w:r w:rsidR="004712BD">
              <w:rPr>
                <w:noProof/>
                <w:webHidden/>
              </w:rPr>
              <w:t>105</w:t>
            </w:r>
            <w:r w:rsidR="004712BD">
              <w:rPr>
                <w:noProof/>
                <w:webHidden/>
              </w:rPr>
              <w:fldChar w:fldCharType="end"/>
            </w:r>
          </w:hyperlink>
        </w:p>
        <w:p w14:paraId="19E13250" w14:textId="377D9931" w:rsidR="004712BD" w:rsidRDefault="001164FD">
          <w:pPr>
            <w:pStyle w:val="TOC1"/>
            <w:rPr>
              <w:rFonts w:eastAsiaTheme="minorEastAsia"/>
              <w:noProof/>
              <w:sz w:val="22"/>
              <w:lang w:eastAsia="en-GB"/>
            </w:rPr>
          </w:pPr>
          <w:hyperlink w:anchor="_Toc35456750" w:history="1">
            <w:r w:rsidR="004712BD" w:rsidRPr="0091506E">
              <w:rPr>
                <w:rStyle w:val="Hyperlink"/>
                <w:rFonts w:cstheme="minorHAnsi"/>
                <w:noProof/>
              </w:rPr>
              <w:t>Part XXI Definitions</w:t>
            </w:r>
            <w:r w:rsidR="004712BD">
              <w:rPr>
                <w:noProof/>
                <w:webHidden/>
              </w:rPr>
              <w:tab/>
            </w:r>
            <w:r w:rsidR="004712BD">
              <w:rPr>
                <w:noProof/>
                <w:webHidden/>
              </w:rPr>
              <w:fldChar w:fldCharType="begin"/>
            </w:r>
            <w:r w:rsidR="004712BD">
              <w:rPr>
                <w:noProof/>
                <w:webHidden/>
              </w:rPr>
              <w:instrText xml:space="preserve"> PAGEREF _Toc35456750 \h </w:instrText>
            </w:r>
            <w:r w:rsidR="004712BD">
              <w:rPr>
                <w:noProof/>
                <w:webHidden/>
              </w:rPr>
            </w:r>
            <w:r w:rsidR="004712BD">
              <w:rPr>
                <w:noProof/>
                <w:webHidden/>
              </w:rPr>
              <w:fldChar w:fldCharType="separate"/>
            </w:r>
            <w:r w:rsidR="004712BD">
              <w:rPr>
                <w:noProof/>
                <w:webHidden/>
              </w:rPr>
              <w:t>116</w:t>
            </w:r>
            <w:r w:rsidR="004712BD">
              <w:rPr>
                <w:noProof/>
                <w:webHidden/>
              </w:rPr>
              <w:fldChar w:fldCharType="end"/>
            </w:r>
          </w:hyperlink>
        </w:p>
        <w:p w14:paraId="68E01892" w14:textId="252EC9D0" w:rsidR="00D90E1F" w:rsidRPr="00384557" w:rsidRDefault="00D90E1F" w:rsidP="00496B89">
          <w:pPr>
            <w:widowControl w:val="0"/>
            <w:spacing w:after="80" w:line="240" w:lineRule="auto"/>
            <w:rPr>
              <w:rFonts w:cstheme="minorHAnsi"/>
              <w:szCs w:val="20"/>
            </w:rPr>
          </w:pPr>
          <w:r w:rsidRPr="009B546D">
            <w:rPr>
              <w:rFonts w:cstheme="minorHAnsi"/>
              <w:szCs w:val="20"/>
            </w:rPr>
            <w:fldChar w:fldCharType="end"/>
          </w:r>
        </w:p>
      </w:sdtContent>
    </w:sdt>
    <w:p w14:paraId="781B9292" w14:textId="77777777" w:rsidR="00D90E1F" w:rsidRPr="009B546D" w:rsidRDefault="00D90E1F" w:rsidP="00F432B9">
      <w:pPr>
        <w:widowControl w:val="0"/>
        <w:spacing w:line="240" w:lineRule="auto"/>
        <w:rPr>
          <w:rFonts w:cstheme="minorHAnsi"/>
          <w:szCs w:val="20"/>
        </w:rPr>
      </w:pPr>
    </w:p>
    <w:p w14:paraId="54D2DCB4" w14:textId="77777777" w:rsidR="00D90E1F" w:rsidRPr="009B546D" w:rsidRDefault="00D90E1F" w:rsidP="00F432B9">
      <w:pPr>
        <w:widowControl w:val="0"/>
        <w:spacing w:line="240" w:lineRule="auto"/>
        <w:rPr>
          <w:rFonts w:cstheme="minorHAnsi"/>
          <w:szCs w:val="20"/>
        </w:rPr>
      </w:pPr>
    </w:p>
    <w:p w14:paraId="3869D45C" w14:textId="77777777" w:rsidR="00D90E1F" w:rsidRPr="009B546D" w:rsidRDefault="00D90E1F" w:rsidP="00F432B9">
      <w:pPr>
        <w:widowControl w:val="0"/>
        <w:spacing w:line="240" w:lineRule="auto"/>
        <w:rPr>
          <w:rFonts w:cstheme="minorHAnsi"/>
          <w:szCs w:val="20"/>
        </w:rPr>
      </w:pPr>
      <w:r w:rsidRPr="009B546D">
        <w:rPr>
          <w:rFonts w:cstheme="minorHAnsi"/>
          <w:szCs w:val="20"/>
        </w:rPr>
        <w:br w:type="page"/>
      </w:r>
    </w:p>
    <w:p w14:paraId="4F04A7A3" w14:textId="77777777" w:rsidR="00D90E1F" w:rsidRPr="009B546D" w:rsidRDefault="00D90E1F" w:rsidP="00F432B9">
      <w:pPr>
        <w:pStyle w:val="Heading1"/>
        <w:keepNext w:val="0"/>
        <w:widowControl w:val="0"/>
        <w:spacing w:line="240" w:lineRule="auto"/>
        <w:jc w:val="center"/>
        <w:rPr>
          <w:rFonts w:asciiTheme="minorHAnsi" w:hAnsiTheme="minorHAnsi" w:cstheme="minorHAnsi"/>
          <w:sz w:val="20"/>
          <w:szCs w:val="20"/>
        </w:rPr>
      </w:pPr>
      <w:bookmarkStart w:id="0" w:name="_Toc35456730"/>
      <w:r w:rsidRPr="009B546D">
        <w:rPr>
          <w:rFonts w:asciiTheme="minorHAnsi" w:hAnsiTheme="minorHAnsi" w:cstheme="minorHAnsi"/>
          <w:sz w:val="20"/>
          <w:szCs w:val="20"/>
        </w:rPr>
        <w:lastRenderedPageBreak/>
        <w:t>Part I</w:t>
      </w:r>
      <w:r w:rsidRPr="009B546D">
        <w:rPr>
          <w:rFonts w:asciiTheme="minorHAnsi" w:hAnsiTheme="minorHAnsi" w:cstheme="minorHAnsi"/>
          <w:sz w:val="20"/>
          <w:szCs w:val="20"/>
        </w:rPr>
        <w:br/>
        <w:t>Summary</w:t>
      </w:r>
      <w:bookmarkEnd w:id="0"/>
    </w:p>
    <w:p w14:paraId="4F9CD01B" w14:textId="77777777" w:rsidR="00C87018" w:rsidRPr="00EA2BB6" w:rsidRDefault="00C87018" w:rsidP="00EA2BB6">
      <w:pPr>
        <w:spacing w:after="120" w:line="240" w:lineRule="auto"/>
        <w:rPr>
          <w:rFonts w:cstheme="minorHAnsi"/>
          <w:b/>
          <w:sz w:val="16"/>
          <w:szCs w:val="16"/>
        </w:rPr>
      </w:pPr>
      <w:r w:rsidRPr="00EA2BB6">
        <w:rPr>
          <w:rFonts w:cstheme="minorHAnsi"/>
          <w:b/>
          <w:sz w:val="16"/>
          <w:szCs w:val="16"/>
        </w:rPr>
        <w:t>Summaries are made up of disclosure requirements known as “Elements”. These elements are numbered in Sections 5 – 8.</w:t>
      </w:r>
      <w:r w:rsidRPr="00EA2BB6">
        <w:rPr>
          <w:rFonts w:cstheme="minorHAnsi"/>
          <w:b/>
          <w:bCs/>
          <w:sz w:val="16"/>
          <w:szCs w:val="16"/>
        </w:rPr>
        <w:t xml:space="preserve"> </w:t>
      </w:r>
      <w:r w:rsidRPr="00EA2BB6">
        <w:rPr>
          <w:rFonts w:cstheme="minorHAnsi"/>
          <w:b/>
          <w:sz w:val="16"/>
          <w:szCs w:val="16"/>
        </w:rPr>
        <w:t>This summary contains all the Elements required to be included in a summary for this type of security and issuer. Because some Elements are not required to be addressed, there may be gaps in the numbering sequence of the Elements.</w:t>
      </w:r>
    </w:p>
    <w:p w14:paraId="4DE88C6D" w14:textId="77777777" w:rsidR="00C87018" w:rsidRPr="00EA2BB6" w:rsidRDefault="00C87018" w:rsidP="00EA2BB6">
      <w:pPr>
        <w:spacing w:after="120" w:line="240" w:lineRule="auto"/>
        <w:rPr>
          <w:b/>
          <w:sz w:val="16"/>
          <w:szCs w:val="16"/>
        </w:rPr>
      </w:pPr>
      <w:r w:rsidRPr="00EA2BB6">
        <w:rPr>
          <w:b/>
          <w:sz w:val="16"/>
          <w:szCs w:val="16"/>
        </w:rPr>
        <w:t>Even though an Element may be required to be inserted in the summary because of the type of security and issuer, it is possible that no relevant information can be given regarding the Element. In this case, a short description of the Element is included in the summary with the mention of “not applicable”.</w:t>
      </w:r>
    </w:p>
    <w:p w14:paraId="7177E9AB" w14:textId="05C6A763" w:rsidR="00D90E1F" w:rsidRPr="009B546D" w:rsidRDefault="00D90E1F" w:rsidP="00F432B9">
      <w:pPr>
        <w:widowControl w:val="0"/>
        <w:spacing w:after="0" w:line="240" w:lineRule="auto"/>
        <w:rPr>
          <w:rFonts w:cstheme="minorHAnsi"/>
          <w:szCs w:val="20"/>
        </w:rPr>
      </w:pPr>
    </w:p>
    <w:tbl>
      <w:tblPr>
        <w:tblW w:w="487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30"/>
        <w:gridCol w:w="1108"/>
        <w:gridCol w:w="7020"/>
      </w:tblGrid>
      <w:tr w:rsidR="001F5E5B" w:rsidRPr="009B546D" w14:paraId="48E2348A" w14:textId="77777777" w:rsidTr="00EA2BB6">
        <w:trPr>
          <w:trHeight w:val="423"/>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B3B3"/>
            <w:vAlign w:val="center"/>
          </w:tcPr>
          <w:p w14:paraId="56C118D3" w14:textId="77777777" w:rsidR="001F5E5B" w:rsidRPr="009B546D" w:rsidRDefault="001F5E5B" w:rsidP="00F432B9">
            <w:pPr>
              <w:widowControl w:val="0"/>
              <w:spacing w:after="0" w:line="240" w:lineRule="auto"/>
              <w:ind w:left="202" w:hanging="202"/>
              <w:jc w:val="center"/>
              <w:rPr>
                <w:rFonts w:cstheme="minorHAnsi"/>
                <w:b/>
                <w:szCs w:val="20"/>
              </w:rPr>
            </w:pPr>
            <w:r w:rsidRPr="009B546D">
              <w:rPr>
                <w:rFonts w:cstheme="minorHAnsi"/>
                <w:b/>
                <w:szCs w:val="20"/>
              </w:rPr>
              <w:t>Section 5 – Introduction and warnings</w:t>
            </w:r>
          </w:p>
        </w:tc>
      </w:tr>
      <w:tr w:rsidR="001F5E5B" w:rsidRPr="009B546D" w14:paraId="6BDDBB7C" w14:textId="77777777" w:rsidTr="00EA2BB6">
        <w:trPr>
          <w:trHeight w:val="882"/>
        </w:trPr>
        <w:tc>
          <w:tcPr>
            <w:tcW w:w="366" w:type="pct"/>
            <w:shd w:val="clear" w:color="auto" w:fill="auto"/>
          </w:tcPr>
          <w:p w14:paraId="29065C77" w14:textId="77777777" w:rsidR="001F5E5B" w:rsidRPr="009B546D" w:rsidDel="0092689E" w:rsidRDefault="001F5E5B" w:rsidP="00F432B9">
            <w:pPr>
              <w:spacing w:after="0" w:line="240" w:lineRule="auto"/>
              <w:rPr>
                <w:rFonts w:cstheme="minorHAnsi"/>
                <w:b/>
                <w:sz w:val="16"/>
              </w:rPr>
            </w:pPr>
          </w:p>
        </w:tc>
        <w:tc>
          <w:tcPr>
            <w:tcW w:w="659" w:type="pct"/>
            <w:gridSpan w:val="2"/>
            <w:shd w:val="clear" w:color="auto" w:fill="auto"/>
          </w:tcPr>
          <w:p w14:paraId="7415FBE5" w14:textId="77777777" w:rsidR="001F5E5B" w:rsidRPr="009B546D" w:rsidRDefault="001F5E5B" w:rsidP="00F432B9">
            <w:pPr>
              <w:spacing w:after="0" w:line="240" w:lineRule="auto"/>
              <w:ind w:left="-12" w:firstLine="28"/>
              <w:rPr>
                <w:rFonts w:cstheme="minorHAnsi"/>
                <w:b/>
                <w:sz w:val="16"/>
              </w:rPr>
            </w:pPr>
            <w:r w:rsidRPr="009B546D">
              <w:rPr>
                <w:rFonts w:cstheme="minorHAnsi"/>
                <w:b/>
                <w:sz w:val="16"/>
              </w:rPr>
              <w:t>Introduction</w:t>
            </w:r>
          </w:p>
        </w:tc>
        <w:tc>
          <w:tcPr>
            <w:tcW w:w="3975" w:type="pct"/>
            <w:shd w:val="clear" w:color="auto" w:fill="auto"/>
          </w:tcPr>
          <w:p w14:paraId="0A6D8904" w14:textId="4D77AC7C" w:rsidR="001F5E5B" w:rsidRPr="009B546D" w:rsidRDefault="001F5E5B" w:rsidP="00F432B9">
            <w:pPr>
              <w:spacing w:after="120" w:line="240" w:lineRule="auto"/>
              <w:rPr>
                <w:rFonts w:cstheme="minorHAnsi"/>
                <w:sz w:val="16"/>
                <w:szCs w:val="16"/>
              </w:rPr>
            </w:pPr>
            <w:r w:rsidRPr="009B546D">
              <w:rPr>
                <w:rFonts w:cstheme="minorHAnsi"/>
                <w:sz w:val="16"/>
                <w:szCs w:val="16"/>
              </w:rPr>
              <w:t xml:space="preserve">The issuer of the securities is AIQ Limited with </w:t>
            </w:r>
            <w:r w:rsidR="00917C62" w:rsidRPr="009B546D">
              <w:rPr>
                <w:rFonts w:cstheme="minorHAnsi"/>
                <w:sz w:val="16"/>
              </w:rPr>
              <w:t xml:space="preserve">ISIN KYG0180A1022 and SEDOL BF5R710 </w:t>
            </w:r>
            <w:r w:rsidRPr="009B546D">
              <w:rPr>
                <w:rFonts w:cstheme="minorHAnsi"/>
                <w:sz w:val="16"/>
                <w:szCs w:val="16"/>
              </w:rPr>
              <w:t xml:space="preserve">with its registered address is at Genesis Building, 5th Floor, Genesis Close, PO Box 446, Cayman Islands, KY1-1106 and its telephone number is +44 (0)20 3911 8716 and the Legal Entity Identifier (LEI) </w:t>
            </w:r>
            <w:r w:rsidR="00A44786" w:rsidRPr="009B546D">
              <w:rPr>
                <w:rFonts w:cstheme="minorHAnsi"/>
                <w:sz w:val="16"/>
                <w:szCs w:val="16"/>
              </w:rPr>
              <w:t>213800HDDO9LNNBAYH53</w:t>
            </w:r>
            <w:r w:rsidR="00EB3F62" w:rsidRPr="009B546D">
              <w:rPr>
                <w:rFonts w:cstheme="minorHAnsi"/>
                <w:sz w:val="16"/>
                <w:szCs w:val="16"/>
              </w:rPr>
              <w:t>.</w:t>
            </w:r>
          </w:p>
          <w:p w14:paraId="272E05A4" w14:textId="7972E5F7" w:rsidR="001F5E5B" w:rsidRPr="009B546D" w:rsidRDefault="001F5E5B" w:rsidP="00F432B9">
            <w:pPr>
              <w:spacing w:after="120" w:line="240" w:lineRule="auto"/>
              <w:rPr>
                <w:rFonts w:cstheme="minorHAnsi"/>
                <w:sz w:val="16"/>
                <w:szCs w:val="16"/>
              </w:rPr>
            </w:pPr>
            <w:r w:rsidRPr="009B546D">
              <w:rPr>
                <w:rFonts w:cstheme="minorHAnsi"/>
                <w:sz w:val="16"/>
                <w:szCs w:val="16"/>
              </w:rPr>
              <w:t xml:space="preserve">On </w:t>
            </w:r>
            <w:r w:rsidR="007E3D01">
              <w:rPr>
                <w:rFonts w:cstheme="minorHAnsi"/>
                <w:sz w:val="16"/>
                <w:szCs w:val="16"/>
              </w:rPr>
              <w:t>16 September</w:t>
            </w:r>
            <w:r w:rsidR="009F37C0">
              <w:rPr>
                <w:rFonts w:cstheme="minorHAnsi"/>
                <w:sz w:val="16"/>
                <w:szCs w:val="16"/>
              </w:rPr>
              <w:t xml:space="preserve"> 20</w:t>
            </w:r>
            <w:r w:rsidR="007E3D01">
              <w:rPr>
                <w:rFonts w:cstheme="minorHAnsi"/>
                <w:sz w:val="16"/>
                <w:szCs w:val="16"/>
              </w:rPr>
              <w:t>19</w:t>
            </w:r>
            <w:r w:rsidRPr="009B546D">
              <w:rPr>
                <w:rFonts w:cstheme="minorHAnsi"/>
                <w:sz w:val="16"/>
                <w:szCs w:val="16"/>
              </w:rPr>
              <w:t xml:space="preserve">, the Company announced that it had entered into </w:t>
            </w:r>
            <w:r w:rsidR="00AD73E2" w:rsidRPr="009B546D">
              <w:rPr>
                <w:rFonts w:cstheme="minorHAnsi"/>
                <w:sz w:val="16"/>
                <w:szCs w:val="16"/>
              </w:rPr>
              <w:t xml:space="preserve">a </w:t>
            </w:r>
            <w:r w:rsidRPr="009B546D">
              <w:rPr>
                <w:rFonts w:cstheme="minorHAnsi"/>
                <w:sz w:val="16"/>
                <w:szCs w:val="16"/>
              </w:rPr>
              <w:t xml:space="preserve">conditional </w:t>
            </w:r>
            <w:r w:rsidR="00AD73E2" w:rsidRPr="009B546D">
              <w:rPr>
                <w:rFonts w:cstheme="minorHAnsi"/>
                <w:sz w:val="16"/>
                <w:szCs w:val="16"/>
              </w:rPr>
              <w:t>Acquisition Agreement</w:t>
            </w:r>
            <w:r w:rsidRPr="009B546D">
              <w:rPr>
                <w:rFonts w:cstheme="minorHAnsi"/>
                <w:sz w:val="16"/>
                <w:szCs w:val="16"/>
              </w:rPr>
              <w:t xml:space="preserve"> to acquire from the Sellers the entire issued share capital of the </w:t>
            </w:r>
            <w:r w:rsidR="00AF0C4A" w:rsidRPr="009B546D">
              <w:rPr>
                <w:rFonts w:cstheme="minorHAnsi"/>
                <w:sz w:val="16"/>
                <w:szCs w:val="16"/>
              </w:rPr>
              <w:t>Alchemist Codes</w:t>
            </w:r>
            <w:r w:rsidRPr="009B546D">
              <w:rPr>
                <w:rFonts w:cstheme="minorHAnsi"/>
                <w:sz w:val="16"/>
                <w:szCs w:val="16"/>
              </w:rPr>
              <w:t xml:space="preserve"> S</w:t>
            </w:r>
            <w:r w:rsidR="006E4D4A" w:rsidRPr="009B546D">
              <w:rPr>
                <w:rFonts w:cstheme="minorHAnsi"/>
                <w:sz w:val="16"/>
                <w:szCs w:val="16"/>
              </w:rPr>
              <w:t>dn</w:t>
            </w:r>
            <w:r w:rsidRPr="009B546D">
              <w:rPr>
                <w:rFonts w:cstheme="minorHAnsi"/>
                <w:sz w:val="16"/>
                <w:szCs w:val="16"/>
              </w:rPr>
              <w:t xml:space="preserve"> B</w:t>
            </w:r>
            <w:r w:rsidR="003D3845" w:rsidRPr="009B546D">
              <w:rPr>
                <w:rFonts w:cstheme="minorHAnsi"/>
                <w:sz w:val="16"/>
                <w:szCs w:val="16"/>
              </w:rPr>
              <w:t>hd</w:t>
            </w:r>
            <w:r w:rsidRPr="009B546D">
              <w:rPr>
                <w:rFonts w:cstheme="minorHAnsi"/>
                <w:sz w:val="16"/>
                <w:szCs w:val="16"/>
              </w:rPr>
              <w:t xml:space="preserve"> (the “</w:t>
            </w:r>
            <w:r w:rsidRPr="009B546D">
              <w:rPr>
                <w:rFonts w:cstheme="minorHAnsi"/>
                <w:b/>
                <w:bCs/>
                <w:sz w:val="16"/>
                <w:szCs w:val="16"/>
              </w:rPr>
              <w:t>Proposed Acquisition</w:t>
            </w:r>
            <w:r w:rsidRPr="009B546D">
              <w:rPr>
                <w:rFonts w:cstheme="minorHAnsi"/>
                <w:sz w:val="16"/>
                <w:szCs w:val="16"/>
              </w:rPr>
              <w:t xml:space="preserve">”). The consideration payable for the Proposed Acquisition is </w:t>
            </w:r>
            <w:r w:rsidR="009017A3" w:rsidRPr="009B546D">
              <w:rPr>
                <w:rFonts w:cstheme="minorHAnsi"/>
                <w:sz w:val="16"/>
                <w:szCs w:val="16"/>
              </w:rPr>
              <w:t xml:space="preserve">approximately </w:t>
            </w:r>
            <w:r w:rsidR="009347AF" w:rsidRPr="009B546D">
              <w:rPr>
                <w:rFonts w:cstheme="minorHAnsi"/>
                <w:sz w:val="16"/>
                <w:szCs w:val="16"/>
              </w:rPr>
              <w:t>£</w:t>
            </w:r>
            <w:r w:rsidR="00AA1AB3" w:rsidRPr="009B546D">
              <w:rPr>
                <w:rFonts w:cstheme="minorHAnsi"/>
                <w:sz w:val="16"/>
                <w:szCs w:val="16"/>
              </w:rPr>
              <w:t>2.3</w:t>
            </w:r>
            <w:r w:rsidRPr="009B546D">
              <w:rPr>
                <w:rFonts w:cstheme="minorHAnsi"/>
                <w:sz w:val="16"/>
                <w:szCs w:val="16"/>
              </w:rPr>
              <w:t xml:space="preserve"> million to be settled by the issue to the Sellers of Ordinary Shares</w:t>
            </w:r>
            <w:r w:rsidR="00CF1773" w:rsidRPr="009B546D">
              <w:rPr>
                <w:rFonts w:cstheme="minorHAnsi"/>
                <w:sz w:val="16"/>
                <w:szCs w:val="16"/>
              </w:rPr>
              <w:t xml:space="preserve"> created as fully paid</w:t>
            </w:r>
            <w:r w:rsidRPr="009B546D">
              <w:rPr>
                <w:rFonts w:cstheme="minorHAnsi"/>
                <w:sz w:val="16"/>
                <w:szCs w:val="16"/>
              </w:rPr>
              <w:t xml:space="preserve">. The </w:t>
            </w:r>
            <w:r w:rsidR="00AD73E2" w:rsidRPr="009B546D">
              <w:rPr>
                <w:rFonts w:cstheme="minorHAnsi"/>
                <w:sz w:val="16"/>
                <w:szCs w:val="16"/>
              </w:rPr>
              <w:t>Acquisition Agreement</w:t>
            </w:r>
            <w:r w:rsidRPr="009B546D">
              <w:rPr>
                <w:rFonts w:cstheme="minorHAnsi"/>
                <w:sz w:val="16"/>
                <w:szCs w:val="16"/>
              </w:rPr>
              <w:t xml:space="preserve"> </w:t>
            </w:r>
            <w:r w:rsidR="00270DDF" w:rsidRPr="009B546D">
              <w:rPr>
                <w:rFonts w:cstheme="minorHAnsi"/>
                <w:sz w:val="16"/>
                <w:szCs w:val="16"/>
              </w:rPr>
              <w:t>is</w:t>
            </w:r>
            <w:r w:rsidRPr="009B546D">
              <w:rPr>
                <w:rFonts w:cstheme="minorHAnsi"/>
                <w:sz w:val="16"/>
                <w:szCs w:val="16"/>
              </w:rPr>
              <w:t xml:space="preserve"> conditional on, amongst other things, the completion of the Re-Admission. </w:t>
            </w:r>
          </w:p>
          <w:p w14:paraId="7DB380AB" w14:textId="6E0F8B96" w:rsidR="001F5E5B" w:rsidRPr="009B546D" w:rsidRDefault="001F5E5B" w:rsidP="00F432B9">
            <w:pPr>
              <w:spacing w:after="120" w:line="240" w:lineRule="auto"/>
              <w:rPr>
                <w:rFonts w:cstheme="minorHAnsi"/>
                <w:sz w:val="16"/>
                <w:szCs w:val="16"/>
              </w:rPr>
            </w:pPr>
            <w:r w:rsidRPr="009B546D">
              <w:rPr>
                <w:rFonts w:cstheme="minorHAnsi"/>
                <w:sz w:val="16"/>
                <w:szCs w:val="16"/>
              </w:rPr>
              <w:t xml:space="preserve">The securities being admitted to trading on the Main Market of the London Stock Exchange are the Ordinary Shares with a par value of </w:t>
            </w:r>
            <w:r w:rsidR="0042284B" w:rsidRPr="009B546D">
              <w:rPr>
                <w:rFonts w:cstheme="minorHAnsi"/>
                <w:sz w:val="16"/>
                <w:szCs w:val="16"/>
              </w:rPr>
              <w:t>1</w:t>
            </w:r>
            <w:r w:rsidR="001B13AC" w:rsidRPr="009B546D">
              <w:rPr>
                <w:rFonts w:cstheme="minorHAnsi"/>
                <w:sz w:val="16"/>
                <w:szCs w:val="16"/>
              </w:rPr>
              <w:t>p</w:t>
            </w:r>
            <w:r w:rsidR="00EB5495" w:rsidRPr="009B546D">
              <w:rPr>
                <w:rFonts w:cstheme="minorHAnsi"/>
                <w:sz w:val="16"/>
                <w:szCs w:val="16"/>
              </w:rPr>
              <w:t xml:space="preserve"> each</w:t>
            </w:r>
            <w:r w:rsidR="001B13AC" w:rsidRPr="009B546D">
              <w:rPr>
                <w:rFonts w:cstheme="minorHAnsi"/>
                <w:sz w:val="16"/>
                <w:szCs w:val="16"/>
              </w:rPr>
              <w:t>.</w:t>
            </w:r>
          </w:p>
          <w:p w14:paraId="6A5C23FE" w14:textId="23F4AD92" w:rsidR="001F5E5B" w:rsidRPr="009B546D" w:rsidRDefault="001F5E5B" w:rsidP="00F432B9">
            <w:pPr>
              <w:spacing w:after="120" w:line="240" w:lineRule="auto"/>
              <w:rPr>
                <w:rFonts w:cstheme="minorHAnsi"/>
                <w:sz w:val="16"/>
                <w:szCs w:val="16"/>
              </w:rPr>
            </w:pPr>
            <w:r w:rsidRPr="009B546D">
              <w:rPr>
                <w:rFonts w:cstheme="minorHAnsi"/>
                <w:sz w:val="16"/>
                <w:szCs w:val="16"/>
              </w:rPr>
              <w:t xml:space="preserve">The Prospectus was approved on </w:t>
            </w:r>
            <w:r w:rsidR="005E1404">
              <w:rPr>
                <w:rFonts w:cstheme="minorHAnsi"/>
                <w:sz w:val="16"/>
                <w:szCs w:val="16"/>
              </w:rPr>
              <w:t>20</w:t>
            </w:r>
            <w:r w:rsidRPr="009B546D">
              <w:rPr>
                <w:rFonts w:cstheme="minorHAnsi"/>
                <w:sz w:val="16"/>
                <w:szCs w:val="16"/>
              </w:rPr>
              <w:t xml:space="preserve"> </w:t>
            </w:r>
            <w:r w:rsidR="00917515" w:rsidRPr="009B546D">
              <w:rPr>
                <w:rFonts w:cstheme="minorHAnsi"/>
                <w:sz w:val="16"/>
                <w:szCs w:val="16"/>
              </w:rPr>
              <w:t xml:space="preserve">March </w:t>
            </w:r>
            <w:r w:rsidR="00F54D9C" w:rsidRPr="009B546D">
              <w:rPr>
                <w:rFonts w:cstheme="minorHAnsi"/>
                <w:sz w:val="16"/>
                <w:szCs w:val="16"/>
              </w:rPr>
              <w:t>2020</w:t>
            </w:r>
            <w:r w:rsidRPr="009B546D">
              <w:rPr>
                <w:rFonts w:cstheme="minorHAnsi"/>
                <w:sz w:val="16"/>
                <w:szCs w:val="16"/>
              </w:rPr>
              <w:t xml:space="preserve"> by the </w:t>
            </w:r>
            <w:r w:rsidR="008017CA" w:rsidRPr="009B546D">
              <w:rPr>
                <w:rFonts w:cstheme="minorHAnsi"/>
                <w:sz w:val="16"/>
                <w:szCs w:val="16"/>
              </w:rPr>
              <w:t>FCA</w:t>
            </w:r>
            <w:r w:rsidRPr="009B546D">
              <w:rPr>
                <w:rFonts w:cstheme="minorHAnsi"/>
                <w:sz w:val="16"/>
                <w:szCs w:val="16"/>
              </w:rPr>
              <w:t xml:space="preserve">. The </w:t>
            </w:r>
            <w:r w:rsidR="008017CA" w:rsidRPr="009B546D">
              <w:rPr>
                <w:rFonts w:cstheme="minorHAnsi"/>
                <w:sz w:val="16"/>
                <w:szCs w:val="16"/>
              </w:rPr>
              <w:t xml:space="preserve">FCA </w:t>
            </w:r>
            <w:r w:rsidRPr="009B546D">
              <w:rPr>
                <w:rFonts w:cstheme="minorHAnsi"/>
                <w:sz w:val="16"/>
                <w:szCs w:val="16"/>
              </w:rPr>
              <w:t>can be contacted via</w:t>
            </w:r>
            <w:r w:rsidR="0074446D" w:rsidRPr="009B546D">
              <w:rPr>
                <w:rFonts w:cstheme="minorHAnsi"/>
                <w:sz w:val="16"/>
                <w:szCs w:val="16"/>
              </w:rPr>
              <w:t xml:space="preserve"> its</w:t>
            </w:r>
            <w:r w:rsidRPr="009B546D">
              <w:rPr>
                <w:rFonts w:cstheme="minorHAnsi"/>
                <w:sz w:val="16"/>
                <w:szCs w:val="16"/>
              </w:rPr>
              <w:t xml:space="preserve"> address at 12 Endeavour Square, London E20 1JN, United Kingdom or visit https://www.fca.org.uk/contact</w:t>
            </w:r>
            <w:r w:rsidRPr="009B546D" w:rsidDel="00241CAF">
              <w:rPr>
                <w:rFonts w:cstheme="minorHAnsi"/>
                <w:sz w:val="16"/>
                <w:szCs w:val="16"/>
              </w:rPr>
              <w:t xml:space="preserve"> </w:t>
            </w:r>
            <w:r w:rsidRPr="009B546D">
              <w:rPr>
                <w:rFonts w:cstheme="minorHAnsi"/>
                <w:sz w:val="16"/>
                <w:szCs w:val="16"/>
              </w:rPr>
              <w:t>for further contact details.</w:t>
            </w:r>
          </w:p>
        </w:tc>
      </w:tr>
      <w:tr w:rsidR="001F5E5B" w:rsidRPr="009B546D" w14:paraId="11B0A29C" w14:textId="77777777" w:rsidTr="00EA2BB6">
        <w:trPr>
          <w:trHeight w:val="1990"/>
        </w:trPr>
        <w:tc>
          <w:tcPr>
            <w:tcW w:w="366" w:type="pct"/>
            <w:shd w:val="clear" w:color="auto" w:fill="auto"/>
          </w:tcPr>
          <w:p w14:paraId="346E79AF" w14:textId="77777777" w:rsidR="001F5E5B" w:rsidRPr="009B546D" w:rsidRDefault="001F5E5B" w:rsidP="00F432B9">
            <w:pPr>
              <w:spacing w:after="0" w:line="240" w:lineRule="auto"/>
              <w:rPr>
                <w:rFonts w:cstheme="minorHAnsi"/>
                <w:b/>
                <w:sz w:val="16"/>
              </w:rPr>
            </w:pPr>
          </w:p>
        </w:tc>
        <w:tc>
          <w:tcPr>
            <w:tcW w:w="659" w:type="pct"/>
            <w:gridSpan w:val="2"/>
            <w:shd w:val="clear" w:color="auto" w:fill="auto"/>
          </w:tcPr>
          <w:p w14:paraId="0D3F0F4F" w14:textId="77777777" w:rsidR="001F5E5B" w:rsidRPr="009B546D" w:rsidRDefault="001F5E5B" w:rsidP="00F432B9">
            <w:pPr>
              <w:spacing w:after="0" w:line="240" w:lineRule="auto"/>
              <w:rPr>
                <w:rFonts w:cstheme="minorHAnsi"/>
                <w:b/>
                <w:sz w:val="16"/>
              </w:rPr>
            </w:pPr>
            <w:r w:rsidRPr="009B546D">
              <w:rPr>
                <w:rFonts w:cstheme="minorHAnsi"/>
                <w:b/>
                <w:sz w:val="16"/>
              </w:rPr>
              <w:t>Warning to potential investors:</w:t>
            </w:r>
          </w:p>
        </w:tc>
        <w:tc>
          <w:tcPr>
            <w:tcW w:w="3975" w:type="pct"/>
            <w:shd w:val="clear" w:color="auto" w:fill="auto"/>
          </w:tcPr>
          <w:p w14:paraId="473B1048" w14:textId="77777777" w:rsidR="001F5E5B" w:rsidRPr="009B546D" w:rsidRDefault="001F5E5B" w:rsidP="00F432B9">
            <w:pPr>
              <w:spacing w:after="120" w:line="240" w:lineRule="auto"/>
              <w:rPr>
                <w:rFonts w:cstheme="minorHAnsi"/>
                <w:b/>
                <w:sz w:val="16"/>
              </w:rPr>
            </w:pPr>
            <w:r w:rsidRPr="009B546D">
              <w:rPr>
                <w:rFonts w:cstheme="minorHAnsi"/>
                <w:b/>
                <w:sz w:val="16"/>
              </w:rPr>
              <w:t>THIS SUMMARY SHOULD BE READ AS AN INTRODUCTION TO THIS PROSPECTUS. ANY DECISION TO INVEST IN THE NEW ORDINARY SHARES SHOULD BE BASED ON CONSIDERATION OF THE PROSPECTUS AS A WHOLE BY THE INVESTOR.</w:t>
            </w:r>
          </w:p>
          <w:p w14:paraId="3FEC780B" w14:textId="77777777" w:rsidR="001F5E5B" w:rsidRPr="009B546D" w:rsidRDefault="001F5E5B" w:rsidP="00F432B9">
            <w:pPr>
              <w:spacing w:after="120" w:line="240" w:lineRule="auto"/>
              <w:rPr>
                <w:rFonts w:cstheme="minorHAnsi"/>
                <w:b/>
                <w:sz w:val="16"/>
              </w:rPr>
            </w:pPr>
            <w:r w:rsidRPr="009B546D">
              <w:rPr>
                <w:rFonts w:cstheme="minorHAnsi"/>
                <w:b/>
                <w:sz w:val="16"/>
              </w:rPr>
              <w:t>The investor could lose all or part of the invested capital.</w:t>
            </w:r>
          </w:p>
          <w:p w14:paraId="6DC60853" w14:textId="77777777" w:rsidR="001F5E5B" w:rsidRPr="009B546D" w:rsidRDefault="001F5E5B" w:rsidP="00F432B9">
            <w:pPr>
              <w:spacing w:after="120" w:line="240" w:lineRule="auto"/>
              <w:rPr>
                <w:rFonts w:cstheme="minorHAnsi"/>
                <w:b/>
                <w:sz w:val="16"/>
              </w:rPr>
            </w:pPr>
            <w:r w:rsidRPr="009B546D">
              <w:rPr>
                <w:rFonts w:cstheme="minorHAnsi"/>
                <w:b/>
                <w:sz w:val="16"/>
              </w:rPr>
              <w:t>Where a claim relating to the information contained in the Prospectus is brought before a court, the plaintiff investor might, under the national law of the Member States, have to bear the costs of translating the Prospectus before the legal proceedings are initiated.</w:t>
            </w:r>
          </w:p>
          <w:p w14:paraId="613A392F" w14:textId="77777777" w:rsidR="001F5E5B" w:rsidRPr="009B546D" w:rsidRDefault="001F5E5B" w:rsidP="00F432B9">
            <w:pPr>
              <w:spacing w:after="120" w:line="240" w:lineRule="auto"/>
              <w:ind w:right="16"/>
              <w:rPr>
                <w:rFonts w:cstheme="minorHAnsi"/>
                <w:b/>
                <w:sz w:val="16"/>
              </w:rPr>
            </w:pPr>
            <w:r w:rsidRPr="009B546D">
              <w:rPr>
                <w:rFonts w:cstheme="minorHAnsi"/>
                <w:sz w:val="16"/>
              </w:rPr>
              <w:t>Civil liability attaches only to those persons who have tabled the summary, including any translation thereof, but only if the summary is misleading, inaccurate or inconsistent when read together with other parts of the Prospectus or it does not provide, when read together with the other parts of the Prospectus, key information in order to aid investors when considering whether to invest in such securities.</w:t>
            </w:r>
          </w:p>
        </w:tc>
      </w:tr>
      <w:tr w:rsidR="000F6A9F" w:rsidRPr="009B546D" w14:paraId="3C13EF9C" w14:textId="77777777" w:rsidTr="00EA2BB6">
        <w:trPr>
          <w:trHeight w:val="423"/>
        </w:trPr>
        <w:tc>
          <w:tcPr>
            <w:tcW w:w="5000" w:type="pct"/>
            <w:gridSpan w:val="4"/>
            <w:tcBorders>
              <w:top w:val="nil"/>
              <w:left w:val="nil"/>
              <w:bottom w:val="nil"/>
              <w:right w:val="nil"/>
            </w:tcBorders>
            <w:shd w:val="clear" w:color="auto" w:fill="auto"/>
            <w:vAlign w:val="center"/>
          </w:tcPr>
          <w:p w14:paraId="16A7BD40" w14:textId="77777777" w:rsidR="000F6A9F" w:rsidRPr="009B546D" w:rsidRDefault="000F6A9F" w:rsidP="00F432B9">
            <w:pPr>
              <w:widowControl w:val="0"/>
              <w:spacing w:after="0" w:line="240" w:lineRule="auto"/>
              <w:rPr>
                <w:rFonts w:cstheme="minorHAnsi"/>
                <w:b/>
                <w:szCs w:val="20"/>
              </w:rPr>
            </w:pPr>
          </w:p>
        </w:tc>
      </w:tr>
      <w:tr w:rsidR="00FE5454" w:rsidRPr="009B546D" w14:paraId="2E853497" w14:textId="77777777" w:rsidTr="00EA2BB6">
        <w:trPr>
          <w:trHeight w:val="390"/>
        </w:trPr>
        <w:tc>
          <w:tcPr>
            <w:tcW w:w="5000" w:type="pct"/>
            <w:gridSpan w:val="4"/>
            <w:shd w:val="clear" w:color="auto" w:fill="B3B3B3"/>
            <w:vAlign w:val="center"/>
          </w:tcPr>
          <w:p w14:paraId="496122EA" w14:textId="77777777" w:rsidR="00FE5454" w:rsidRPr="009B546D" w:rsidRDefault="00FE5454" w:rsidP="00F432B9">
            <w:pPr>
              <w:spacing w:after="0" w:line="240" w:lineRule="auto"/>
              <w:rPr>
                <w:rFonts w:cstheme="minorHAnsi"/>
                <w:b/>
                <w:sz w:val="16"/>
                <w:szCs w:val="16"/>
              </w:rPr>
            </w:pPr>
            <w:r w:rsidRPr="009B546D">
              <w:rPr>
                <w:rFonts w:cstheme="minorHAnsi"/>
                <w:b/>
                <w:sz w:val="18"/>
                <w:szCs w:val="16"/>
              </w:rPr>
              <w:t>Section 6 – Key Information on the Issuer</w:t>
            </w:r>
          </w:p>
        </w:tc>
      </w:tr>
      <w:tr w:rsidR="00FE5454" w:rsidRPr="009B546D" w14:paraId="1A62766A" w14:textId="77777777" w:rsidTr="00EA2BB6">
        <w:trPr>
          <w:trHeight w:val="343"/>
        </w:trPr>
        <w:tc>
          <w:tcPr>
            <w:tcW w:w="385" w:type="pct"/>
            <w:gridSpan w:val="2"/>
            <w:shd w:val="clear" w:color="auto" w:fill="auto"/>
          </w:tcPr>
          <w:p w14:paraId="473F4691" w14:textId="77777777" w:rsidR="00FE5454" w:rsidRPr="009B546D" w:rsidRDefault="00FE5454" w:rsidP="00F432B9">
            <w:pPr>
              <w:spacing w:after="0" w:line="240" w:lineRule="auto"/>
              <w:rPr>
                <w:rFonts w:cstheme="minorHAnsi"/>
                <w:b/>
                <w:sz w:val="16"/>
                <w:szCs w:val="18"/>
              </w:rPr>
            </w:pPr>
            <w:r w:rsidRPr="009B546D">
              <w:rPr>
                <w:rFonts w:cstheme="minorHAnsi"/>
                <w:b/>
                <w:sz w:val="16"/>
                <w:szCs w:val="18"/>
              </w:rPr>
              <w:t>6 (a)</w:t>
            </w:r>
            <w:r w:rsidRPr="009B546D">
              <w:rPr>
                <w:rFonts w:cstheme="minorHAnsi"/>
                <w:noProof/>
                <w:sz w:val="14"/>
                <w:szCs w:val="14"/>
                <w:lang w:eastAsia="en-GB"/>
              </w:rPr>
              <w:t xml:space="preserve"> </w:t>
            </w:r>
          </w:p>
        </w:tc>
        <w:tc>
          <w:tcPr>
            <w:tcW w:w="641" w:type="pct"/>
            <w:shd w:val="clear" w:color="auto" w:fill="auto"/>
          </w:tcPr>
          <w:p w14:paraId="61830DFA" w14:textId="77777777" w:rsidR="00FE5454" w:rsidRPr="009B546D" w:rsidRDefault="00FE5454" w:rsidP="00F432B9">
            <w:pPr>
              <w:spacing w:after="0" w:line="240" w:lineRule="auto"/>
              <w:rPr>
                <w:rFonts w:cstheme="minorHAnsi"/>
                <w:b/>
                <w:sz w:val="16"/>
                <w:szCs w:val="16"/>
              </w:rPr>
            </w:pPr>
            <w:r w:rsidRPr="009B546D">
              <w:rPr>
                <w:rFonts w:cstheme="minorHAnsi"/>
                <w:b/>
                <w:sz w:val="16"/>
                <w:szCs w:val="16"/>
              </w:rPr>
              <w:t>Who is the issuer of the securities?</w:t>
            </w:r>
          </w:p>
        </w:tc>
        <w:tc>
          <w:tcPr>
            <w:tcW w:w="3975" w:type="pct"/>
            <w:shd w:val="clear" w:color="auto" w:fill="auto"/>
          </w:tcPr>
          <w:p w14:paraId="7BBC1FD6" w14:textId="0B4FE3BC" w:rsidR="00FE5454" w:rsidRPr="009B546D" w:rsidRDefault="00EB3F62" w:rsidP="00F432B9">
            <w:pPr>
              <w:spacing w:after="0" w:line="240" w:lineRule="auto"/>
              <w:rPr>
                <w:rFonts w:cstheme="minorHAnsi"/>
                <w:bCs/>
                <w:sz w:val="16"/>
              </w:rPr>
            </w:pPr>
            <w:r w:rsidRPr="009B546D">
              <w:rPr>
                <w:rFonts w:cstheme="minorHAnsi"/>
                <w:bCs/>
                <w:sz w:val="16"/>
              </w:rPr>
              <w:t xml:space="preserve">The Company was incorporated in the Cayman Islands on 11 October 2017 under Cayman Companies Law, as an exempted company with limited liability with the name AIQ Limited. The Company was established to undertake an acquisition of one or more businesses which operate in the e-commerce sector. </w:t>
            </w:r>
            <w:r w:rsidR="00FE5454" w:rsidRPr="009B546D">
              <w:rPr>
                <w:rFonts w:cstheme="minorHAnsi"/>
                <w:bCs/>
                <w:sz w:val="16"/>
              </w:rPr>
              <w:t xml:space="preserve">The Company was admitted to trading on the standard segment of the Main Market of the London Stock Exchange on </w:t>
            </w:r>
            <w:r w:rsidR="00FE16A1" w:rsidRPr="009B546D">
              <w:rPr>
                <w:rFonts w:cstheme="minorHAnsi"/>
                <w:bCs/>
                <w:sz w:val="16"/>
              </w:rPr>
              <w:t>09 January 2018</w:t>
            </w:r>
            <w:r w:rsidR="00FE5454" w:rsidRPr="009B546D">
              <w:rPr>
                <w:rFonts w:cstheme="minorHAnsi"/>
                <w:bCs/>
                <w:sz w:val="16"/>
              </w:rPr>
              <w:t xml:space="preserve">. </w:t>
            </w:r>
          </w:p>
          <w:p w14:paraId="0027702A" w14:textId="77777777" w:rsidR="0046795F" w:rsidRPr="009B546D" w:rsidRDefault="0046795F" w:rsidP="00F432B9">
            <w:pPr>
              <w:spacing w:after="0" w:line="240" w:lineRule="auto"/>
              <w:rPr>
                <w:rFonts w:cstheme="minorHAnsi"/>
                <w:bCs/>
                <w:sz w:val="16"/>
              </w:rPr>
            </w:pPr>
          </w:p>
          <w:p w14:paraId="107587F2" w14:textId="3582F90C" w:rsidR="0046795F" w:rsidRPr="009B546D" w:rsidRDefault="001A44C2" w:rsidP="00F432B9">
            <w:pPr>
              <w:spacing w:after="0" w:line="240" w:lineRule="auto"/>
              <w:rPr>
                <w:rFonts w:cstheme="minorHAnsi"/>
                <w:bCs/>
                <w:sz w:val="16"/>
              </w:rPr>
            </w:pPr>
            <w:r w:rsidRPr="009B546D">
              <w:rPr>
                <w:rFonts w:cstheme="minorHAnsi"/>
                <w:bCs/>
                <w:sz w:val="16"/>
              </w:rPr>
              <w:t xml:space="preserve">The Proposed Acquisition, if completed, would result in </w:t>
            </w:r>
            <w:r w:rsidR="00AF0C4A" w:rsidRPr="009B546D">
              <w:rPr>
                <w:rFonts w:cstheme="minorHAnsi"/>
                <w:bCs/>
                <w:sz w:val="16"/>
              </w:rPr>
              <w:t>Alchemist Codes</w:t>
            </w:r>
            <w:r w:rsidRPr="009B546D">
              <w:rPr>
                <w:rFonts w:cstheme="minorHAnsi"/>
                <w:bCs/>
                <w:sz w:val="16"/>
              </w:rPr>
              <w:t xml:space="preserve"> constituting the operational component of the Enlarged Group, and would constitute a Reverse Takeover ("</w:t>
            </w:r>
            <w:r w:rsidRPr="009B546D">
              <w:rPr>
                <w:rFonts w:cstheme="minorHAnsi"/>
                <w:b/>
                <w:sz w:val="16"/>
              </w:rPr>
              <w:t>RTO</w:t>
            </w:r>
            <w:r w:rsidRPr="009B546D">
              <w:rPr>
                <w:rFonts w:cstheme="minorHAnsi"/>
                <w:bCs/>
                <w:sz w:val="16"/>
              </w:rPr>
              <w:t>") under the Listing Rules</w:t>
            </w:r>
            <w:r w:rsidR="00DA1FF5" w:rsidRPr="009B546D">
              <w:rPr>
                <w:rFonts w:cstheme="minorHAnsi"/>
                <w:bCs/>
                <w:sz w:val="16"/>
              </w:rPr>
              <w:t xml:space="preserve">. </w:t>
            </w:r>
            <w:r w:rsidR="009877C3" w:rsidRPr="009B546D">
              <w:rPr>
                <w:rFonts w:cstheme="minorHAnsi"/>
                <w:bCs/>
                <w:sz w:val="16"/>
              </w:rPr>
              <w:t xml:space="preserve">A director of Alchemist Codes, Charles Yong, will join the board of the </w:t>
            </w:r>
            <w:r w:rsidR="0052216F" w:rsidRPr="009B546D">
              <w:rPr>
                <w:rFonts w:cstheme="minorHAnsi"/>
                <w:bCs/>
                <w:sz w:val="16"/>
              </w:rPr>
              <w:t>Company</w:t>
            </w:r>
            <w:r w:rsidR="009877C3" w:rsidRPr="009B546D">
              <w:rPr>
                <w:rFonts w:cstheme="minorHAnsi"/>
                <w:bCs/>
                <w:sz w:val="16"/>
              </w:rPr>
              <w:t xml:space="preserve"> upon Re-Admission. </w:t>
            </w:r>
            <w:r w:rsidR="00DA1FF5" w:rsidRPr="009B546D">
              <w:rPr>
                <w:rFonts w:cstheme="minorHAnsi"/>
                <w:bCs/>
                <w:sz w:val="16"/>
              </w:rPr>
              <w:t xml:space="preserve">Upon Re-Admission, the </w:t>
            </w:r>
            <w:r w:rsidR="003D3845" w:rsidRPr="009B546D">
              <w:rPr>
                <w:rFonts w:cstheme="minorHAnsi"/>
                <w:bCs/>
                <w:sz w:val="16"/>
              </w:rPr>
              <w:t>business of the Enlarged Group will be</w:t>
            </w:r>
            <w:r w:rsidR="00C8206D" w:rsidRPr="009B546D">
              <w:rPr>
                <w:rFonts w:cstheme="minorHAnsi"/>
                <w:bCs/>
                <w:sz w:val="16"/>
              </w:rPr>
              <w:t xml:space="preserve"> focused on development of comprehensive information technology solutions and the development of an </w:t>
            </w:r>
            <w:r w:rsidR="00CA0EBC" w:rsidRPr="009B546D">
              <w:rPr>
                <w:rFonts w:cstheme="minorHAnsi"/>
                <w:bCs/>
                <w:sz w:val="16"/>
              </w:rPr>
              <w:t>e-commerce</w:t>
            </w:r>
            <w:r w:rsidR="00C8206D" w:rsidRPr="009B546D">
              <w:rPr>
                <w:rFonts w:cstheme="minorHAnsi"/>
                <w:bCs/>
                <w:sz w:val="16"/>
              </w:rPr>
              <w:t xml:space="preserve"> application called OCTAPLUS.</w:t>
            </w:r>
          </w:p>
          <w:p w14:paraId="26836911" w14:textId="77777777" w:rsidR="00FE5454" w:rsidRPr="009B546D" w:rsidRDefault="00FE5454" w:rsidP="00F432B9">
            <w:pPr>
              <w:spacing w:after="0" w:line="240" w:lineRule="auto"/>
              <w:rPr>
                <w:rFonts w:cstheme="minorHAnsi"/>
                <w:sz w:val="16"/>
              </w:rPr>
            </w:pPr>
          </w:p>
        </w:tc>
      </w:tr>
      <w:tr w:rsidR="00FE5454" w:rsidRPr="009B546D" w14:paraId="44B48479" w14:textId="77777777" w:rsidTr="00EA2BB6">
        <w:trPr>
          <w:trHeight w:val="979"/>
        </w:trPr>
        <w:tc>
          <w:tcPr>
            <w:tcW w:w="385" w:type="pct"/>
            <w:gridSpan w:val="2"/>
            <w:shd w:val="clear" w:color="auto" w:fill="auto"/>
          </w:tcPr>
          <w:p w14:paraId="4E656DB0" w14:textId="77777777" w:rsidR="00FE5454" w:rsidRPr="009B546D" w:rsidRDefault="00FE5454" w:rsidP="00F432B9">
            <w:pPr>
              <w:spacing w:after="0" w:line="240" w:lineRule="auto"/>
              <w:rPr>
                <w:rFonts w:cstheme="minorHAnsi"/>
                <w:b/>
                <w:sz w:val="16"/>
                <w:szCs w:val="16"/>
              </w:rPr>
            </w:pPr>
            <w:r w:rsidRPr="009B546D">
              <w:rPr>
                <w:rFonts w:cstheme="minorHAnsi"/>
                <w:b/>
                <w:sz w:val="16"/>
                <w:szCs w:val="16"/>
              </w:rPr>
              <w:t>6 (b)</w:t>
            </w:r>
          </w:p>
        </w:tc>
        <w:tc>
          <w:tcPr>
            <w:tcW w:w="641" w:type="pct"/>
            <w:shd w:val="clear" w:color="auto" w:fill="auto"/>
          </w:tcPr>
          <w:p w14:paraId="242DE716" w14:textId="77777777" w:rsidR="00FE5454" w:rsidRPr="009B546D" w:rsidRDefault="00FE5454" w:rsidP="00F432B9">
            <w:pPr>
              <w:spacing w:after="0" w:line="240" w:lineRule="auto"/>
              <w:rPr>
                <w:rFonts w:cstheme="minorHAnsi"/>
                <w:b/>
                <w:sz w:val="16"/>
              </w:rPr>
            </w:pPr>
            <w:r w:rsidRPr="009B546D">
              <w:rPr>
                <w:rFonts w:cstheme="minorHAnsi"/>
                <w:b/>
                <w:sz w:val="16"/>
              </w:rPr>
              <w:t>What is the key financial information regarding the issuer?</w:t>
            </w:r>
          </w:p>
        </w:tc>
        <w:tc>
          <w:tcPr>
            <w:tcW w:w="3975" w:type="pct"/>
            <w:shd w:val="clear" w:color="auto" w:fill="auto"/>
          </w:tcPr>
          <w:p w14:paraId="10615603" w14:textId="472BC883" w:rsidR="00913ECF" w:rsidRDefault="00913ECF" w:rsidP="00F432B9">
            <w:pPr>
              <w:widowControl w:val="0"/>
              <w:spacing w:after="0" w:line="240" w:lineRule="auto"/>
              <w:rPr>
                <w:rFonts w:cstheme="minorHAnsi"/>
                <w:bCs/>
                <w:sz w:val="16"/>
                <w:szCs w:val="16"/>
              </w:rPr>
            </w:pPr>
            <w:r w:rsidRPr="009B546D">
              <w:rPr>
                <w:rFonts w:cstheme="minorHAnsi"/>
                <w:bCs/>
                <w:sz w:val="16"/>
                <w:szCs w:val="16"/>
              </w:rPr>
              <w:t xml:space="preserve">Upon Re-Admission, the </w:t>
            </w:r>
            <w:r w:rsidR="00311CE2" w:rsidRPr="009B546D">
              <w:rPr>
                <w:rFonts w:cstheme="minorHAnsi"/>
                <w:bCs/>
                <w:sz w:val="16"/>
                <w:szCs w:val="16"/>
              </w:rPr>
              <w:t xml:space="preserve">Proposed </w:t>
            </w:r>
            <w:r w:rsidRPr="009B546D">
              <w:rPr>
                <w:rFonts w:cstheme="minorHAnsi"/>
                <w:bCs/>
                <w:sz w:val="16"/>
                <w:szCs w:val="16"/>
              </w:rPr>
              <w:t xml:space="preserve">Acquisition will be </w:t>
            </w:r>
            <w:r w:rsidR="007D3733" w:rsidRPr="009B546D">
              <w:rPr>
                <w:rFonts w:cstheme="minorHAnsi"/>
                <w:bCs/>
                <w:sz w:val="16"/>
                <w:szCs w:val="16"/>
              </w:rPr>
              <w:t>completed,</w:t>
            </w:r>
            <w:r w:rsidRPr="009B546D">
              <w:rPr>
                <w:rFonts w:cstheme="minorHAnsi"/>
                <w:bCs/>
                <w:sz w:val="16"/>
                <w:szCs w:val="16"/>
              </w:rPr>
              <w:t xml:space="preserve"> and the Company will be the holding company of </w:t>
            </w:r>
            <w:r w:rsidR="00AF0C4A" w:rsidRPr="009B546D">
              <w:rPr>
                <w:rFonts w:cstheme="minorHAnsi"/>
                <w:bCs/>
                <w:sz w:val="16"/>
                <w:szCs w:val="16"/>
              </w:rPr>
              <w:t>Alchemist Codes</w:t>
            </w:r>
            <w:r w:rsidRPr="009B546D">
              <w:rPr>
                <w:rFonts w:cstheme="minorHAnsi"/>
                <w:bCs/>
                <w:sz w:val="16"/>
                <w:szCs w:val="16"/>
              </w:rPr>
              <w:t xml:space="preserve">. Accordingly, this Prospectus contains historical financial information on the Company and </w:t>
            </w:r>
            <w:r w:rsidR="00AF0C4A" w:rsidRPr="009B546D">
              <w:rPr>
                <w:rFonts w:cstheme="minorHAnsi"/>
                <w:bCs/>
                <w:sz w:val="16"/>
                <w:szCs w:val="16"/>
              </w:rPr>
              <w:t>Alchemist Codes</w:t>
            </w:r>
            <w:r w:rsidRPr="009B546D">
              <w:rPr>
                <w:rFonts w:cstheme="minorHAnsi"/>
                <w:bCs/>
                <w:sz w:val="16"/>
                <w:szCs w:val="16"/>
              </w:rPr>
              <w:t xml:space="preserve"> along with the </w:t>
            </w:r>
            <w:r w:rsidRPr="009B546D">
              <w:rPr>
                <w:rFonts w:cstheme="minorHAnsi"/>
                <w:bCs/>
                <w:i/>
                <w:iCs/>
                <w:sz w:val="16"/>
                <w:szCs w:val="16"/>
              </w:rPr>
              <w:t xml:space="preserve">pro forma </w:t>
            </w:r>
            <w:r w:rsidRPr="009B546D">
              <w:rPr>
                <w:rFonts w:cstheme="minorHAnsi"/>
                <w:bCs/>
                <w:sz w:val="16"/>
                <w:szCs w:val="16"/>
              </w:rPr>
              <w:t>financial information for the Enlarged Group.</w:t>
            </w:r>
          </w:p>
          <w:p w14:paraId="75B818A3" w14:textId="77777777" w:rsidR="00092814" w:rsidRPr="009B546D" w:rsidRDefault="00092814" w:rsidP="00F432B9">
            <w:pPr>
              <w:widowControl w:val="0"/>
              <w:spacing w:after="0" w:line="240" w:lineRule="auto"/>
              <w:rPr>
                <w:rFonts w:cstheme="minorHAnsi"/>
                <w:bCs/>
                <w:sz w:val="16"/>
                <w:szCs w:val="16"/>
              </w:rPr>
            </w:pPr>
          </w:p>
          <w:p w14:paraId="1FE78836" w14:textId="202BA047" w:rsidR="00913ECF" w:rsidRPr="009B546D" w:rsidRDefault="00913ECF" w:rsidP="00F432B9">
            <w:pPr>
              <w:spacing w:after="0" w:line="240" w:lineRule="auto"/>
              <w:rPr>
                <w:rFonts w:cstheme="minorHAnsi"/>
                <w:bCs/>
                <w:sz w:val="16"/>
                <w:szCs w:val="16"/>
              </w:rPr>
            </w:pPr>
            <w:r w:rsidRPr="009B546D">
              <w:rPr>
                <w:rFonts w:cstheme="minorHAnsi"/>
                <w:bCs/>
                <w:sz w:val="16"/>
                <w:szCs w:val="16"/>
              </w:rPr>
              <w:t xml:space="preserve">The tables below set out summary financial information on the Company for the periods ended </w:t>
            </w:r>
            <w:r w:rsidR="00AB0062" w:rsidRPr="009B546D">
              <w:rPr>
                <w:rFonts w:eastAsia="Times New Roman" w:cstheme="minorHAnsi"/>
                <w:color w:val="000000"/>
                <w:sz w:val="16"/>
                <w:szCs w:val="16"/>
                <w:lang w:eastAsia="en-GB"/>
              </w:rPr>
              <w:t>31 October 2018 and 31 October 2019</w:t>
            </w:r>
            <w:r w:rsidR="007D3733" w:rsidRPr="009B546D">
              <w:rPr>
                <w:rFonts w:eastAsia="Times New Roman" w:cstheme="minorHAnsi"/>
                <w:color w:val="000000"/>
                <w:sz w:val="16"/>
                <w:szCs w:val="16"/>
                <w:lang w:eastAsia="en-GB"/>
              </w:rPr>
              <w:t>.</w:t>
            </w:r>
          </w:p>
          <w:p w14:paraId="697AC6F8" w14:textId="77777777" w:rsidR="00917C62" w:rsidRPr="009B546D" w:rsidRDefault="00917C62" w:rsidP="00F432B9">
            <w:pPr>
              <w:spacing w:after="0" w:line="240" w:lineRule="auto"/>
              <w:rPr>
                <w:rFonts w:cstheme="minorHAnsi"/>
                <w:bCs/>
                <w:sz w:val="16"/>
                <w:szCs w:val="16"/>
              </w:rPr>
            </w:pPr>
          </w:p>
          <w:p w14:paraId="592D9FB6" w14:textId="1F084E52" w:rsidR="001210DF" w:rsidRPr="009B546D" w:rsidRDefault="00F53B85" w:rsidP="00F432B9">
            <w:pPr>
              <w:spacing w:after="0" w:line="240" w:lineRule="auto"/>
              <w:rPr>
                <w:rFonts w:cstheme="minorHAnsi"/>
                <w:sz w:val="16"/>
                <w:szCs w:val="16"/>
              </w:rPr>
            </w:pPr>
            <w:r w:rsidRPr="009B546D">
              <w:rPr>
                <w:rFonts w:cstheme="minorHAnsi"/>
                <w:bCs/>
                <w:sz w:val="16"/>
                <w:szCs w:val="16"/>
              </w:rPr>
              <w:t xml:space="preserve">The statutory auditors of </w:t>
            </w:r>
            <w:r w:rsidR="00146DB8" w:rsidRPr="009B546D">
              <w:rPr>
                <w:rFonts w:cstheme="minorHAnsi"/>
                <w:bCs/>
                <w:sz w:val="16"/>
                <w:szCs w:val="16"/>
              </w:rPr>
              <w:t xml:space="preserve">AIQ Limited are BDO LLP and the </w:t>
            </w:r>
            <w:r w:rsidR="000E7962" w:rsidRPr="009B546D">
              <w:rPr>
                <w:rFonts w:cstheme="minorHAnsi"/>
                <w:bCs/>
                <w:sz w:val="16"/>
                <w:szCs w:val="16"/>
              </w:rPr>
              <w:t xml:space="preserve">statutory auditors of </w:t>
            </w:r>
            <w:r w:rsidR="00AF0C4A" w:rsidRPr="009B546D">
              <w:rPr>
                <w:rFonts w:cstheme="minorHAnsi"/>
                <w:bCs/>
                <w:sz w:val="16"/>
                <w:szCs w:val="16"/>
              </w:rPr>
              <w:t>Alchemist Codes</w:t>
            </w:r>
            <w:r w:rsidR="000E7962" w:rsidRPr="009B546D">
              <w:rPr>
                <w:rFonts w:cstheme="minorHAnsi"/>
                <w:bCs/>
                <w:sz w:val="16"/>
                <w:szCs w:val="16"/>
              </w:rPr>
              <w:t xml:space="preserve"> a</w:t>
            </w:r>
            <w:r w:rsidR="001210DF" w:rsidRPr="009B546D">
              <w:rPr>
                <w:rFonts w:cstheme="minorHAnsi"/>
                <w:bCs/>
                <w:sz w:val="16"/>
                <w:szCs w:val="16"/>
              </w:rPr>
              <w:t xml:space="preserve">re </w:t>
            </w:r>
            <w:r w:rsidR="00FF114F" w:rsidRPr="009B546D">
              <w:rPr>
                <w:rFonts w:cstheme="minorHAnsi"/>
                <w:bCs/>
                <w:sz w:val="16"/>
                <w:szCs w:val="16"/>
              </w:rPr>
              <w:t>Yong &amp; Leonard</w:t>
            </w:r>
            <w:r w:rsidR="001210DF" w:rsidRPr="009B546D">
              <w:rPr>
                <w:rFonts w:cstheme="minorHAnsi"/>
                <w:sz w:val="16"/>
                <w:szCs w:val="16"/>
              </w:rPr>
              <w:t>.</w:t>
            </w:r>
          </w:p>
          <w:p w14:paraId="329EDB79" w14:textId="77777777" w:rsidR="00F23E90" w:rsidRDefault="00F23E90" w:rsidP="00F432B9">
            <w:pPr>
              <w:spacing w:after="0" w:line="240" w:lineRule="auto"/>
              <w:rPr>
                <w:rFonts w:cstheme="minorHAnsi"/>
                <w:sz w:val="16"/>
                <w:szCs w:val="16"/>
              </w:rPr>
            </w:pPr>
          </w:p>
          <w:p w14:paraId="7593F9C4" w14:textId="77777777" w:rsidR="00F23E90" w:rsidRDefault="00F23E90" w:rsidP="00F432B9">
            <w:pPr>
              <w:spacing w:after="0" w:line="240" w:lineRule="auto"/>
              <w:rPr>
                <w:rFonts w:cstheme="minorHAnsi"/>
                <w:sz w:val="16"/>
                <w:szCs w:val="16"/>
              </w:rPr>
            </w:pPr>
          </w:p>
          <w:p w14:paraId="1B9B6026" w14:textId="77777777" w:rsidR="00F23E90" w:rsidRDefault="00F23E90" w:rsidP="00F432B9">
            <w:pPr>
              <w:spacing w:after="0" w:line="240" w:lineRule="auto"/>
              <w:rPr>
                <w:rFonts w:cstheme="minorHAnsi"/>
                <w:sz w:val="16"/>
                <w:szCs w:val="16"/>
              </w:rPr>
            </w:pPr>
          </w:p>
          <w:p w14:paraId="32C19D5E" w14:textId="77777777" w:rsidR="00F23E90" w:rsidRPr="009B546D" w:rsidRDefault="00F23E90" w:rsidP="00F432B9">
            <w:pPr>
              <w:spacing w:after="0" w:line="240" w:lineRule="auto"/>
              <w:rPr>
                <w:rFonts w:cstheme="minorHAnsi"/>
                <w:sz w:val="16"/>
                <w:szCs w:val="16"/>
              </w:rPr>
            </w:pPr>
          </w:p>
          <w:p w14:paraId="20A9498B" w14:textId="197710F2" w:rsidR="007B4FE1" w:rsidRPr="009B546D" w:rsidRDefault="007B4FE1" w:rsidP="00F432B9">
            <w:pPr>
              <w:spacing w:after="0" w:line="240" w:lineRule="auto"/>
              <w:rPr>
                <w:rFonts w:cstheme="minorHAnsi"/>
                <w:sz w:val="16"/>
                <w:szCs w:val="16"/>
              </w:rPr>
            </w:pPr>
          </w:p>
          <w:p w14:paraId="2E40D0D5" w14:textId="5CF88C76" w:rsidR="008B29D5" w:rsidRPr="009B546D" w:rsidRDefault="008B29D5" w:rsidP="00F432B9">
            <w:pPr>
              <w:spacing w:after="0" w:line="240" w:lineRule="auto"/>
              <w:rPr>
                <w:rFonts w:cstheme="minorHAnsi"/>
                <w:b/>
                <w:bCs/>
                <w:sz w:val="16"/>
                <w:szCs w:val="16"/>
              </w:rPr>
            </w:pPr>
            <w:r w:rsidRPr="009B546D">
              <w:rPr>
                <w:rFonts w:cstheme="minorHAnsi"/>
                <w:b/>
                <w:bCs/>
                <w:sz w:val="16"/>
                <w:szCs w:val="16"/>
              </w:rPr>
              <w:t>Income Statement</w:t>
            </w:r>
            <w:r w:rsidR="00DB54F9" w:rsidRPr="009B546D">
              <w:rPr>
                <w:rFonts w:cstheme="minorHAnsi"/>
                <w:b/>
                <w:bCs/>
                <w:sz w:val="16"/>
                <w:szCs w:val="16"/>
              </w:rPr>
              <w:t xml:space="preserve"> of AIQ</w:t>
            </w:r>
          </w:p>
          <w:tbl>
            <w:tblPr>
              <w:tblW w:w="6380" w:type="dxa"/>
              <w:tblLook w:val="04A0" w:firstRow="1" w:lastRow="0" w:firstColumn="1" w:lastColumn="0" w:noHBand="0" w:noVBand="1"/>
            </w:tblPr>
            <w:tblGrid>
              <w:gridCol w:w="2840"/>
              <w:gridCol w:w="1180"/>
              <w:gridCol w:w="1180"/>
              <w:gridCol w:w="1180"/>
            </w:tblGrid>
            <w:tr w:rsidR="00794AB1" w:rsidRPr="009B546D" w14:paraId="46CC9FD6" w14:textId="77777777" w:rsidTr="00682BB9">
              <w:trPr>
                <w:trHeight w:val="240"/>
              </w:trPr>
              <w:tc>
                <w:tcPr>
                  <w:tcW w:w="2840" w:type="dxa"/>
                  <w:tcBorders>
                    <w:top w:val="nil"/>
                    <w:left w:val="nil"/>
                    <w:bottom w:val="nil"/>
                    <w:right w:val="nil"/>
                  </w:tcBorders>
                  <w:shd w:val="clear" w:color="auto" w:fill="auto"/>
                  <w:noWrap/>
                  <w:vAlign w:val="bottom"/>
                  <w:hideMark/>
                </w:tcPr>
                <w:p w14:paraId="7321A0B2" w14:textId="77777777" w:rsidR="00794AB1" w:rsidRPr="009B546D" w:rsidRDefault="00794AB1" w:rsidP="00F432B9">
                  <w:pPr>
                    <w:spacing w:after="0" w:line="240" w:lineRule="auto"/>
                    <w:rPr>
                      <w:rFonts w:eastAsia="Times New Roman" w:cstheme="minorHAnsi"/>
                      <w:sz w:val="16"/>
                      <w:szCs w:val="16"/>
                      <w:lang w:eastAsia="en-GB"/>
                    </w:rPr>
                  </w:pPr>
                </w:p>
              </w:tc>
              <w:tc>
                <w:tcPr>
                  <w:tcW w:w="1180" w:type="dxa"/>
                  <w:tcBorders>
                    <w:top w:val="nil"/>
                    <w:left w:val="nil"/>
                    <w:bottom w:val="nil"/>
                    <w:right w:val="nil"/>
                  </w:tcBorders>
                  <w:shd w:val="clear" w:color="auto" w:fill="auto"/>
                  <w:noWrap/>
                  <w:vAlign w:val="bottom"/>
                  <w:hideMark/>
                </w:tcPr>
                <w:p w14:paraId="6C1EB8EF" w14:textId="77777777" w:rsidR="00794AB1" w:rsidRPr="009B546D" w:rsidRDefault="00794AB1" w:rsidP="00F432B9">
                  <w:pPr>
                    <w:spacing w:after="0" w:line="240" w:lineRule="auto"/>
                    <w:rPr>
                      <w:rFonts w:cstheme="minorHAnsi"/>
                      <w:sz w:val="16"/>
                      <w:szCs w:val="16"/>
                    </w:rPr>
                  </w:pPr>
                </w:p>
              </w:tc>
              <w:tc>
                <w:tcPr>
                  <w:tcW w:w="1180" w:type="dxa"/>
                  <w:tcBorders>
                    <w:top w:val="nil"/>
                    <w:left w:val="nil"/>
                    <w:bottom w:val="nil"/>
                    <w:right w:val="nil"/>
                  </w:tcBorders>
                  <w:shd w:val="clear" w:color="auto" w:fill="auto"/>
                  <w:noWrap/>
                  <w:vAlign w:val="bottom"/>
                  <w:hideMark/>
                </w:tcPr>
                <w:p w14:paraId="71A994CB" w14:textId="4FB370F8" w:rsidR="00794AB1" w:rsidRPr="009B546D" w:rsidRDefault="002B7684" w:rsidP="00F432B9">
                  <w:pPr>
                    <w:spacing w:after="0" w:line="240" w:lineRule="auto"/>
                    <w:jc w:val="right"/>
                    <w:rPr>
                      <w:rFonts w:cstheme="minorHAnsi"/>
                      <w:i/>
                      <w:iCs/>
                      <w:color w:val="000000"/>
                      <w:sz w:val="16"/>
                      <w:szCs w:val="16"/>
                    </w:rPr>
                  </w:pPr>
                  <w:r w:rsidRPr="009B546D">
                    <w:rPr>
                      <w:rFonts w:cstheme="minorHAnsi"/>
                      <w:i/>
                      <w:iCs/>
                      <w:color w:val="000000"/>
                      <w:sz w:val="16"/>
                      <w:szCs w:val="16"/>
                    </w:rPr>
                    <w:t xml:space="preserve">Year ended 31 October </w:t>
                  </w:r>
                  <w:r w:rsidR="00794AB1" w:rsidRPr="009B546D">
                    <w:rPr>
                      <w:rFonts w:cstheme="minorHAnsi"/>
                      <w:i/>
                      <w:iCs/>
                      <w:color w:val="000000"/>
                      <w:sz w:val="16"/>
                      <w:szCs w:val="16"/>
                    </w:rPr>
                    <w:t>2019</w:t>
                  </w:r>
                </w:p>
              </w:tc>
              <w:tc>
                <w:tcPr>
                  <w:tcW w:w="1180" w:type="dxa"/>
                  <w:tcBorders>
                    <w:top w:val="nil"/>
                    <w:left w:val="nil"/>
                    <w:bottom w:val="nil"/>
                    <w:right w:val="nil"/>
                  </w:tcBorders>
                  <w:shd w:val="clear" w:color="auto" w:fill="auto"/>
                  <w:noWrap/>
                  <w:vAlign w:val="bottom"/>
                  <w:hideMark/>
                </w:tcPr>
                <w:p w14:paraId="11BE2636" w14:textId="0320DF6D" w:rsidR="00794AB1" w:rsidRPr="009B546D" w:rsidRDefault="002B7684" w:rsidP="00F432B9">
                  <w:pPr>
                    <w:spacing w:after="0" w:line="240" w:lineRule="auto"/>
                    <w:jc w:val="right"/>
                    <w:rPr>
                      <w:rFonts w:cstheme="minorHAnsi"/>
                      <w:i/>
                      <w:iCs/>
                      <w:color w:val="000000"/>
                      <w:sz w:val="16"/>
                      <w:szCs w:val="16"/>
                    </w:rPr>
                  </w:pPr>
                  <w:r w:rsidRPr="009B546D">
                    <w:rPr>
                      <w:rFonts w:cstheme="minorHAnsi"/>
                      <w:i/>
                      <w:iCs/>
                      <w:color w:val="000000"/>
                      <w:sz w:val="16"/>
                      <w:szCs w:val="16"/>
                    </w:rPr>
                    <w:t xml:space="preserve">Period from 11 October 2017 to 31 October </w:t>
                  </w:r>
                  <w:r w:rsidR="00794AB1" w:rsidRPr="009B546D">
                    <w:rPr>
                      <w:rFonts w:cstheme="minorHAnsi"/>
                      <w:i/>
                      <w:iCs/>
                      <w:color w:val="000000"/>
                      <w:sz w:val="16"/>
                      <w:szCs w:val="16"/>
                    </w:rPr>
                    <w:t>2018</w:t>
                  </w:r>
                </w:p>
              </w:tc>
            </w:tr>
            <w:tr w:rsidR="002B7684" w:rsidRPr="009B546D" w14:paraId="101E382A" w14:textId="77777777" w:rsidTr="00682BB9">
              <w:trPr>
                <w:trHeight w:val="240"/>
              </w:trPr>
              <w:tc>
                <w:tcPr>
                  <w:tcW w:w="2840" w:type="dxa"/>
                  <w:tcBorders>
                    <w:top w:val="nil"/>
                    <w:left w:val="nil"/>
                    <w:bottom w:val="nil"/>
                    <w:right w:val="nil"/>
                  </w:tcBorders>
                  <w:shd w:val="clear" w:color="auto" w:fill="auto"/>
                  <w:noWrap/>
                  <w:vAlign w:val="bottom"/>
                </w:tcPr>
                <w:p w14:paraId="42056C6B" w14:textId="77777777" w:rsidR="002B7684" w:rsidRPr="009B546D" w:rsidRDefault="002B7684" w:rsidP="00F432B9">
                  <w:pPr>
                    <w:spacing w:after="0" w:line="240" w:lineRule="auto"/>
                    <w:rPr>
                      <w:rFonts w:eastAsia="Times New Roman" w:cstheme="minorHAnsi"/>
                      <w:sz w:val="16"/>
                      <w:szCs w:val="16"/>
                      <w:lang w:eastAsia="en-GB"/>
                    </w:rPr>
                  </w:pPr>
                </w:p>
              </w:tc>
              <w:tc>
                <w:tcPr>
                  <w:tcW w:w="1180" w:type="dxa"/>
                  <w:tcBorders>
                    <w:top w:val="nil"/>
                    <w:left w:val="nil"/>
                    <w:bottom w:val="nil"/>
                    <w:right w:val="nil"/>
                  </w:tcBorders>
                  <w:shd w:val="clear" w:color="auto" w:fill="auto"/>
                  <w:noWrap/>
                  <w:vAlign w:val="bottom"/>
                </w:tcPr>
                <w:p w14:paraId="651D13FE" w14:textId="77777777" w:rsidR="002B7684" w:rsidRPr="009B546D" w:rsidRDefault="002B7684" w:rsidP="00F432B9">
                  <w:pPr>
                    <w:spacing w:after="0" w:line="240" w:lineRule="auto"/>
                    <w:rPr>
                      <w:rFonts w:cstheme="minorHAnsi"/>
                      <w:sz w:val="16"/>
                      <w:szCs w:val="16"/>
                    </w:rPr>
                  </w:pPr>
                </w:p>
              </w:tc>
              <w:tc>
                <w:tcPr>
                  <w:tcW w:w="1180" w:type="dxa"/>
                  <w:tcBorders>
                    <w:top w:val="nil"/>
                    <w:left w:val="nil"/>
                    <w:bottom w:val="nil"/>
                    <w:right w:val="nil"/>
                  </w:tcBorders>
                  <w:shd w:val="clear" w:color="auto" w:fill="auto"/>
                  <w:noWrap/>
                  <w:vAlign w:val="bottom"/>
                </w:tcPr>
                <w:p w14:paraId="2794F049" w14:textId="725D4D84" w:rsidR="002B7684" w:rsidRPr="009B546D" w:rsidRDefault="002B7684" w:rsidP="00F432B9">
                  <w:pPr>
                    <w:spacing w:after="0" w:line="240" w:lineRule="auto"/>
                    <w:jc w:val="right"/>
                    <w:rPr>
                      <w:rFonts w:cstheme="minorHAnsi"/>
                      <w:i/>
                      <w:iCs/>
                      <w:color w:val="000000"/>
                      <w:sz w:val="16"/>
                      <w:szCs w:val="16"/>
                    </w:rPr>
                  </w:pPr>
                  <w:r w:rsidRPr="009B546D">
                    <w:rPr>
                      <w:rFonts w:cstheme="minorHAnsi"/>
                      <w:i/>
                      <w:iCs/>
                      <w:color w:val="000000"/>
                      <w:sz w:val="16"/>
                      <w:szCs w:val="16"/>
                    </w:rPr>
                    <w:t>£</w:t>
                  </w:r>
                </w:p>
              </w:tc>
              <w:tc>
                <w:tcPr>
                  <w:tcW w:w="1180" w:type="dxa"/>
                  <w:tcBorders>
                    <w:top w:val="nil"/>
                    <w:left w:val="nil"/>
                    <w:bottom w:val="nil"/>
                    <w:right w:val="nil"/>
                  </w:tcBorders>
                  <w:shd w:val="clear" w:color="auto" w:fill="auto"/>
                  <w:noWrap/>
                  <w:vAlign w:val="bottom"/>
                </w:tcPr>
                <w:p w14:paraId="17D2E169" w14:textId="0073ABE1" w:rsidR="002B7684" w:rsidRPr="009B546D" w:rsidRDefault="002B7684" w:rsidP="00F432B9">
                  <w:pPr>
                    <w:spacing w:after="0" w:line="240" w:lineRule="auto"/>
                    <w:jc w:val="right"/>
                    <w:rPr>
                      <w:rFonts w:cstheme="minorHAnsi"/>
                      <w:i/>
                      <w:iCs/>
                      <w:color w:val="000000"/>
                      <w:sz w:val="16"/>
                      <w:szCs w:val="16"/>
                    </w:rPr>
                  </w:pPr>
                  <w:r w:rsidRPr="009B546D">
                    <w:rPr>
                      <w:rFonts w:cstheme="minorHAnsi"/>
                      <w:i/>
                      <w:iCs/>
                      <w:color w:val="000000"/>
                      <w:sz w:val="16"/>
                      <w:szCs w:val="16"/>
                    </w:rPr>
                    <w:t>£</w:t>
                  </w:r>
                </w:p>
              </w:tc>
            </w:tr>
            <w:tr w:rsidR="00794AB1" w:rsidRPr="009B546D" w14:paraId="437C958B" w14:textId="77777777" w:rsidTr="00682BB9">
              <w:trPr>
                <w:trHeight w:val="255"/>
              </w:trPr>
              <w:tc>
                <w:tcPr>
                  <w:tcW w:w="2840" w:type="dxa"/>
                  <w:tcBorders>
                    <w:top w:val="nil"/>
                    <w:left w:val="nil"/>
                    <w:bottom w:val="nil"/>
                    <w:right w:val="nil"/>
                  </w:tcBorders>
                  <w:shd w:val="clear" w:color="auto" w:fill="auto"/>
                  <w:noWrap/>
                  <w:vAlign w:val="bottom"/>
                  <w:hideMark/>
                </w:tcPr>
                <w:p w14:paraId="331CB3C1" w14:textId="77777777" w:rsidR="00794AB1" w:rsidRPr="009B546D" w:rsidRDefault="00794AB1" w:rsidP="00F432B9">
                  <w:pPr>
                    <w:spacing w:after="0" w:line="240" w:lineRule="auto"/>
                    <w:rPr>
                      <w:rFonts w:cstheme="minorHAnsi"/>
                      <w:color w:val="000000"/>
                      <w:sz w:val="16"/>
                      <w:szCs w:val="16"/>
                    </w:rPr>
                  </w:pPr>
                  <w:r w:rsidRPr="009B546D">
                    <w:rPr>
                      <w:rFonts w:cstheme="minorHAnsi"/>
                      <w:color w:val="000000"/>
                      <w:sz w:val="16"/>
                      <w:szCs w:val="16"/>
                    </w:rPr>
                    <w:t xml:space="preserve">Revenue </w:t>
                  </w:r>
                </w:p>
              </w:tc>
              <w:tc>
                <w:tcPr>
                  <w:tcW w:w="1180" w:type="dxa"/>
                  <w:tcBorders>
                    <w:top w:val="nil"/>
                    <w:left w:val="nil"/>
                    <w:bottom w:val="nil"/>
                    <w:right w:val="nil"/>
                  </w:tcBorders>
                  <w:shd w:val="clear" w:color="auto" w:fill="auto"/>
                  <w:vAlign w:val="bottom"/>
                  <w:hideMark/>
                </w:tcPr>
                <w:p w14:paraId="6F28B2E0" w14:textId="77777777" w:rsidR="00794AB1" w:rsidRPr="009B546D" w:rsidRDefault="00794AB1" w:rsidP="00F432B9">
                  <w:pPr>
                    <w:spacing w:after="0" w:line="240" w:lineRule="auto"/>
                    <w:rPr>
                      <w:rFonts w:cstheme="minorHAnsi"/>
                      <w:color w:val="000000"/>
                      <w:sz w:val="16"/>
                      <w:szCs w:val="16"/>
                    </w:rPr>
                  </w:pPr>
                </w:p>
              </w:tc>
              <w:tc>
                <w:tcPr>
                  <w:tcW w:w="1180" w:type="dxa"/>
                  <w:tcBorders>
                    <w:top w:val="nil"/>
                    <w:left w:val="nil"/>
                    <w:bottom w:val="nil"/>
                    <w:right w:val="nil"/>
                  </w:tcBorders>
                  <w:shd w:val="clear" w:color="auto" w:fill="auto"/>
                  <w:vAlign w:val="bottom"/>
                  <w:hideMark/>
                </w:tcPr>
                <w:p w14:paraId="07632B52"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 xml:space="preserve">- </w:t>
                  </w:r>
                </w:p>
              </w:tc>
              <w:tc>
                <w:tcPr>
                  <w:tcW w:w="1180" w:type="dxa"/>
                  <w:tcBorders>
                    <w:top w:val="nil"/>
                    <w:left w:val="nil"/>
                    <w:bottom w:val="nil"/>
                    <w:right w:val="nil"/>
                  </w:tcBorders>
                  <w:shd w:val="clear" w:color="auto" w:fill="auto"/>
                  <w:vAlign w:val="bottom"/>
                  <w:hideMark/>
                </w:tcPr>
                <w:p w14:paraId="0281AAA8"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 xml:space="preserve">- </w:t>
                  </w:r>
                </w:p>
              </w:tc>
            </w:tr>
            <w:tr w:rsidR="00794AB1" w:rsidRPr="009B546D" w14:paraId="5CDAD6CA" w14:textId="77777777" w:rsidTr="00682BB9">
              <w:trPr>
                <w:trHeight w:val="255"/>
              </w:trPr>
              <w:tc>
                <w:tcPr>
                  <w:tcW w:w="2840" w:type="dxa"/>
                  <w:tcBorders>
                    <w:top w:val="nil"/>
                    <w:left w:val="nil"/>
                    <w:bottom w:val="nil"/>
                    <w:right w:val="nil"/>
                  </w:tcBorders>
                  <w:shd w:val="clear" w:color="auto" w:fill="auto"/>
                  <w:noWrap/>
                  <w:vAlign w:val="bottom"/>
                  <w:hideMark/>
                </w:tcPr>
                <w:p w14:paraId="1D81DD47" w14:textId="77777777" w:rsidR="00794AB1" w:rsidRPr="009B546D" w:rsidRDefault="00794AB1" w:rsidP="00F432B9">
                  <w:pPr>
                    <w:spacing w:after="0" w:line="240" w:lineRule="auto"/>
                    <w:rPr>
                      <w:rFonts w:cstheme="minorHAnsi"/>
                      <w:color w:val="000000"/>
                      <w:sz w:val="16"/>
                      <w:szCs w:val="16"/>
                    </w:rPr>
                  </w:pPr>
                  <w:r w:rsidRPr="009B546D">
                    <w:rPr>
                      <w:rFonts w:cstheme="minorHAnsi"/>
                      <w:color w:val="000000"/>
                      <w:sz w:val="16"/>
                      <w:szCs w:val="16"/>
                    </w:rPr>
                    <w:t xml:space="preserve">Administrative expenses </w:t>
                  </w:r>
                </w:p>
              </w:tc>
              <w:tc>
                <w:tcPr>
                  <w:tcW w:w="1180" w:type="dxa"/>
                  <w:tcBorders>
                    <w:top w:val="nil"/>
                    <w:left w:val="nil"/>
                    <w:bottom w:val="nil"/>
                    <w:right w:val="nil"/>
                  </w:tcBorders>
                  <w:shd w:val="clear" w:color="auto" w:fill="auto"/>
                  <w:vAlign w:val="bottom"/>
                  <w:hideMark/>
                </w:tcPr>
                <w:p w14:paraId="1A12A6DD" w14:textId="77777777" w:rsidR="00794AB1" w:rsidRPr="009B546D" w:rsidRDefault="00794AB1" w:rsidP="00F432B9">
                  <w:pPr>
                    <w:spacing w:after="0" w:line="240" w:lineRule="auto"/>
                    <w:jc w:val="right"/>
                    <w:rPr>
                      <w:rFonts w:cstheme="minorHAnsi"/>
                      <w:color w:val="000000"/>
                      <w:sz w:val="16"/>
                      <w:szCs w:val="16"/>
                    </w:rPr>
                  </w:pPr>
                </w:p>
              </w:tc>
              <w:tc>
                <w:tcPr>
                  <w:tcW w:w="1180" w:type="dxa"/>
                  <w:tcBorders>
                    <w:top w:val="nil"/>
                    <w:left w:val="nil"/>
                    <w:bottom w:val="nil"/>
                    <w:right w:val="nil"/>
                  </w:tcBorders>
                  <w:shd w:val="clear" w:color="auto" w:fill="auto"/>
                  <w:vAlign w:val="bottom"/>
                  <w:hideMark/>
                </w:tcPr>
                <w:p w14:paraId="58983D5B" w14:textId="1F280BED" w:rsidR="00794AB1" w:rsidRPr="009B546D" w:rsidRDefault="00794AB1" w:rsidP="00F432B9">
                  <w:pPr>
                    <w:spacing w:after="0" w:line="240" w:lineRule="auto"/>
                    <w:jc w:val="right"/>
                    <w:rPr>
                      <w:rFonts w:cstheme="minorHAnsi"/>
                      <w:sz w:val="16"/>
                      <w:szCs w:val="16"/>
                    </w:rPr>
                  </w:pPr>
                  <w:r w:rsidRPr="009B546D">
                    <w:rPr>
                      <w:rFonts w:cstheme="minorHAnsi"/>
                      <w:sz w:val="16"/>
                      <w:szCs w:val="16"/>
                    </w:rPr>
                    <w:t>(4</w:t>
                  </w:r>
                  <w:r w:rsidR="002B7684" w:rsidRPr="009B546D">
                    <w:rPr>
                      <w:rFonts w:cstheme="minorHAnsi"/>
                      <w:sz w:val="16"/>
                      <w:szCs w:val="16"/>
                    </w:rPr>
                    <w:t>87</w:t>
                  </w:r>
                  <w:r w:rsidRPr="009B546D">
                    <w:rPr>
                      <w:rFonts w:cstheme="minorHAnsi"/>
                      <w:sz w:val="16"/>
                      <w:szCs w:val="16"/>
                    </w:rPr>
                    <w:t>,7</w:t>
                  </w:r>
                  <w:r w:rsidR="00407261" w:rsidRPr="009B546D">
                    <w:rPr>
                      <w:rFonts w:cstheme="minorHAnsi"/>
                      <w:sz w:val="16"/>
                      <w:szCs w:val="16"/>
                    </w:rPr>
                    <w:t>9</w:t>
                  </w:r>
                  <w:r w:rsidRPr="009B546D">
                    <w:rPr>
                      <w:rFonts w:cstheme="minorHAnsi"/>
                      <w:sz w:val="16"/>
                      <w:szCs w:val="16"/>
                    </w:rPr>
                    <w:t>1)</w:t>
                  </w:r>
                </w:p>
              </w:tc>
              <w:tc>
                <w:tcPr>
                  <w:tcW w:w="1180" w:type="dxa"/>
                  <w:tcBorders>
                    <w:top w:val="nil"/>
                    <w:left w:val="nil"/>
                    <w:bottom w:val="nil"/>
                    <w:right w:val="nil"/>
                  </w:tcBorders>
                  <w:shd w:val="clear" w:color="auto" w:fill="auto"/>
                  <w:vAlign w:val="bottom"/>
                  <w:hideMark/>
                </w:tcPr>
                <w:p w14:paraId="6376BA6D" w14:textId="77777777" w:rsidR="00794AB1" w:rsidRPr="009B546D" w:rsidRDefault="00794AB1" w:rsidP="00F432B9">
                  <w:pPr>
                    <w:spacing w:after="0" w:line="240" w:lineRule="auto"/>
                    <w:jc w:val="right"/>
                    <w:rPr>
                      <w:rFonts w:cstheme="minorHAnsi"/>
                      <w:sz w:val="16"/>
                      <w:szCs w:val="16"/>
                    </w:rPr>
                  </w:pPr>
                  <w:r w:rsidRPr="009B546D">
                    <w:rPr>
                      <w:rFonts w:cstheme="minorHAnsi"/>
                      <w:sz w:val="16"/>
                      <w:szCs w:val="16"/>
                    </w:rPr>
                    <w:t>(381,806)</w:t>
                  </w:r>
                </w:p>
              </w:tc>
            </w:tr>
            <w:tr w:rsidR="00794AB1" w:rsidRPr="009B546D" w14:paraId="7DE7C606" w14:textId="77777777" w:rsidTr="00682BB9">
              <w:trPr>
                <w:trHeight w:val="255"/>
              </w:trPr>
              <w:tc>
                <w:tcPr>
                  <w:tcW w:w="2840" w:type="dxa"/>
                  <w:tcBorders>
                    <w:top w:val="nil"/>
                    <w:left w:val="nil"/>
                    <w:bottom w:val="nil"/>
                    <w:right w:val="nil"/>
                  </w:tcBorders>
                  <w:shd w:val="clear" w:color="auto" w:fill="auto"/>
                  <w:noWrap/>
                  <w:vAlign w:val="bottom"/>
                  <w:hideMark/>
                </w:tcPr>
                <w:p w14:paraId="526EF280" w14:textId="77777777" w:rsidR="00794AB1" w:rsidRPr="009B546D" w:rsidRDefault="00794AB1" w:rsidP="00F432B9">
                  <w:pPr>
                    <w:spacing w:after="0" w:line="240" w:lineRule="auto"/>
                    <w:rPr>
                      <w:rFonts w:cstheme="minorHAnsi"/>
                      <w:color w:val="000000"/>
                      <w:sz w:val="16"/>
                      <w:szCs w:val="16"/>
                    </w:rPr>
                  </w:pPr>
                  <w:r w:rsidRPr="009B546D">
                    <w:rPr>
                      <w:rFonts w:cstheme="minorHAnsi"/>
                      <w:color w:val="000000"/>
                      <w:sz w:val="16"/>
                      <w:szCs w:val="16"/>
                    </w:rPr>
                    <w:t>Transaction costs</w:t>
                  </w:r>
                </w:p>
              </w:tc>
              <w:tc>
                <w:tcPr>
                  <w:tcW w:w="1180" w:type="dxa"/>
                  <w:tcBorders>
                    <w:top w:val="nil"/>
                    <w:left w:val="nil"/>
                    <w:bottom w:val="nil"/>
                    <w:right w:val="nil"/>
                  </w:tcBorders>
                  <w:shd w:val="clear" w:color="auto" w:fill="auto"/>
                  <w:vAlign w:val="bottom"/>
                  <w:hideMark/>
                </w:tcPr>
                <w:p w14:paraId="055A00A7" w14:textId="77777777" w:rsidR="00794AB1" w:rsidRPr="009B546D" w:rsidRDefault="00794AB1" w:rsidP="00F432B9">
                  <w:pPr>
                    <w:spacing w:after="0" w:line="240" w:lineRule="auto"/>
                    <w:rPr>
                      <w:rFonts w:cstheme="minorHAnsi"/>
                      <w:color w:val="000000"/>
                      <w:sz w:val="16"/>
                      <w:szCs w:val="16"/>
                    </w:rPr>
                  </w:pPr>
                </w:p>
              </w:tc>
              <w:tc>
                <w:tcPr>
                  <w:tcW w:w="1180" w:type="dxa"/>
                  <w:tcBorders>
                    <w:top w:val="nil"/>
                    <w:left w:val="nil"/>
                    <w:bottom w:val="nil"/>
                    <w:right w:val="nil"/>
                  </w:tcBorders>
                  <w:shd w:val="clear" w:color="auto" w:fill="auto"/>
                  <w:vAlign w:val="bottom"/>
                  <w:hideMark/>
                </w:tcPr>
                <w:p w14:paraId="68D7CC93" w14:textId="77F661C6" w:rsidR="00794AB1" w:rsidRPr="009B546D" w:rsidRDefault="00794AB1" w:rsidP="00F432B9">
                  <w:pPr>
                    <w:spacing w:after="0" w:line="240" w:lineRule="auto"/>
                    <w:jc w:val="right"/>
                    <w:rPr>
                      <w:rFonts w:cstheme="minorHAnsi"/>
                      <w:color w:val="000000"/>
                      <w:sz w:val="16"/>
                      <w:szCs w:val="16"/>
                    </w:rPr>
                  </w:pPr>
                  <w:r w:rsidRPr="009B546D">
                    <w:rPr>
                      <w:rFonts w:cstheme="minorHAnsi"/>
                      <w:sz w:val="16"/>
                      <w:szCs w:val="16"/>
                    </w:rPr>
                    <w:t>-</w:t>
                  </w:r>
                </w:p>
              </w:tc>
              <w:tc>
                <w:tcPr>
                  <w:tcW w:w="1180" w:type="dxa"/>
                  <w:tcBorders>
                    <w:top w:val="nil"/>
                    <w:left w:val="nil"/>
                    <w:bottom w:val="nil"/>
                    <w:right w:val="nil"/>
                  </w:tcBorders>
                  <w:shd w:val="clear" w:color="auto" w:fill="auto"/>
                  <w:vAlign w:val="bottom"/>
                  <w:hideMark/>
                </w:tcPr>
                <w:p w14:paraId="39D00F4D"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(438,096)</w:t>
                  </w:r>
                </w:p>
              </w:tc>
            </w:tr>
            <w:tr w:rsidR="00794AB1" w:rsidRPr="009B546D" w14:paraId="2D3CA8EE" w14:textId="77777777" w:rsidTr="003633CD">
              <w:trPr>
                <w:trHeight w:val="255"/>
              </w:trPr>
              <w:tc>
                <w:tcPr>
                  <w:tcW w:w="2840" w:type="dxa"/>
                  <w:tcBorders>
                    <w:top w:val="nil"/>
                    <w:left w:val="nil"/>
                    <w:bottom w:val="nil"/>
                    <w:right w:val="nil"/>
                  </w:tcBorders>
                  <w:shd w:val="clear" w:color="auto" w:fill="auto"/>
                  <w:noWrap/>
                  <w:vAlign w:val="bottom"/>
                  <w:hideMark/>
                </w:tcPr>
                <w:p w14:paraId="3FA4D834" w14:textId="77777777" w:rsidR="00794AB1" w:rsidRPr="009B546D" w:rsidRDefault="00794AB1" w:rsidP="00F432B9">
                  <w:pPr>
                    <w:spacing w:after="0" w:line="240" w:lineRule="auto"/>
                    <w:rPr>
                      <w:rFonts w:cstheme="minorHAnsi"/>
                      <w:color w:val="000000"/>
                      <w:sz w:val="16"/>
                      <w:szCs w:val="16"/>
                    </w:rPr>
                  </w:pPr>
                  <w:r w:rsidRPr="009B546D">
                    <w:rPr>
                      <w:rFonts w:cstheme="minorHAnsi"/>
                      <w:color w:val="000000"/>
                      <w:sz w:val="16"/>
                      <w:szCs w:val="16"/>
                    </w:rPr>
                    <w:t xml:space="preserve">Gains on foreign exchange (net) </w:t>
                  </w:r>
                </w:p>
              </w:tc>
              <w:tc>
                <w:tcPr>
                  <w:tcW w:w="1180" w:type="dxa"/>
                  <w:tcBorders>
                    <w:top w:val="nil"/>
                    <w:left w:val="nil"/>
                    <w:bottom w:val="nil"/>
                    <w:right w:val="nil"/>
                  </w:tcBorders>
                  <w:shd w:val="clear" w:color="auto" w:fill="auto"/>
                  <w:vAlign w:val="bottom"/>
                  <w:hideMark/>
                </w:tcPr>
                <w:p w14:paraId="32071ED4" w14:textId="77777777" w:rsidR="00794AB1" w:rsidRPr="009B546D" w:rsidRDefault="00794AB1" w:rsidP="00F432B9">
                  <w:pPr>
                    <w:spacing w:after="0" w:line="240" w:lineRule="auto"/>
                    <w:rPr>
                      <w:rFonts w:cstheme="minorHAnsi"/>
                      <w:color w:val="000000"/>
                      <w:sz w:val="16"/>
                      <w:szCs w:val="16"/>
                    </w:rPr>
                  </w:pPr>
                </w:p>
              </w:tc>
              <w:tc>
                <w:tcPr>
                  <w:tcW w:w="1180" w:type="dxa"/>
                  <w:tcBorders>
                    <w:top w:val="nil"/>
                    <w:left w:val="nil"/>
                    <w:bottom w:val="single" w:sz="4" w:space="0" w:color="auto"/>
                    <w:right w:val="nil"/>
                  </w:tcBorders>
                  <w:shd w:val="clear" w:color="auto" w:fill="auto"/>
                  <w:vAlign w:val="bottom"/>
                  <w:hideMark/>
                </w:tcPr>
                <w:p w14:paraId="56367FFC"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sz w:val="16"/>
                      <w:szCs w:val="16"/>
                    </w:rPr>
                    <w:t>(35,630)</w:t>
                  </w:r>
                  <w:r w:rsidRPr="009B546D">
                    <w:rPr>
                      <w:rFonts w:cstheme="minorHAnsi"/>
                      <w:color w:val="000000"/>
                      <w:sz w:val="16"/>
                      <w:szCs w:val="16"/>
                    </w:rPr>
                    <w:t xml:space="preserve"> </w:t>
                  </w:r>
                </w:p>
              </w:tc>
              <w:tc>
                <w:tcPr>
                  <w:tcW w:w="1180" w:type="dxa"/>
                  <w:tcBorders>
                    <w:top w:val="nil"/>
                    <w:left w:val="nil"/>
                    <w:bottom w:val="single" w:sz="4" w:space="0" w:color="auto"/>
                    <w:right w:val="nil"/>
                  </w:tcBorders>
                  <w:shd w:val="clear" w:color="auto" w:fill="auto"/>
                  <w:vAlign w:val="bottom"/>
                  <w:hideMark/>
                </w:tcPr>
                <w:p w14:paraId="03D8BFA4" w14:textId="665CAF7F"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147,078</w:t>
                  </w:r>
                </w:p>
              </w:tc>
            </w:tr>
            <w:tr w:rsidR="00794AB1" w:rsidRPr="009B546D" w14:paraId="30EDC05F" w14:textId="77777777" w:rsidTr="003633CD">
              <w:trPr>
                <w:trHeight w:val="255"/>
              </w:trPr>
              <w:tc>
                <w:tcPr>
                  <w:tcW w:w="2840" w:type="dxa"/>
                  <w:tcBorders>
                    <w:top w:val="nil"/>
                    <w:left w:val="nil"/>
                    <w:bottom w:val="nil"/>
                    <w:right w:val="nil"/>
                  </w:tcBorders>
                  <w:shd w:val="clear" w:color="auto" w:fill="auto"/>
                  <w:noWrap/>
                  <w:vAlign w:val="bottom"/>
                  <w:hideMark/>
                </w:tcPr>
                <w:p w14:paraId="0B298EB4" w14:textId="77777777" w:rsidR="00794AB1" w:rsidRPr="009B546D" w:rsidRDefault="00794AB1" w:rsidP="00F432B9">
                  <w:pPr>
                    <w:spacing w:after="0" w:line="240" w:lineRule="auto"/>
                    <w:rPr>
                      <w:rFonts w:cstheme="minorHAnsi"/>
                      <w:b/>
                      <w:bCs/>
                      <w:color w:val="000000"/>
                      <w:sz w:val="16"/>
                      <w:szCs w:val="16"/>
                    </w:rPr>
                  </w:pPr>
                  <w:r w:rsidRPr="009B546D">
                    <w:rPr>
                      <w:rFonts w:cstheme="minorHAnsi"/>
                      <w:b/>
                      <w:bCs/>
                      <w:color w:val="000000"/>
                      <w:sz w:val="16"/>
                      <w:szCs w:val="16"/>
                    </w:rPr>
                    <w:t xml:space="preserve">Operating loss </w:t>
                  </w:r>
                </w:p>
              </w:tc>
              <w:tc>
                <w:tcPr>
                  <w:tcW w:w="1180" w:type="dxa"/>
                  <w:tcBorders>
                    <w:top w:val="nil"/>
                    <w:left w:val="nil"/>
                    <w:bottom w:val="nil"/>
                    <w:right w:val="nil"/>
                  </w:tcBorders>
                  <w:shd w:val="clear" w:color="auto" w:fill="auto"/>
                  <w:noWrap/>
                  <w:vAlign w:val="bottom"/>
                  <w:hideMark/>
                </w:tcPr>
                <w:p w14:paraId="54543381" w14:textId="77777777" w:rsidR="00794AB1" w:rsidRPr="009B546D" w:rsidRDefault="00794AB1" w:rsidP="00F432B9">
                  <w:pPr>
                    <w:spacing w:after="0" w:line="240" w:lineRule="auto"/>
                    <w:rPr>
                      <w:rFonts w:cstheme="minorHAnsi"/>
                      <w:b/>
                      <w:bCs/>
                      <w:color w:val="000000"/>
                      <w:sz w:val="16"/>
                      <w:szCs w:val="16"/>
                    </w:rPr>
                  </w:pPr>
                </w:p>
              </w:tc>
              <w:tc>
                <w:tcPr>
                  <w:tcW w:w="1180" w:type="dxa"/>
                  <w:tcBorders>
                    <w:top w:val="single" w:sz="4" w:space="0" w:color="auto"/>
                    <w:left w:val="nil"/>
                    <w:bottom w:val="nil"/>
                    <w:right w:val="nil"/>
                  </w:tcBorders>
                  <w:shd w:val="clear" w:color="auto" w:fill="auto"/>
                  <w:noWrap/>
                  <w:vAlign w:val="bottom"/>
                  <w:hideMark/>
                </w:tcPr>
                <w:p w14:paraId="3D48CAD5" w14:textId="5E5E46D5" w:rsidR="00794AB1" w:rsidRPr="009B546D" w:rsidRDefault="00794AB1" w:rsidP="00F432B9">
                  <w:pPr>
                    <w:spacing w:after="0" w:line="240" w:lineRule="auto"/>
                    <w:jc w:val="right"/>
                    <w:rPr>
                      <w:rFonts w:cstheme="minorHAnsi"/>
                      <w:b/>
                      <w:bCs/>
                      <w:color w:val="000000"/>
                      <w:sz w:val="16"/>
                      <w:szCs w:val="16"/>
                    </w:rPr>
                  </w:pPr>
                  <w:r w:rsidRPr="009B546D">
                    <w:rPr>
                      <w:rFonts w:cstheme="minorHAnsi"/>
                      <w:b/>
                      <w:bCs/>
                      <w:color w:val="000000"/>
                      <w:sz w:val="16"/>
                      <w:szCs w:val="16"/>
                    </w:rPr>
                    <w:t>(</w:t>
                  </w:r>
                  <w:r w:rsidR="002B7684" w:rsidRPr="009B546D">
                    <w:rPr>
                      <w:rFonts w:cstheme="minorHAnsi"/>
                      <w:b/>
                      <w:bCs/>
                      <w:color w:val="000000"/>
                      <w:sz w:val="16"/>
                      <w:szCs w:val="16"/>
                    </w:rPr>
                    <w:t>523</w:t>
                  </w:r>
                  <w:r w:rsidRPr="009B546D">
                    <w:rPr>
                      <w:rFonts w:cstheme="minorHAnsi"/>
                      <w:b/>
                      <w:bCs/>
                      <w:color w:val="000000"/>
                      <w:sz w:val="16"/>
                      <w:szCs w:val="16"/>
                    </w:rPr>
                    <w:t>,421)</w:t>
                  </w:r>
                </w:p>
              </w:tc>
              <w:tc>
                <w:tcPr>
                  <w:tcW w:w="1180" w:type="dxa"/>
                  <w:tcBorders>
                    <w:top w:val="single" w:sz="4" w:space="0" w:color="auto"/>
                    <w:left w:val="nil"/>
                    <w:bottom w:val="nil"/>
                    <w:right w:val="nil"/>
                  </w:tcBorders>
                  <w:shd w:val="clear" w:color="auto" w:fill="auto"/>
                  <w:noWrap/>
                  <w:vAlign w:val="bottom"/>
                  <w:hideMark/>
                </w:tcPr>
                <w:p w14:paraId="2C9A2798" w14:textId="77777777" w:rsidR="00794AB1" w:rsidRPr="009B546D" w:rsidRDefault="00794AB1" w:rsidP="00F432B9">
                  <w:pPr>
                    <w:spacing w:after="0" w:line="240" w:lineRule="auto"/>
                    <w:jc w:val="right"/>
                    <w:rPr>
                      <w:rFonts w:cstheme="minorHAnsi"/>
                      <w:b/>
                      <w:bCs/>
                      <w:color w:val="000000"/>
                      <w:sz w:val="16"/>
                      <w:szCs w:val="16"/>
                    </w:rPr>
                  </w:pPr>
                  <w:r w:rsidRPr="009B546D">
                    <w:rPr>
                      <w:rFonts w:cstheme="minorHAnsi"/>
                      <w:b/>
                      <w:bCs/>
                      <w:color w:val="000000"/>
                      <w:sz w:val="16"/>
                      <w:szCs w:val="16"/>
                    </w:rPr>
                    <w:t>(672,824)</w:t>
                  </w:r>
                </w:p>
              </w:tc>
            </w:tr>
            <w:tr w:rsidR="00794AB1" w:rsidRPr="009B546D" w14:paraId="2E3E1D90" w14:textId="77777777" w:rsidTr="003633CD">
              <w:trPr>
                <w:trHeight w:val="255"/>
              </w:trPr>
              <w:tc>
                <w:tcPr>
                  <w:tcW w:w="2840" w:type="dxa"/>
                  <w:tcBorders>
                    <w:top w:val="nil"/>
                    <w:left w:val="nil"/>
                    <w:bottom w:val="nil"/>
                    <w:right w:val="nil"/>
                  </w:tcBorders>
                  <w:shd w:val="clear" w:color="auto" w:fill="auto"/>
                  <w:noWrap/>
                  <w:vAlign w:val="bottom"/>
                  <w:hideMark/>
                </w:tcPr>
                <w:p w14:paraId="2BF9C14C" w14:textId="77777777" w:rsidR="00794AB1" w:rsidRPr="009B546D" w:rsidRDefault="00794AB1" w:rsidP="00F432B9">
                  <w:pPr>
                    <w:spacing w:after="0" w:line="240" w:lineRule="auto"/>
                    <w:rPr>
                      <w:rFonts w:cstheme="minorHAnsi"/>
                      <w:color w:val="000000"/>
                      <w:sz w:val="16"/>
                      <w:szCs w:val="16"/>
                    </w:rPr>
                  </w:pPr>
                  <w:r w:rsidRPr="009B546D">
                    <w:rPr>
                      <w:rFonts w:cstheme="minorHAnsi"/>
                      <w:color w:val="000000"/>
                      <w:sz w:val="16"/>
                      <w:szCs w:val="16"/>
                    </w:rPr>
                    <w:t xml:space="preserve">Finance income </w:t>
                  </w:r>
                </w:p>
              </w:tc>
              <w:tc>
                <w:tcPr>
                  <w:tcW w:w="1180" w:type="dxa"/>
                  <w:tcBorders>
                    <w:top w:val="nil"/>
                    <w:left w:val="nil"/>
                    <w:bottom w:val="nil"/>
                    <w:right w:val="nil"/>
                  </w:tcBorders>
                  <w:shd w:val="clear" w:color="auto" w:fill="auto"/>
                  <w:noWrap/>
                  <w:vAlign w:val="bottom"/>
                  <w:hideMark/>
                </w:tcPr>
                <w:p w14:paraId="277950B6" w14:textId="77777777" w:rsidR="00794AB1" w:rsidRPr="009B546D" w:rsidRDefault="00794AB1" w:rsidP="00F432B9">
                  <w:pPr>
                    <w:spacing w:after="0" w:line="240" w:lineRule="auto"/>
                    <w:rPr>
                      <w:rFonts w:cstheme="minorHAnsi"/>
                      <w:color w:val="000000"/>
                      <w:sz w:val="16"/>
                      <w:szCs w:val="16"/>
                    </w:rPr>
                  </w:pPr>
                </w:p>
              </w:tc>
              <w:tc>
                <w:tcPr>
                  <w:tcW w:w="1180" w:type="dxa"/>
                  <w:tcBorders>
                    <w:top w:val="nil"/>
                    <w:left w:val="nil"/>
                    <w:bottom w:val="single" w:sz="4" w:space="0" w:color="auto"/>
                    <w:right w:val="nil"/>
                  </w:tcBorders>
                  <w:shd w:val="clear" w:color="auto" w:fill="auto"/>
                  <w:vAlign w:val="bottom"/>
                  <w:hideMark/>
                </w:tcPr>
                <w:p w14:paraId="741A1042" w14:textId="0FDD38B5"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19,8</w:t>
                  </w:r>
                  <w:r w:rsidR="00407261" w:rsidRPr="009B546D">
                    <w:rPr>
                      <w:rFonts w:cstheme="minorHAnsi"/>
                      <w:color w:val="000000"/>
                      <w:sz w:val="16"/>
                      <w:szCs w:val="16"/>
                    </w:rPr>
                    <w:t>1</w:t>
                  </w:r>
                  <w:r w:rsidRPr="009B546D">
                    <w:rPr>
                      <w:rFonts w:cstheme="minorHAnsi"/>
                      <w:color w:val="000000"/>
                      <w:sz w:val="16"/>
                      <w:szCs w:val="16"/>
                    </w:rPr>
                    <w:t>3</w:t>
                  </w:r>
                </w:p>
              </w:tc>
              <w:tc>
                <w:tcPr>
                  <w:tcW w:w="1180" w:type="dxa"/>
                  <w:tcBorders>
                    <w:top w:val="nil"/>
                    <w:left w:val="nil"/>
                    <w:bottom w:val="single" w:sz="4" w:space="0" w:color="auto"/>
                    <w:right w:val="nil"/>
                  </w:tcBorders>
                  <w:shd w:val="clear" w:color="auto" w:fill="auto"/>
                  <w:vAlign w:val="bottom"/>
                  <w:hideMark/>
                </w:tcPr>
                <w:p w14:paraId="26EEB262"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 xml:space="preserve">18,548 </w:t>
                  </w:r>
                </w:p>
              </w:tc>
            </w:tr>
            <w:tr w:rsidR="00794AB1" w:rsidRPr="009B546D" w14:paraId="6DE23FEF" w14:textId="77777777" w:rsidTr="003633CD">
              <w:trPr>
                <w:trHeight w:val="255"/>
              </w:trPr>
              <w:tc>
                <w:tcPr>
                  <w:tcW w:w="2840" w:type="dxa"/>
                  <w:tcBorders>
                    <w:top w:val="nil"/>
                    <w:left w:val="nil"/>
                    <w:bottom w:val="nil"/>
                    <w:right w:val="nil"/>
                  </w:tcBorders>
                  <w:shd w:val="clear" w:color="auto" w:fill="auto"/>
                  <w:noWrap/>
                  <w:vAlign w:val="bottom"/>
                  <w:hideMark/>
                </w:tcPr>
                <w:p w14:paraId="2000ED7D" w14:textId="77777777" w:rsidR="00794AB1" w:rsidRPr="009B546D" w:rsidRDefault="00794AB1" w:rsidP="00F432B9">
                  <w:pPr>
                    <w:spacing w:after="0" w:line="240" w:lineRule="auto"/>
                    <w:rPr>
                      <w:rFonts w:cstheme="minorHAnsi"/>
                      <w:b/>
                      <w:bCs/>
                      <w:color w:val="000000"/>
                      <w:sz w:val="16"/>
                      <w:szCs w:val="16"/>
                    </w:rPr>
                  </w:pPr>
                  <w:r w:rsidRPr="009B546D">
                    <w:rPr>
                      <w:rFonts w:cstheme="minorHAnsi"/>
                      <w:b/>
                      <w:bCs/>
                      <w:color w:val="000000"/>
                      <w:sz w:val="16"/>
                      <w:szCs w:val="16"/>
                    </w:rPr>
                    <w:t xml:space="preserve">Loss before taxation </w:t>
                  </w:r>
                </w:p>
              </w:tc>
              <w:tc>
                <w:tcPr>
                  <w:tcW w:w="1180" w:type="dxa"/>
                  <w:tcBorders>
                    <w:top w:val="nil"/>
                    <w:left w:val="nil"/>
                    <w:bottom w:val="nil"/>
                    <w:right w:val="nil"/>
                  </w:tcBorders>
                  <w:shd w:val="clear" w:color="auto" w:fill="auto"/>
                  <w:noWrap/>
                  <w:vAlign w:val="bottom"/>
                  <w:hideMark/>
                </w:tcPr>
                <w:p w14:paraId="5EA39585" w14:textId="77777777" w:rsidR="00794AB1" w:rsidRPr="009B546D" w:rsidRDefault="00794AB1" w:rsidP="00F432B9">
                  <w:pPr>
                    <w:spacing w:after="0" w:line="240" w:lineRule="auto"/>
                    <w:rPr>
                      <w:rFonts w:cstheme="minorHAnsi"/>
                      <w:b/>
                      <w:bCs/>
                      <w:color w:val="000000"/>
                      <w:sz w:val="16"/>
                      <w:szCs w:val="16"/>
                    </w:rPr>
                  </w:pPr>
                </w:p>
              </w:tc>
              <w:tc>
                <w:tcPr>
                  <w:tcW w:w="1180" w:type="dxa"/>
                  <w:tcBorders>
                    <w:top w:val="single" w:sz="4" w:space="0" w:color="auto"/>
                    <w:left w:val="nil"/>
                    <w:bottom w:val="single" w:sz="4" w:space="0" w:color="auto"/>
                    <w:right w:val="nil"/>
                  </w:tcBorders>
                  <w:shd w:val="clear" w:color="auto" w:fill="auto"/>
                  <w:noWrap/>
                  <w:vAlign w:val="bottom"/>
                  <w:hideMark/>
                </w:tcPr>
                <w:p w14:paraId="44AC0999" w14:textId="389A5C3A" w:rsidR="00794AB1" w:rsidRPr="009B546D" w:rsidRDefault="00794AB1" w:rsidP="00F432B9">
                  <w:pPr>
                    <w:spacing w:after="0" w:line="240" w:lineRule="auto"/>
                    <w:jc w:val="right"/>
                    <w:rPr>
                      <w:rFonts w:cstheme="minorHAnsi"/>
                      <w:b/>
                      <w:bCs/>
                      <w:color w:val="000000"/>
                      <w:sz w:val="16"/>
                      <w:szCs w:val="16"/>
                    </w:rPr>
                  </w:pPr>
                  <w:r w:rsidRPr="009B546D">
                    <w:rPr>
                      <w:rFonts w:cstheme="minorHAnsi"/>
                      <w:b/>
                      <w:bCs/>
                      <w:color w:val="000000"/>
                      <w:sz w:val="16"/>
                      <w:szCs w:val="16"/>
                    </w:rPr>
                    <w:t>(</w:t>
                  </w:r>
                  <w:r w:rsidR="00407261" w:rsidRPr="009B546D">
                    <w:rPr>
                      <w:rFonts w:cstheme="minorHAnsi"/>
                      <w:b/>
                      <w:bCs/>
                      <w:color w:val="000000"/>
                      <w:sz w:val="16"/>
                      <w:szCs w:val="16"/>
                    </w:rPr>
                    <w:t>503</w:t>
                  </w:r>
                  <w:r w:rsidRPr="009B546D">
                    <w:rPr>
                      <w:rFonts w:cstheme="minorHAnsi"/>
                      <w:b/>
                      <w:bCs/>
                      <w:color w:val="000000"/>
                      <w:sz w:val="16"/>
                      <w:szCs w:val="16"/>
                    </w:rPr>
                    <w:t>,608)</w:t>
                  </w:r>
                </w:p>
              </w:tc>
              <w:tc>
                <w:tcPr>
                  <w:tcW w:w="1180" w:type="dxa"/>
                  <w:tcBorders>
                    <w:top w:val="single" w:sz="4" w:space="0" w:color="auto"/>
                    <w:left w:val="nil"/>
                    <w:bottom w:val="single" w:sz="4" w:space="0" w:color="auto"/>
                    <w:right w:val="nil"/>
                  </w:tcBorders>
                  <w:shd w:val="clear" w:color="auto" w:fill="auto"/>
                  <w:noWrap/>
                  <w:vAlign w:val="bottom"/>
                  <w:hideMark/>
                </w:tcPr>
                <w:p w14:paraId="16F91D35" w14:textId="77777777" w:rsidR="00794AB1" w:rsidRPr="009B546D" w:rsidRDefault="00794AB1" w:rsidP="00F432B9">
                  <w:pPr>
                    <w:spacing w:after="0" w:line="240" w:lineRule="auto"/>
                    <w:jc w:val="right"/>
                    <w:rPr>
                      <w:rFonts w:cstheme="minorHAnsi"/>
                      <w:b/>
                      <w:bCs/>
                      <w:color w:val="000000"/>
                      <w:sz w:val="16"/>
                      <w:szCs w:val="16"/>
                    </w:rPr>
                  </w:pPr>
                  <w:r w:rsidRPr="009B546D">
                    <w:rPr>
                      <w:rFonts w:cstheme="minorHAnsi"/>
                      <w:b/>
                      <w:bCs/>
                      <w:color w:val="000000"/>
                      <w:sz w:val="16"/>
                      <w:szCs w:val="16"/>
                    </w:rPr>
                    <w:t>(654,276)</w:t>
                  </w:r>
                </w:p>
              </w:tc>
            </w:tr>
            <w:tr w:rsidR="00794AB1" w:rsidRPr="009B546D" w14:paraId="7DCD7197" w14:textId="77777777" w:rsidTr="003633CD">
              <w:trPr>
                <w:trHeight w:val="255"/>
              </w:trPr>
              <w:tc>
                <w:tcPr>
                  <w:tcW w:w="2840" w:type="dxa"/>
                  <w:tcBorders>
                    <w:top w:val="nil"/>
                    <w:left w:val="nil"/>
                    <w:bottom w:val="nil"/>
                    <w:right w:val="nil"/>
                  </w:tcBorders>
                  <w:shd w:val="clear" w:color="auto" w:fill="auto"/>
                  <w:noWrap/>
                  <w:vAlign w:val="bottom"/>
                  <w:hideMark/>
                </w:tcPr>
                <w:p w14:paraId="1BBBB12F" w14:textId="77777777" w:rsidR="00794AB1" w:rsidRPr="009B546D" w:rsidRDefault="00794AB1" w:rsidP="00F432B9">
                  <w:pPr>
                    <w:spacing w:after="0" w:line="240" w:lineRule="auto"/>
                    <w:rPr>
                      <w:rFonts w:cstheme="minorHAnsi"/>
                      <w:color w:val="000000"/>
                      <w:sz w:val="16"/>
                      <w:szCs w:val="16"/>
                    </w:rPr>
                  </w:pPr>
                  <w:r w:rsidRPr="009B546D">
                    <w:rPr>
                      <w:rFonts w:cstheme="minorHAnsi"/>
                      <w:color w:val="000000"/>
                      <w:sz w:val="16"/>
                      <w:szCs w:val="16"/>
                    </w:rPr>
                    <w:t xml:space="preserve">Taxation </w:t>
                  </w:r>
                </w:p>
              </w:tc>
              <w:tc>
                <w:tcPr>
                  <w:tcW w:w="1180" w:type="dxa"/>
                  <w:tcBorders>
                    <w:top w:val="nil"/>
                    <w:left w:val="nil"/>
                    <w:bottom w:val="nil"/>
                    <w:right w:val="nil"/>
                  </w:tcBorders>
                  <w:shd w:val="clear" w:color="auto" w:fill="auto"/>
                  <w:noWrap/>
                  <w:vAlign w:val="bottom"/>
                  <w:hideMark/>
                </w:tcPr>
                <w:p w14:paraId="0A890735" w14:textId="77777777" w:rsidR="00794AB1" w:rsidRPr="009B546D" w:rsidRDefault="00794AB1" w:rsidP="00F432B9">
                  <w:pPr>
                    <w:spacing w:after="0" w:line="240" w:lineRule="auto"/>
                    <w:rPr>
                      <w:rFonts w:cstheme="minorHAnsi"/>
                      <w:color w:val="000000"/>
                      <w:sz w:val="16"/>
                      <w:szCs w:val="16"/>
                    </w:rPr>
                  </w:pPr>
                </w:p>
              </w:tc>
              <w:tc>
                <w:tcPr>
                  <w:tcW w:w="1180" w:type="dxa"/>
                  <w:tcBorders>
                    <w:top w:val="single" w:sz="4" w:space="0" w:color="auto"/>
                    <w:left w:val="nil"/>
                    <w:bottom w:val="single" w:sz="4" w:space="0" w:color="auto"/>
                    <w:right w:val="nil"/>
                  </w:tcBorders>
                  <w:shd w:val="clear" w:color="auto" w:fill="auto"/>
                  <w:vAlign w:val="bottom"/>
                  <w:hideMark/>
                </w:tcPr>
                <w:p w14:paraId="45E63965"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 xml:space="preserve">- </w:t>
                  </w:r>
                </w:p>
              </w:tc>
              <w:tc>
                <w:tcPr>
                  <w:tcW w:w="1180" w:type="dxa"/>
                  <w:tcBorders>
                    <w:top w:val="single" w:sz="4" w:space="0" w:color="auto"/>
                    <w:left w:val="nil"/>
                    <w:bottom w:val="single" w:sz="4" w:space="0" w:color="auto"/>
                    <w:right w:val="nil"/>
                  </w:tcBorders>
                  <w:shd w:val="clear" w:color="auto" w:fill="auto"/>
                  <w:vAlign w:val="bottom"/>
                  <w:hideMark/>
                </w:tcPr>
                <w:p w14:paraId="2C34B9ED"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 xml:space="preserve">- </w:t>
                  </w:r>
                </w:p>
              </w:tc>
            </w:tr>
            <w:tr w:rsidR="00794AB1" w:rsidRPr="009B546D" w14:paraId="49F7DF53" w14:textId="77777777" w:rsidTr="003633CD">
              <w:trPr>
                <w:trHeight w:val="255"/>
              </w:trPr>
              <w:tc>
                <w:tcPr>
                  <w:tcW w:w="4020" w:type="dxa"/>
                  <w:gridSpan w:val="2"/>
                  <w:tcBorders>
                    <w:top w:val="nil"/>
                    <w:left w:val="nil"/>
                    <w:bottom w:val="nil"/>
                    <w:right w:val="nil"/>
                  </w:tcBorders>
                  <w:shd w:val="clear" w:color="auto" w:fill="auto"/>
                  <w:noWrap/>
                  <w:vAlign w:val="bottom"/>
                  <w:hideMark/>
                </w:tcPr>
                <w:p w14:paraId="4D8BAC69" w14:textId="77777777" w:rsidR="00794AB1" w:rsidRPr="009B546D" w:rsidRDefault="00794AB1" w:rsidP="00F432B9">
                  <w:pPr>
                    <w:spacing w:after="0" w:line="240" w:lineRule="auto"/>
                    <w:rPr>
                      <w:rFonts w:cstheme="minorHAnsi"/>
                      <w:b/>
                      <w:bCs/>
                      <w:color w:val="000000"/>
                      <w:sz w:val="16"/>
                      <w:szCs w:val="16"/>
                    </w:rPr>
                  </w:pPr>
                  <w:r w:rsidRPr="009B546D">
                    <w:rPr>
                      <w:rFonts w:cstheme="minorHAnsi"/>
                      <w:b/>
                      <w:bCs/>
                      <w:color w:val="000000"/>
                      <w:sz w:val="16"/>
                      <w:szCs w:val="16"/>
                    </w:rPr>
                    <w:t xml:space="preserve">Total comprehensive loss for the year/period </w:t>
                  </w:r>
                </w:p>
              </w:tc>
              <w:tc>
                <w:tcPr>
                  <w:tcW w:w="1180" w:type="dxa"/>
                  <w:tcBorders>
                    <w:top w:val="single" w:sz="4" w:space="0" w:color="auto"/>
                    <w:left w:val="nil"/>
                    <w:bottom w:val="single" w:sz="4" w:space="0" w:color="auto"/>
                    <w:right w:val="nil"/>
                  </w:tcBorders>
                  <w:shd w:val="clear" w:color="auto" w:fill="auto"/>
                  <w:noWrap/>
                  <w:vAlign w:val="bottom"/>
                  <w:hideMark/>
                </w:tcPr>
                <w:p w14:paraId="02620A0C" w14:textId="1426A0AE" w:rsidR="00794AB1" w:rsidRPr="009B546D" w:rsidRDefault="00794AB1" w:rsidP="00F432B9">
                  <w:pPr>
                    <w:spacing w:after="0" w:line="240" w:lineRule="auto"/>
                    <w:jc w:val="right"/>
                    <w:rPr>
                      <w:rFonts w:cstheme="minorHAnsi"/>
                      <w:b/>
                      <w:bCs/>
                      <w:color w:val="000000"/>
                      <w:sz w:val="16"/>
                      <w:szCs w:val="16"/>
                    </w:rPr>
                  </w:pPr>
                  <w:r w:rsidRPr="009B546D">
                    <w:rPr>
                      <w:rFonts w:cstheme="minorHAnsi"/>
                      <w:b/>
                      <w:bCs/>
                      <w:color w:val="000000"/>
                      <w:sz w:val="16"/>
                      <w:szCs w:val="16"/>
                    </w:rPr>
                    <w:t>(</w:t>
                  </w:r>
                  <w:r w:rsidR="00407261" w:rsidRPr="009B546D">
                    <w:rPr>
                      <w:rFonts w:cstheme="minorHAnsi"/>
                      <w:b/>
                      <w:bCs/>
                      <w:color w:val="000000"/>
                      <w:sz w:val="16"/>
                      <w:szCs w:val="16"/>
                    </w:rPr>
                    <w:t>503</w:t>
                  </w:r>
                  <w:r w:rsidRPr="009B546D">
                    <w:rPr>
                      <w:rFonts w:cstheme="minorHAnsi"/>
                      <w:b/>
                      <w:bCs/>
                      <w:color w:val="000000"/>
                      <w:sz w:val="16"/>
                      <w:szCs w:val="16"/>
                    </w:rPr>
                    <w:t>,608)</w:t>
                  </w:r>
                </w:p>
              </w:tc>
              <w:tc>
                <w:tcPr>
                  <w:tcW w:w="1180" w:type="dxa"/>
                  <w:tcBorders>
                    <w:top w:val="single" w:sz="4" w:space="0" w:color="auto"/>
                    <w:left w:val="nil"/>
                    <w:bottom w:val="single" w:sz="4" w:space="0" w:color="auto"/>
                    <w:right w:val="nil"/>
                  </w:tcBorders>
                  <w:shd w:val="clear" w:color="auto" w:fill="auto"/>
                  <w:noWrap/>
                  <w:vAlign w:val="bottom"/>
                  <w:hideMark/>
                </w:tcPr>
                <w:p w14:paraId="06280FEE" w14:textId="77777777" w:rsidR="00794AB1" w:rsidRPr="009B546D" w:rsidRDefault="00794AB1" w:rsidP="00F432B9">
                  <w:pPr>
                    <w:spacing w:after="0" w:line="240" w:lineRule="auto"/>
                    <w:jc w:val="right"/>
                    <w:rPr>
                      <w:rFonts w:cstheme="minorHAnsi"/>
                      <w:b/>
                      <w:bCs/>
                      <w:color w:val="000000"/>
                      <w:sz w:val="16"/>
                      <w:szCs w:val="16"/>
                    </w:rPr>
                  </w:pPr>
                  <w:r w:rsidRPr="009B546D">
                    <w:rPr>
                      <w:rFonts w:cstheme="minorHAnsi"/>
                      <w:b/>
                      <w:bCs/>
                      <w:color w:val="000000"/>
                      <w:sz w:val="16"/>
                      <w:szCs w:val="16"/>
                    </w:rPr>
                    <w:t>(654,276)</w:t>
                  </w:r>
                </w:p>
              </w:tc>
            </w:tr>
          </w:tbl>
          <w:p w14:paraId="271F5CA0" w14:textId="77777777" w:rsidR="00794AB1" w:rsidRPr="009B546D" w:rsidRDefault="00794AB1" w:rsidP="00F432B9">
            <w:pPr>
              <w:spacing w:after="0" w:line="240" w:lineRule="auto"/>
              <w:rPr>
                <w:rFonts w:cstheme="minorHAnsi"/>
                <w:b/>
                <w:bCs/>
                <w:sz w:val="16"/>
                <w:szCs w:val="16"/>
              </w:rPr>
            </w:pPr>
          </w:p>
          <w:p w14:paraId="713147DE" w14:textId="1F51FB38" w:rsidR="00794AB1" w:rsidRPr="009B546D" w:rsidRDefault="00794AB1" w:rsidP="00F432B9">
            <w:pPr>
              <w:spacing w:after="0" w:line="240" w:lineRule="auto"/>
              <w:rPr>
                <w:rFonts w:cstheme="minorHAnsi"/>
                <w:b/>
                <w:bCs/>
                <w:sz w:val="16"/>
                <w:szCs w:val="16"/>
              </w:rPr>
            </w:pPr>
            <w:r w:rsidRPr="009B546D">
              <w:rPr>
                <w:rFonts w:cstheme="minorHAnsi"/>
                <w:b/>
                <w:bCs/>
                <w:sz w:val="16"/>
                <w:szCs w:val="16"/>
              </w:rPr>
              <w:t>Balance Sheet of AIQ</w:t>
            </w:r>
          </w:p>
          <w:p w14:paraId="463179FC" w14:textId="3A66B2C7" w:rsidR="00794AB1" w:rsidRPr="009B546D" w:rsidRDefault="00794AB1" w:rsidP="00F432B9">
            <w:pPr>
              <w:spacing w:after="0" w:line="240" w:lineRule="auto"/>
              <w:rPr>
                <w:rFonts w:cstheme="minorHAnsi"/>
                <w:b/>
                <w:bCs/>
                <w:sz w:val="16"/>
                <w:szCs w:val="16"/>
              </w:rPr>
            </w:pPr>
          </w:p>
          <w:tbl>
            <w:tblPr>
              <w:tblW w:w="6380" w:type="dxa"/>
              <w:tblLook w:val="04A0" w:firstRow="1" w:lastRow="0" w:firstColumn="1" w:lastColumn="0" w:noHBand="0" w:noVBand="1"/>
            </w:tblPr>
            <w:tblGrid>
              <w:gridCol w:w="2840"/>
              <w:gridCol w:w="1180"/>
              <w:gridCol w:w="1180"/>
              <w:gridCol w:w="1180"/>
            </w:tblGrid>
            <w:tr w:rsidR="00794AB1" w:rsidRPr="009B546D" w14:paraId="593798ED" w14:textId="77777777" w:rsidTr="00682BB9">
              <w:trPr>
                <w:trHeight w:val="255"/>
              </w:trPr>
              <w:tc>
                <w:tcPr>
                  <w:tcW w:w="2840" w:type="dxa"/>
                  <w:tcBorders>
                    <w:top w:val="nil"/>
                    <w:left w:val="nil"/>
                    <w:bottom w:val="nil"/>
                    <w:right w:val="nil"/>
                  </w:tcBorders>
                  <w:shd w:val="clear" w:color="auto" w:fill="auto"/>
                  <w:noWrap/>
                  <w:vAlign w:val="bottom"/>
                  <w:hideMark/>
                </w:tcPr>
                <w:p w14:paraId="4993631C" w14:textId="77777777" w:rsidR="00794AB1" w:rsidRPr="009B546D" w:rsidRDefault="00794AB1" w:rsidP="00F432B9">
                  <w:pPr>
                    <w:spacing w:after="0" w:line="240" w:lineRule="auto"/>
                    <w:rPr>
                      <w:rFonts w:eastAsia="Times New Roman" w:cstheme="minorHAnsi"/>
                      <w:sz w:val="16"/>
                      <w:szCs w:val="16"/>
                      <w:lang w:eastAsia="en-GB"/>
                    </w:rPr>
                  </w:pPr>
                </w:p>
              </w:tc>
              <w:tc>
                <w:tcPr>
                  <w:tcW w:w="1180" w:type="dxa"/>
                  <w:tcBorders>
                    <w:top w:val="nil"/>
                    <w:left w:val="nil"/>
                    <w:bottom w:val="nil"/>
                    <w:right w:val="nil"/>
                  </w:tcBorders>
                  <w:shd w:val="clear" w:color="auto" w:fill="auto"/>
                  <w:noWrap/>
                  <w:vAlign w:val="bottom"/>
                  <w:hideMark/>
                </w:tcPr>
                <w:p w14:paraId="364DFF6A" w14:textId="77777777" w:rsidR="00794AB1" w:rsidRPr="009B546D" w:rsidRDefault="00794AB1" w:rsidP="00F432B9">
                  <w:pPr>
                    <w:spacing w:after="0" w:line="240" w:lineRule="auto"/>
                    <w:rPr>
                      <w:rFonts w:cstheme="minorHAnsi"/>
                      <w:sz w:val="16"/>
                      <w:szCs w:val="16"/>
                    </w:rPr>
                  </w:pPr>
                </w:p>
              </w:tc>
              <w:tc>
                <w:tcPr>
                  <w:tcW w:w="1180" w:type="dxa"/>
                  <w:tcBorders>
                    <w:top w:val="nil"/>
                    <w:left w:val="nil"/>
                    <w:bottom w:val="nil"/>
                    <w:right w:val="nil"/>
                  </w:tcBorders>
                  <w:shd w:val="clear" w:color="auto" w:fill="auto"/>
                  <w:noWrap/>
                  <w:vAlign w:val="bottom"/>
                  <w:hideMark/>
                </w:tcPr>
                <w:p w14:paraId="694C61F8" w14:textId="545F896C" w:rsidR="00794AB1" w:rsidRPr="009B546D" w:rsidRDefault="00EF5564" w:rsidP="00F432B9">
                  <w:pPr>
                    <w:spacing w:after="0" w:line="240" w:lineRule="auto"/>
                    <w:jc w:val="right"/>
                    <w:rPr>
                      <w:rFonts w:cstheme="minorHAnsi"/>
                      <w:i/>
                      <w:iCs/>
                      <w:color w:val="000000"/>
                      <w:sz w:val="16"/>
                      <w:szCs w:val="16"/>
                    </w:rPr>
                  </w:pPr>
                  <w:r w:rsidRPr="009B546D">
                    <w:rPr>
                      <w:rFonts w:cstheme="minorHAnsi"/>
                      <w:i/>
                      <w:iCs/>
                      <w:color w:val="000000"/>
                      <w:sz w:val="16"/>
                      <w:szCs w:val="16"/>
                    </w:rPr>
                    <w:t xml:space="preserve">At 31 October </w:t>
                  </w:r>
                  <w:r w:rsidR="00794AB1" w:rsidRPr="009B546D">
                    <w:rPr>
                      <w:rFonts w:cstheme="minorHAnsi"/>
                      <w:i/>
                      <w:iCs/>
                      <w:color w:val="000000"/>
                      <w:sz w:val="16"/>
                      <w:szCs w:val="16"/>
                    </w:rPr>
                    <w:t>2019</w:t>
                  </w:r>
                </w:p>
              </w:tc>
              <w:tc>
                <w:tcPr>
                  <w:tcW w:w="1180" w:type="dxa"/>
                  <w:tcBorders>
                    <w:top w:val="nil"/>
                    <w:left w:val="nil"/>
                    <w:bottom w:val="nil"/>
                    <w:right w:val="nil"/>
                  </w:tcBorders>
                  <w:shd w:val="clear" w:color="auto" w:fill="auto"/>
                  <w:noWrap/>
                  <w:vAlign w:val="bottom"/>
                  <w:hideMark/>
                </w:tcPr>
                <w:p w14:paraId="3257467B" w14:textId="6A5455B1" w:rsidR="00794AB1" w:rsidRPr="009B546D" w:rsidRDefault="00EF5564" w:rsidP="00F432B9">
                  <w:pPr>
                    <w:spacing w:after="0" w:line="240" w:lineRule="auto"/>
                    <w:jc w:val="right"/>
                    <w:rPr>
                      <w:rFonts w:cstheme="minorHAnsi"/>
                      <w:i/>
                      <w:iCs/>
                      <w:color w:val="000000"/>
                      <w:sz w:val="16"/>
                      <w:szCs w:val="16"/>
                    </w:rPr>
                  </w:pPr>
                  <w:r w:rsidRPr="009B546D">
                    <w:rPr>
                      <w:rFonts w:cstheme="minorHAnsi"/>
                      <w:i/>
                      <w:iCs/>
                      <w:color w:val="000000"/>
                      <w:sz w:val="16"/>
                      <w:szCs w:val="16"/>
                    </w:rPr>
                    <w:t xml:space="preserve">At </w:t>
                  </w:r>
                  <w:r w:rsidR="000C1BF7" w:rsidRPr="009B546D">
                    <w:rPr>
                      <w:rFonts w:cstheme="minorHAnsi"/>
                      <w:i/>
                      <w:iCs/>
                      <w:color w:val="000000"/>
                      <w:sz w:val="16"/>
                      <w:szCs w:val="16"/>
                    </w:rPr>
                    <w:t>31</w:t>
                  </w:r>
                  <w:r w:rsidRPr="009B546D">
                    <w:rPr>
                      <w:rFonts w:cstheme="minorHAnsi"/>
                      <w:i/>
                      <w:iCs/>
                      <w:color w:val="000000"/>
                      <w:sz w:val="16"/>
                      <w:szCs w:val="16"/>
                    </w:rPr>
                    <w:t xml:space="preserve">October </w:t>
                  </w:r>
                  <w:r w:rsidR="00794AB1" w:rsidRPr="009B546D">
                    <w:rPr>
                      <w:rFonts w:cstheme="minorHAnsi"/>
                      <w:i/>
                      <w:iCs/>
                      <w:color w:val="000000"/>
                      <w:sz w:val="16"/>
                      <w:szCs w:val="16"/>
                    </w:rPr>
                    <w:t>2018</w:t>
                  </w:r>
                </w:p>
              </w:tc>
            </w:tr>
            <w:tr w:rsidR="00794AB1" w:rsidRPr="009B546D" w14:paraId="3F451B04" w14:textId="77777777" w:rsidTr="00682BB9">
              <w:trPr>
                <w:trHeight w:val="255"/>
              </w:trPr>
              <w:tc>
                <w:tcPr>
                  <w:tcW w:w="2840" w:type="dxa"/>
                  <w:tcBorders>
                    <w:top w:val="nil"/>
                    <w:left w:val="nil"/>
                    <w:bottom w:val="nil"/>
                    <w:right w:val="nil"/>
                  </w:tcBorders>
                  <w:shd w:val="clear" w:color="auto" w:fill="auto"/>
                  <w:noWrap/>
                  <w:vAlign w:val="bottom"/>
                  <w:hideMark/>
                </w:tcPr>
                <w:p w14:paraId="44F2976F" w14:textId="77777777" w:rsidR="00794AB1" w:rsidRPr="009B546D" w:rsidRDefault="00794AB1" w:rsidP="00F432B9">
                  <w:pPr>
                    <w:spacing w:after="0" w:line="240" w:lineRule="auto"/>
                    <w:rPr>
                      <w:rFonts w:cstheme="minorHAnsi"/>
                      <w:b/>
                      <w:bCs/>
                      <w:color w:val="000000"/>
                      <w:sz w:val="16"/>
                      <w:szCs w:val="16"/>
                    </w:rPr>
                  </w:pPr>
                  <w:r w:rsidRPr="009B546D">
                    <w:rPr>
                      <w:rFonts w:cstheme="minorHAnsi"/>
                      <w:b/>
                      <w:bCs/>
                      <w:color w:val="000000"/>
                      <w:sz w:val="16"/>
                      <w:szCs w:val="16"/>
                    </w:rPr>
                    <w:t xml:space="preserve">Assets </w:t>
                  </w:r>
                </w:p>
              </w:tc>
              <w:tc>
                <w:tcPr>
                  <w:tcW w:w="1180" w:type="dxa"/>
                  <w:tcBorders>
                    <w:top w:val="nil"/>
                    <w:left w:val="nil"/>
                    <w:bottom w:val="nil"/>
                    <w:right w:val="nil"/>
                  </w:tcBorders>
                  <w:shd w:val="clear" w:color="auto" w:fill="auto"/>
                  <w:noWrap/>
                  <w:vAlign w:val="bottom"/>
                  <w:hideMark/>
                </w:tcPr>
                <w:p w14:paraId="29A86746" w14:textId="77777777" w:rsidR="00794AB1" w:rsidRPr="009B546D" w:rsidRDefault="00794AB1" w:rsidP="00F432B9">
                  <w:pPr>
                    <w:spacing w:after="0" w:line="240" w:lineRule="auto"/>
                    <w:rPr>
                      <w:rFonts w:cstheme="minorHAnsi"/>
                      <w:b/>
                      <w:bCs/>
                      <w:color w:val="000000"/>
                      <w:sz w:val="16"/>
                      <w:szCs w:val="16"/>
                    </w:rPr>
                  </w:pPr>
                </w:p>
              </w:tc>
              <w:tc>
                <w:tcPr>
                  <w:tcW w:w="1180" w:type="dxa"/>
                  <w:tcBorders>
                    <w:top w:val="nil"/>
                    <w:left w:val="nil"/>
                    <w:bottom w:val="nil"/>
                    <w:right w:val="nil"/>
                  </w:tcBorders>
                  <w:shd w:val="clear" w:color="auto" w:fill="auto"/>
                  <w:noWrap/>
                  <w:vAlign w:val="bottom"/>
                  <w:hideMark/>
                </w:tcPr>
                <w:p w14:paraId="3C8EBC20" w14:textId="77777777" w:rsidR="00794AB1" w:rsidRPr="009B546D" w:rsidRDefault="00794AB1" w:rsidP="00F432B9">
                  <w:pPr>
                    <w:spacing w:after="0" w:line="240" w:lineRule="auto"/>
                    <w:rPr>
                      <w:rFonts w:cstheme="minorHAnsi"/>
                      <w:sz w:val="16"/>
                      <w:szCs w:val="16"/>
                    </w:rPr>
                  </w:pPr>
                </w:p>
              </w:tc>
              <w:tc>
                <w:tcPr>
                  <w:tcW w:w="1180" w:type="dxa"/>
                  <w:tcBorders>
                    <w:top w:val="nil"/>
                    <w:left w:val="nil"/>
                    <w:bottom w:val="nil"/>
                    <w:right w:val="nil"/>
                  </w:tcBorders>
                  <w:shd w:val="clear" w:color="auto" w:fill="auto"/>
                  <w:noWrap/>
                  <w:vAlign w:val="bottom"/>
                  <w:hideMark/>
                </w:tcPr>
                <w:p w14:paraId="4AD3ED58" w14:textId="77777777" w:rsidR="00794AB1" w:rsidRPr="009B546D" w:rsidRDefault="00794AB1" w:rsidP="00F432B9">
                  <w:pPr>
                    <w:spacing w:after="0" w:line="240" w:lineRule="auto"/>
                    <w:rPr>
                      <w:rFonts w:cstheme="minorHAnsi"/>
                      <w:sz w:val="16"/>
                      <w:szCs w:val="16"/>
                    </w:rPr>
                  </w:pPr>
                </w:p>
              </w:tc>
            </w:tr>
            <w:tr w:rsidR="00794AB1" w:rsidRPr="009B546D" w14:paraId="04140460" w14:textId="77777777" w:rsidTr="00682BB9">
              <w:trPr>
                <w:trHeight w:val="255"/>
              </w:trPr>
              <w:tc>
                <w:tcPr>
                  <w:tcW w:w="2840" w:type="dxa"/>
                  <w:tcBorders>
                    <w:top w:val="nil"/>
                    <w:left w:val="nil"/>
                    <w:bottom w:val="nil"/>
                    <w:right w:val="nil"/>
                  </w:tcBorders>
                  <w:shd w:val="clear" w:color="auto" w:fill="auto"/>
                  <w:noWrap/>
                  <w:vAlign w:val="bottom"/>
                  <w:hideMark/>
                </w:tcPr>
                <w:p w14:paraId="592A3E52" w14:textId="77777777" w:rsidR="00794AB1" w:rsidRPr="009B546D" w:rsidRDefault="00794AB1" w:rsidP="00F432B9">
                  <w:pPr>
                    <w:spacing w:after="0" w:line="240" w:lineRule="auto"/>
                    <w:rPr>
                      <w:rFonts w:cstheme="minorHAnsi"/>
                      <w:b/>
                      <w:bCs/>
                      <w:color w:val="000000"/>
                      <w:sz w:val="16"/>
                      <w:szCs w:val="16"/>
                    </w:rPr>
                  </w:pPr>
                  <w:r w:rsidRPr="009B546D">
                    <w:rPr>
                      <w:rFonts w:cstheme="minorHAnsi"/>
                      <w:b/>
                      <w:bCs/>
                      <w:color w:val="000000"/>
                      <w:sz w:val="16"/>
                      <w:szCs w:val="16"/>
                    </w:rPr>
                    <w:t xml:space="preserve">Current assets </w:t>
                  </w:r>
                </w:p>
              </w:tc>
              <w:tc>
                <w:tcPr>
                  <w:tcW w:w="1180" w:type="dxa"/>
                  <w:tcBorders>
                    <w:top w:val="nil"/>
                    <w:left w:val="nil"/>
                    <w:bottom w:val="nil"/>
                    <w:right w:val="nil"/>
                  </w:tcBorders>
                  <w:shd w:val="clear" w:color="auto" w:fill="auto"/>
                  <w:noWrap/>
                  <w:vAlign w:val="bottom"/>
                  <w:hideMark/>
                </w:tcPr>
                <w:p w14:paraId="44A5AFC6" w14:textId="77777777" w:rsidR="00794AB1" w:rsidRPr="009B546D" w:rsidRDefault="00794AB1" w:rsidP="00F432B9">
                  <w:pPr>
                    <w:spacing w:after="0" w:line="240" w:lineRule="auto"/>
                    <w:rPr>
                      <w:rFonts w:cstheme="minorHAnsi"/>
                      <w:b/>
                      <w:bCs/>
                      <w:color w:val="000000"/>
                      <w:sz w:val="16"/>
                      <w:szCs w:val="16"/>
                    </w:rPr>
                  </w:pPr>
                </w:p>
              </w:tc>
              <w:tc>
                <w:tcPr>
                  <w:tcW w:w="1180" w:type="dxa"/>
                  <w:tcBorders>
                    <w:top w:val="nil"/>
                    <w:left w:val="nil"/>
                    <w:bottom w:val="nil"/>
                    <w:right w:val="nil"/>
                  </w:tcBorders>
                  <w:shd w:val="clear" w:color="auto" w:fill="auto"/>
                  <w:noWrap/>
                  <w:vAlign w:val="bottom"/>
                  <w:hideMark/>
                </w:tcPr>
                <w:p w14:paraId="23550C8F" w14:textId="77777777" w:rsidR="00794AB1" w:rsidRPr="009B546D" w:rsidRDefault="00794AB1" w:rsidP="00F432B9">
                  <w:pPr>
                    <w:spacing w:after="0" w:line="240" w:lineRule="auto"/>
                    <w:rPr>
                      <w:rFonts w:cstheme="minorHAnsi"/>
                      <w:sz w:val="16"/>
                      <w:szCs w:val="16"/>
                    </w:rPr>
                  </w:pPr>
                </w:p>
              </w:tc>
              <w:tc>
                <w:tcPr>
                  <w:tcW w:w="1180" w:type="dxa"/>
                  <w:tcBorders>
                    <w:top w:val="nil"/>
                    <w:left w:val="nil"/>
                    <w:bottom w:val="nil"/>
                    <w:right w:val="nil"/>
                  </w:tcBorders>
                  <w:shd w:val="clear" w:color="auto" w:fill="auto"/>
                  <w:noWrap/>
                  <w:vAlign w:val="bottom"/>
                  <w:hideMark/>
                </w:tcPr>
                <w:p w14:paraId="10CF8452" w14:textId="77777777" w:rsidR="00794AB1" w:rsidRPr="009B546D" w:rsidRDefault="00794AB1" w:rsidP="00F432B9">
                  <w:pPr>
                    <w:spacing w:after="0" w:line="240" w:lineRule="auto"/>
                    <w:rPr>
                      <w:rFonts w:cstheme="minorHAnsi"/>
                      <w:sz w:val="16"/>
                      <w:szCs w:val="16"/>
                    </w:rPr>
                  </w:pPr>
                </w:p>
              </w:tc>
            </w:tr>
            <w:tr w:rsidR="00794AB1" w:rsidRPr="009B546D" w14:paraId="2717C5F9" w14:textId="77777777" w:rsidTr="003633CD">
              <w:trPr>
                <w:trHeight w:val="255"/>
              </w:trPr>
              <w:tc>
                <w:tcPr>
                  <w:tcW w:w="2840" w:type="dxa"/>
                  <w:tcBorders>
                    <w:top w:val="nil"/>
                    <w:left w:val="nil"/>
                    <w:bottom w:val="nil"/>
                    <w:right w:val="nil"/>
                  </w:tcBorders>
                  <w:shd w:val="clear" w:color="auto" w:fill="auto"/>
                  <w:noWrap/>
                  <w:vAlign w:val="bottom"/>
                  <w:hideMark/>
                </w:tcPr>
                <w:p w14:paraId="0EF88E66" w14:textId="77777777" w:rsidR="00794AB1" w:rsidRPr="009B546D" w:rsidRDefault="00794AB1" w:rsidP="00F432B9">
                  <w:pPr>
                    <w:spacing w:after="0" w:line="240" w:lineRule="auto"/>
                    <w:rPr>
                      <w:rFonts w:cstheme="minorHAnsi"/>
                      <w:color w:val="000000"/>
                      <w:sz w:val="16"/>
                      <w:szCs w:val="16"/>
                    </w:rPr>
                  </w:pPr>
                  <w:r w:rsidRPr="009B546D">
                    <w:rPr>
                      <w:rFonts w:cstheme="minorHAnsi"/>
                      <w:color w:val="000000"/>
                      <w:sz w:val="16"/>
                      <w:szCs w:val="16"/>
                    </w:rPr>
                    <w:t xml:space="preserve">Prepayments </w:t>
                  </w:r>
                </w:p>
              </w:tc>
              <w:tc>
                <w:tcPr>
                  <w:tcW w:w="1180" w:type="dxa"/>
                  <w:tcBorders>
                    <w:top w:val="nil"/>
                    <w:left w:val="nil"/>
                    <w:bottom w:val="nil"/>
                    <w:right w:val="nil"/>
                  </w:tcBorders>
                  <w:shd w:val="clear" w:color="auto" w:fill="auto"/>
                  <w:noWrap/>
                  <w:vAlign w:val="bottom"/>
                  <w:hideMark/>
                </w:tcPr>
                <w:p w14:paraId="707BA962" w14:textId="77777777" w:rsidR="00794AB1" w:rsidRPr="009B546D" w:rsidRDefault="00794AB1" w:rsidP="00F432B9">
                  <w:pPr>
                    <w:spacing w:after="0" w:line="240" w:lineRule="auto"/>
                    <w:rPr>
                      <w:rFonts w:cstheme="minorHAnsi"/>
                      <w:color w:val="000000"/>
                      <w:sz w:val="16"/>
                      <w:szCs w:val="16"/>
                    </w:rPr>
                  </w:pPr>
                </w:p>
              </w:tc>
              <w:tc>
                <w:tcPr>
                  <w:tcW w:w="1180" w:type="dxa"/>
                  <w:tcBorders>
                    <w:top w:val="nil"/>
                    <w:left w:val="nil"/>
                    <w:right w:val="nil"/>
                  </w:tcBorders>
                  <w:shd w:val="clear" w:color="auto" w:fill="auto"/>
                  <w:noWrap/>
                  <w:vAlign w:val="bottom"/>
                  <w:hideMark/>
                </w:tcPr>
                <w:p w14:paraId="531DF5A2"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sz w:val="16"/>
                      <w:szCs w:val="16"/>
                    </w:rPr>
                    <w:t>12,300</w:t>
                  </w:r>
                </w:p>
              </w:tc>
              <w:tc>
                <w:tcPr>
                  <w:tcW w:w="1180" w:type="dxa"/>
                  <w:tcBorders>
                    <w:top w:val="nil"/>
                    <w:left w:val="nil"/>
                    <w:right w:val="nil"/>
                  </w:tcBorders>
                  <w:shd w:val="clear" w:color="auto" w:fill="auto"/>
                  <w:noWrap/>
                  <w:vAlign w:val="bottom"/>
                  <w:hideMark/>
                </w:tcPr>
                <w:p w14:paraId="3F652A62"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15,708</w:t>
                  </w:r>
                </w:p>
              </w:tc>
            </w:tr>
            <w:tr w:rsidR="00794AB1" w:rsidRPr="009B546D" w14:paraId="5A6F3472" w14:textId="77777777" w:rsidTr="003633CD">
              <w:trPr>
                <w:trHeight w:val="255"/>
              </w:trPr>
              <w:tc>
                <w:tcPr>
                  <w:tcW w:w="2840" w:type="dxa"/>
                  <w:tcBorders>
                    <w:top w:val="nil"/>
                    <w:left w:val="nil"/>
                    <w:bottom w:val="nil"/>
                    <w:right w:val="nil"/>
                  </w:tcBorders>
                  <w:shd w:val="clear" w:color="auto" w:fill="auto"/>
                  <w:noWrap/>
                  <w:vAlign w:val="bottom"/>
                  <w:hideMark/>
                </w:tcPr>
                <w:p w14:paraId="5612A92A" w14:textId="77777777" w:rsidR="00794AB1" w:rsidRPr="009B546D" w:rsidRDefault="00794AB1" w:rsidP="00F432B9">
                  <w:pPr>
                    <w:spacing w:after="0" w:line="240" w:lineRule="auto"/>
                    <w:rPr>
                      <w:rFonts w:cstheme="minorHAnsi"/>
                      <w:color w:val="000000"/>
                      <w:sz w:val="16"/>
                      <w:szCs w:val="16"/>
                    </w:rPr>
                  </w:pPr>
                  <w:r w:rsidRPr="009B546D">
                    <w:rPr>
                      <w:rFonts w:cstheme="minorHAnsi"/>
                      <w:color w:val="000000"/>
                      <w:sz w:val="16"/>
                      <w:szCs w:val="16"/>
                    </w:rPr>
                    <w:t xml:space="preserve">Cash and cash equivalents </w:t>
                  </w:r>
                </w:p>
              </w:tc>
              <w:tc>
                <w:tcPr>
                  <w:tcW w:w="1180" w:type="dxa"/>
                  <w:tcBorders>
                    <w:top w:val="nil"/>
                    <w:left w:val="nil"/>
                    <w:bottom w:val="nil"/>
                    <w:right w:val="nil"/>
                  </w:tcBorders>
                  <w:shd w:val="clear" w:color="auto" w:fill="auto"/>
                  <w:noWrap/>
                  <w:vAlign w:val="bottom"/>
                  <w:hideMark/>
                </w:tcPr>
                <w:p w14:paraId="24F08394" w14:textId="77777777" w:rsidR="00794AB1" w:rsidRPr="009B546D" w:rsidRDefault="00794AB1" w:rsidP="00F432B9">
                  <w:pPr>
                    <w:spacing w:after="0" w:line="240" w:lineRule="auto"/>
                    <w:rPr>
                      <w:rFonts w:cstheme="minorHAnsi"/>
                      <w:color w:val="000000"/>
                      <w:sz w:val="16"/>
                      <w:szCs w:val="16"/>
                    </w:rPr>
                  </w:pPr>
                </w:p>
              </w:tc>
              <w:tc>
                <w:tcPr>
                  <w:tcW w:w="1180" w:type="dxa"/>
                  <w:tcBorders>
                    <w:top w:val="nil"/>
                    <w:left w:val="nil"/>
                    <w:bottom w:val="single" w:sz="4" w:space="0" w:color="auto"/>
                    <w:right w:val="nil"/>
                  </w:tcBorders>
                  <w:shd w:val="clear" w:color="auto" w:fill="auto"/>
                  <w:noWrap/>
                  <w:vAlign w:val="bottom"/>
                  <w:hideMark/>
                </w:tcPr>
                <w:p w14:paraId="39F49E02"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sz w:val="16"/>
                      <w:szCs w:val="16"/>
                    </w:rPr>
                    <w:t>3,703,592</w:t>
                  </w:r>
                  <w:r w:rsidRPr="009B546D">
                    <w:rPr>
                      <w:rFonts w:cstheme="minorHAnsi"/>
                      <w:color w:val="000000"/>
                      <w:sz w:val="16"/>
                      <w:szCs w:val="16"/>
                    </w:rPr>
                    <w:t xml:space="preserve"> </w:t>
                  </w:r>
                </w:p>
              </w:tc>
              <w:tc>
                <w:tcPr>
                  <w:tcW w:w="1180" w:type="dxa"/>
                  <w:tcBorders>
                    <w:top w:val="nil"/>
                    <w:left w:val="nil"/>
                    <w:bottom w:val="single" w:sz="4" w:space="0" w:color="auto"/>
                    <w:right w:val="nil"/>
                  </w:tcBorders>
                  <w:shd w:val="clear" w:color="auto" w:fill="auto"/>
                  <w:noWrap/>
                  <w:vAlign w:val="bottom"/>
                  <w:hideMark/>
                </w:tcPr>
                <w:p w14:paraId="785E7303"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 xml:space="preserve">4,103,928 </w:t>
                  </w:r>
                </w:p>
              </w:tc>
            </w:tr>
            <w:tr w:rsidR="00794AB1" w:rsidRPr="009B546D" w14:paraId="66967541" w14:textId="77777777" w:rsidTr="003633CD">
              <w:trPr>
                <w:trHeight w:val="255"/>
              </w:trPr>
              <w:tc>
                <w:tcPr>
                  <w:tcW w:w="2840" w:type="dxa"/>
                  <w:tcBorders>
                    <w:top w:val="nil"/>
                    <w:left w:val="nil"/>
                    <w:bottom w:val="nil"/>
                    <w:right w:val="nil"/>
                  </w:tcBorders>
                  <w:shd w:val="clear" w:color="auto" w:fill="auto"/>
                  <w:noWrap/>
                  <w:vAlign w:val="bottom"/>
                  <w:hideMark/>
                </w:tcPr>
                <w:p w14:paraId="773BEB14" w14:textId="77777777" w:rsidR="00794AB1" w:rsidRPr="009B546D" w:rsidRDefault="00794AB1" w:rsidP="00F432B9">
                  <w:pPr>
                    <w:spacing w:after="0" w:line="240" w:lineRule="auto"/>
                    <w:rPr>
                      <w:rFonts w:cstheme="minorHAnsi"/>
                      <w:b/>
                      <w:bCs/>
                      <w:color w:val="000000"/>
                      <w:sz w:val="16"/>
                      <w:szCs w:val="16"/>
                    </w:rPr>
                  </w:pPr>
                  <w:r w:rsidRPr="009B546D">
                    <w:rPr>
                      <w:rFonts w:cstheme="minorHAnsi"/>
                      <w:b/>
                      <w:bCs/>
                      <w:color w:val="000000"/>
                      <w:sz w:val="16"/>
                      <w:szCs w:val="16"/>
                    </w:rPr>
                    <w:t xml:space="preserve">Total current assets </w:t>
                  </w:r>
                </w:p>
              </w:tc>
              <w:tc>
                <w:tcPr>
                  <w:tcW w:w="1180" w:type="dxa"/>
                  <w:tcBorders>
                    <w:top w:val="nil"/>
                    <w:left w:val="nil"/>
                    <w:bottom w:val="nil"/>
                    <w:right w:val="nil"/>
                  </w:tcBorders>
                  <w:shd w:val="clear" w:color="auto" w:fill="auto"/>
                  <w:noWrap/>
                  <w:vAlign w:val="bottom"/>
                  <w:hideMark/>
                </w:tcPr>
                <w:p w14:paraId="50B64D29" w14:textId="77777777" w:rsidR="00794AB1" w:rsidRPr="009B546D" w:rsidRDefault="00794AB1" w:rsidP="00F432B9">
                  <w:pPr>
                    <w:spacing w:after="0" w:line="240" w:lineRule="auto"/>
                    <w:rPr>
                      <w:rFonts w:cstheme="minorHAnsi"/>
                      <w:b/>
                      <w:bCs/>
                      <w:color w:val="000000"/>
                      <w:sz w:val="16"/>
                      <w:szCs w:val="16"/>
                    </w:rPr>
                  </w:pPr>
                </w:p>
              </w:tc>
              <w:tc>
                <w:tcPr>
                  <w:tcW w:w="1180" w:type="dxa"/>
                  <w:tcBorders>
                    <w:top w:val="single" w:sz="4" w:space="0" w:color="auto"/>
                    <w:left w:val="nil"/>
                    <w:bottom w:val="single" w:sz="4" w:space="0" w:color="auto"/>
                    <w:right w:val="nil"/>
                  </w:tcBorders>
                  <w:shd w:val="clear" w:color="auto" w:fill="auto"/>
                  <w:noWrap/>
                  <w:vAlign w:val="bottom"/>
                  <w:hideMark/>
                </w:tcPr>
                <w:p w14:paraId="7CBAF123"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sz w:val="16"/>
                      <w:szCs w:val="16"/>
                    </w:rPr>
                    <w:t>3,715,892</w:t>
                  </w:r>
                  <w:r w:rsidRPr="009B546D">
                    <w:rPr>
                      <w:rFonts w:cstheme="minorHAnsi"/>
                      <w:color w:val="000000"/>
                      <w:sz w:val="16"/>
                      <w:szCs w:val="16"/>
                    </w:rPr>
                    <w:t xml:space="preserve"> </w:t>
                  </w:r>
                </w:p>
              </w:tc>
              <w:tc>
                <w:tcPr>
                  <w:tcW w:w="1180" w:type="dxa"/>
                  <w:tcBorders>
                    <w:top w:val="single" w:sz="4" w:space="0" w:color="auto"/>
                    <w:left w:val="nil"/>
                    <w:bottom w:val="single" w:sz="4" w:space="0" w:color="auto"/>
                    <w:right w:val="nil"/>
                  </w:tcBorders>
                  <w:shd w:val="clear" w:color="auto" w:fill="auto"/>
                  <w:noWrap/>
                  <w:vAlign w:val="bottom"/>
                  <w:hideMark/>
                </w:tcPr>
                <w:p w14:paraId="2AC1C45A"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 xml:space="preserve">4,119,636 </w:t>
                  </w:r>
                </w:p>
              </w:tc>
            </w:tr>
            <w:tr w:rsidR="00794AB1" w:rsidRPr="009B546D" w14:paraId="05229869" w14:textId="77777777" w:rsidTr="003633CD">
              <w:trPr>
                <w:trHeight w:val="255"/>
              </w:trPr>
              <w:tc>
                <w:tcPr>
                  <w:tcW w:w="2840" w:type="dxa"/>
                  <w:tcBorders>
                    <w:top w:val="nil"/>
                    <w:left w:val="nil"/>
                    <w:bottom w:val="nil"/>
                    <w:right w:val="nil"/>
                  </w:tcBorders>
                  <w:shd w:val="clear" w:color="auto" w:fill="auto"/>
                  <w:noWrap/>
                  <w:vAlign w:val="bottom"/>
                  <w:hideMark/>
                </w:tcPr>
                <w:p w14:paraId="351D202C" w14:textId="77777777" w:rsidR="00794AB1" w:rsidRPr="009B546D" w:rsidRDefault="00794AB1" w:rsidP="00F432B9">
                  <w:pPr>
                    <w:spacing w:after="0" w:line="240" w:lineRule="auto"/>
                    <w:rPr>
                      <w:rFonts w:cstheme="minorHAnsi"/>
                      <w:b/>
                      <w:bCs/>
                      <w:color w:val="000000"/>
                      <w:sz w:val="16"/>
                      <w:szCs w:val="16"/>
                    </w:rPr>
                  </w:pPr>
                  <w:r w:rsidRPr="009B546D">
                    <w:rPr>
                      <w:rFonts w:cstheme="minorHAnsi"/>
                      <w:b/>
                      <w:bCs/>
                      <w:color w:val="000000"/>
                      <w:sz w:val="16"/>
                      <w:szCs w:val="16"/>
                    </w:rPr>
                    <w:t xml:space="preserve">Total assets </w:t>
                  </w:r>
                </w:p>
              </w:tc>
              <w:tc>
                <w:tcPr>
                  <w:tcW w:w="1180" w:type="dxa"/>
                  <w:tcBorders>
                    <w:top w:val="nil"/>
                    <w:left w:val="nil"/>
                    <w:bottom w:val="nil"/>
                    <w:right w:val="nil"/>
                  </w:tcBorders>
                  <w:shd w:val="clear" w:color="auto" w:fill="auto"/>
                  <w:noWrap/>
                  <w:vAlign w:val="bottom"/>
                  <w:hideMark/>
                </w:tcPr>
                <w:p w14:paraId="3967FE7E" w14:textId="77777777" w:rsidR="00794AB1" w:rsidRPr="009B546D" w:rsidRDefault="00794AB1" w:rsidP="00F432B9">
                  <w:pPr>
                    <w:spacing w:after="0" w:line="240" w:lineRule="auto"/>
                    <w:rPr>
                      <w:rFonts w:cstheme="minorHAnsi"/>
                      <w:b/>
                      <w:bCs/>
                      <w:color w:val="000000"/>
                      <w:sz w:val="16"/>
                      <w:szCs w:val="16"/>
                    </w:rPr>
                  </w:pPr>
                </w:p>
              </w:tc>
              <w:tc>
                <w:tcPr>
                  <w:tcW w:w="1180" w:type="dxa"/>
                  <w:tcBorders>
                    <w:top w:val="single" w:sz="4" w:space="0" w:color="auto"/>
                    <w:left w:val="nil"/>
                    <w:bottom w:val="single" w:sz="4" w:space="0" w:color="auto"/>
                    <w:right w:val="nil"/>
                  </w:tcBorders>
                  <w:shd w:val="clear" w:color="auto" w:fill="auto"/>
                  <w:noWrap/>
                  <w:vAlign w:val="bottom"/>
                  <w:hideMark/>
                </w:tcPr>
                <w:p w14:paraId="659AFEB0"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sz w:val="16"/>
                      <w:szCs w:val="16"/>
                    </w:rPr>
                    <w:t>3,715,892</w:t>
                  </w:r>
                  <w:r w:rsidRPr="009B546D">
                    <w:rPr>
                      <w:rFonts w:cstheme="minorHAnsi"/>
                      <w:color w:val="000000"/>
                      <w:sz w:val="16"/>
                      <w:szCs w:val="16"/>
                    </w:rPr>
                    <w:t xml:space="preserve"> </w:t>
                  </w:r>
                </w:p>
              </w:tc>
              <w:tc>
                <w:tcPr>
                  <w:tcW w:w="1180" w:type="dxa"/>
                  <w:tcBorders>
                    <w:top w:val="single" w:sz="4" w:space="0" w:color="auto"/>
                    <w:left w:val="nil"/>
                    <w:bottom w:val="single" w:sz="4" w:space="0" w:color="auto"/>
                    <w:right w:val="nil"/>
                  </w:tcBorders>
                  <w:shd w:val="clear" w:color="auto" w:fill="auto"/>
                  <w:noWrap/>
                  <w:vAlign w:val="bottom"/>
                  <w:hideMark/>
                </w:tcPr>
                <w:p w14:paraId="06299AC1"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 xml:space="preserve">4,119,636 </w:t>
                  </w:r>
                </w:p>
              </w:tc>
            </w:tr>
            <w:tr w:rsidR="00794AB1" w:rsidRPr="009B546D" w14:paraId="09436A4A" w14:textId="77777777" w:rsidTr="003633CD">
              <w:trPr>
                <w:trHeight w:val="255"/>
              </w:trPr>
              <w:tc>
                <w:tcPr>
                  <w:tcW w:w="2840" w:type="dxa"/>
                  <w:tcBorders>
                    <w:top w:val="nil"/>
                    <w:left w:val="nil"/>
                    <w:bottom w:val="nil"/>
                    <w:right w:val="nil"/>
                  </w:tcBorders>
                  <w:shd w:val="clear" w:color="auto" w:fill="auto"/>
                  <w:noWrap/>
                  <w:vAlign w:val="bottom"/>
                  <w:hideMark/>
                </w:tcPr>
                <w:p w14:paraId="1B3DB3C3" w14:textId="77777777" w:rsidR="00794AB1" w:rsidRPr="009B546D" w:rsidRDefault="00794AB1" w:rsidP="00F432B9">
                  <w:pPr>
                    <w:spacing w:after="0" w:line="240" w:lineRule="auto"/>
                    <w:jc w:val="right"/>
                    <w:rPr>
                      <w:rFonts w:cstheme="minorHAnsi"/>
                      <w:color w:val="000000"/>
                      <w:sz w:val="16"/>
                      <w:szCs w:val="16"/>
                    </w:rPr>
                  </w:pPr>
                </w:p>
              </w:tc>
              <w:tc>
                <w:tcPr>
                  <w:tcW w:w="1180" w:type="dxa"/>
                  <w:tcBorders>
                    <w:top w:val="nil"/>
                    <w:left w:val="nil"/>
                    <w:bottom w:val="nil"/>
                    <w:right w:val="nil"/>
                  </w:tcBorders>
                  <w:shd w:val="clear" w:color="auto" w:fill="auto"/>
                  <w:noWrap/>
                  <w:vAlign w:val="bottom"/>
                  <w:hideMark/>
                </w:tcPr>
                <w:p w14:paraId="2925FB7C" w14:textId="77777777" w:rsidR="00794AB1" w:rsidRPr="009B546D" w:rsidRDefault="00794AB1" w:rsidP="00F432B9">
                  <w:pPr>
                    <w:spacing w:after="0" w:line="240" w:lineRule="auto"/>
                    <w:rPr>
                      <w:rFonts w:cstheme="minorHAnsi"/>
                      <w:sz w:val="16"/>
                      <w:szCs w:val="16"/>
                    </w:rPr>
                  </w:pPr>
                </w:p>
              </w:tc>
              <w:tc>
                <w:tcPr>
                  <w:tcW w:w="1180" w:type="dxa"/>
                  <w:tcBorders>
                    <w:top w:val="single" w:sz="4" w:space="0" w:color="auto"/>
                    <w:left w:val="nil"/>
                    <w:bottom w:val="nil"/>
                    <w:right w:val="nil"/>
                  </w:tcBorders>
                  <w:shd w:val="clear" w:color="auto" w:fill="auto"/>
                  <w:noWrap/>
                  <w:vAlign w:val="bottom"/>
                  <w:hideMark/>
                </w:tcPr>
                <w:p w14:paraId="312D8E01" w14:textId="77777777" w:rsidR="00794AB1" w:rsidRPr="009B546D" w:rsidRDefault="00794AB1" w:rsidP="00F432B9">
                  <w:pPr>
                    <w:spacing w:after="0" w:line="240" w:lineRule="auto"/>
                    <w:rPr>
                      <w:rFonts w:cstheme="minorHAnsi"/>
                      <w:sz w:val="16"/>
                      <w:szCs w:val="16"/>
                    </w:rPr>
                  </w:pPr>
                </w:p>
              </w:tc>
              <w:tc>
                <w:tcPr>
                  <w:tcW w:w="1180" w:type="dxa"/>
                  <w:tcBorders>
                    <w:top w:val="single" w:sz="4" w:space="0" w:color="auto"/>
                    <w:left w:val="nil"/>
                    <w:bottom w:val="nil"/>
                    <w:right w:val="nil"/>
                  </w:tcBorders>
                  <w:shd w:val="clear" w:color="auto" w:fill="auto"/>
                  <w:noWrap/>
                  <w:vAlign w:val="bottom"/>
                  <w:hideMark/>
                </w:tcPr>
                <w:p w14:paraId="3BAD7A8E" w14:textId="77777777" w:rsidR="00794AB1" w:rsidRPr="009B546D" w:rsidRDefault="00794AB1" w:rsidP="00F432B9">
                  <w:pPr>
                    <w:spacing w:after="0" w:line="240" w:lineRule="auto"/>
                    <w:rPr>
                      <w:rFonts w:cstheme="minorHAnsi"/>
                      <w:sz w:val="16"/>
                      <w:szCs w:val="16"/>
                    </w:rPr>
                  </w:pPr>
                </w:p>
              </w:tc>
            </w:tr>
            <w:tr w:rsidR="00794AB1" w:rsidRPr="009B546D" w14:paraId="08326439" w14:textId="77777777" w:rsidTr="00682BB9">
              <w:trPr>
                <w:trHeight w:val="255"/>
              </w:trPr>
              <w:tc>
                <w:tcPr>
                  <w:tcW w:w="2840" w:type="dxa"/>
                  <w:tcBorders>
                    <w:top w:val="nil"/>
                    <w:left w:val="nil"/>
                    <w:bottom w:val="nil"/>
                    <w:right w:val="nil"/>
                  </w:tcBorders>
                  <w:shd w:val="clear" w:color="auto" w:fill="auto"/>
                  <w:noWrap/>
                  <w:vAlign w:val="bottom"/>
                  <w:hideMark/>
                </w:tcPr>
                <w:p w14:paraId="7A513E0B" w14:textId="77777777" w:rsidR="00794AB1" w:rsidRPr="009B546D" w:rsidRDefault="00794AB1" w:rsidP="00F432B9">
                  <w:pPr>
                    <w:spacing w:after="0" w:line="240" w:lineRule="auto"/>
                    <w:rPr>
                      <w:rFonts w:cstheme="minorHAnsi"/>
                      <w:b/>
                      <w:bCs/>
                      <w:color w:val="000000"/>
                      <w:sz w:val="16"/>
                      <w:szCs w:val="16"/>
                    </w:rPr>
                  </w:pPr>
                  <w:r w:rsidRPr="009B546D">
                    <w:rPr>
                      <w:rFonts w:cstheme="minorHAnsi"/>
                      <w:b/>
                      <w:bCs/>
                      <w:color w:val="000000"/>
                      <w:sz w:val="16"/>
                      <w:szCs w:val="16"/>
                    </w:rPr>
                    <w:t xml:space="preserve">Equity and liabilities </w:t>
                  </w:r>
                </w:p>
              </w:tc>
              <w:tc>
                <w:tcPr>
                  <w:tcW w:w="1180" w:type="dxa"/>
                  <w:tcBorders>
                    <w:top w:val="nil"/>
                    <w:left w:val="nil"/>
                    <w:bottom w:val="nil"/>
                    <w:right w:val="nil"/>
                  </w:tcBorders>
                  <w:shd w:val="clear" w:color="auto" w:fill="auto"/>
                  <w:noWrap/>
                  <w:vAlign w:val="bottom"/>
                  <w:hideMark/>
                </w:tcPr>
                <w:p w14:paraId="19C62FCC" w14:textId="77777777" w:rsidR="00794AB1" w:rsidRPr="009B546D" w:rsidRDefault="00794AB1" w:rsidP="00F432B9">
                  <w:pPr>
                    <w:spacing w:after="0" w:line="240" w:lineRule="auto"/>
                    <w:rPr>
                      <w:rFonts w:cstheme="minorHAnsi"/>
                      <w:b/>
                      <w:bCs/>
                      <w:color w:val="000000"/>
                      <w:sz w:val="16"/>
                      <w:szCs w:val="16"/>
                    </w:rPr>
                  </w:pPr>
                </w:p>
              </w:tc>
              <w:tc>
                <w:tcPr>
                  <w:tcW w:w="1180" w:type="dxa"/>
                  <w:tcBorders>
                    <w:top w:val="nil"/>
                    <w:left w:val="nil"/>
                    <w:bottom w:val="nil"/>
                    <w:right w:val="nil"/>
                  </w:tcBorders>
                  <w:shd w:val="clear" w:color="auto" w:fill="auto"/>
                  <w:noWrap/>
                  <w:vAlign w:val="bottom"/>
                  <w:hideMark/>
                </w:tcPr>
                <w:p w14:paraId="63246C11" w14:textId="77777777" w:rsidR="00794AB1" w:rsidRPr="009B546D" w:rsidRDefault="00794AB1" w:rsidP="00F432B9">
                  <w:pPr>
                    <w:spacing w:after="0" w:line="240" w:lineRule="auto"/>
                    <w:rPr>
                      <w:rFonts w:cstheme="minorHAnsi"/>
                      <w:sz w:val="16"/>
                      <w:szCs w:val="16"/>
                    </w:rPr>
                  </w:pPr>
                </w:p>
              </w:tc>
              <w:tc>
                <w:tcPr>
                  <w:tcW w:w="1180" w:type="dxa"/>
                  <w:tcBorders>
                    <w:top w:val="nil"/>
                    <w:left w:val="nil"/>
                    <w:bottom w:val="nil"/>
                    <w:right w:val="nil"/>
                  </w:tcBorders>
                  <w:shd w:val="clear" w:color="auto" w:fill="auto"/>
                  <w:noWrap/>
                  <w:vAlign w:val="bottom"/>
                  <w:hideMark/>
                </w:tcPr>
                <w:p w14:paraId="0752A28B" w14:textId="77777777" w:rsidR="00794AB1" w:rsidRPr="009B546D" w:rsidRDefault="00794AB1" w:rsidP="00F432B9">
                  <w:pPr>
                    <w:spacing w:after="0" w:line="240" w:lineRule="auto"/>
                    <w:rPr>
                      <w:rFonts w:cstheme="minorHAnsi"/>
                      <w:sz w:val="16"/>
                      <w:szCs w:val="16"/>
                    </w:rPr>
                  </w:pPr>
                </w:p>
              </w:tc>
            </w:tr>
            <w:tr w:rsidR="00794AB1" w:rsidRPr="009B546D" w14:paraId="402D5BB8" w14:textId="77777777" w:rsidTr="008408D9">
              <w:trPr>
                <w:trHeight w:val="255"/>
              </w:trPr>
              <w:tc>
                <w:tcPr>
                  <w:tcW w:w="2840" w:type="dxa"/>
                  <w:tcBorders>
                    <w:top w:val="nil"/>
                    <w:left w:val="nil"/>
                    <w:right w:val="nil"/>
                  </w:tcBorders>
                  <w:shd w:val="clear" w:color="auto" w:fill="auto"/>
                  <w:noWrap/>
                  <w:vAlign w:val="bottom"/>
                  <w:hideMark/>
                </w:tcPr>
                <w:p w14:paraId="103B9B41" w14:textId="77777777" w:rsidR="00794AB1" w:rsidRPr="009B546D" w:rsidRDefault="00794AB1" w:rsidP="00F432B9">
                  <w:pPr>
                    <w:spacing w:after="0" w:line="240" w:lineRule="auto"/>
                    <w:rPr>
                      <w:rFonts w:cstheme="minorHAnsi"/>
                      <w:b/>
                      <w:bCs/>
                      <w:color w:val="000000"/>
                      <w:sz w:val="16"/>
                      <w:szCs w:val="16"/>
                    </w:rPr>
                  </w:pPr>
                  <w:r w:rsidRPr="009B546D">
                    <w:rPr>
                      <w:rFonts w:cstheme="minorHAnsi"/>
                      <w:b/>
                      <w:bCs/>
                      <w:color w:val="000000"/>
                      <w:sz w:val="16"/>
                      <w:szCs w:val="16"/>
                    </w:rPr>
                    <w:t xml:space="preserve">Capital and reserves </w:t>
                  </w:r>
                </w:p>
              </w:tc>
              <w:tc>
                <w:tcPr>
                  <w:tcW w:w="1180" w:type="dxa"/>
                  <w:tcBorders>
                    <w:top w:val="nil"/>
                    <w:left w:val="nil"/>
                    <w:right w:val="nil"/>
                  </w:tcBorders>
                  <w:shd w:val="clear" w:color="auto" w:fill="auto"/>
                  <w:noWrap/>
                  <w:vAlign w:val="bottom"/>
                  <w:hideMark/>
                </w:tcPr>
                <w:p w14:paraId="59BFB719" w14:textId="77777777" w:rsidR="00794AB1" w:rsidRPr="009B546D" w:rsidRDefault="00794AB1" w:rsidP="00F432B9">
                  <w:pPr>
                    <w:spacing w:after="0" w:line="240" w:lineRule="auto"/>
                    <w:rPr>
                      <w:rFonts w:cstheme="minorHAnsi"/>
                      <w:b/>
                      <w:bCs/>
                      <w:color w:val="000000"/>
                      <w:sz w:val="16"/>
                      <w:szCs w:val="16"/>
                    </w:rPr>
                  </w:pPr>
                </w:p>
              </w:tc>
              <w:tc>
                <w:tcPr>
                  <w:tcW w:w="1180" w:type="dxa"/>
                  <w:tcBorders>
                    <w:top w:val="nil"/>
                    <w:left w:val="nil"/>
                    <w:right w:val="nil"/>
                  </w:tcBorders>
                  <w:shd w:val="clear" w:color="auto" w:fill="auto"/>
                  <w:noWrap/>
                  <w:vAlign w:val="bottom"/>
                  <w:hideMark/>
                </w:tcPr>
                <w:p w14:paraId="2AE0138C" w14:textId="77777777" w:rsidR="00794AB1" w:rsidRPr="009B546D" w:rsidRDefault="00794AB1" w:rsidP="00F432B9">
                  <w:pPr>
                    <w:spacing w:after="0" w:line="240" w:lineRule="auto"/>
                    <w:rPr>
                      <w:rFonts w:cstheme="minorHAnsi"/>
                      <w:sz w:val="16"/>
                      <w:szCs w:val="16"/>
                    </w:rPr>
                  </w:pPr>
                </w:p>
              </w:tc>
              <w:tc>
                <w:tcPr>
                  <w:tcW w:w="1180" w:type="dxa"/>
                  <w:tcBorders>
                    <w:top w:val="nil"/>
                    <w:left w:val="nil"/>
                    <w:right w:val="nil"/>
                  </w:tcBorders>
                  <w:shd w:val="clear" w:color="auto" w:fill="auto"/>
                  <w:noWrap/>
                  <w:vAlign w:val="bottom"/>
                  <w:hideMark/>
                </w:tcPr>
                <w:p w14:paraId="715AB70D" w14:textId="77777777" w:rsidR="00794AB1" w:rsidRPr="009B546D" w:rsidRDefault="00794AB1" w:rsidP="00F432B9">
                  <w:pPr>
                    <w:spacing w:after="0" w:line="240" w:lineRule="auto"/>
                    <w:rPr>
                      <w:rFonts w:cstheme="minorHAnsi"/>
                      <w:sz w:val="16"/>
                      <w:szCs w:val="16"/>
                    </w:rPr>
                  </w:pPr>
                </w:p>
              </w:tc>
            </w:tr>
            <w:tr w:rsidR="00794AB1" w:rsidRPr="009B546D" w14:paraId="4F294326" w14:textId="77777777" w:rsidTr="008408D9">
              <w:trPr>
                <w:trHeight w:val="255"/>
              </w:trPr>
              <w:tc>
                <w:tcPr>
                  <w:tcW w:w="2840" w:type="dxa"/>
                  <w:shd w:val="clear" w:color="auto" w:fill="auto"/>
                  <w:noWrap/>
                  <w:vAlign w:val="bottom"/>
                  <w:hideMark/>
                </w:tcPr>
                <w:p w14:paraId="27246E33" w14:textId="77777777" w:rsidR="00794AB1" w:rsidRPr="009B546D" w:rsidRDefault="00794AB1" w:rsidP="00F432B9">
                  <w:pPr>
                    <w:spacing w:after="0" w:line="240" w:lineRule="auto"/>
                    <w:rPr>
                      <w:rFonts w:cstheme="minorHAnsi"/>
                      <w:color w:val="000000"/>
                      <w:sz w:val="16"/>
                      <w:szCs w:val="16"/>
                    </w:rPr>
                  </w:pPr>
                  <w:r w:rsidRPr="009B546D">
                    <w:rPr>
                      <w:rFonts w:cstheme="minorHAnsi"/>
                      <w:color w:val="000000"/>
                      <w:sz w:val="16"/>
                      <w:szCs w:val="16"/>
                    </w:rPr>
                    <w:t xml:space="preserve">Ordinary shares </w:t>
                  </w:r>
                </w:p>
              </w:tc>
              <w:tc>
                <w:tcPr>
                  <w:tcW w:w="1180" w:type="dxa"/>
                  <w:shd w:val="clear" w:color="auto" w:fill="auto"/>
                  <w:noWrap/>
                  <w:vAlign w:val="bottom"/>
                  <w:hideMark/>
                </w:tcPr>
                <w:p w14:paraId="3BA45186" w14:textId="77777777" w:rsidR="00794AB1" w:rsidRPr="009B546D" w:rsidRDefault="00794AB1" w:rsidP="00F432B9">
                  <w:pPr>
                    <w:spacing w:after="0" w:line="240" w:lineRule="auto"/>
                    <w:rPr>
                      <w:rFonts w:cstheme="minorHAnsi"/>
                      <w:color w:val="000000"/>
                      <w:sz w:val="16"/>
                      <w:szCs w:val="16"/>
                    </w:rPr>
                  </w:pPr>
                </w:p>
              </w:tc>
              <w:tc>
                <w:tcPr>
                  <w:tcW w:w="1180" w:type="dxa"/>
                  <w:shd w:val="clear" w:color="auto" w:fill="auto"/>
                  <w:noWrap/>
                  <w:vAlign w:val="bottom"/>
                  <w:hideMark/>
                </w:tcPr>
                <w:p w14:paraId="29D867F5"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sz w:val="16"/>
                      <w:szCs w:val="16"/>
                    </w:rPr>
                    <w:t>518,394</w:t>
                  </w:r>
                  <w:r w:rsidRPr="009B546D">
                    <w:rPr>
                      <w:rFonts w:cstheme="minorHAnsi"/>
                      <w:color w:val="000000"/>
                      <w:sz w:val="16"/>
                      <w:szCs w:val="16"/>
                    </w:rPr>
                    <w:t xml:space="preserve"> </w:t>
                  </w:r>
                </w:p>
              </w:tc>
              <w:tc>
                <w:tcPr>
                  <w:tcW w:w="1180" w:type="dxa"/>
                  <w:tcBorders>
                    <w:right w:val="nil"/>
                  </w:tcBorders>
                  <w:shd w:val="clear" w:color="auto" w:fill="auto"/>
                  <w:noWrap/>
                  <w:vAlign w:val="bottom"/>
                  <w:hideMark/>
                </w:tcPr>
                <w:p w14:paraId="6E18F985"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 xml:space="preserve">518,394 </w:t>
                  </w:r>
                </w:p>
              </w:tc>
            </w:tr>
            <w:tr w:rsidR="00794AB1" w:rsidRPr="009B546D" w14:paraId="2BC586B4" w14:textId="77777777" w:rsidTr="008408D9">
              <w:trPr>
                <w:trHeight w:val="255"/>
              </w:trPr>
              <w:tc>
                <w:tcPr>
                  <w:tcW w:w="2840" w:type="dxa"/>
                  <w:shd w:val="clear" w:color="auto" w:fill="auto"/>
                  <w:noWrap/>
                  <w:vAlign w:val="bottom"/>
                  <w:hideMark/>
                </w:tcPr>
                <w:p w14:paraId="7D01EEEE" w14:textId="77777777" w:rsidR="00794AB1" w:rsidRPr="009B546D" w:rsidRDefault="00794AB1" w:rsidP="00F432B9">
                  <w:pPr>
                    <w:spacing w:after="0" w:line="240" w:lineRule="auto"/>
                    <w:rPr>
                      <w:rFonts w:cstheme="minorHAnsi"/>
                      <w:color w:val="000000"/>
                      <w:sz w:val="16"/>
                      <w:szCs w:val="16"/>
                    </w:rPr>
                  </w:pPr>
                  <w:r w:rsidRPr="009B546D">
                    <w:rPr>
                      <w:rFonts w:cstheme="minorHAnsi"/>
                      <w:color w:val="000000"/>
                      <w:sz w:val="16"/>
                      <w:szCs w:val="16"/>
                    </w:rPr>
                    <w:t xml:space="preserve">Share premium </w:t>
                  </w:r>
                </w:p>
              </w:tc>
              <w:tc>
                <w:tcPr>
                  <w:tcW w:w="1180" w:type="dxa"/>
                  <w:shd w:val="clear" w:color="auto" w:fill="auto"/>
                  <w:noWrap/>
                  <w:vAlign w:val="bottom"/>
                  <w:hideMark/>
                </w:tcPr>
                <w:p w14:paraId="4E381067" w14:textId="77777777" w:rsidR="00794AB1" w:rsidRPr="009B546D" w:rsidRDefault="00794AB1" w:rsidP="00F432B9">
                  <w:pPr>
                    <w:spacing w:after="0" w:line="240" w:lineRule="auto"/>
                    <w:rPr>
                      <w:rFonts w:cstheme="minorHAnsi"/>
                      <w:color w:val="000000"/>
                      <w:sz w:val="16"/>
                      <w:szCs w:val="16"/>
                    </w:rPr>
                  </w:pPr>
                </w:p>
              </w:tc>
              <w:tc>
                <w:tcPr>
                  <w:tcW w:w="1180" w:type="dxa"/>
                  <w:shd w:val="clear" w:color="auto" w:fill="auto"/>
                  <w:noWrap/>
                  <w:vAlign w:val="bottom"/>
                  <w:hideMark/>
                </w:tcPr>
                <w:p w14:paraId="57DA27A4"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sz w:val="16"/>
                      <w:szCs w:val="16"/>
                    </w:rPr>
                    <w:t>3,848,420</w:t>
                  </w:r>
                  <w:r w:rsidRPr="009B546D">
                    <w:rPr>
                      <w:rFonts w:cstheme="minorHAnsi"/>
                      <w:color w:val="000000"/>
                      <w:sz w:val="16"/>
                      <w:szCs w:val="16"/>
                    </w:rPr>
                    <w:t xml:space="preserve"> </w:t>
                  </w:r>
                </w:p>
              </w:tc>
              <w:tc>
                <w:tcPr>
                  <w:tcW w:w="1180" w:type="dxa"/>
                  <w:tcBorders>
                    <w:right w:val="nil"/>
                  </w:tcBorders>
                  <w:shd w:val="clear" w:color="auto" w:fill="auto"/>
                  <w:noWrap/>
                  <w:vAlign w:val="bottom"/>
                  <w:hideMark/>
                </w:tcPr>
                <w:p w14:paraId="672FB1D1"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 xml:space="preserve">3,848,420 </w:t>
                  </w:r>
                </w:p>
              </w:tc>
            </w:tr>
            <w:tr w:rsidR="00794AB1" w:rsidRPr="009B546D" w14:paraId="5B614F0E" w14:textId="77777777" w:rsidTr="008408D9">
              <w:trPr>
                <w:trHeight w:val="255"/>
              </w:trPr>
              <w:tc>
                <w:tcPr>
                  <w:tcW w:w="2840" w:type="dxa"/>
                  <w:shd w:val="clear" w:color="auto" w:fill="auto"/>
                  <w:noWrap/>
                  <w:vAlign w:val="bottom"/>
                  <w:hideMark/>
                </w:tcPr>
                <w:p w14:paraId="53CD70D2" w14:textId="77777777" w:rsidR="00794AB1" w:rsidRPr="009B546D" w:rsidRDefault="00794AB1" w:rsidP="00F432B9">
                  <w:pPr>
                    <w:spacing w:after="0" w:line="240" w:lineRule="auto"/>
                    <w:rPr>
                      <w:rFonts w:cstheme="minorHAnsi"/>
                      <w:color w:val="000000"/>
                      <w:sz w:val="16"/>
                      <w:szCs w:val="16"/>
                    </w:rPr>
                  </w:pPr>
                  <w:r w:rsidRPr="009B546D">
                    <w:rPr>
                      <w:rFonts w:cstheme="minorHAnsi"/>
                      <w:color w:val="000000"/>
                      <w:sz w:val="16"/>
                      <w:szCs w:val="16"/>
                    </w:rPr>
                    <w:t xml:space="preserve">Accumulated losses </w:t>
                  </w:r>
                </w:p>
              </w:tc>
              <w:tc>
                <w:tcPr>
                  <w:tcW w:w="1180" w:type="dxa"/>
                  <w:shd w:val="clear" w:color="auto" w:fill="auto"/>
                  <w:noWrap/>
                  <w:vAlign w:val="bottom"/>
                  <w:hideMark/>
                </w:tcPr>
                <w:p w14:paraId="0B6E026E" w14:textId="77777777" w:rsidR="00794AB1" w:rsidRPr="009B546D" w:rsidRDefault="00794AB1" w:rsidP="00F432B9">
                  <w:pPr>
                    <w:spacing w:after="0" w:line="240" w:lineRule="auto"/>
                    <w:rPr>
                      <w:rFonts w:cstheme="minorHAnsi"/>
                      <w:color w:val="000000"/>
                      <w:sz w:val="16"/>
                      <w:szCs w:val="16"/>
                    </w:rPr>
                  </w:pPr>
                </w:p>
              </w:tc>
              <w:tc>
                <w:tcPr>
                  <w:tcW w:w="1180" w:type="dxa"/>
                  <w:tcBorders>
                    <w:bottom w:val="single" w:sz="4" w:space="0" w:color="auto"/>
                  </w:tcBorders>
                  <w:shd w:val="clear" w:color="auto" w:fill="auto"/>
                  <w:noWrap/>
                  <w:vAlign w:val="bottom"/>
                  <w:hideMark/>
                </w:tcPr>
                <w:p w14:paraId="165FFD25" w14:textId="61D05203" w:rsidR="00794AB1" w:rsidRPr="009B546D" w:rsidRDefault="00794AB1" w:rsidP="00F432B9">
                  <w:pPr>
                    <w:spacing w:after="0" w:line="240" w:lineRule="auto"/>
                    <w:jc w:val="right"/>
                    <w:rPr>
                      <w:rFonts w:cstheme="minorHAnsi"/>
                      <w:color w:val="000000"/>
                      <w:sz w:val="16"/>
                      <w:szCs w:val="16"/>
                    </w:rPr>
                  </w:pPr>
                  <w:r w:rsidRPr="009B546D">
                    <w:rPr>
                      <w:rFonts w:cstheme="minorHAnsi"/>
                      <w:sz w:val="16"/>
                      <w:szCs w:val="16"/>
                    </w:rPr>
                    <w:t>(1,1</w:t>
                  </w:r>
                  <w:r w:rsidR="00832A40" w:rsidRPr="009B546D">
                    <w:rPr>
                      <w:rFonts w:cstheme="minorHAnsi"/>
                      <w:sz w:val="16"/>
                      <w:szCs w:val="16"/>
                    </w:rPr>
                    <w:t>57</w:t>
                  </w:r>
                  <w:r w:rsidRPr="009B546D">
                    <w:rPr>
                      <w:rFonts w:cstheme="minorHAnsi"/>
                      <w:sz w:val="16"/>
                      <w:szCs w:val="16"/>
                    </w:rPr>
                    <w:t>,884)</w:t>
                  </w:r>
                </w:p>
              </w:tc>
              <w:tc>
                <w:tcPr>
                  <w:tcW w:w="1180" w:type="dxa"/>
                  <w:tcBorders>
                    <w:bottom w:val="single" w:sz="4" w:space="0" w:color="auto"/>
                    <w:right w:val="nil"/>
                  </w:tcBorders>
                  <w:shd w:val="clear" w:color="auto" w:fill="auto"/>
                  <w:noWrap/>
                  <w:vAlign w:val="bottom"/>
                  <w:hideMark/>
                </w:tcPr>
                <w:p w14:paraId="7B7F3D58"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(654,276)</w:t>
                  </w:r>
                </w:p>
              </w:tc>
            </w:tr>
            <w:tr w:rsidR="00794AB1" w:rsidRPr="009B546D" w14:paraId="0DF28A5F" w14:textId="77777777" w:rsidTr="008408D9">
              <w:trPr>
                <w:trHeight w:val="255"/>
              </w:trPr>
              <w:tc>
                <w:tcPr>
                  <w:tcW w:w="2840" w:type="dxa"/>
                  <w:shd w:val="clear" w:color="auto" w:fill="auto"/>
                  <w:noWrap/>
                  <w:vAlign w:val="bottom"/>
                  <w:hideMark/>
                </w:tcPr>
                <w:p w14:paraId="3F22B01E" w14:textId="77777777" w:rsidR="00794AB1" w:rsidRPr="009B546D" w:rsidRDefault="00794AB1" w:rsidP="00F432B9">
                  <w:pPr>
                    <w:spacing w:after="0" w:line="240" w:lineRule="auto"/>
                    <w:rPr>
                      <w:rFonts w:cstheme="minorHAnsi"/>
                      <w:b/>
                      <w:bCs/>
                      <w:color w:val="000000"/>
                      <w:sz w:val="16"/>
                      <w:szCs w:val="16"/>
                    </w:rPr>
                  </w:pPr>
                  <w:r w:rsidRPr="009B546D">
                    <w:rPr>
                      <w:rFonts w:cstheme="minorHAnsi"/>
                      <w:b/>
                      <w:bCs/>
                      <w:color w:val="000000"/>
                      <w:sz w:val="16"/>
                      <w:szCs w:val="16"/>
                    </w:rPr>
                    <w:t xml:space="preserve">Total equity </w:t>
                  </w:r>
                </w:p>
              </w:tc>
              <w:tc>
                <w:tcPr>
                  <w:tcW w:w="1180" w:type="dxa"/>
                  <w:shd w:val="clear" w:color="auto" w:fill="auto"/>
                  <w:noWrap/>
                  <w:vAlign w:val="bottom"/>
                  <w:hideMark/>
                </w:tcPr>
                <w:p w14:paraId="30CB352F" w14:textId="77777777" w:rsidR="00794AB1" w:rsidRPr="009B546D" w:rsidRDefault="00794AB1" w:rsidP="00F432B9">
                  <w:pPr>
                    <w:spacing w:after="0" w:line="240" w:lineRule="auto"/>
                    <w:jc w:val="right"/>
                    <w:rPr>
                      <w:rFonts w:cstheme="minorHAnsi"/>
                      <w:b/>
                      <w:bCs/>
                      <w:color w:val="000000"/>
                      <w:sz w:val="16"/>
                      <w:szCs w:val="16"/>
                    </w:rPr>
                  </w:pPr>
                </w:p>
              </w:tc>
              <w:tc>
                <w:tcPr>
                  <w:tcW w:w="1180" w:type="dxa"/>
                  <w:tcBorders>
                    <w:top w:val="single" w:sz="4" w:space="0" w:color="auto"/>
                  </w:tcBorders>
                  <w:shd w:val="clear" w:color="auto" w:fill="auto"/>
                  <w:noWrap/>
                  <w:vAlign w:val="bottom"/>
                  <w:hideMark/>
                </w:tcPr>
                <w:p w14:paraId="7EC40E15" w14:textId="0FE727DE" w:rsidR="00794AB1" w:rsidRPr="009B546D" w:rsidRDefault="00794AB1" w:rsidP="00F432B9">
                  <w:pPr>
                    <w:spacing w:after="0" w:line="240" w:lineRule="auto"/>
                    <w:jc w:val="right"/>
                    <w:rPr>
                      <w:rFonts w:cstheme="minorHAnsi"/>
                      <w:b/>
                      <w:bCs/>
                      <w:color w:val="000000"/>
                      <w:sz w:val="16"/>
                      <w:szCs w:val="16"/>
                    </w:rPr>
                  </w:pPr>
                  <w:r w:rsidRPr="009B546D">
                    <w:rPr>
                      <w:rFonts w:cstheme="minorHAnsi"/>
                      <w:b/>
                      <w:bCs/>
                      <w:color w:val="000000"/>
                      <w:sz w:val="16"/>
                      <w:szCs w:val="16"/>
                    </w:rPr>
                    <w:t>3,2</w:t>
                  </w:r>
                  <w:r w:rsidR="0026200D" w:rsidRPr="009B546D">
                    <w:rPr>
                      <w:rFonts w:cstheme="minorHAnsi"/>
                      <w:b/>
                      <w:bCs/>
                      <w:color w:val="000000"/>
                      <w:sz w:val="16"/>
                      <w:szCs w:val="16"/>
                    </w:rPr>
                    <w:t>08</w:t>
                  </w:r>
                  <w:r w:rsidRPr="009B546D">
                    <w:rPr>
                      <w:rFonts w:cstheme="minorHAnsi"/>
                      <w:b/>
                      <w:bCs/>
                      <w:color w:val="000000"/>
                      <w:sz w:val="16"/>
                      <w:szCs w:val="16"/>
                    </w:rPr>
                    <w:t xml:space="preserve">,930 </w:t>
                  </w:r>
                </w:p>
              </w:tc>
              <w:tc>
                <w:tcPr>
                  <w:tcW w:w="1180" w:type="dxa"/>
                  <w:tcBorders>
                    <w:top w:val="single" w:sz="4" w:space="0" w:color="auto"/>
                    <w:right w:val="nil"/>
                  </w:tcBorders>
                  <w:shd w:val="clear" w:color="auto" w:fill="auto"/>
                  <w:noWrap/>
                  <w:vAlign w:val="bottom"/>
                  <w:hideMark/>
                </w:tcPr>
                <w:p w14:paraId="425D3CCE" w14:textId="77777777" w:rsidR="00794AB1" w:rsidRPr="009B546D" w:rsidRDefault="00794AB1" w:rsidP="00F432B9">
                  <w:pPr>
                    <w:spacing w:after="0" w:line="240" w:lineRule="auto"/>
                    <w:jc w:val="right"/>
                    <w:rPr>
                      <w:rFonts w:cstheme="minorHAnsi"/>
                      <w:b/>
                      <w:bCs/>
                      <w:color w:val="000000"/>
                      <w:sz w:val="16"/>
                      <w:szCs w:val="16"/>
                    </w:rPr>
                  </w:pPr>
                  <w:r w:rsidRPr="009B546D">
                    <w:rPr>
                      <w:rFonts w:cstheme="minorHAnsi"/>
                      <w:b/>
                      <w:bCs/>
                      <w:color w:val="000000"/>
                      <w:sz w:val="16"/>
                      <w:szCs w:val="16"/>
                    </w:rPr>
                    <w:t>3,712,538</w:t>
                  </w:r>
                </w:p>
              </w:tc>
            </w:tr>
            <w:tr w:rsidR="00794AB1" w:rsidRPr="009B546D" w14:paraId="7941B20D" w14:textId="77777777" w:rsidTr="008408D9">
              <w:trPr>
                <w:trHeight w:val="80"/>
              </w:trPr>
              <w:tc>
                <w:tcPr>
                  <w:tcW w:w="2840" w:type="dxa"/>
                  <w:tcBorders>
                    <w:left w:val="nil"/>
                    <w:bottom w:val="nil"/>
                    <w:right w:val="nil"/>
                  </w:tcBorders>
                  <w:shd w:val="clear" w:color="auto" w:fill="auto"/>
                  <w:noWrap/>
                  <w:vAlign w:val="bottom"/>
                  <w:hideMark/>
                </w:tcPr>
                <w:p w14:paraId="2CB328B1" w14:textId="77777777" w:rsidR="00794AB1" w:rsidRPr="009B546D" w:rsidRDefault="00794AB1" w:rsidP="00F432B9">
                  <w:pPr>
                    <w:spacing w:after="0" w:line="240" w:lineRule="auto"/>
                    <w:jc w:val="right"/>
                    <w:rPr>
                      <w:rFonts w:cstheme="minorHAnsi"/>
                      <w:color w:val="000000"/>
                      <w:sz w:val="16"/>
                      <w:szCs w:val="16"/>
                    </w:rPr>
                  </w:pPr>
                </w:p>
              </w:tc>
              <w:tc>
                <w:tcPr>
                  <w:tcW w:w="1180" w:type="dxa"/>
                  <w:tcBorders>
                    <w:left w:val="nil"/>
                    <w:bottom w:val="nil"/>
                    <w:right w:val="nil"/>
                  </w:tcBorders>
                  <w:shd w:val="clear" w:color="auto" w:fill="auto"/>
                  <w:noWrap/>
                  <w:vAlign w:val="bottom"/>
                  <w:hideMark/>
                </w:tcPr>
                <w:p w14:paraId="702CE165" w14:textId="77777777" w:rsidR="00794AB1" w:rsidRPr="009B546D" w:rsidRDefault="00794AB1" w:rsidP="00F432B9">
                  <w:pPr>
                    <w:spacing w:after="0" w:line="240" w:lineRule="auto"/>
                    <w:rPr>
                      <w:rFonts w:cstheme="minorHAnsi"/>
                      <w:sz w:val="16"/>
                      <w:szCs w:val="16"/>
                    </w:rPr>
                  </w:pPr>
                </w:p>
              </w:tc>
              <w:tc>
                <w:tcPr>
                  <w:tcW w:w="1180" w:type="dxa"/>
                  <w:tcBorders>
                    <w:left w:val="nil"/>
                    <w:bottom w:val="single" w:sz="4" w:space="0" w:color="auto"/>
                    <w:right w:val="nil"/>
                  </w:tcBorders>
                  <w:shd w:val="clear" w:color="auto" w:fill="auto"/>
                  <w:noWrap/>
                  <w:vAlign w:val="bottom"/>
                  <w:hideMark/>
                </w:tcPr>
                <w:p w14:paraId="04CFCA65" w14:textId="77777777" w:rsidR="00794AB1" w:rsidRPr="009B546D" w:rsidRDefault="00794AB1" w:rsidP="00F432B9">
                  <w:pPr>
                    <w:spacing w:after="0" w:line="240" w:lineRule="auto"/>
                    <w:rPr>
                      <w:rFonts w:cstheme="minorHAnsi"/>
                      <w:sz w:val="16"/>
                      <w:szCs w:val="16"/>
                    </w:rPr>
                  </w:pPr>
                </w:p>
              </w:tc>
              <w:tc>
                <w:tcPr>
                  <w:tcW w:w="1180" w:type="dxa"/>
                  <w:tcBorders>
                    <w:left w:val="nil"/>
                    <w:bottom w:val="single" w:sz="4" w:space="0" w:color="auto"/>
                    <w:right w:val="nil"/>
                  </w:tcBorders>
                  <w:shd w:val="clear" w:color="auto" w:fill="auto"/>
                  <w:noWrap/>
                  <w:vAlign w:val="bottom"/>
                  <w:hideMark/>
                </w:tcPr>
                <w:p w14:paraId="32942AFB" w14:textId="77777777" w:rsidR="00794AB1" w:rsidRPr="009B546D" w:rsidRDefault="00794AB1" w:rsidP="00F432B9">
                  <w:pPr>
                    <w:spacing w:after="0" w:line="240" w:lineRule="auto"/>
                    <w:rPr>
                      <w:rFonts w:cstheme="minorHAnsi"/>
                      <w:sz w:val="16"/>
                      <w:szCs w:val="16"/>
                    </w:rPr>
                  </w:pPr>
                </w:p>
              </w:tc>
            </w:tr>
            <w:tr w:rsidR="00794AB1" w:rsidRPr="009B546D" w14:paraId="614EA976" w14:textId="77777777" w:rsidTr="008408D9">
              <w:trPr>
                <w:trHeight w:val="255"/>
              </w:trPr>
              <w:tc>
                <w:tcPr>
                  <w:tcW w:w="2840" w:type="dxa"/>
                  <w:tcBorders>
                    <w:top w:val="nil"/>
                    <w:left w:val="nil"/>
                    <w:bottom w:val="nil"/>
                    <w:right w:val="nil"/>
                  </w:tcBorders>
                  <w:shd w:val="clear" w:color="auto" w:fill="auto"/>
                  <w:noWrap/>
                  <w:vAlign w:val="bottom"/>
                  <w:hideMark/>
                </w:tcPr>
                <w:p w14:paraId="685898E0" w14:textId="77777777" w:rsidR="00794AB1" w:rsidRPr="009B546D" w:rsidRDefault="00794AB1" w:rsidP="00F432B9">
                  <w:pPr>
                    <w:spacing w:after="0" w:line="240" w:lineRule="auto"/>
                    <w:rPr>
                      <w:rFonts w:cstheme="minorHAnsi"/>
                      <w:b/>
                      <w:bCs/>
                      <w:color w:val="000000"/>
                      <w:sz w:val="16"/>
                      <w:szCs w:val="16"/>
                    </w:rPr>
                  </w:pPr>
                  <w:r w:rsidRPr="009B546D">
                    <w:rPr>
                      <w:rFonts w:cstheme="minorHAnsi"/>
                      <w:b/>
                      <w:bCs/>
                      <w:color w:val="000000"/>
                      <w:sz w:val="16"/>
                      <w:szCs w:val="16"/>
                    </w:rPr>
                    <w:t xml:space="preserve">Liabilities </w:t>
                  </w:r>
                </w:p>
              </w:tc>
              <w:tc>
                <w:tcPr>
                  <w:tcW w:w="1180" w:type="dxa"/>
                  <w:tcBorders>
                    <w:top w:val="nil"/>
                    <w:left w:val="nil"/>
                    <w:bottom w:val="nil"/>
                    <w:right w:val="nil"/>
                  </w:tcBorders>
                  <w:shd w:val="clear" w:color="auto" w:fill="auto"/>
                  <w:noWrap/>
                  <w:vAlign w:val="bottom"/>
                  <w:hideMark/>
                </w:tcPr>
                <w:p w14:paraId="29EDC8D4" w14:textId="77777777" w:rsidR="00794AB1" w:rsidRPr="009B546D" w:rsidRDefault="00794AB1" w:rsidP="00F432B9">
                  <w:pPr>
                    <w:spacing w:after="0" w:line="240" w:lineRule="auto"/>
                    <w:rPr>
                      <w:rFonts w:cstheme="minorHAnsi"/>
                      <w:b/>
                      <w:bCs/>
                      <w:color w:val="000000"/>
                      <w:sz w:val="16"/>
                      <w:szCs w:val="16"/>
                    </w:rPr>
                  </w:pPr>
                </w:p>
              </w:tc>
              <w:tc>
                <w:tcPr>
                  <w:tcW w:w="1180" w:type="dxa"/>
                  <w:tcBorders>
                    <w:top w:val="single" w:sz="4" w:space="0" w:color="auto"/>
                    <w:left w:val="nil"/>
                    <w:bottom w:val="nil"/>
                    <w:right w:val="nil"/>
                  </w:tcBorders>
                  <w:shd w:val="clear" w:color="auto" w:fill="auto"/>
                  <w:noWrap/>
                  <w:vAlign w:val="bottom"/>
                  <w:hideMark/>
                </w:tcPr>
                <w:p w14:paraId="223E45BC" w14:textId="77777777" w:rsidR="00794AB1" w:rsidRPr="009B546D" w:rsidRDefault="00794AB1" w:rsidP="00F432B9">
                  <w:pPr>
                    <w:spacing w:after="0" w:line="240" w:lineRule="auto"/>
                    <w:rPr>
                      <w:rFonts w:cstheme="minorHAnsi"/>
                      <w:sz w:val="16"/>
                      <w:szCs w:val="16"/>
                    </w:rPr>
                  </w:pPr>
                </w:p>
              </w:tc>
              <w:tc>
                <w:tcPr>
                  <w:tcW w:w="1180" w:type="dxa"/>
                  <w:tcBorders>
                    <w:top w:val="single" w:sz="4" w:space="0" w:color="auto"/>
                    <w:left w:val="nil"/>
                    <w:bottom w:val="nil"/>
                    <w:right w:val="nil"/>
                  </w:tcBorders>
                  <w:shd w:val="clear" w:color="auto" w:fill="auto"/>
                  <w:noWrap/>
                  <w:vAlign w:val="bottom"/>
                  <w:hideMark/>
                </w:tcPr>
                <w:p w14:paraId="4A05F32C" w14:textId="77777777" w:rsidR="00794AB1" w:rsidRPr="009B546D" w:rsidRDefault="00794AB1" w:rsidP="00F432B9">
                  <w:pPr>
                    <w:spacing w:after="0" w:line="240" w:lineRule="auto"/>
                    <w:rPr>
                      <w:rFonts w:cstheme="minorHAnsi"/>
                      <w:sz w:val="16"/>
                      <w:szCs w:val="16"/>
                    </w:rPr>
                  </w:pPr>
                </w:p>
              </w:tc>
            </w:tr>
            <w:tr w:rsidR="00794AB1" w:rsidRPr="009B546D" w14:paraId="7B7E7085" w14:textId="77777777" w:rsidTr="00682BB9">
              <w:trPr>
                <w:trHeight w:val="255"/>
              </w:trPr>
              <w:tc>
                <w:tcPr>
                  <w:tcW w:w="2840" w:type="dxa"/>
                  <w:tcBorders>
                    <w:top w:val="nil"/>
                    <w:left w:val="nil"/>
                    <w:bottom w:val="nil"/>
                    <w:right w:val="nil"/>
                  </w:tcBorders>
                  <w:shd w:val="clear" w:color="auto" w:fill="auto"/>
                  <w:noWrap/>
                  <w:vAlign w:val="bottom"/>
                  <w:hideMark/>
                </w:tcPr>
                <w:p w14:paraId="21C802D7" w14:textId="77777777" w:rsidR="00794AB1" w:rsidRPr="009B546D" w:rsidRDefault="00794AB1" w:rsidP="00F432B9">
                  <w:pPr>
                    <w:spacing w:after="0" w:line="240" w:lineRule="auto"/>
                    <w:rPr>
                      <w:rFonts w:cstheme="minorHAnsi"/>
                      <w:b/>
                      <w:bCs/>
                      <w:color w:val="000000"/>
                      <w:sz w:val="16"/>
                      <w:szCs w:val="16"/>
                    </w:rPr>
                  </w:pPr>
                  <w:r w:rsidRPr="009B546D">
                    <w:rPr>
                      <w:rFonts w:cstheme="minorHAnsi"/>
                      <w:b/>
                      <w:bCs/>
                      <w:color w:val="000000"/>
                      <w:sz w:val="16"/>
                      <w:szCs w:val="16"/>
                    </w:rPr>
                    <w:t xml:space="preserve">Current liabilities </w:t>
                  </w:r>
                </w:p>
              </w:tc>
              <w:tc>
                <w:tcPr>
                  <w:tcW w:w="1180" w:type="dxa"/>
                  <w:tcBorders>
                    <w:top w:val="nil"/>
                    <w:left w:val="nil"/>
                    <w:bottom w:val="nil"/>
                    <w:right w:val="nil"/>
                  </w:tcBorders>
                  <w:shd w:val="clear" w:color="auto" w:fill="auto"/>
                  <w:noWrap/>
                  <w:vAlign w:val="bottom"/>
                  <w:hideMark/>
                </w:tcPr>
                <w:p w14:paraId="1121A5F6" w14:textId="77777777" w:rsidR="00794AB1" w:rsidRPr="009B546D" w:rsidRDefault="00794AB1" w:rsidP="00F432B9">
                  <w:pPr>
                    <w:spacing w:after="0" w:line="240" w:lineRule="auto"/>
                    <w:rPr>
                      <w:rFonts w:cstheme="minorHAnsi"/>
                      <w:b/>
                      <w:bCs/>
                      <w:color w:val="000000"/>
                      <w:sz w:val="16"/>
                      <w:szCs w:val="16"/>
                    </w:rPr>
                  </w:pPr>
                </w:p>
              </w:tc>
              <w:tc>
                <w:tcPr>
                  <w:tcW w:w="1180" w:type="dxa"/>
                  <w:tcBorders>
                    <w:top w:val="nil"/>
                    <w:left w:val="nil"/>
                    <w:bottom w:val="nil"/>
                    <w:right w:val="nil"/>
                  </w:tcBorders>
                  <w:shd w:val="clear" w:color="auto" w:fill="auto"/>
                  <w:noWrap/>
                  <w:vAlign w:val="bottom"/>
                  <w:hideMark/>
                </w:tcPr>
                <w:p w14:paraId="52E87627" w14:textId="77777777" w:rsidR="00794AB1" w:rsidRPr="009B546D" w:rsidRDefault="00794AB1" w:rsidP="00F432B9">
                  <w:pPr>
                    <w:spacing w:after="0" w:line="240" w:lineRule="auto"/>
                    <w:rPr>
                      <w:rFonts w:cstheme="minorHAnsi"/>
                      <w:sz w:val="16"/>
                      <w:szCs w:val="16"/>
                    </w:rPr>
                  </w:pPr>
                </w:p>
              </w:tc>
              <w:tc>
                <w:tcPr>
                  <w:tcW w:w="1180" w:type="dxa"/>
                  <w:tcBorders>
                    <w:top w:val="nil"/>
                    <w:left w:val="nil"/>
                    <w:bottom w:val="nil"/>
                    <w:right w:val="nil"/>
                  </w:tcBorders>
                  <w:shd w:val="clear" w:color="auto" w:fill="auto"/>
                  <w:noWrap/>
                  <w:vAlign w:val="bottom"/>
                  <w:hideMark/>
                </w:tcPr>
                <w:p w14:paraId="3B09A151" w14:textId="77777777" w:rsidR="00794AB1" w:rsidRPr="009B546D" w:rsidRDefault="00794AB1" w:rsidP="00F432B9">
                  <w:pPr>
                    <w:spacing w:after="0" w:line="240" w:lineRule="auto"/>
                    <w:rPr>
                      <w:rFonts w:cstheme="minorHAnsi"/>
                      <w:sz w:val="16"/>
                      <w:szCs w:val="16"/>
                    </w:rPr>
                  </w:pPr>
                </w:p>
              </w:tc>
            </w:tr>
            <w:tr w:rsidR="00794AB1" w:rsidRPr="009B546D" w14:paraId="2D871C1F" w14:textId="77777777" w:rsidTr="00682BB9">
              <w:trPr>
                <w:trHeight w:val="255"/>
              </w:trPr>
              <w:tc>
                <w:tcPr>
                  <w:tcW w:w="2840" w:type="dxa"/>
                  <w:tcBorders>
                    <w:top w:val="nil"/>
                    <w:left w:val="nil"/>
                    <w:bottom w:val="nil"/>
                    <w:right w:val="nil"/>
                  </w:tcBorders>
                  <w:shd w:val="clear" w:color="auto" w:fill="auto"/>
                  <w:noWrap/>
                  <w:vAlign w:val="bottom"/>
                  <w:hideMark/>
                </w:tcPr>
                <w:p w14:paraId="3CAFA530" w14:textId="77777777" w:rsidR="00794AB1" w:rsidRPr="009B546D" w:rsidRDefault="00794AB1" w:rsidP="00F432B9">
                  <w:pPr>
                    <w:spacing w:after="0" w:line="240" w:lineRule="auto"/>
                    <w:rPr>
                      <w:rFonts w:cstheme="minorHAnsi"/>
                      <w:color w:val="000000"/>
                      <w:sz w:val="16"/>
                      <w:szCs w:val="16"/>
                    </w:rPr>
                  </w:pPr>
                  <w:r w:rsidRPr="009B546D">
                    <w:rPr>
                      <w:rFonts w:cstheme="minorHAnsi"/>
                      <w:color w:val="000000"/>
                      <w:sz w:val="16"/>
                      <w:szCs w:val="16"/>
                    </w:rPr>
                    <w:t xml:space="preserve">Accruals </w:t>
                  </w:r>
                </w:p>
              </w:tc>
              <w:tc>
                <w:tcPr>
                  <w:tcW w:w="1180" w:type="dxa"/>
                  <w:tcBorders>
                    <w:top w:val="nil"/>
                    <w:left w:val="nil"/>
                    <w:bottom w:val="nil"/>
                    <w:right w:val="nil"/>
                  </w:tcBorders>
                  <w:shd w:val="clear" w:color="auto" w:fill="auto"/>
                  <w:noWrap/>
                  <w:vAlign w:val="bottom"/>
                  <w:hideMark/>
                </w:tcPr>
                <w:p w14:paraId="3960FA7B" w14:textId="77777777" w:rsidR="00794AB1" w:rsidRPr="009B546D" w:rsidRDefault="00794AB1" w:rsidP="00F432B9">
                  <w:pPr>
                    <w:spacing w:after="0" w:line="240" w:lineRule="auto"/>
                    <w:rPr>
                      <w:rFonts w:cstheme="minorHAnsi"/>
                      <w:color w:val="000000"/>
                      <w:sz w:val="16"/>
                      <w:szCs w:val="16"/>
                    </w:rPr>
                  </w:pPr>
                </w:p>
              </w:tc>
              <w:tc>
                <w:tcPr>
                  <w:tcW w:w="1180" w:type="dxa"/>
                  <w:tcBorders>
                    <w:top w:val="nil"/>
                    <w:left w:val="nil"/>
                    <w:bottom w:val="nil"/>
                    <w:right w:val="nil"/>
                  </w:tcBorders>
                  <w:shd w:val="clear" w:color="auto" w:fill="auto"/>
                  <w:noWrap/>
                  <w:vAlign w:val="bottom"/>
                  <w:hideMark/>
                </w:tcPr>
                <w:p w14:paraId="58760491" w14:textId="31F11CE8" w:rsidR="00794AB1" w:rsidRPr="009B546D" w:rsidRDefault="006D69AE" w:rsidP="00F432B9">
                  <w:pPr>
                    <w:spacing w:after="0" w:line="240" w:lineRule="auto"/>
                    <w:jc w:val="right"/>
                    <w:rPr>
                      <w:rFonts w:cstheme="minorHAnsi"/>
                      <w:color w:val="000000"/>
                      <w:sz w:val="16"/>
                      <w:szCs w:val="16"/>
                    </w:rPr>
                  </w:pPr>
                  <w:r w:rsidRPr="009B546D">
                    <w:rPr>
                      <w:rFonts w:cstheme="minorHAnsi"/>
                      <w:sz w:val="16"/>
                      <w:szCs w:val="16"/>
                    </w:rPr>
                    <w:t>218</w:t>
                  </w:r>
                  <w:r w:rsidR="00794AB1" w:rsidRPr="009B546D">
                    <w:rPr>
                      <w:rFonts w:cstheme="minorHAnsi"/>
                      <w:sz w:val="16"/>
                      <w:szCs w:val="16"/>
                    </w:rPr>
                    <w:t>,151</w:t>
                  </w:r>
                </w:p>
              </w:tc>
              <w:tc>
                <w:tcPr>
                  <w:tcW w:w="1180" w:type="dxa"/>
                  <w:tcBorders>
                    <w:top w:val="nil"/>
                    <w:left w:val="nil"/>
                    <w:bottom w:val="nil"/>
                    <w:right w:val="nil"/>
                  </w:tcBorders>
                  <w:shd w:val="clear" w:color="auto" w:fill="auto"/>
                  <w:noWrap/>
                  <w:vAlign w:val="bottom"/>
                  <w:hideMark/>
                </w:tcPr>
                <w:p w14:paraId="429A1E3F"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118,287</w:t>
                  </w:r>
                </w:p>
              </w:tc>
            </w:tr>
            <w:tr w:rsidR="00794AB1" w:rsidRPr="009B546D" w14:paraId="5DE1A9CC" w14:textId="77777777" w:rsidTr="008408D9">
              <w:trPr>
                <w:trHeight w:val="255"/>
              </w:trPr>
              <w:tc>
                <w:tcPr>
                  <w:tcW w:w="2840" w:type="dxa"/>
                  <w:tcBorders>
                    <w:top w:val="nil"/>
                    <w:left w:val="nil"/>
                    <w:bottom w:val="nil"/>
                    <w:right w:val="nil"/>
                  </w:tcBorders>
                  <w:shd w:val="clear" w:color="auto" w:fill="auto"/>
                  <w:noWrap/>
                  <w:vAlign w:val="bottom"/>
                  <w:hideMark/>
                </w:tcPr>
                <w:p w14:paraId="334EA4CF" w14:textId="77777777" w:rsidR="00794AB1" w:rsidRPr="009B546D" w:rsidRDefault="00794AB1" w:rsidP="00F432B9">
                  <w:pPr>
                    <w:spacing w:after="0" w:line="240" w:lineRule="auto"/>
                    <w:rPr>
                      <w:rFonts w:cstheme="minorHAnsi"/>
                      <w:color w:val="000000"/>
                      <w:sz w:val="16"/>
                      <w:szCs w:val="16"/>
                    </w:rPr>
                  </w:pPr>
                  <w:r w:rsidRPr="009B546D">
                    <w:rPr>
                      <w:rFonts w:cstheme="minorHAnsi"/>
                      <w:color w:val="000000"/>
                      <w:sz w:val="16"/>
                      <w:szCs w:val="16"/>
                    </w:rPr>
                    <w:t>Amounts due to a director</w:t>
                  </w:r>
                </w:p>
              </w:tc>
              <w:tc>
                <w:tcPr>
                  <w:tcW w:w="1180" w:type="dxa"/>
                  <w:tcBorders>
                    <w:top w:val="nil"/>
                    <w:left w:val="nil"/>
                    <w:bottom w:val="nil"/>
                    <w:right w:val="nil"/>
                  </w:tcBorders>
                  <w:shd w:val="clear" w:color="auto" w:fill="auto"/>
                  <w:noWrap/>
                  <w:vAlign w:val="bottom"/>
                  <w:hideMark/>
                </w:tcPr>
                <w:p w14:paraId="6B1560FA" w14:textId="77777777" w:rsidR="00794AB1" w:rsidRPr="009B546D" w:rsidRDefault="00794AB1" w:rsidP="00F432B9">
                  <w:pPr>
                    <w:spacing w:after="0" w:line="240" w:lineRule="auto"/>
                    <w:rPr>
                      <w:rFonts w:cstheme="minorHAnsi"/>
                      <w:color w:val="000000"/>
                      <w:sz w:val="16"/>
                      <w:szCs w:val="16"/>
                    </w:rPr>
                  </w:pPr>
                </w:p>
              </w:tc>
              <w:tc>
                <w:tcPr>
                  <w:tcW w:w="1180" w:type="dxa"/>
                  <w:tcBorders>
                    <w:top w:val="nil"/>
                    <w:left w:val="nil"/>
                    <w:bottom w:val="single" w:sz="4" w:space="0" w:color="auto"/>
                    <w:right w:val="nil"/>
                  </w:tcBorders>
                  <w:shd w:val="clear" w:color="auto" w:fill="auto"/>
                  <w:noWrap/>
                  <w:vAlign w:val="bottom"/>
                  <w:hideMark/>
                </w:tcPr>
                <w:p w14:paraId="2E365779"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 xml:space="preserve">288,811 </w:t>
                  </w:r>
                </w:p>
              </w:tc>
              <w:tc>
                <w:tcPr>
                  <w:tcW w:w="1180" w:type="dxa"/>
                  <w:tcBorders>
                    <w:top w:val="nil"/>
                    <w:left w:val="nil"/>
                    <w:bottom w:val="single" w:sz="4" w:space="0" w:color="auto"/>
                    <w:right w:val="nil"/>
                  </w:tcBorders>
                  <w:shd w:val="clear" w:color="auto" w:fill="auto"/>
                  <w:noWrap/>
                  <w:vAlign w:val="bottom"/>
                  <w:hideMark/>
                </w:tcPr>
                <w:p w14:paraId="75C69226" w14:textId="77777777" w:rsidR="00794AB1" w:rsidRPr="009B546D" w:rsidRDefault="00794AB1" w:rsidP="00F432B9">
                  <w:pPr>
                    <w:spacing w:after="0" w:line="240" w:lineRule="auto"/>
                    <w:jc w:val="right"/>
                    <w:rPr>
                      <w:rFonts w:cstheme="minorHAnsi"/>
                      <w:color w:val="000000"/>
                      <w:sz w:val="16"/>
                      <w:szCs w:val="16"/>
                    </w:rPr>
                  </w:pPr>
                  <w:r w:rsidRPr="009B546D">
                    <w:rPr>
                      <w:rFonts w:cstheme="minorHAnsi"/>
                      <w:color w:val="000000"/>
                      <w:sz w:val="16"/>
                      <w:szCs w:val="16"/>
                    </w:rPr>
                    <w:t xml:space="preserve">288,811 </w:t>
                  </w:r>
                </w:p>
              </w:tc>
            </w:tr>
            <w:tr w:rsidR="00794AB1" w:rsidRPr="009B546D" w14:paraId="1FB2F898" w14:textId="77777777" w:rsidTr="008408D9">
              <w:trPr>
                <w:trHeight w:val="255"/>
              </w:trPr>
              <w:tc>
                <w:tcPr>
                  <w:tcW w:w="2840" w:type="dxa"/>
                  <w:tcBorders>
                    <w:top w:val="nil"/>
                    <w:left w:val="nil"/>
                    <w:bottom w:val="nil"/>
                    <w:right w:val="nil"/>
                  </w:tcBorders>
                  <w:shd w:val="clear" w:color="auto" w:fill="auto"/>
                  <w:noWrap/>
                  <w:vAlign w:val="bottom"/>
                  <w:hideMark/>
                </w:tcPr>
                <w:p w14:paraId="353BE9D3" w14:textId="77777777" w:rsidR="00794AB1" w:rsidRPr="009B546D" w:rsidRDefault="00794AB1" w:rsidP="00F432B9">
                  <w:pPr>
                    <w:spacing w:after="0" w:line="240" w:lineRule="auto"/>
                    <w:rPr>
                      <w:rFonts w:cstheme="minorHAnsi"/>
                      <w:b/>
                      <w:bCs/>
                      <w:color w:val="000000"/>
                      <w:sz w:val="16"/>
                      <w:szCs w:val="16"/>
                    </w:rPr>
                  </w:pPr>
                  <w:r w:rsidRPr="009B546D">
                    <w:rPr>
                      <w:rFonts w:cstheme="minorHAnsi"/>
                      <w:b/>
                      <w:bCs/>
                      <w:color w:val="000000"/>
                      <w:sz w:val="16"/>
                      <w:szCs w:val="16"/>
                    </w:rPr>
                    <w:t xml:space="preserve">Total current liabilities </w:t>
                  </w:r>
                </w:p>
              </w:tc>
              <w:tc>
                <w:tcPr>
                  <w:tcW w:w="1180" w:type="dxa"/>
                  <w:tcBorders>
                    <w:top w:val="nil"/>
                    <w:left w:val="nil"/>
                    <w:bottom w:val="nil"/>
                    <w:right w:val="nil"/>
                  </w:tcBorders>
                  <w:shd w:val="clear" w:color="auto" w:fill="auto"/>
                  <w:noWrap/>
                  <w:vAlign w:val="bottom"/>
                  <w:hideMark/>
                </w:tcPr>
                <w:p w14:paraId="56862103" w14:textId="77777777" w:rsidR="00794AB1" w:rsidRPr="009B546D" w:rsidRDefault="00794AB1" w:rsidP="00F432B9">
                  <w:pPr>
                    <w:spacing w:after="0" w:line="240" w:lineRule="auto"/>
                    <w:rPr>
                      <w:rFonts w:cstheme="minorHAnsi"/>
                      <w:b/>
                      <w:bCs/>
                      <w:color w:val="000000"/>
                      <w:sz w:val="16"/>
                      <w:szCs w:val="16"/>
                    </w:rPr>
                  </w:pPr>
                </w:p>
              </w:tc>
              <w:tc>
                <w:tcPr>
                  <w:tcW w:w="1180" w:type="dxa"/>
                  <w:tcBorders>
                    <w:top w:val="single" w:sz="4" w:space="0" w:color="auto"/>
                    <w:left w:val="nil"/>
                    <w:bottom w:val="single" w:sz="4" w:space="0" w:color="auto"/>
                    <w:right w:val="nil"/>
                  </w:tcBorders>
                  <w:shd w:val="clear" w:color="auto" w:fill="auto"/>
                  <w:noWrap/>
                  <w:vAlign w:val="bottom"/>
                  <w:hideMark/>
                </w:tcPr>
                <w:p w14:paraId="72AD565D" w14:textId="09EEBF09" w:rsidR="00794AB1" w:rsidRPr="009B546D" w:rsidRDefault="006D69AE" w:rsidP="00F432B9">
                  <w:pPr>
                    <w:spacing w:after="0" w:line="240" w:lineRule="auto"/>
                    <w:jc w:val="right"/>
                    <w:rPr>
                      <w:rFonts w:cstheme="minorHAnsi"/>
                      <w:b/>
                      <w:bCs/>
                      <w:color w:val="000000"/>
                      <w:sz w:val="16"/>
                      <w:szCs w:val="16"/>
                    </w:rPr>
                  </w:pPr>
                  <w:r w:rsidRPr="009B546D">
                    <w:rPr>
                      <w:rFonts w:cstheme="minorHAnsi"/>
                      <w:b/>
                      <w:bCs/>
                      <w:sz w:val="16"/>
                      <w:szCs w:val="16"/>
                    </w:rPr>
                    <w:t>506</w:t>
                  </w:r>
                  <w:r w:rsidR="00794AB1" w:rsidRPr="009B546D">
                    <w:rPr>
                      <w:rFonts w:cstheme="minorHAnsi"/>
                      <w:b/>
                      <w:bCs/>
                      <w:sz w:val="16"/>
                      <w:szCs w:val="16"/>
                    </w:rPr>
                    <w:t>,962</w:t>
                  </w:r>
                  <w:r w:rsidR="00794AB1" w:rsidRPr="009B546D">
                    <w:rPr>
                      <w:rFonts w:cstheme="minorHAnsi"/>
                      <w:b/>
                      <w:bCs/>
                      <w:color w:val="000000"/>
                      <w:sz w:val="16"/>
                      <w:szCs w:val="16"/>
                    </w:rPr>
                    <w:t xml:space="preserve"> </w:t>
                  </w:r>
                </w:p>
              </w:tc>
              <w:tc>
                <w:tcPr>
                  <w:tcW w:w="1180" w:type="dxa"/>
                  <w:tcBorders>
                    <w:top w:val="single" w:sz="4" w:space="0" w:color="auto"/>
                    <w:left w:val="nil"/>
                    <w:bottom w:val="single" w:sz="4" w:space="0" w:color="auto"/>
                    <w:right w:val="nil"/>
                  </w:tcBorders>
                  <w:shd w:val="clear" w:color="auto" w:fill="auto"/>
                  <w:noWrap/>
                  <w:vAlign w:val="bottom"/>
                  <w:hideMark/>
                </w:tcPr>
                <w:p w14:paraId="7ED72BA9" w14:textId="77777777" w:rsidR="00794AB1" w:rsidRPr="009B546D" w:rsidRDefault="00794AB1" w:rsidP="00F432B9">
                  <w:pPr>
                    <w:spacing w:after="0" w:line="240" w:lineRule="auto"/>
                    <w:jc w:val="right"/>
                    <w:rPr>
                      <w:rFonts w:cstheme="minorHAnsi"/>
                      <w:b/>
                      <w:bCs/>
                      <w:color w:val="000000"/>
                      <w:sz w:val="16"/>
                      <w:szCs w:val="16"/>
                    </w:rPr>
                  </w:pPr>
                  <w:r w:rsidRPr="009B546D">
                    <w:rPr>
                      <w:rFonts w:cstheme="minorHAnsi"/>
                      <w:b/>
                      <w:bCs/>
                      <w:color w:val="000000"/>
                      <w:sz w:val="16"/>
                      <w:szCs w:val="16"/>
                    </w:rPr>
                    <w:t xml:space="preserve">407,098 </w:t>
                  </w:r>
                </w:p>
              </w:tc>
            </w:tr>
            <w:tr w:rsidR="00794AB1" w:rsidRPr="009B546D" w14:paraId="03C2A88A" w14:textId="77777777" w:rsidTr="008408D9">
              <w:trPr>
                <w:trHeight w:val="255"/>
              </w:trPr>
              <w:tc>
                <w:tcPr>
                  <w:tcW w:w="2840" w:type="dxa"/>
                  <w:tcBorders>
                    <w:top w:val="nil"/>
                    <w:left w:val="nil"/>
                    <w:bottom w:val="nil"/>
                    <w:right w:val="nil"/>
                  </w:tcBorders>
                  <w:shd w:val="clear" w:color="auto" w:fill="auto"/>
                  <w:noWrap/>
                  <w:vAlign w:val="bottom"/>
                  <w:hideMark/>
                </w:tcPr>
                <w:p w14:paraId="2FF79EFC" w14:textId="77777777" w:rsidR="00794AB1" w:rsidRPr="009B546D" w:rsidRDefault="00794AB1" w:rsidP="00F432B9">
                  <w:pPr>
                    <w:spacing w:after="0" w:line="240" w:lineRule="auto"/>
                    <w:jc w:val="right"/>
                    <w:rPr>
                      <w:rFonts w:cstheme="minorHAnsi"/>
                      <w:color w:val="000000"/>
                      <w:sz w:val="16"/>
                      <w:szCs w:val="16"/>
                    </w:rPr>
                  </w:pPr>
                </w:p>
              </w:tc>
              <w:tc>
                <w:tcPr>
                  <w:tcW w:w="1180" w:type="dxa"/>
                  <w:tcBorders>
                    <w:top w:val="nil"/>
                    <w:left w:val="nil"/>
                    <w:bottom w:val="nil"/>
                    <w:right w:val="nil"/>
                  </w:tcBorders>
                  <w:shd w:val="clear" w:color="auto" w:fill="auto"/>
                  <w:noWrap/>
                  <w:vAlign w:val="bottom"/>
                  <w:hideMark/>
                </w:tcPr>
                <w:p w14:paraId="499AF320" w14:textId="77777777" w:rsidR="00794AB1" w:rsidRPr="009B546D" w:rsidRDefault="00794AB1" w:rsidP="00F432B9">
                  <w:pPr>
                    <w:spacing w:after="0" w:line="240" w:lineRule="auto"/>
                    <w:rPr>
                      <w:rFonts w:cstheme="minorHAnsi"/>
                      <w:sz w:val="16"/>
                      <w:szCs w:val="16"/>
                    </w:rPr>
                  </w:pPr>
                </w:p>
              </w:tc>
              <w:tc>
                <w:tcPr>
                  <w:tcW w:w="1180" w:type="dxa"/>
                  <w:tcBorders>
                    <w:top w:val="single" w:sz="4" w:space="0" w:color="auto"/>
                    <w:left w:val="nil"/>
                    <w:bottom w:val="single" w:sz="4" w:space="0" w:color="auto"/>
                    <w:right w:val="nil"/>
                  </w:tcBorders>
                  <w:shd w:val="clear" w:color="auto" w:fill="auto"/>
                  <w:noWrap/>
                  <w:vAlign w:val="bottom"/>
                  <w:hideMark/>
                </w:tcPr>
                <w:p w14:paraId="586DFAB3" w14:textId="77777777" w:rsidR="00794AB1" w:rsidRPr="009B546D" w:rsidRDefault="00794AB1" w:rsidP="00F432B9">
                  <w:pPr>
                    <w:spacing w:after="0" w:line="240" w:lineRule="auto"/>
                    <w:rPr>
                      <w:rFonts w:cstheme="minorHAnsi"/>
                      <w:b/>
                      <w:bCs/>
                      <w:sz w:val="16"/>
                      <w:szCs w:val="16"/>
                    </w:rPr>
                  </w:pPr>
                </w:p>
              </w:tc>
              <w:tc>
                <w:tcPr>
                  <w:tcW w:w="1180" w:type="dxa"/>
                  <w:tcBorders>
                    <w:top w:val="single" w:sz="4" w:space="0" w:color="auto"/>
                    <w:left w:val="nil"/>
                    <w:bottom w:val="single" w:sz="4" w:space="0" w:color="auto"/>
                    <w:right w:val="nil"/>
                  </w:tcBorders>
                  <w:shd w:val="clear" w:color="auto" w:fill="auto"/>
                  <w:noWrap/>
                  <w:vAlign w:val="bottom"/>
                  <w:hideMark/>
                </w:tcPr>
                <w:p w14:paraId="0E378A55" w14:textId="77777777" w:rsidR="00794AB1" w:rsidRPr="009B546D" w:rsidRDefault="00794AB1" w:rsidP="00F432B9">
                  <w:pPr>
                    <w:spacing w:after="0" w:line="240" w:lineRule="auto"/>
                    <w:rPr>
                      <w:rFonts w:cstheme="minorHAnsi"/>
                      <w:b/>
                      <w:bCs/>
                      <w:sz w:val="16"/>
                      <w:szCs w:val="16"/>
                    </w:rPr>
                  </w:pPr>
                </w:p>
              </w:tc>
            </w:tr>
            <w:tr w:rsidR="00794AB1" w:rsidRPr="009B546D" w14:paraId="070FA390" w14:textId="77777777" w:rsidTr="008408D9">
              <w:trPr>
                <w:trHeight w:val="255"/>
              </w:trPr>
              <w:tc>
                <w:tcPr>
                  <w:tcW w:w="2840" w:type="dxa"/>
                  <w:tcBorders>
                    <w:top w:val="nil"/>
                    <w:left w:val="nil"/>
                    <w:bottom w:val="nil"/>
                    <w:right w:val="nil"/>
                  </w:tcBorders>
                  <w:shd w:val="clear" w:color="auto" w:fill="auto"/>
                  <w:noWrap/>
                  <w:vAlign w:val="bottom"/>
                  <w:hideMark/>
                </w:tcPr>
                <w:p w14:paraId="5DC85873" w14:textId="77777777" w:rsidR="00794AB1" w:rsidRPr="009B546D" w:rsidRDefault="00794AB1" w:rsidP="00F432B9">
                  <w:pPr>
                    <w:spacing w:after="0" w:line="240" w:lineRule="auto"/>
                    <w:rPr>
                      <w:rFonts w:cstheme="minorHAnsi"/>
                      <w:b/>
                      <w:bCs/>
                      <w:color w:val="000000"/>
                      <w:sz w:val="16"/>
                      <w:szCs w:val="16"/>
                    </w:rPr>
                  </w:pPr>
                  <w:r w:rsidRPr="009B546D">
                    <w:rPr>
                      <w:rFonts w:cstheme="minorHAnsi"/>
                      <w:b/>
                      <w:bCs/>
                      <w:color w:val="000000"/>
                      <w:sz w:val="16"/>
                      <w:szCs w:val="16"/>
                    </w:rPr>
                    <w:t xml:space="preserve">Total equity and liabilities </w:t>
                  </w:r>
                </w:p>
              </w:tc>
              <w:tc>
                <w:tcPr>
                  <w:tcW w:w="1180" w:type="dxa"/>
                  <w:tcBorders>
                    <w:top w:val="nil"/>
                    <w:left w:val="nil"/>
                    <w:bottom w:val="nil"/>
                    <w:right w:val="nil"/>
                  </w:tcBorders>
                  <w:shd w:val="clear" w:color="auto" w:fill="auto"/>
                  <w:noWrap/>
                  <w:vAlign w:val="bottom"/>
                  <w:hideMark/>
                </w:tcPr>
                <w:p w14:paraId="69F614F5" w14:textId="77777777" w:rsidR="00794AB1" w:rsidRPr="009B546D" w:rsidRDefault="00794AB1" w:rsidP="00F432B9">
                  <w:pPr>
                    <w:spacing w:after="0" w:line="240" w:lineRule="auto"/>
                    <w:rPr>
                      <w:rFonts w:cstheme="minorHAnsi"/>
                      <w:b/>
                      <w:bCs/>
                      <w:color w:val="000000"/>
                      <w:sz w:val="16"/>
                      <w:szCs w:val="16"/>
                    </w:rPr>
                  </w:pPr>
                </w:p>
              </w:tc>
              <w:tc>
                <w:tcPr>
                  <w:tcW w:w="1180" w:type="dxa"/>
                  <w:tcBorders>
                    <w:top w:val="single" w:sz="4" w:space="0" w:color="auto"/>
                    <w:left w:val="nil"/>
                    <w:bottom w:val="single" w:sz="4" w:space="0" w:color="auto"/>
                    <w:right w:val="nil"/>
                  </w:tcBorders>
                  <w:shd w:val="clear" w:color="auto" w:fill="auto"/>
                  <w:noWrap/>
                  <w:vAlign w:val="bottom"/>
                  <w:hideMark/>
                </w:tcPr>
                <w:p w14:paraId="208EEB66" w14:textId="77777777" w:rsidR="00794AB1" w:rsidRPr="009B546D" w:rsidRDefault="00794AB1" w:rsidP="00F432B9">
                  <w:pPr>
                    <w:spacing w:after="0" w:line="240" w:lineRule="auto"/>
                    <w:jc w:val="right"/>
                    <w:rPr>
                      <w:rFonts w:cstheme="minorHAnsi"/>
                      <w:b/>
                      <w:bCs/>
                      <w:color w:val="000000"/>
                      <w:sz w:val="16"/>
                      <w:szCs w:val="16"/>
                    </w:rPr>
                  </w:pPr>
                  <w:r w:rsidRPr="009B546D">
                    <w:rPr>
                      <w:rFonts w:cstheme="minorHAnsi"/>
                      <w:b/>
                      <w:bCs/>
                      <w:sz w:val="16"/>
                      <w:szCs w:val="16"/>
                    </w:rPr>
                    <w:t>3,715,892</w:t>
                  </w:r>
                </w:p>
              </w:tc>
              <w:tc>
                <w:tcPr>
                  <w:tcW w:w="1180" w:type="dxa"/>
                  <w:tcBorders>
                    <w:top w:val="single" w:sz="4" w:space="0" w:color="auto"/>
                    <w:left w:val="nil"/>
                    <w:bottom w:val="single" w:sz="4" w:space="0" w:color="auto"/>
                    <w:right w:val="nil"/>
                  </w:tcBorders>
                  <w:shd w:val="clear" w:color="auto" w:fill="auto"/>
                  <w:noWrap/>
                  <w:vAlign w:val="bottom"/>
                  <w:hideMark/>
                </w:tcPr>
                <w:p w14:paraId="25E96D37" w14:textId="77777777" w:rsidR="00794AB1" w:rsidRPr="009B546D" w:rsidRDefault="00794AB1" w:rsidP="00F432B9">
                  <w:pPr>
                    <w:spacing w:after="0" w:line="240" w:lineRule="auto"/>
                    <w:jc w:val="right"/>
                    <w:rPr>
                      <w:rFonts w:cstheme="minorHAnsi"/>
                      <w:b/>
                      <w:bCs/>
                      <w:color w:val="000000"/>
                      <w:sz w:val="16"/>
                      <w:szCs w:val="16"/>
                    </w:rPr>
                  </w:pPr>
                  <w:r w:rsidRPr="009B546D">
                    <w:rPr>
                      <w:rFonts w:cstheme="minorHAnsi"/>
                      <w:b/>
                      <w:bCs/>
                      <w:color w:val="000000"/>
                      <w:sz w:val="16"/>
                      <w:szCs w:val="16"/>
                    </w:rPr>
                    <w:t xml:space="preserve">4,119,636 </w:t>
                  </w:r>
                </w:p>
              </w:tc>
            </w:tr>
          </w:tbl>
          <w:p w14:paraId="10E558FC" w14:textId="77777777" w:rsidR="00794AB1" w:rsidRPr="009B546D" w:rsidRDefault="00794AB1" w:rsidP="00F432B9">
            <w:pPr>
              <w:spacing w:after="0" w:line="240" w:lineRule="auto"/>
              <w:rPr>
                <w:rFonts w:cstheme="minorHAnsi"/>
                <w:b/>
                <w:bCs/>
                <w:sz w:val="16"/>
                <w:szCs w:val="16"/>
              </w:rPr>
            </w:pPr>
          </w:p>
          <w:p w14:paraId="3BC5DBF1" w14:textId="543CD87C" w:rsidR="008B29D5" w:rsidRPr="009B546D" w:rsidRDefault="008B29D5" w:rsidP="00F432B9">
            <w:pPr>
              <w:spacing w:after="0" w:line="240" w:lineRule="auto"/>
              <w:rPr>
                <w:rFonts w:cstheme="minorHAnsi"/>
                <w:sz w:val="16"/>
                <w:szCs w:val="16"/>
              </w:rPr>
            </w:pPr>
          </w:p>
          <w:p w14:paraId="3D49F7BF" w14:textId="59B2270A" w:rsidR="0001157A" w:rsidRPr="009B546D" w:rsidRDefault="0001157A" w:rsidP="00F432B9">
            <w:pPr>
              <w:spacing w:after="0" w:line="240" w:lineRule="auto"/>
              <w:rPr>
                <w:rFonts w:cstheme="minorHAnsi"/>
                <w:sz w:val="16"/>
                <w:szCs w:val="16"/>
              </w:rPr>
            </w:pPr>
          </w:p>
          <w:p w14:paraId="22907D81" w14:textId="1C2B93A9" w:rsidR="0001157A" w:rsidRPr="009B546D" w:rsidRDefault="0001157A" w:rsidP="00F432B9">
            <w:pPr>
              <w:spacing w:after="0" w:line="240" w:lineRule="auto"/>
              <w:rPr>
                <w:rFonts w:cstheme="minorHAnsi"/>
                <w:sz w:val="16"/>
                <w:szCs w:val="16"/>
              </w:rPr>
            </w:pPr>
          </w:p>
          <w:p w14:paraId="4ECC6D0C" w14:textId="1380371C" w:rsidR="0001157A" w:rsidRPr="009B546D" w:rsidRDefault="0001157A" w:rsidP="00F432B9">
            <w:pPr>
              <w:spacing w:after="0" w:line="240" w:lineRule="auto"/>
              <w:rPr>
                <w:rFonts w:cstheme="minorHAnsi"/>
                <w:sz w:val="16"/>
                <w:szCs w:val="16"/>
              </w:rPr>
            </w:pPr>
          </w:p>
          <w:p w14:paraId="38CEE72B" w14:textId="748726B9" w:rsidR="0001157A" w:rsidRPr="009B546D" w:rsidRDefault="0001157A" w:rsidP="00F432B9">
            <w:pPr>
              <w:spacing w:after="0" w:line="240" w:lineRule="auto"/>
              <w:rPr>
                <w:rFonts w:cstheme="minorHAnsi"/>
                <w:sz w:val="16"/>
                <w:szCs w:val="16"/>
              </w:rPr>
            </w:pPr>
          </w:p>
          <w:p w14:paraId="7FE579B2" w14:textId="217A907C" w:rsidR="0001157A" w:rsidRPr="009B546D" w:rsidRDefault="0001157A" w:rsidP="00F432B9">
            <w:pPr>
              <w:spacing w:after="0" w:line="240" w:lineRule="auto"/>
              <w:rPr>
                <w:rFonts w:cstheme="minorHAnsi"/>
                <w:sz w:val="16"/>
                <w:szCs w:val="16"/>
              </w:rPr>
            </w:pPr>
          </w:p>
          <w:p w14:paraId="7605B165" w14:textId="5373736A" w:rsidR="0001157A" w:rsidRPr="009B546D" w:rsidRDefault="0001157A" w:rsidP="00F432B9">
            <w:pPr>
              <w:spacing w:after="0" w:line="240" w:lineRule="auto"/>
              <w:rPr>
                <w:rFonts w:cstheme="minorHAnsi"/>
                <w:sz w:val="16"/>
                <w:szCs w:val="16"/>
              </w:rPr>
            </w:pPr>
          </w:p>
          <w:p w14:paraId="0F1F8FF0" w14:textId="48E1A947" w:rsidR="0001157A" w:rsidRPr="009B546D" w:rsidRDefault="0001157A" w:rsidP="00F432B9">
            <w:pPr>
              <w:spacing w:after="0" w:line="240" w:lineRule="auto"/>
              <w:rPr>
                <w:rFonts w:cstheme="minorHAnsi"/>
                <w:sz w:val="16"/>
                <w:szCs w:val="16"/>
              </w:rPr>
            </w:pPr>
          </w:p>
          <w:p w14:paraId="1427E063" w14:textId="58D7F667" w:rsidR="0001157A" w:rsidRPr="009B546D" w:rsidRDefault="0001157A" w:rsidP="00F432B9">
            <w:pPr>
              <w:spacing w:after="0" w:line="240" w:lineRule="auto"/>
              <w:rPr>
                <w:rFonts w:cstheme="minorHAnsi"/>
                <w:sz w:val="16"/>
                <w:szCs w:val="16"/>
              </w:rPr>
            </w:pPr>
          </w:p>
          <w:p w14:paraId="7014AF59" w14:textId="06DC3944" w:rsidR="0001157A" w:rsidRDefault="0001157A" w:rsidP="00F432B9">
            <w:pPr>
              <w:spacing w:after="0" w:line="240" w:lineRule="auto"/>
              <w:rPr>
                <w:rFonts w:cstheme="minorHAnsi"/>
                <w:sz w:val="16"/>
                <w:szCs w:val="16"/>
              </w:rPr>
            </w:pPr>
          </w:p>
          <w:p w14:paraId="498DA252" w14:textId="5998FB9B" w:rsidR="00514F9A" w:rsidRDefault="00514F9A" w:rsidP="00F432B9">
            <w:pPr>
              <w:spacing w:after="0" w:line="240" w:lineRule="auto"/>
              <w:rPr>
                <w:rFonts w:cstheme="minorHAnsi"/>
                <w:sz w:val="16"/>
                <w:szCs w:val="16"/>
              </w:rPr>
            </w:pPr>
          </w:p>
          <w:p w14:paraId="5CF93EA7" w14:textId="60E5623C" w:rsidR="00514F9A" w:rsidRDefault="00514F9A" w:rsidP="00F432B9">
            <w:pPr>
              <w:spacing w:after="0" w:line="240" w:lineRule="auto"/>
              <w:rPr>
                <w:rFonts w:cstheme="minorHAnsi"/>
                <w:sz w:val="16"/>
                <w:szCs w:val="16"/>
              </w:rPr>
            </w:pPr>
          </w:p>
          <w:p w14:paraId="5AF68245" w14:textId="3DF06F2D" w:rsidR="00514F9A" w:rsidRDefault="00514F9A" w:rsidP="00F432B9">
            <w:pPr>
              <w:spacing w:after="0" w:line="240" w:lineRule="auto"/>
              <w:rPr>
                <w:rFonts w:cstheme="minorHAnsi"/>
                <w:sz w:val="16"/>
                <w:szCs w:val="16"/>
              </w:rPr>
            </w:pPr>
          </w:p>
          <w:p w14:paraId="4BE5F095" w14:textId="4F4B58CC" w:rsidR="00514F9A" w:rsidRDefault="00514F9A" w:rsidP="00F432B9">
            <w:pPr>
              <w:spacing w:after="0" w:line="240" w:lineRule="auto"/>
              <w:rPr>
                <w:rFonts w:cstheme="minorHAnsi"/>
                <w:sz w:val="16"/>
                <w:szCs w:val="16"/>
              </w:rPr>
            </w:pPr>
          </w:p>
          <w:p w14:paraId="189A6DB1" w14:textId="776EE222" w:rsidR="00514F9A" w:rsidRDefault="00514F9A" w:rsidP="00F432B9">
            <w:pPr>
              <w:spacing w:after="0" w:line="240" w:lineRule="auto"/>
              <w:rPr>
                <w:rFonts w:cstheme="minorHAnsi"/>
                <w:sz w:val="16"/>
                <w:szCs w:val="16"/>
              </w:rPr>
            </w:pPr>
          </w:p>
          <w:p w14:paraId="73E63373" w14:textId="6150C1C7" w:rsidR="00514F9A" w:rsidRDefault="00514F9A" w:rsidP="00F432B9">
            <w:pPr>
              <w:spacing w:after="0" w:line="240" w:lineRule="auto"/>
              <w:rPr>
                <w:rFonts w:cstheme="minorHAnsi"/>
                <w:sz w:val="16"/>
                <w:szCs w:val="16"/>
              </w:rPr>
            </w:pPr>
          </w:p>
          <w:p w14:paraId="7226EAFF" w14:textId="5A123491" w:rsidR="00514F9A" w:rsidRDefault="00514F9A" w:rsidP="00F432B9">
            <w:pPr>
              <w:spacing w:after="0" w:line="240" w:lineRule="auto"/>
              <w:rPr>
                <w:rFonts w:cstheme="minorHAnsi"/>
                <w:sz w:val="16"/>
                <w:szCs w:val="16"/>
              </w:rPr>
            </w:pPr>
          </w:p>
          <w:p w14:paraId="0777894D" w14:textId="0FDB14A9" w:rsidR="00514F9A" w:rsidRDefault="00514F9A" w:rsidP="00F432B9">
            <w:pPr>
              <w:spacing w:after="0" w:line="240" w:lineRule="auto"/>
              <w:rPr>
                <w:rFonts w:cstheme="minorHAnsi"/>
                <w:sz w:val="16"/>
                <w:szCs w:val="16"/>
              </w:rPr>
            </w:pPr>
          </w:p>
          <w:p w14:paraId="62B44805" w14:textId="393BE399" w:rsidR="00514F9A" w:rsidRDefault="00514F9A" w:rsidP="00F432B9">
            <w:pPr>
              <w:spacing w:after="0" w:line="240" w:lineRule="auto"/>
              <w:rPr>
                <w:rFonts w:cstheme="minorHAnsi"/>
                <w:sz w:val="16"/>
                <w:szCs w:val="16"/>
              </w:rPr>
            </w:pPr>
          </w:p>
          <w:p w14:paraId="4997411E" w14:textId="4AAA0240" w:rsidR="00514F9A" w:rsidRDefault="00514F9A" w:rsidP="00F432B9">
            <w:pPr>
              <w:spacing w:after="0" w:line="240" w:lineRule="auto"/>
              <w:rPr>
                <w:rFonts w:cstheme="minorHAnsi"/>
                <w:sz w:val="16"/>
                <w:szCs w:val="16"/>
              </w:rPr>
            </w:pPr>
          </w:p>
          <w:p w14:paraId="77252FBB" w14:textId="77777777" w:rsidR="00514F9A" w:rsidRPr="009B546D" w:rsidRDefault="00514F9A" w:rsidP="00F432B9">
            <w:pPr>
              <w:spacing w:after="0" w:line="240" w:lineRule="auto"/>
              <w:rPr>
                <w:rFonts w:cstheme="minorHAnsi"/>
                <w:sz w:val="16"/>
                <w:szCs w:val="16"/>
              </w:rPr>
            </w:pPr>
          </w:p>
          <w:p w14:paraId="4C3235B0" w14:textId="27236C13" w:rsidR="008B29D5" w:rsidRPr="009B546D" w:rsidRDefault="007B4FE1" w:rsidP="00F432B9">
            <w:pPr>
              <w:spacing w:after="0" w:line="240" w:lineRule="auto"/>
              <w:rPr>
                <w:rFonts w:cstheme="minorHAnsi"/>
                <w:b/>
                <w:bCs/>
                <w:sz w:val="16"/>
                <w:szCs w:val="16"/>
              </w:rPr>
            </w:pPr>
            <w:r w:rsidRPr="009B546D">
              <w:rPr>
                <w:rFonts w:cstheme="minorHAnsi"/>
                <w:b/>
                <w:bCs/>
                <w:sz w:val="16"/>
                <w:szCs w:val="16"/>
              </w:rPr>
              <w:t>Income Statement of Alchemist Codes</w:t>
            </w:r>
            <w:r w:rsidR="00B315C6" w:rsidRPr="009B546D">
              <w:rPr>
                <w:rFonts w:cstheme="minorHAnsi"/>
                <w:b/>
                <w:bCs/>
                <w:sz w:val="16"/>
                <w:szCs w:val="16"/>
              </w:rPr>
              <w:t xml:space="preserve"> for </w:t>
            </w:r>
            <w:r w:rsidR="006D69AE" w:rsidRPr="009B546D">
              <w:rPr>
                <w:rFonts w:cstheme="minorHAnsi"/>
                <w:b/>
                <w:bCs/>
                <w:sz w:val="16"/>
                <w:szCs w:val="16"/>
              </w:rPr>
              <w:t xml:space="preserve">period </w:t>
            </w:r>
            <w:r w:rsidR="00B315C6" w:rsidRPr="009B546D">
              <w:rPr>
                <w:rFonts w:cstheme="minorHAnsi"/>
                <w:b/>
                <w:bCs/>
                <w:sz w:val="16"/>
                <w:szCs w:val="16"/>
              </w:rPr>
              <w:t>ended 30 April 2019</w:t>
            </w:r>
          </w:p>
          <w:p w14:paraId="4C9E17B5" w14:textId="77777777" w:rsidR="007B4FE1" w:rsidRPr="009B546D" w:rsidRDefault="007B4FE1" w:rsidP="00F432B9">
            <w:pPr>
              <w:spacing w:after="0" w:line="240" w:lineRule="auto"/>
              <w:rPr>
                <w:rFonts w:cstheme="minorHAnsi"/>
                <w:b/>
                <w:sz w:val="16"/>
                <w:szCs w:val="16"/>
              </w:rPr>
            </w:pPr>
          </w:p>
          <w:tbl>
            <w:tblPr>
              <w:tblW w:w="6356" w:type="dxa"/>
              <w:tblLook w:val="04A0" w:firstRow="1" w:lastRow="0" w:firstColumn="1" w:lastColumn="0" w:noHBand="0" w:noVBand="1"/>
            </w:tblPr>
            <w:tblGrid>
              <w:gridCol w:w="5364"/>
              <w:gridCol w:w="992"/>
            </w:tblGrid>
            <w:tr w:rsidR="006D3DAB" w:rsidRPr="009B546D" w14:paraId="408BD55E" w14:textId="77777777" w:rsidTr="00D4158A">
              <w:trPr>
                <w:trHeight w:val="20"/>
              </w:trPr>
              <w:tc>
                <w:tcPr>
                  <w:tcW w:w="5364" w:type="dxa"/>
                  <w:tcBorders>
                    <w:top w:val="nil"/>
                    <w:left w:val="nil"/>
                    <w:bottom w:val="nil"/>
                    <w:right w:val="nil"/>
                  </w:tcBorders>
                  <w:shd w:val="clear" w:color="auto" w:fill="auto"/>
                  <w:vAlign w:val="center"/>
                  <w:hideMark/>
                </w:tcPr>
                <w:p w14:paraId="1A4EB1E4" w14:textId="77777777" w:rsidR="006D3DAB" w:rsidRPr="009B546D" w:rsidRDefault="006D3DAB" w:rsidP="00496B89">
                  <w:pPr>
                    <w:spacing w:after="0" w:line="240" w:lineRule="auto"/>
                    <w:jc w:val="left"/>
                    <w:rPr>
                      <w:rFonts w:eastAsia="Times New Roman" w:cstheme="minorHAnsi"/>
                      <w:sz w:val="24"/>
                      <w:szCs w:val="24"/>
                      <w:lang w:eastAsia="en-GB"/>
                    </w:rPr>
                  </w:pPr>
                </w:p>
              </w:tc>
              <w:tc>
                <w:tcPr>
                  <w:tcW w:w="992" w:type="dxa"/>
                  <w:tcBorders>
                    <w:top w:val="nil"/>
                    <w:left w:val="nil"/>
                    <w:bottom w:val="nil"/>
                    <w:right w:val="nil"/>
                  </w:tcBorders>
                  <w:shd w:val="clear" w:color="auto" w:fill="auto"/>
                  <w:vAlign w:val="center"/>
                  <w:hideMark/>
                </w:tcPr>
                <w:p w14:paraId="580B320C" w14:textId="14F5EA66" w:rsidR="006D3DAB" w:rsidRPr="009B546D" w:rsidRDefault="006D69AE" w:rsidP="00F432B9">
                  <w:pPr>
                    <w:spacing w:after="0" w:line="240" w:lineRule="auto"/>
                    <w:jc w:val="right"/>
                    <w:rPr>
                      <w:rFonts w:eastAsia="Times New Roman" w:cstheme="minorHAnsi"/>
                      <w:i/>
                      <w:iCs/>
                      <w:color w:val="000000"/>
                      <w:sz w:val="16"/>
                      <w:szCs w:val="16"/>
                      <w:lang w:eastAsia="en-GB"/>
                    </w:rPr>
                  </w:pPr>
                  <w:r w:rsidRPr="009B546D">
                    <w:rPr>
                      <w:rFonts w:eastAsia="Times New Roman" w:cstheme="minorHAnsi"/>
                      <w:i/>
                      <w:iCs/>
                      <w:color w:val="000000"/>
                      <w:sz w:val="16"/>
                      <w:szCs w:val="16"/>
                      <w:lang w:eastAsia="en-GB"/>
                    </w:rPr>
                    <w:t xml:space="preserve">Period from 17 April 2018 to </w:t>
                  </w:r>
                  <w:r w:rsidR="0001157A" w:rsidRPr="009B546D">
                    <w:rPr>
                      <w:rFonts w:eastAsia="Times New Roman" w:cstheme="minorHAnsi"/>
                      <w:i/>
                      <w:iCs/>
                      <w:color w:val="000000"/>
                      <w:sz w:val="16"/>
                      <w:szCs w:val="16"/>
                      <w:lang w:eastAsia="en-GB"/>
                    </w:rPr>
                    <w:t xml:space="preserve">30 April </w:t>
                  </w:r>
                  <w:r w:rsidR="006D3DAB" w:rsidRPr="009B546D">
                    <w:rPr>
                      <w:rFonts w:eastAsia="Times New Roman" w:cstheme="minorHAnsi"/>
                      <w:i/>
                      <w:iCs/>
                      <w:color w:val="000000"/>
                      <w:sz w:val="16"/>
                      <w:szCs w:val="16"/>
                      <w:lang w:eastAsia="en-GB"/>
                    </w:rPr>
                    <w:t>2019</w:t>
                  </w:r>
                </w:p>
              </w:tc>
            </w:tr>
            <w:tr w:rsidR="006D3DAB" w:rsidRPr="009B546D" w14:paraId="352AC297" w14:textId="77777777" w:rsidTr="00D4158A">
              <w:trPr>
                <w:trHeight w:val="20"/>
              </w:trPr>
              <w:tc>
                <w:tcPr>
                  <w:tcW w:w="5364" w:type="dxa"/>
                  <w:tcBorders>
                    <w:top w:val="nil"/>
                    <w:left w:val="nil"/>
                    <w:bottom w:val="nil"/>
                    <w:right w:val="nil"/>
                  </w:tcBorders>
                  <w:shd w:val="clear" w:color="auto" w:fill="auto"/>
                  <w:vAlign w:val="center"/>
                  <w:hideMark/>
                </w:tcPr>
                <w:p w14:paraId="4F855D46" w14:textId="77777777" w:rsidR="006D3DAB" w:rsidRPr="009B546D" w:rsidRDefault="006D3DAB" w:rsidP="00496B89">
                  <w:pPr>
                    <w:spacing w:after="0" w:line="240" w:lineRule="auto"/>
                    <w:rPr>
                      <w:rFonts w:eastAsia="Times New Roman" w:cstheme="minorHAnsi"/>
                      <w:i/>
                      <w:iCs/>
                      <w:color w:val="000000"/>
                      <w:sz w:val="16"/>
                      <w:szCs w:val="16"/>
                      <w:lang w:eastAsia="en-GB"/>
                    </w:rPr>
                  </w:pPr>
                </w:p>
              </w:tc>
              <w:tc>
                <w:tcPr>
                  <w:tcW w:w="992" w:type="dxa"/>
                  <w:tcBorders>
                    <w:top w:val="nil"/>
                    <w:left w:val="nil"/>
                    <w:bottom w:val="nil"/>
                    <w:right w:val="nil"/>
                  </w:tcBorders>
                  <w:shd w:val="clear" w:color="auto" w:fill="auto"/>
                  <w:vAlign w:val="center"/>
                  <w:hideMark/>
                </w:tcPr>
                <w:p w14:paraId="4A58365F" w14:textId="77777777" w:rsidR="006D3DAB" w:rsidRPr="009B546D" w:rsidRDefault="006D3DAB"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RM</w:t>
                  </w:r>
                </w:p>
              </w:tc>
            </w:tr>
            <w:tr w:rsidR="006D3DAB" w:rsidRPr="009B546D" w14:paraId="0DBA97E3" w14:textId="77777777" w:rsidTr="00D4158A">
              <w:trPr>
                <w:trHeight w:val="20"/>
              </w:trPr>
              <w:tc>
                <w:tcPr>
                  <w:tcW w:w="5364" w:type="dxa"/>
                  <w:tcBorders>
                    <w:top w:val="nil"/>
                    <w:left w:val="nil"/>
                    <w:bottom w:val="nil"/>
                    <w:right w:val="nil"/>
                  </w:tcBorders>
                  <w:shd w:val="clear" w:color="auto" w:fill="auto"/>
                  <w:vAlign w:val="center"/>
                  <w:hideMark/>
                </w:tcPr>
                <w:p w14:paraId="4477D9CC" w14:textId="77777777" w:rsidR="006D3DAB" w:rsidRPr="009B546D" w:rsidRDefault="006D3DAB" w:rsidP="00496B89">
                  <w:pPr>
                    <w:spacing w:after="0" w:line="240" w:lineRule="auto"/>
                    <w:jc w:val="left"/>
                    <w:rPr>
                      <w:rFonts w:eastAsia="Times New Roman" w:cstheme="minorHAnsi"/>
                      <w:b/>
                      <w:bCs/>
                      <w:color w:val="000000"/>
                      <w:sz w:val="16"/>
                      <w:szCs w:val="16"/>
                      <w:lang w:eastAsia="en-GB"/>
                    </w:rPr>
                  </w:pPr>
                  <w:r w:rsidRPr="009B546D">
                    <w:rPr>
                      <w:rFonts w:eastAsia="Times New Roman" w:cstheme="minorHAnsi"/>
                      <w:b/>
                      <w:bCs/>
                      <w:color w:val="000000"/>
                      <w:sz w:val="16"/>
                      <w:szCs w:val="16"/>
                      <w:lang w:eastAsia="en-GB"/>
                    </w:rPr>
                    <w:t>Revenue</w:t>
                  </w:r>
                </w:p>
              </w:tc>
              <w:tc>
                <w:tcPr>
                  <w:tcW w:w="992" w:type="dxa"/>
                  <w:tcBorders>
                    <w:top w:val="nil"/>
                    <w:left w:val="nil"/>
                    <w:bottom w:val="nil"/>
                    <w:right w:val="nil"/>
                  </w:tcBorders>
                  <w:shd w:val="clear" w:color="auto" w:fill="auto"/>
                  <w:vAlign w:val="center"/>
                  <w:hideMark/>
                </w:tcPr>
                <w:p w14:paraId="44EB30C4" w14:textId="392E0832" w:rsidR="006D3DAB" w:rsidRPr="009B546D" w:rsidRDefault="006D3DAB"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1,</w:t>
                  </w:r>
                  <w:r w:rsidR="00662264" w:rsidRPr="009B546D">
                    <w:rPr>
                      <w:rFonts w:eastAsia="Times New Roman" w:cstheme="minorHAnsi"/>
                      <w:color w:val="000000"/>
                      <w:sz w:val="16"/>
                      <w:szCs w:val="16"/>
                      <w:lang w:eastAsia="en-GB"/>
                    </w:rPr>
                    <w:t>110</w:t>
                  </w:r>
                  <w:r w:rsidRPr="009B546D">
                    <w:rPr>
                      <w:rFonts w:eastAsia="Times New Roman" w:cstheme="minorHAnsi"/>
                      <w:color w:val="000000"/>
                      <w:sz w:val="16"/>
                      <w:szCs w:val="16"/>
                      <w:lang w:eastAsia="en-GB"/>
                    </w:rPr>
                    <w:t>,000</w:t>
                  </w:r>
                </w:p>
              </w:tc>
            </w:tr>
            <w:tr w:rsidR="006D3DAB" w:rsidRPr="009B546D" w14:paraId="53B06261" w14:textId="77777777" w:rsidTr="00D4158A">
              <w:trPr>
                <w:trHeight w:val="20"/>
              </w:trPr>
              <w:tc>
                <w:tcPr>
                  <w:tcW w:w="5364" w:type="dxa"/>
                  <w:tcBorders>
                    <w:top w:val="nil"/>
                    <w:left w:val="nil"/>
                    <w:bottom w:val="nil"/>
                    <w:right w:val="nil"/>
                  </w:tcBorders>
                  <w:shd w:val="clear" w:color="auto" w:fill="auto"/>
                  <w:vAlign w:val="center"/>
                  <w:hideMark/>
                </w:tcPr>
                <w:p w14:paraId="4A619A49" w14:textId="77777777" w:rsidR="006D3DAB" w:rsidRPr="009B546D" w:rsidRDefault="006D3DAB" w:rsidP="00496B89">
                  <w:pPr>
                    <w:spacing w:after="0" w:line="240" w:lineRule="auto"/>
                    <w:rPr>
                      <w:rFonts w:eastAsia="Times New Roman" w:cstheme="minorHAnsi"/>
                      <w:color w:val="000000"/>
                      <w:sz w:val="16"/>
                      <w:szCs w:val="16"/>
                      <w:lang w:eastAsia="en-GB"/>
                    </w:rPr>
                  </w:pPr>
                </w:p>
              </w:tc>
              <w:tc>
                <w:tcPr>
                  <w:tcW w:w="992" w:type="dxa"/>
                  <w:tcBorders>
                    <w:top w:val="nil"/>
                    <w:left w:val="nil"/>
                    <w:bottom w:val="nil"/>
                    <w:right w:val="nil"/>
                  </w:tcBorders>
                  <w:shd w:val="clear" w:color="auto" w:fill="auto"/>
                  <w:vAlign w:val="center"/>
                  <w:hideMark/>
                </w:tcPr>
                <w:p w14:paraId="1D68AC8D" w14:textId="77777777" w:rsidR="006D3DAB" w:rsidRPr="009B546D" w:rsidRDefault="006D3DAB" w:rsidP="00F432B9">
                  <w:pPr>
                    <w:spacing w:after="0" w:line="240" w:lineRule="auto"/>
                    <w:jc w:val="right"/>
                    <w:rPr>
                      <w:rFonts w:eastAsia="Times New Roman" w:cstheme="minorHAnsi"/>
                      <w:szCs w:val="20"/>
                      <w:lang w:eastAsia="en-GB"/>
                    </w:rPr>
                  </w:pPr>
                </w:p>
              </w:tc>
            </w:tr>
            <w:tr w:rsidR="006D3DAB" w:rsidRPr="009B546D" w14:paraId="22B18447" w14:textId="77777777" w:rsidTr="00D4158A">
              <w:trPr>
                <w:trHeight w:val="20"/>
              </w:trPr>
              <w:tc>
                <w:tcPr>
                  <w:tcW w:w="5364" w:type="dxa"/>
                  <w:tcBorders>
                    <w:top w:val="nil"/>
                    <w:left w:val="nil"/>
                    <w:bottom w:val="nil"/>
                    <w:right w:val="nil"/>
                  </w:tcBorders>
                  <w:shd w:val="clear" w:color="auto" w:fill="auto"/>
                  <w:vAlign w:val="center"/>
                  <w:hideMark/>
                </w:tcPr>
                <w:p w14:paraId="574172F1" w14:textId="77777777" w:rsidR="006D3DAB" w:rsidRPr="009B546D" w:rsidRDefault="006D3DAB" w:rsidP="00496B89">
                  <w:pPr>
                    <w:spacing w:after="0" w:line="240" w:lineRule="auto"/>
                    <w:jc w:val="left"/>
                    <w:rPr>
                      <w:rFonts w:eastAsia="Times New Roman" w:cstheme="minorHAnsi"/>
                      <w:color w:val="000000"/>
                      <w:sz w:val="16"/>
                      <w:szCs w:val="16"/>
                      <w:lang w:eastAsia="en-GB"/>
                    </w:rPr>
                  </w:pPr>
                  <w:r w:rsidRPr="009B546D">
                    <w:rPr>
                      <w:rFonts w:eastAsia="Times New Roman" w:cstheme="minorHAnsi"/>
                      <w:color w:val="000000"/>
                      <w:sz w:val="16"/>
                      <w:szCs w:val="16"/>
                      <w:lang w:eastAsia="en-GB"/>
                    </w:rPr>
                    <w:t>Cost of sales</w:t>
                  </w:r>
                </w:p>
              </w:tc>
              <w:tc>
                <w:tcPr>
                  <w:tcW w:w="992" w:type="dxa"/>
                  <w:tcBorders>
                    <w:top w:val="nil"/>
                    <w:left w:val="nil"/>
                    <w:bottom w:val="nil"/>
                    <w:right w:val="nil"/>
                  </w:tcBorders>
                  <w:shd w:val="clear" w:color="auto" w:fill="auto"/>
                  <w:vAlign w:val="center"/>
                  <w:hideMark/>
                </w:tcPr>
                <w:p w14:paraId="04E3654A" w14:textId="0E236899" w:rsidR="006D3DAB" w:rsidRPr="009B546D" w:rsidRDefault="004671F1"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(3</w:t>
                  </w:r>
                  <w:r w:rsidR="00494313">
                    <w:rPr>
                      <w:rFonts w:eastAsia="Times New Roman" w:cstheme="minorHAnsi"/>
                      <w:color w:val="000000"/>
                      <w:sz w:val="16"/>
                      <w:szCs w:val="16"/>
                      <w:lang w:eastAsia="en-GB"/>
                    </w:rPr>
                    <w:t>11</w:t>
                  </w:r>
                  <w:r w:rsidRPr="009B546D">
                    <w:rPr>
                      <w:rFonts w:eastAsia="Times New Roman" w:cstheme="minorHAnsi"/>
                      <w:color w:val="000000"/>
                      <w:sz w:val="16"/>
                      <w:szCs w:val="16"/>
                      <w:lang w:eastAsia="en-GB"/>
                    </w:rPr>
                    <w:t>,</w:t>
                  </w:r>
                  <w:r w:rsidR="00494313">
                    <w:rPr>
                      <w:rFonts w:eastAsia="Times New Roman" w:cstheme="minorHAnsi"/>
                      <w:color w:val="000000"/>
                      <w:sz w:val="16"/>
                      <w:szCs w:val="16"/>
                      <w:lang w:eastAsia="en-GB"/>
                    </w:rPr>
                    <w:t>513</w:t>
                  </w:r>
                  <w:r w:rsidRPr="009B546D">
                    <w:rPr>
                      <w:rFonts w:eastAsia="Times New Roman" w:cstheme="minorHAnsi"/>
                      <w:color w:val="000000"/>
                      <w:sz w:val="16"/>
                      <w:szCs w:val="16"/>
                      <w:lang w:eastAsia="en-GB"/>
                    </w:rPr>
                    <w:t>)</w:t>
                  </w:r>
                </w:p>
              </w:tc>
            </w:tr>
            <w:tr w:rsidR="006D3DAB" w:rsidRPr="009B546D" w14:paraId="3151CC87" w14:textId="77777777" w:rsidTr="00D4158A">
              <w:trPr>
                <w:trHeight w:val="20"/>
              </w:trPr>
              <w:tc>
                <w:tcPr>
                  <w:tcW w:w="5364" w:type="dxa"/>
                  <w:tcBorders>
                    <w:top w:val="nil"/>
                    <w:left w:val="nil"/>
                    <w:bottom w:val="nil"/>
                    <w:right w:val="nil"/>
                  </w:tcBorders>
                  <w:shd w:val="clear" w:color="auto" w:fill="auto"/>
                  <w:vAlign w:val="center"/>
                  <w:hideMark/>
                </w:tcPr>
                <w:p w14:paraId="0F2C5AB5" w14:textId="77777777" w:rsidR="006D3DAB" w:rsidRPr="009B546D" w:rsidRDefault="006D3DAB" w:rsidP="00496B89">
                  <w:pPr>
                    <w:spacing w:after="0" w:line="240" w:lineRule="auto"/>
                    <w:rPr>
                      <w:rFonts w:eastAsia="Times New Roman" w:cstheme="minorHAnsi"/>
                      <w:b/>
                      <w:bCs/>
                      <w:color w:val="000000"/>
                      <w:sz w:val="16"/>
                      <w:szCs w:val="16"/>
                      <w:lang w:eastAsia="en-GB"/>
                    </w:rPr>
                  </w:pPr>
                </w:p>
              </w:tc>
              <w:tc>
                <w:tcPr>
                  <w:tcW w:w="992" w:type="dxa"/>
                  <w:tcBorders>
                    <w:top w:val="nil"/>
                    <w:left w:val="nil"/>
                    <w:bottom w:val="nil"/>
                    <w:right w:val="nil"/>
                  </w:tcBorders>
                  <w:shd w:val="clear" w:color="auto" w:fill="auto"/>
                  <w:vAlign w:val="center"/>
                  <w:hideMark/>
                </w:tcPr>
                <w:p w14:paraId="33A08D19" w14:textId="77777777" w:rsidR="006D3DAB" w:rsidRPr="009B546D" w:rsidRDefault="006D3DAB"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_________</w:t>
                  </w:r>
                </w:p>
              </w:tc>
            </w:tr>
            <w:tr w:rsidR="006D3DAB" w:rsidRPr="009B546D" w14:paraId="60D4269C" w14:textId="77777777" w:rsidTr="00D4158A">
              <w:trPr>
                <w:trHeight w:val="20"/>
              </w:trPr>
              <w:tc>
                <w:tcPr>
                  <w:tcW w:w="5364" w:type="dxa"/>
                  <w:tcBorders>
                    <w:top w:val="nil"/>
                    <w:left w:val="nil"/>
                    <w:bottom w:val="nil"/>
                    <w:right w:val="nil"/>
                  </w:tcBorders>
                  <w:shd w:val="clear" w:color="auto" w:fill="auto"/>
                  <w:vAlign w:val="center"/>
                  <w:hideMark/>
                </w:tcPr>
                <w:p w14:paraId="2A2025B8" w14:textId="77777777" w:rsidR="006D3DAB" w:rsidRPr="009B546D" w:rsidRDefault="006D3DAB" w:rsidP="00496B89">
                  <w:pPr>
                    <w:spacing w:after="0" w:line="240" w:lineRule="auto"/>
                    <w:rPr>
                      <w:rFonts w:eastAsia="Times New Roman" w:cstheme="minorHAnsi"/>
                      <w:color w:val="000000"/>
                      <w:sz w:val="16"/>
                      <w:szCs w:val="16"/>
                      <w:lang w:eastAsia="en-GB"/>
                    </w:rPr>
                  </w:pPr>
                </w:p>
              </w:tc>
              <w:tc>
                <w:tcPr>
                  <w:tcW w:w="992" w:type="dxa"/>
                  <w:tcBorders>
                    <w:top w:val="nil"/>
                    <w:left w:val="nil"/>
                    <w:bottom w:val="nil"/>
                    <w:right w:val="nil"/>
                  </w:tcBorders>
                  <w:shd w:val="clear" w:color="auto" w:fill="auto"/>
                  <w:vAlign w:val="center"/>
                  <w:hideMark/>
                </w:tcPr>
                <w:p w14:paraId="2E53D30B" w14:textId="77777777" w:rsidR="006D3DAB" w:rsidRPr="009B546D" w:rsidRDefault="006D3DAB" w:rsidP="00F432B9">
                  <w:pPr>
                    <w:spacing w:after="0" w:line="240" w:lineRule="auto"/>
                    <w:jc w:val="right"/>
                    <w:rPr>
                      <w:rFonts w:eastAsia="Times New Roman" w:cstheme="minorHAnsi"/>
                      <w:szCs w:val="20"/>
                      <w:lang w:eastAsia="en-GB"/>
                    </w:rPr>
                  </w:pPr>
                </w:p>
              </w:tc>
            </w:tr>
            <w:tr w:rsidR="006D3DAB" w:rsidRPr="009B546D" w14:paraId="79263D2B" w14:textId="77777777" w:rsidTr="00D4158A">
              <w:trPr>
                <w:trHeight w:val="20"/>
              </w:trPr>
              <w:tc>
                <w:tcPr>
                  <w:tcW w:w="5364" w:type="dxa"/>
                  <w:tcBorders>
                    <w:top w:val="nil"/>
                    <w:left w:val="nil"/>
                    <w:bottom w:val="nil"/>
                    <w:right w:val="nil"/>
                  </w:tcBorders>
                  <w:shd w:val="clear" w:color="auto" w:fill="auto"/>
                  <w:vAlign w:val="center"/>
                  <w:hideMark/>
                </w:tcPr>
                <w:p w14:paraId="45DA11CD" w14:textId="77777777" w:rsidR="006D3DAB" w:rsidRPr="009B546D" w:rsidRDefault="006D3DAB" w:rsidP="00496B89">
                  <w:pPr>
                    <w:spacing w:after="0" w:line="240" w:lineRule="auto"/>
                    <w:jc w:val="left"/>
                    <w:rPr>
                      <w:rFonts w:eastAsia="Times New Roman" w:cstheme="minorHAnsi"/>
                      <w:b/>
                      <w:bCs/>
                      <w:color w:val="000000"/>
                      <w:sz w:val="16"/>
                      <w:szCs w:val="16"/>
                      <w:lang w:eastAsia="en-GB"/>
                    </w:rPr>
                  </w:pPr>
                  <w:r w:rsidRPr="009B546D">
                    <w:rPr>
                      <w:rFonts w:eastAsia="Times New Roman" w:cstheme="minorHAnsi"/>
                      <w:b/>
                      <w:bCs/>
                      <w:color w:val="000000"/>
                      <w:sz w:val="16"/>
                      <w:szCs w:val="16"/>
                      <w:lang w:eastAsia="en-GB"/>
                    </w:rPr>
                    <w:t>Gross profit</w:t>
                  </w:r>
                </w:p>
              </w:tc>
              <w:tc>
                <w:tcPr>
                  <w:tcW w:w="992" w:type="dxa"/>
                  <w:tcBorders>
                    <w:top w:val="nil"/>
                    <w:left w:val="nil"/>
                    <w:bottom w:val="nil"/>
                    <w:right w:val="nil"/>
                  </w:tcBorders>
                  <w:shd w:val="clear" w:color="auto" w:fill="auto"/>
                  <w:vAlign w:val="center"/>
                  <w:hideMark/>
                </w:tcPr>
                <w:p w14:paraId="59E9CB39" w14:textId="16EE30F3" w:rsidR="006D3DAB" w:rsidRPr="009B546D" w:rsidRDefault="004671F1"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7</w:t>
                  </w:r>
                  <w:r w:rsidR="00494313">
                    <w:rPr>
                      <w:rFonts w:eastAsia="Times New Roman" w:cstheme="minorHAnsi"/>
                      <w:color w:val="000000"/>
                      <w:sz w:val="16"/>
                      <w:szCs w:val="16"/>
                      <w:lang w:eastAsia="en-GB"/>
                    </w:rPr>
                    <w:t>98</w:t>
                  </w:r>
                  <w:r w:rsidRPr="009B546D">
                    <w:rPr>
                      <w:rFonts w:eastAsia="Times New Roman" w:cstheme="minorHAnsi"/>
                      <w:color w:val="000000"/>
                      <w:sz w:val="16"/>
                      <w:szCs w:val="16"/>
                      <w:lang w:eastAsia="en-GB"/>
                    </w:rPr>
                    <w:t>,</w:t>
                  </w:r>
                  <w:r w:rsidR="00494313">
                    <w:rPr>
                      <w:rFonts w:eastAsia="Times New Roman" w:cstheme="minorHAnsi"/>
                      <w:color w:val="000000"/>
                      <w:sz w:val="16"/>
                      <w:szCs w:val="16"/>
                      <w:lang w:eastAsia="en-GB"/>
                    </w:rPr>
                    <w:t>487</w:t>
                  </w:r>
                </w:p>
              </w:tc>
            </w:tr>
            <w:tr w:rsidR="00662264" w:rsidRPr="009B546D" w14:paraId="440872AE" w14:textId="77777777" w:rsidTr="00D4158A">
              <w:trPr>
                <w:trHeight w:val="20"/>
              </w:trPr>
              <w:tc>
                <w:tcPr>
                  <w:tcW w:w="5364" w:type="dxa"/>
                  <w:tcBorders>
                    <w:top w:val="nil"/>
                    <w:left w:val="nil"/>
                    <w:bottom w:val="nil"/>
                    <w:right w:val="nil"/>
                  </w:tcBorders>
                  <w:shd w:val="clear" w:color="auto" w:fill="auto"/>
                  <w:vAlign w:val="center"/>
                  <w:hideMark/>
                </w:tcPr>
                <w:p w14:paraId="4B05974D" w14:textId="61D97F73" w:rsidR="00662264" w:rsidRPr="009B546D" w:rsidRDefault="00662264" w:rsidP="00496B89">
                  <w:pPr>
                    <w:spacing w:after="0" w:line="240" w:lineRule="auto"/>
                    <w:rPr>
                      <w:rFonts w:eastAsia="Times New Roman" w:cstheme="minorHAnsi"/>
                      <w:color w:val="000000"/>
                      <w:sz w:val="16"/>
                      <w:szCs w:val="16"/>
                      <w:lang w:eastAsia="en-GB"/>
                    </w:rPr>
                  </w:pPr>
                  <w:r w:rsidRPr="009B546D">
                    <w:rPr>
                      <w:rFonts w:eastAsia="Times New Roman" w:cstheme="minorHAnsi"/>
                      <w:color w:val="000000"/>
                      <w:sz w:val="16"/>
                      <w:szCs w:val="16"/>
                      <w:lang w:eastAsia="en-GB"/>
                    </w:rPr>
                    <w:t>Other income</w:t>
                  </w:r>
                </w:p>
              </w:tc>
              <w:tc>
                <w:tcPr>
                  <w:tcW w:w="992" w:type="dxa"/>
                  <w:tcBorders>
                    <w:top w:val="nil"/>
                    <w:left w:val="nil"/>
                    <w:bottom w:val="nil"/>
                    <w:right w:val="nil"/>
                  </w:tcBorders>
                  <w:shd w:val="clear" w:color="auto" w:fill="auto"/>
                  <w:vAlign w:val="center"/>
                  <w:hideMark/>
                </w:tcPr>
                <w:p w14:paraId="308A4867" w14:textId="6FFB5610" w:rsidR="00662264" w:rsidRPr="009B546D" w:rsidRDefault="00662264" w:rsidP="00F432B9">
                  <w:pPr>
                    <w:spacing w:after="0" w:line="240" w:lineRule="auto"/>
                    <w:jc w:val="right"/>
                    <w:rPr>
                      <w:rFonts w:cstheme="minorHAnsi"/>
                    </w:rPr>
                  </w:pPr>
                  <w:r w:rsidRPr="009B546D">
                    <w:rPr>
                      <w:rFonts w:eastAsia="Times New Roman" w:cstheme="minorHAnsi"/>
                      <w:color w:val="000000"/>
                      <w:sz w:val="16"/>
                      <w:szCs w:val="16"/>
                      <w:lang w:eastAsia="en-GB"/>
                    </w:rPr>
                    <w:t>8,171</w:t>
                  </w:r>
                </w:p>
              </w:tc>
            </w:tr>
            <w:tr w:rsidR="00662264" w:rsidRPr="009B546D" w14:paraId="2CC94463" w14:textId="77777777" w:rsidTr="00D4158A">
              <w:trPr>
                <w:trHeight w:val="20"/>
              </w:trPr>
              <w:tc>
                <w:tcPr>
                  <w:tcW w:w="5364" w:type="dxa"/>
                  <w:tcBorders>
                    <w:top w:val="nil"/>
                    <w:left w:val="nil"/>
                    <w:bottom w:val="nil"/>
                    <w:right w:val="nil"/>
                  </w:tcBorders>
                  <w:shd w:val="clear" w:color="auto" w:fill="auto"/>
                  <w:vAlign w:val="center"/>
                  <w:hideMark/>
                </w:tcPr>
                <w:p w14:paraId="07FA4FAC" w14:textId="77777777" w:rsidR="00662264" w:rsidRPr="009B546D" w:rsidRDefault="00662264" w:rsidP="00496B89">
                  <w:pPr>
                    <w:spacing w:after="0" w:line="240" w:lineRule="auto"/>
                    <w:jc w:val="left"/>
                    <w:rPr>
                      <w:rFonts w:eastAsia="Times New Roman" w:cstheme="minorHAnsi"/>
                      <w:color w:val="000000"/>
                      <w:sz w:val="16"/>
                      <w:szCs w:val="16"/>
                      <w:lang w:eastAsia="en-GB"/>
                    </w:rPr>
                  </w:pPr>
                  <w:r w:rsidRPr="009B546D">
                    <w:rPr>
                      <w:rFonts w:eastAsia="Times New Roman" w:cstheme="minorHAnsi"/>
                      <w:color w:val="000000"/>
                      <w:sz w:val="16"/>
                      <w:szCs w:val="16"/>
                      <w:lang w:eastAsia="en-GB"/>
                    </w:rPr>
                    <w:t>Other expenses</w:t>
                  </w:r>
                </w:p>
              </w:tc>
              <w:tc>
                <w:tcPr>
                  <w:tcW w:w="992" w:type="dxa"/>
                  <w:tcBorders>
                    <w:top w:val="nil"/>
                    <w:left w:val="nil"/>
                    <w:bottom w:val="nil"/>
                    <w:right w:val="nil"/>
                  </w:tcBorders>
                  <w:shd w:val="clear" w:color="auto" w:fill="auto"/>
                  <w:vAlign w:val="center"/>
                  <w:hideMark/>
                </w:tcPr>
                <w:p w14:paraId="28CF1E47" w14:textId="74C248BE" w:rsidR="00662264" w:rsidRPr="009B546D" w:rsidRDefault="00F7220F"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w:t>
                  </w:r>
                  <w:r w:rsidR="00662264" w:rsidRPr="009B546D">
                    <w:rPr>
                      <w:rFonts w:eastAsia="Times New Roman" w:cstheme="minorHAnsi"/>
                      <w:color w:val="000000"/>
                      <w:sz w:val="16"/>
                      <w:szCs w:val="16"/>
                      <w:lang w:eastAsia="en-GB"/>
                    </w:rPr>
                    <w:t>2</w:t>
                  </w:r>
                  <w:r w:rsidR="00494313">
                    <w:rPr>
                      <w:rFonts w:eastAsia="Times New Roman" w:cstheme="minorHAnsi"/>
                      <w:color w:val="000000"/>
                      <w:sz w:val="16"/>
                      <w:szCs w:val="16"/>
                      <w:lang w:eastAsia="en-GB"/>
                    </w:rPr>
                    <w:t>92</w:t>
                  </w:r>
                  <w:r w:rsidR="00662264" w:rsidRPr="009B546D">
                    <w:rPr>
                      <w:rFonts w:eastAsia="Times New Roman" w:cstheme="minorHAnsi"/>
                      <w:color w:val="000000"/>
                      <w:sz w:val="16"/>
                      <w:szCs w:val="16"/>
                      <w:lang w:eastAsia="en-GB"/>
                    </w:rPr>
                    <w:t>,</w:t>
                  </w:r>
                  <w:r w:rsidR="00066DCA">
                    <w:rPr>
                      <w:rFonts w:eastAsia="Times New Roman" w:cstheme="minorHAnsi"/>
                      <w:color w:val="000000"/>
                      <w:sz w:val="16"/>
                      <w:szCs w:val="16"/>
                      <w:lang w:eastAsia="en-GB"/>
                    </w:rPr>
                    <w:t>522</w:t>
                  </w:r>
                  <w:r w:rsidRPr="009B546D">
                    <w:rPr>
                      <w:rFonts w:eastAsia="Times New Roman" w:cstheme="minorHAnsi"/>
                      <w:color w:val="000000"/>
                      <w:sz w:val="16"/>
                      <w:szCs w:val="16"/>
                      <w:lang w:eastAsia="en-GB"/>
                    </w:rPr>
                    <w:t>)</w:t>
                  </w:r>
                </w:p>
              </w:tc>
            </w:tr>
            <w:tr w:rsidR="00662264" w:rsidRPr="009B546D" w14:paraId="0ACE62A9" w14:textId="77777777" w:rsidTr="00D4158A">
              <w:trPr>
                <w:trHeight w:val="20"/>
              </w:trPr>
              <w:tc>
                <w:tcPr>
                  <w:tcW w:w="5364" w:type="dxa"/>
                  <w:tcBorders>
                    <w:top w:val="nil"/>
                    <w:left w:val="nil"/>
                    <w:bottom w:val="nil"/>
                    <w:right w:val="nil"/>
                  </w:tcBorders>
                  <w:shd w:val="clear" w:color="auto" w:fill="auto"/>
                  <w:vAlign w:val="center"/>
                  <w:hideMark/>
                </w:tcPr>
                <w:p w14:paraId="61160315" w14:textId="77777777" w:rsidR="00662264" w:rsidRPr="009B546D" w:rsidRDefault="00662264" w:rsidP="00496B89">
                  <w:pPr>
                    <w:spacing w:after="0" w:line="240" w:lineRule="auto"/>
                    <w:jc w:val="left"/>
                    <w:rPr>
                      <w:rFonts w:eastAsia="Times New Roman" w:cstheme="minorHAnsi"/>
                      <w:color w:val="000000"/>
                      <w:sz w:val="16"/>
                      <w:szCs w:val="16"/>
                      <w:lang w:eastAsia="en-GB"/>
                    </w:rPr>
                  </w:pPr>
                  <w:r w:rsidRPr="009B546D">
                    <w:rPr>
                      <w:rFonts w:eastAsia="Times New Roman" w:cstheme="minorHAnsi"/>
                      <w:color w:val="000000"/>
                      <w:sz w:val="16"/>
                      <w:szCs w:val="16"/>
                      <w:lang w:eastAsia="en-GB"/>
                    </w:rPr>
                    <w:t>Depreciation</w:t>
                  </w:r>
                </w:p>
              </w:tc>
              <w:tc>
                <w:tcPr>
                  <w:tcW w:w="992" w:type="dxa"/>
                  <w:tcBorders>
                    <w:top w:val="nil"/>
                    <w:left w:val="nil"/>
                    <w:bottom w:val="nil"/>
                    <w:right w:val="nil"/>
                  </w:tcBorders>
                  <w:shd w:val="clear" w:color="auto" w:fill="auto"/>
                  <w:vAlign w:val="center"/>
                  <w:hideMark/>
                </w:tcPr>
                <w:p w14:paraId="24812DFF" w14:textId="517D2CE5" w:rsidR="00662264" w:rsidRPr="009B546D" w:rsidRDefault="00F7220F"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w:t>
                  </w:r>
                  <w:r w:rsidR="00662264" w:rsidRPr="009B546D">
                    <w:rPr>
                      <w:rFonts w:eastAsia="Times New Roman" w:cstheme="minorHAnsi"/>
                      <w:color w:val="000000"/>
                      <w:sz w:val="16"/>
                      <w:szCs w:val="16"/>
                      <w:lang w:eastAsia="en-GB"/>
                    </w:rPr>
                    <w:t>10,084</w:t>
                  </w:r>
                  <w:r w:rsidRPr="009B546D">
                    <w:rPr>
                      <w:rFonts w:eastAsia="Times New Roman" w:cstheme="minorHAnsi"/>
                      <w:color w:val="000000"/>
                      <w:sz w:val="16"/>
                      <w:szCs w:val="16"/>
                      <w:lang w:eastAsia="en-GB"/>
                    </w:rPr>
                    <w:t>)</w:t>
                  </w:r>
                </w:p>
              </w:tc>
            </w:tr>
            <w:tr w:rsidR="00662264" w:rsidRPr="009B546D" w14:paraId="4A0A1888" w14:textId="77777777" w:rsidTr="00D4158A">
              <w:trPr>
                <w:trHeight w:val="20"/>
              </w:trPr>
              <w:tc>
                <w:tcPr>
                  <w:tcW w:w="5364" w:type="dxa"/>
                  <w:tcBorders>
                    <w:top w:val="nil"/>
                    <w:left w:val="nil"/>
                    <w:bottom w:val="nil"/>
                    <w:right w:val="nil"/>
                  </w:tcBorders>
                  <w:shd w:val="clear" w:color="auto" w:fill="auto"/>
                  <w:vAlign w:val="center"/>
                  <w:hideMark/>
                </w:tcPr>
                <w:p w14:paraId="2AABAAC3" w14:textId="77777777" w:rsidR="00662264" w:rsidRPr="009B546D" w:rsidRDefault="00662264" w:rsidP="00496B89">
                  <w:pPr>
                    <w:spacing w:after="0" w:line="240" w:lineRule="auto"/>
                    <w:rPr>
                      <w:rFonts w:eastAsia="Times New Roman" w:cstheme="minorHAnsi"/>
                      <w:color w:val="000000"/>
                      <w:sz w:val="16"/>
                      <w:szCs w:val="16"/>
                      <w:lang w:eastAsia="en-GB"/>
                    </w:rPr>
                  </w:pPr>
                </w:p>
              </w:tc>
              <w:tc>
                <w:tcPr>
                  <w:tcW w:w="992" w:type="dxa"/>
                  <w:tcBorders>
                    <w:top w:val="nil"/>
                    <w:left w:val="nil"/>
                    <w:bottom w:val="nil"/>
                    <w:right w:val="nil"/>
                  </w:tcBorders>
                  <w:shd w:val="clear" w:color="auto" w:fill="auto"/>
                  <w:vAlign w:val="center"/>
                  <w:hideMark/>
                </w:tcPr>
                <w:p w14:paraId="16C2CB9E" w14:textId="77777777" w:rsidR="00662264" w:rsidRPr="009B546D" w:rsidRDefault="00662264"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_________</w:t>
                  </w:r>
                </w:p>
              </w:tc>
            </w:tr>
            <w:tr w:rsidR="00662264" w:rsidRPr="009B546D" w14:paraId="46F400FE" w14:textId="77777777" w:rsidTr="00D4158A">
              <w:trPr>
                <w:trHeight w:val="20"/>
              </w:trPr>
              <w:tc>
                <w:tcPr>
                  <w:tcW w:w="5364" w:type="dxa"/>
                  <w:tcBorders>
                    <w:top w:val="nil"/>
                    <w:left w:val="nil"/>
                    <w:bottom w:val="nil"/>
                    <w:right w:val="nil"/>
                  </w:tcBorders>
                  <w:shd w:val="clear" w:color="auto" w:fill="auto"/>
                  <w:vAlign w:val="center"/>
                  <w:hideMark/>
                </w:tcPr>
                <w:p w14:paraId="07D910CD" w14:textId="77777777" w:rsidR="00662264" w:rsidRPr="009B546D" w:rsidRDefault="00662264" w:rsidP="00496B89">
                  <w:pPr>
                    <w:spacing w:after="0" w:line="240" w:lineRule="auto"/>
                    <w:jc w:val="left"/>
                    <w:rPr>
                      <w:rFonts w:eastAsia="Times New Roman" w:cstheme="minorHAnsi"/>
                      <w:b/>
                      <w:bCs/>
                      <w:color w:val="000000"/>
                      <w:sz w:val="16"/>
                      <w:szCs w:val="16"/>
                      <w:lang w:eastAsia="en-GB"/>
                    </w:rPr>
                  </w:pPr>
                  <w:r w:rsidRPr="009B546D">
                    <w:rPr>
                      <w:rFonts w:eastAsia="Times New Roman" w:cstheme="minorHAnsi"/>
                      <w:b/>
                      <w:bCs/>
                      <w:color w:val="000000"/>
                      <w:sz w:val="16"/>
                      <w:szCs w:val="16"/>
                      <w:lang w:eastAsia="en-GB"/>
                    </w:rPr>
                    <w:t>Profit before tax</w:t>
                  </w:r>
                </w:p>
              </w:tc>
              <w:tc>
                <w:tcPr>
                  <w:tcW w:w="992" w:type="dxa"/>
                  <w:tcBorders>
                    <w:top w:val="nil"/>
                    <w:left w:val="nil"/>
                    <w:bottom w:val="nil"/>
                    <w:right w:val="nil"/>
                  </w:tcBorders>
                  <w:shd w:val="clear" w:color="auto" w:fill="auto"/>
                  <w:vAlign w:val="center"/>
                  <w:hideMark/>
                </w:tcPr>
                <w:p w14:paraId="2D6641B8" w14:textId="14346501" w:rsidR="00662264" w:rsidRPr="009B546D" w:rsidRDefault="00F7220F"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504</w:t>
                  </w:r>
                  <w:r w:rsidR="00662264" w:rsidRPr="009B546D">
                    <w:rPr>
                      <w:rFonts w:eastAsia="Times New Roman" w:cstheme="minorHAnsi"/>
                      <w:color w:val="000000"/>
                      <w:sz w:val="16"/>
                      <w:szCs w:val="16"/>
                      <w:lang w:eastAsia="en-GB"/>
                    </w:rPr>
                    <w:t>,052</w:t>
                  </w:r>
                </w:p>
              </w:tc>
            </w:tr>
            <w:tr w:rsidR="00662264" w:rsidRPr="009B546D" w14:paraId="112ACC80" w14:textId="77777777" w:rsidTr="00D4158A">
              <w:trPr>
                <w:trHeight w:val="20"/>
              </w:trPr>
              <w:tc>
                <w:tcPr>
                  <w:tcW w:w="5364" w:type="dxa"/>
                  <w:tcBorders>
                    <w:top w:val="nil"/>
                    <w:left w:val="nil"/>
                    <w:bottom w:val="nil"/>
                    <w:right w:val="nil"/>
                  </w:tcBorders>
                  <w:shd w:val="clear" w:color="auto" w:fill="auto"/>
                  <w:vAlign w:val="center"/>
                  <w:hideMark/>
                </w:tcPr>
                <w:p w14:paraId="19D6DF40" w14:textId="77777777" w:rsidR="00662264" w:rsidRPr="009B546D" w:rsidRDefault="00662264" w:rsidP="00496B89">
                  <w:pPr>
                    <w:spacing w:after="0" w:line="240" w:lineRule="auto"/>
                    <w:rPr>
                      <w:rFonts w:eastAsia="Times New Roman" w:cstheme="minorHAnsi"/>
                      <w:color w:val="000000"/>
                      <w:sz w:val="16"/>
                      <w:szCs w:val="16"/>
                      <w:lang w:eastAsia="en-GB"/>
                    </w:rPr>
                  </w:pPr>
                </w:p>
              </w:tc>
              <w:tc>
                <w:tcPr>
                  <w:tcW w:w="992" w:type="dxa"/>
                  <w:tcBorders>
                    <w:top w:val="nil"/>
                    <w:left w:val="nil"/>
                    <w:bottom w:val="nil"/>
                    <w:right w:val="nil"/>
                  </w:tcBorders>
                  <w:shd w:val="clear" w:color="auto" w:fill="auto"/>
                  <w:vAlign w:val="center"/>
                  <w:hideMark/>
                </w:tcPr>
                <w:p w14:paraId="633F5EF5" w14:textId="77777777" w:rsidR="00662264" w:rsidRPr="009B546D" w:rsidRDefault="00662264" w:rsidP="00F432B9">
                  <w:pPr>
                    <w:spacing w:after="0" w:line="240" w:lineRule="auto"/>
                    <w:jc w:val="right"/>
                    <w:rPr>
                      <w:rFonts w:eastAsia="Times New Roman" w:cstheme="minorHAnsi"/>
                      <w:szCs w:val="20"/>
                      <w:lang w:eastAsia="en-GB"/>
                    </w:rPr>
                  </w:pPr>
                </w:p>
              </w:tc>
            </w:tr>
            <w:tr w:rsidR="00662264" w:rsidRPr="009B546D" w14:paraId="180A186C" w14:textId="77777777" w:rsidTr="00D4158A">
              <w:trPr>
                <w:trHeight w:val="20"/>
              </w:trPr>
              <w:tc>
                <w:tcPr>
                  <w:tcW w:w="5364" w:type="dxa"/>
                  <w:tcBorders>
                    <w:top w:val="nil"/>
                    <w:left w:val="nil"/>
                    <w:bottom w:val="nil"/>
                    <w:right w:val="nil"/>
                  </w:tcBorders>
                  <w:shd w:val="clear" w:color="auto" w:fill="auto"/>
                  <w:vAlign w:val="center"/>
                  <w:hideMark/>
                </w:tcPr>
                <w:p w14:paraId="31F408C4" w14:textId="77777777" w:rsidR="00662264" w:rsidRPr="009B546D" w:rsidRDefault="00662264" w:rsidP="00496B89">
                  <w:pPr>
                    <w:spacing w:after="0" w:line="240" w:lineRule="auto"/>
                    <w:jc w:val="left"/>
                    <w:rPr>
                      <w:rFonts w:eastAsia="Times New Roman" w:cstheme="minorHAnsi"/>
                      <w:color w:val="000000"/>
                      <w:sz w:val="16"/>
                      <w:szCs w:val="16"/>
                      <w:lang w:eastAsia="en-GB"/>
                    </w:rPr>
                  </w:pPr>
                  <w:r w:rsidRPr="009B546D">
                    <w:rPr>
                      <w:rFonts w:eastAsia="Times New Roman" w:cstheme="minorHAnsi"/>
                      <w:color w:val="000000"/>
                      <w:sz w:val="16"/>
                      <w:szCs w:val="16"/>
                      <w:lang w:eastAsia="en-GB"/>
                    </w:rPr>
                    <w:t xml:space="preserve">Income tax expense </w:t>
                  </w:r>
                </w:p>
              </w:tc>
              <w:tc>
                <w:tcPr>
                  <w:tcW w:w="992" w:type="dxa"/>
                  <w:tcBorders>
                    <w:top w:val="nil"/>
                    <w:left w:val="nil"/>
                    <w:bottom w:val="nil"/>
                    <w:right w:val="nil"/>
                  </w:tcBorders>
                  <w:shd w:val="clear" w:color="auto" w:fill="auto"/>
                  <w:vAlign w:val="center"/>
                  <w:hideMark/>
                </w:tcPr>
                <w:p w14:paraId="7A011EDE" w14:textId="3913969A" w:rsidR="00662264" w:rsidRPr="009B546D" w:rsidRDefault="00F7220F" w:rsidP="00F432B9">
                  <w:pPr>
                    <w:spacing w:after="0" w:line="240" w:lineRule="auto"/>
                    <w:jc w:val="right"/>
                    <w:rPr>
                      <w:rFonts w:eastAsia="Times New Roman" w:cstheme="minorHAnsi"/>
                      <w:b/>
                      <w:bCs/>
                      <w:color w:val="000000"/>
                      <w:sz w:val="16"/>
                      <w:szCs w:val="16"/>
                      <w:lang w:eastAsia="en-GB"/>
                    </w:rPr>
                  </w:pPr>
                  <w:r w:rsidRPr="009B546D">
                    <w:rPr>
                      <w:rFonts w:eastAsia="Times New Roman" w:cstheme="minorHAnsi"/>
                      <w:b/>
                      <w:bCs/>
                      <w:color w:val="000000"/>
                      <w:sz w:val="16"/>
                      <w:szCs w:val="16"/>
                      <w:lang w:eastAsia="en-GB"/>
                    </w:rPr>
                    <w:t>(74,591)</w:t>
                  </w:r>
                </w:p>
              </w:tc>
            </w:tr>
            <w:tr w:rsidR="00662264" w:rsidRPr="009B546D" w14:paraId="0C79B9DF" w14:textId="77777777" w:rsidTr="00D4158A">
              <w:trPr>
                <w:trHeight w:val="20"/>
              </w:trPr>
              <w:tc>
                <w:tcPr>
                  <w:tcW w:w="5364" w:type="dxa"/>
                  <w:tcBorders>
                    <w:top w:val="nil"/>
                    <w:left w:val="nil"/>
                    <w:bottom w:val="nil"/>
                    <w:right w:val="nil"/>
                  </w:tcBorders>
                  <w:shd w:val="clear" w:color="auto" w:fill="auto"/>
                  <w:vAlign w:val="center"/>
                  <w:hideMark/>
                </w:tcPr>
                <w:p w14:paraId="56579EC1" w14:textId="77777777" w:rsidR="00662264" w:rsidRPr="009B546D" w:rsidRDefault="00662264" w:rsidP="00496B89">
                  <w:pPr>
                    <w:spacing w:after="0" w:line="240" w:lineRule="auto"/>
                    <w:rPr>
                      <w:rFonts w:eastAsia="Times New Roman" w:cstheme="minorHAnsi"/>
                      <w:b/>
                      <w:bCs/>
                      <w:color w:val="000000"/>
                      <w:sz w:val="16"/>
                      <w:szCs w:val="16"/>
                      <w:lang w:eastAsia="en-GB"/>
                    </w:rPr>
                  </w:pPr>
                </w:p>
              </w:tc>
              <w:tc>
                <w:tcPr>
                  <w:tcW w:w="992" w:type="dxa"/>
                  <w:tcBorders>
                    <w:top w:val="nil"/>
                    <w:left w:val="nil"/>
                    <w:bottom w:val="nil"/>
                    <w:right w:val="nil"/>
                  </w:tcBorders>
                  <w:shd w:val="clear" w:color="auto" w:fill="auto"/>
                  <w:vAlign w:val="center"/>
                  <w:hideMark/>
                </w:tcPr>
                <w:p w14:paraId="7A7242CD" w14:textId="6229937C" w:rsidR="00662264" w:rsidRPr="009B546D" w:rsidRDefault="00662264" w:rsidP="00D4158A">
                  <w:pPr>
                    <w:spacing w:after="0" w:line="240" w:lineRule="auto"/>
                    <w:rPr>
                      <w:rFonts w:eastAsia="Times New Roman" w:cstheme="minorHAnsi"/>
                      <w:color w:val="000000"/>
                      <w:sz w:val="16"/>
                      <w:szCs w:val="16"/>
                      <w:lang w:eastAsia="en-GB"/>
                    </w:rPr>
                  </w:pPr>
                </w:p>
              </w:tc>
            </w:tr>
            <w:tr w:rsidR="00662264" w:rsidRPr="009B546D" w14:paraId="33A05E56" w14:textId="77777777" w:rsidTr="00D4158A">
              <w:trPr>
                <w:trHeight w:val="20"/>
              </w:trPr>
              <w:tc>
                <w:tcPr>
                  <w:tcW w:w="5364" w:type="dxa"/>
                  <w:tcBorders>
                    <w:top w:val="nil"/>
                    <w:left w:val="nil"/>
                    <w:bottom w:val="nil"/>
                    <w:right w:val="nil"/>
                  </w:tcBorders>
                  <w:shd w:val="clear" w:color="auto" w:fill="auto"/>
                  <w:vAlign w:val="center"/>
                  <w:hideMark/>
                </w:tcPr>
                <w:p w14:paraId="34DC5C2E" w14:textId="77777777" w:rsidR="00662264" w:rsidRPr="009B546D" w:rsidRDefault="00662264" w:rsidP="00496B89">
                  <w:pPr>
                    <w:spacing w:after="0" w:line="240" w:lineRule="auto"/>
                    <w:rPr>
                      <w:rFonts w:eastAsia="Times New Roman" w:cstheme="minorHAnsi"/>
                      <w:color w:val="000000"/>
                      <w:sz w:val="16"/>
                      <w:szCs w:val="16"/>
                      <w:lang w:eastAsia="en-GB"/>
                    </w:rPr>
                  </w:pPr>
                </w:p>
              </w:tc>
              <w:tc>
                <w:tcPr>
                  <w:tcW w:w="992" w:type="dxa"/>
                  <w:tcBorders>
                    <w:top w:val="nil"/>
                    <w:left w:val="nil"/>
                    <w:bottom w:val="single" w:sz="4" w:space="0" w:color="auto"/>
                    <w:right w:val="nil"/>
                  </w:tcBorders>
                  <w:shd w:val="clear" w:color="auto" w:fill="auto"/>
                  <w:vAlign w:val="center"/>
                  <w:hideMark/>
                </w:tcPr>
                <w:p w14:paraId="04C92516" w14:textId="77777777" w:rsidR="00662264" w:rsidRPr="009B546D" w:rsidRDefault="00662264" w:rsidP="00F432B9">
                  <w:pPr>
                    <w:spacing w:after="0" w:line="240" w:lineRule="auto"/>
                    <w:jc w:val="right"/>
                    <w:rPr>
                      <w:rFonts w:eastAsia="Times New Roman" w:cstheme="minorHAnsi"/>
                      <w:szCs w:val="20"/>
                      <w:lang w:eastAsia="en-GB"/>
                    </w:rPr>
                  </w:pPr>
                </w:p>
              </w:tc>
            </w:tr>
            <w:tr w:rsidR="00662264" w:rsidRPr="009B546D" w14:paraId="64F15CDF" w14:textId="77777777" w:rsidTr="00D4158A">
              <w:trPr>
                <w:trHeight w:val="20"/>
              </w:trPr>
              <w:tc>
                <w:tcPr>
                  <w:tcW w:w="5364" w:type="dxa"/>
                  <w:tcBorders>
                    <w:top w:val="nil"/>
                    <w:left w:val="nil"/>
                    <w:bottom w:val="nil"/>
                    <w:right w:val="nil"/>
                  </w:tcBorders>
                  <w:shd w:val="clear" w:color="auto" w:fill="auto"/>
                  <w:vAlign w:val="center"/>
                  <w:hideMark/>
                </w:tcPr>
                <w:p w14:paraId="2A4FDC90" w14:textId="77777777" w:rsidR="00662264" w:rsidRPr="009B546D" w:rsidRDefault="00662264" w:rsidP="00496B89">
                  <w:pPr>
                    <w:spacing w:after="0" w:line="240" w:lineRule="auto"/>
                    <w:jc w:val="left"/>
                    <w:rPr>
                      <w:rFonts w:eastAsia="Times New Roman" w:cstheme="minorHAnsi"/>
                      <w:b/>
                      <w:bCs/>
                      <w:color w:val="000000"/>
                      <w:sz w:val="16"/>
                      <w:szCs w:val="16"/>
                      <w:lang w:eastAsia="en-GB"/>
                    </w:rPr>
                  </w:pPr>
                  <w:r w:rsidRPr="009B546D">
                    <w:rPr>
                      <w:rFonts w:eastAsia="Times New Roman" w:cstheme="minorHAnsi"/>
                      <w:b/>
                      <w:bCs/>
                      <w:color w:val="000000"/>
                      <w:sz w:val="16"/>
                      <w:szCs w:val="16"/>
                      <w:lang w:eastAsia="en-GB"/>
                    </w:rPr>
                    <w:t>Profit after tax</w:t>
                  </w:r>
                </w:p>
              </w:tc>
              <w:tc>
                <w:tcPr>
                  <w:tcW w:w="992" w:type="dxa"/>
                  <w:tcBorders>
                    <w:top w:val="single" w:sz="4" w:space="0" w:color="auto"/>
                    <w:left w:val="nil"/>
                    <w:bottom w:val="single" w:sz="4" w:space="0" w:color="auto"/>
                    <w:right w:val="nil"/>
                  </w:tcBorders>
                  <w:shd w:val="clear" w:color="auto" w:fill="auto"/>
                  <w:vAlign w:val="center"/>
                  <w:hideMark/>
                </w:tcPr>
                <w:p w14:paraId="54CD598D" w14:textId="3F857779" w:rsidR="00662264" w:rsidRPr="009B546D" w:rsidRDefault="00F7220F" w:rsidP="00F432B9">
                  <w:pPr>
                    <w:spacing w:after="0" w:line="240" w:lineRule="auto"/>
                    <w:jc w:val="right"/>
                    <w:rPr>
                      <w:rFonts w:eastAsia="Times New Roman" w:cstheme="minorHAnsi"/>
                      <w:b/>
                      <w:bCs/>
                      <w:color w:val="000000"/>
                      <w:sz w:val="16"/>
                      <w:szCs w:val="16"/>
                      <w:lang w:eastAsia="en-GB"/>
                    </w:rPr>
                  </w:pPr>
                  <w:r w:rsidRPr="009B546D">
                    <w:rPr>
                      <w:rFonts w:eastAsia="Times New Roman" w:cstheme="minorHAnsi"/>
                      <w:b/>
                      <w:bCs/>
                      <w:color w:val="000000"/>
                      <w:sz w:val="16"/>
                      <w:szCs w:val="16"/>
                      <w:lang w:eastAsia="en-GB"/>
                    </w:rPr>
                    <w:t>429,4</w:t>
                  </w:r>
                  <w:r w:rsidR="003009D3" w:rsidRPr="009B546D">
                    <w:rPr>
                      <w:rFonts w:eastAsia="Times New Roman" w:cstheme="minorHAnsi"/>
                      <w:b/>
                      <w:bCs/>
                      <w:color w:val="000000"/>
                      <w:sz w:val="16"/>
                      <w:szCs w:val="16"/>
                      <w:lang w:eastAsia="en-GB"/>
                    </w:rPr>
                    <w:t>61</w:t>
                  </w:r>
                </w:p>
              </w:tc>
            </w:tr>
            <w:tr w:rsidR="00662264" w:rsidRPr="009B546D" w14:paraId="4699DE96" w14:textId="77777777" w:rsidTr="00E42C6E">
              <w:trPr>
                <w:trHeight w:val="300"/>
              </w:trPr>
              <w:tc>
                <w:tcPr>
                  <w:tcW w:w="5364" w:type="dxa"/>
                  <w:tcBorders>
                    <w:top w:val="nil"/>
                    <w:left w:val="nil"/>
                    <w:bottom w:val="nil"/>
                    <w:right w:val="nil"/>
                  </w:tcBorders>
                  <w:shd w:val="clear" w:color="auto" w:fill="auto"/>
                  <w:vAlign w:val="center"/>
                  <w:hideMark/>
                </w:tcPr>
                <w:p w14:paraId="1A84D15F" w14:textId="77777777" w:rsidR="00662264" w:rsidRPr="009B546D" w:rsidRDefault="00662264" w:rsidP="00496B89">
                  <w:pPr>
                    <w:spacing w:after="0" w:line="240" w:lineRule="auto"/>
                    <w:rPr>
                      <w:rFonts w:eastAsia="Times New Roman" w:cstheme="minorHAnsi"/>
                      <w:b/>
                      <w:bCs/>
                      <w:color w:val="000000"/>
                      <w:sz w:val="16"/>
                      <w:szCs w:val="16"/>
                      <w:lang w:eastAsia="en-GB"/>
                    </w:rPr>
                  </w:pPr>
                </w:p>
              </w:tc>
              <w:tc>
                <w:tcPr>
                  <w:tcW w:w="992" w:type="dxa"/>
                  <w:tcBorders>
                    <w:top w:val="single" w:sz="4" w:space="0" w:color="auto"/>
                    <w:left w:val="nil"/>
                    <w:bottom w:val="nil"/>
                    <w:right w:val="nil"/>
                  </w:tcBorders>
                  <w:shd w:val="clear" w:color="auto" w:fill="auto"/>
                  <w:vAlign w:val="center"/>
                  <w:hideMark/>
                </w:tcPr>
                <w:p w14:paraId="7460F4BD" w14:textId="77777777" w:rsidR="00662264" w:rsidRPr="009B546D" w:rsidRDefault="00662264" w:rsidP="00F432B9">
                  <w:pPr>
                    <w:spacing w:after="0" w:line="240" w:lineRule="auto"/>
                    <w:jc w:val="left"/>
                    <w:rPr>
                      <w:rFonts w:eastAsia="Times New Roman" w:cstheme="minorHAnsi"/>
                      <w:szCs w:val="20"/>
                      <w:lang w:eastAsia="en-GB"/>
                    </w:rPr>
                  </w:pPr>
                </w:p>
              </w:tc>
            </w:tr>
          </w:tbl>
          <w:p w14:paraId="22706E99" w14:textId="1B1AD996" w:rsidR="00794AB1" w:rsidRPr="009B546D" w:rsidRDefault="00B315C6" w:rsidP="00F432B9">
            <w:pPr>
              <w:spacing w:after="0" w:line="240" w:lineRule="auto"/>
              <w:rPr>
                <w:rFonts w:cstheme="minorHAnsi"/>
                <w:b/>
                <w:sz w:val="16"/>
                <w:szCs w:val="16"/>
              </w:rPr>
            </w:pPr>
            <w:r w:rsidRPr="009B546D">
              <w:rPr>
                <w:rFonts w:cstheme="minorHAnsi"/>
                <w:b/>
                <w:sz w:val="16"/>
                <w:szCs w:val="16"/>
              </w:rPr>
              <w:t>Balance sheet of Alchemist Codes as at 30</w:t>
            </w:r>
            <w:r w:rsidRPr="009B546D">
              <w:rPr>
                <w:rFonts w:cstheme="minorHAnsi"/>
                <w:b/>
                <w:sz w:val="16"/>
                <w:szCs w:val="16"/>
                <w:vertAlign w:val="superscript"/>
              </w:rPr>
              <w:t>th</w:t>
            </w:r>
            <w:r w:rsidRPr="009B546D">
              <w:rPr>
                <w:rFonts w:cstheme="minorHAnsi"/>
                <w:b/>
                <w:sz w:val="16"/>
                <w:szCs w:val="16"/>
              </w:rPr>
              <w:t xml:space="preserve"> of April 2019</w:t>
            </w:r>
          </w:p>
          <w:p w14:paraId="701A16BF" w14:textId="33E793A0" w:rsidR="00B315C6" w:rsidRPr="009B546D" w:rsidRDefault="00B315C6" w:rsidP="00F432B9">
            <w:pPr>
              <w:spacing w:after="0" w:line="240" w:lineRule="auto"/>
              <w:rPr>
                <w:rFonts w:cstheme="minorHAnsi"/>
                <w:b/>
                <w:sz w:val="16"/>
                <w:szCs w:val="16"/>
              </w:rPr>
            </w:pPr>
          </w:p>
          <w:tbl>
            <w:tblPr>
              <w:tblW w:w="6356" w:type="dxa"/>
              <w:tblLook w:val="04A0" w:firstRow="1" w:lastRow="0" w:firstColumn="1" w:lastColumn="0" w:noHBand="0" w:noVBand="1"/>
            </w:tblPr>
            <w:tblGrid>
              <w:gridCol w:w="5364"/>
              <w:gridCol w:w="992"/>
            </w:tblGrid>
            <w:tr w:rsidR="00861131" w:rsidRPr="009B546D" w14:paraId="6A07B2B3" w14:textId="77777777" w:rsidTr="00D4158A">
              <w:trPr>
                <w:trHeight w:val="20"/>
              </w:trPr>
              <w:tc>
                <w:tcPr>
                  <w:tcW w:w="5364" w:type="dxa"/>
                  <w:shd w:val="clear" w:color="auto" w:fill="auto"/>
                  <w:vAlign w:val="center"/>
                  <w:hideMark/>
                </w:tcPr>
                <w:p w14:paraId="4A4D3D1F" w14:textId="77777777" w:rsidR="00861131" w:rsidRPr="009B546D" w:rsidRDefault="00861131" w:rsidP="00496B89">
                  <w:pPr>
                    <w:spacing w:after="0" w:line="240" w:lineRule="auto"/>
                    <w:jc w:val="left"/>
                    <w:rPr>
                      <w:rFonts w:eastAsia="Times New Roman" w:cstheme="minorHAnsi"/>
                      <w:sz w:val="24"/>
                      <w:szCs w:val="24"/>
                      <w:lang w:eastAsia="en-GB"/>
                    </w:rPr>
                  </w:pPr>
                </w:p>
              </w:tc>
              <w:tc>
                <w:tcPr>
                  <w:tcW w:w="992" w:type="dxa"/>
                  <w:shd w:val="clear" w:color="auto" w:fill="auto"/>
                  <w:vAlign w:val="center"/>
                  <w:hideMark/>
                </w:tcPr>
                <w:p w14:paraId="102EAF4C" w14:textId="77777777" w:rsidR="00861131" w:rsidRPr="009B546D" w:rsidRDefault="00861131" w:rsidP="00F432B9">
                  <w:pPr>
                    <w:spacing w:after="0" w:line="240" w:lineRule="auto"/>
                    <w:jc w:val="right"/>
                    <w:rPr>
                      <w:rFonts w:eastAsia="Times New Roman" w:cstheme="minorHAnsi"/>
                      <w:i/>
                      <w:iCs/>
                      <w:color w:val="000000"/>
                      <w:sz w:val="16"/>
                      <w:szCs w:val="16"/>
                      <w:lang w:eastAsia="en-GB"/>
                    </w:rPr>
                  </w:pPr>
                  <w:r w:rsidRPr="009B546D">
                    <w:rPr>
                      <w:rFonts w:eastAsia="Times New Roman" w:cstheme="minorHAnsi"/>
                      <w:i/>
                      <w:iCs/>
                      <w:color w:val="000000"/>
                      <w:sz w:val="16"/>
                      <w:szCs w:val="16"/>
                      <w:lang w:eastAsia="en-GB"/>
                    </w:rPr>
                    <w:t>2019</w:t>
                  </w:r>
                </w:p>
              </w:tc>
            </w:tr>
            <w:tr w:rsidR="00861131" w:rsidRPr="009B546D" w14:paraId="189EC55A" w14:textId="77777777" w:rsidTr="00D4158A">
              <w:trPr>
                <w:trHeight w:val="20"/>
              </w:trPr>
              <w:tc>
                <w:tcPr>
                  <w:tcW w:w="5364" w:type="dxa"/>
                  <w:shd w:val="clear" w:color="auto" w:fill="auto"/>
                  <w:vAlign w:val="center"/>
                  <w:hideMark/>
                </w:tcPr>
                <w:p w14:paraId="445F70CB" w14:textId="77777777" w:rsidR="00861131" w:rsidRPr="009B546D" w:rsidRDefault="00861131" w:rsidP="00496B89">
                  <w:pPr>
                    <w:spacing w:after="0" w:line="240" w:lineRule="auto"/>
                    <w:rPr>
                      <w:rFonts w:eastAsia="Times New Roman" w:cstheme="minorHAnsi"/>
                      <w:i/>
                      <w:iCs/>
                      <w:color w:val="000000"/>
                      <w:sz w:val="16"/>
                      <w:szCs w:val="16"/>
                      <w:lang w:eastAsia="en-GB"/>
                    </w:rPr>
                  </w:pPr>
                </w:p>
              </w:tc>
              <w:tc>
                <w:tcPr>
                  <w:tcW w:w="992" w:type="dxa"/>
                  <w:shd w:val="clear" w:color="auto" w:fill="auto"/>
                  <w:vAlign w:val="center"/>
                  <w:hideMark/>
                </w:tcPr>
                <w:p w14:paraId="1C76E793" w14:textId="77777777" w:rsidR="00861131" w:rsidRPr="009B546D" w:rsidRDefault="00861131"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RM</w:t>
                  </w:r>
                </w:p>
              </w:tc>
            </w:tr>
            <w:tr w:rsidR="00861131" w:rsidRPr="009B546D" w14:paraId="7084D627" w14:textId="77777777" w:rsidTr="00D4158A">
              <w:trPr>
                <w:trHeight w:val="20"/>
              </w:trPr>
              <w:tc>
                <w:tcPr>
                  <w:tcW w:w="5364" w:type="dxa"/>
                  <w:shd w:val="clear" w:color="auto" w:fill="auto"/>
                  <w:vAlign w:val="center"/>
                  <w:hideMark/>
                </w:tcPr>
                <w:p w14:paraId="1E05C418" w14:textId="77777777" w:rsidR="00861131" w:rsidRPr="009B546D" w:rsidRDefault="00861131" w:rsidP="00496B89">
                  <w:pPr>
                    <w:spacing w:after="0" w:line="240" w:lineRule="auto"/>
                    <w:jc w:val="left"/>
                    <w:rPr>
                      <w:rFonts w:eastAsia="Times New Roman" w:cstheme="minorHAnsi"/>
                      <w:b/>
                      <w:bCs/>
                      <w:color w:val="000000"/>
                      <w:sz w:val="16"/>
                      <w:szCs w:val="16"/>
                      <w:lang w:eastAsia="en-GB"/>
                    </w:rPr>
                  </w:pPr>
                  <w:r w:rsidRPr="009B546D">
                    <w:rPr>
                      <w:rFonts w:eastAsia="Times New Roman" w:cstheme="minorHAnsi"/>
                      <w:b/>
                      <w:bCs/>
                      <w:color w:val="000000"/>
                      <w:sz w:val="16"/>
                      <w:szCs w:val="16"/>
                      <w:lang w:eastAsia="en-GB"/>
                    </w:rPr>
                    <w:t>Non-current assets</w:t>
                  </w:r>
                </w:p>
              </w:tc>
              <w:tc>
                <w:tcPr>
                  <w:tcW w:w="992" w:type="dxa"/>
                  <w:shd w:val="clear" w:color="auto" w:fill="auto"/>
                  <w:vAlign w:val="center"/>
                  <w:hideMark/>
                </w:tcPr>
                <w:p w14:paraId="5E40A19C" w14:textId="77777777" w:rsidR="00861131" w:rsidRPr="009B546D" w:rsidRDefault="00861131" w:rsidP="00F432B9">
                  <w:pPr>
                    <w:spacing w:after="0" w:line="240" w:lineRule="auto"/>
                    <w:jc w:val="right"/>
                    <w:rPr>
                      <w:rFonts w:eastAsia="Times New Roman" w:cstheme="minorHAnsi"/>
                      <w:b/>
                      <w:bCs/>
                      <w:color w:val="000000"/>
                      <w:sz w:val="16"/>
                      <w:szCs w:val="16"/>
                      <w:lang w:eastAsia="en-GB"/>
                    </w:rPr>
                  </w:pPr>
                </w:p>
              </w:tc>
            </w:tr>
            <w:tr w:rsidR="00861131" w:rsidRPr="009B546D" w14:paraId="620B2BF6" w14:textId="77777777" w:rsidTr="00D4158A">
              <w:trPr>
                <w:trHeight w:val="20"/>
              </w:trPr>
              <w:tc>
                <w:tcPr>
                  <w:tcW w:w="5364" w:type="dxa"/>
                  <w:shd w:val="clear" w:color="auto" w:fill="auto"/>
                  <w:vAlign w:val="center"/>
                  <w:hideMark/>
                </w:tcPr>
                <w:p w14:paraId="3318995E" w14:textId="77777777" w:rsidR="00861131" w:rsidRPr="009B546D" w:rsidRDefault="00861131" w:rsidP="00496B89">
                  <w:pPr>
                    <w:spacing w:after="0" w:line="240" w:lineRule="auto"/>
                    <w:jc w:val="left"/>
                    <w:rPr>
                      <w:rFonts w:eastAsia="Times New Roman" w:cstheme="minorHAnsi"/>
                      <w:color w:val="000000"/>
                      <w:sz w:val="16"/>
                      <w:szCs w:val="16"/>
                      <w:lang w:eastAsia="en-GB"/>
                    </w:rPr>
                  </w:pPr>
                  <w:r w:rsidRPr="009B546D">
                    <w:rPr>
                      <w:rFonts w:eastAsia="Times New Roman" w:cstheme="minorHAnsi"/>
                      <w:color w:val="000000"/>
                      <w:sz w:val="16"/>
                      <w:szCs w:val="16"/>
                      <w:lang w:eastAsia="en-GB"/>
                    </w:rPr>
                    <w:t>Plant and equipment</w:t>
                  </w:r>
                </w:p>
              </w:tc>
              <w:tc>
                <w:tcPr>
                  <w:tcW w:w="992" w:type="dxa"/>
                  <w:shd w:val="clear" w:color="auto" w:fill="auto"/>
                  <w:vAlign w:val="center"/>
                  <w:hideMark/>
                </w:tcPr>
                <w:p w14:paraId="51C08716" w14:textId="77777777" w:rsidR="00861131" w:rsidRPr="009B546D" w:rsidRDefault="00861131"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57,478</w:t>
                  </w:r>
                </w:p>
              </w:tc>
            </w:tr>
            <w:tr w:rsidR="00ED2101" w:rsidRPr="009B546D" w14:paraId="0961E3C6" w14:textId="77777777" w:rsidTr="00D4158A">
              <w:trPr>
                <w:trHeight w:val="20"/>
              </w:trPr>
              <w:tc>
                <w:tcPr>
                  <w:tcW w:w="5364" w:type="dxa"/>
                  <w:shd w:val="clear" w:color="auto" w:fill="auto"/>
                  <w:vAlign w:val="center"/>
                </w:tcPr>
                <w:p w14:paraId="2A643C60" w14:textId="139B8C78" w:rsidR="00ED2101" w:rsidRPr="009B546D" w:rsidRDefault="00ED2101" w:rsidP="00496B89">
                  <w:pPr>
                    <w:spacing w:after="0" w:line="240" w:lineRule="auto"/>
                    <w:jc w:val="left"/>
                    <w:rPr>
                      <w:rFonts w:eastAsia="Times New Roman" w:cstheme="minorHAnsi"/>
                      <w:color w:val="000000"/>
                      <w:sz w:val="16"/>
                      <w:szCs w:val="16"/>
                      <w:lang w:eastAsia="en-GB"/>
                    </w:rPr>
                  </w:pPr>
                  <w:r w:rsidRPr="009B546D">
                    <w:rPr>
                      <w:rFonts w:eastAsia="Times New Roman" w:cstheme="minorHAnsi"/>
                      <w:color w:val="000000"/>
                      <w:sz w:val="16"/>
                      <w:szCs w:val="16"/>
                      <w:lang w:eastAsia="en-GB"/>
                    </w:rPr>
                    <w:t>Intangible assets</w:t>
                  </w:r>
                </w:p>
              </w:tc>
              <w:tc>
                <w:tcPr>
                  <w:tcW w:w="992" w:type="dxa"/>
                  <w:tcBorders>
                    <w:bottom w:val="single" w:sz="4" w:space="0" w:color="auto"/>
                  </w:tcBorders>
                  <w:shd w:val="clear" w:color="auto" w:fill="auto"/>
                  <w:vAlign w:val="center"/>
                </w:tcPr>
                <w:p w14:paraId="626CF78E" w14:textId="51688766" w:rsidR="00ED2101" w:rsidRPr="009B546D" w:rsidRDefault="00ED2101"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260,682</w:t>
                  </w:r>
                </w:p>
              </w:tc>
            </w:tr>
            <w:tr w:rsidR="00ED2101" w:rsidRPr="009B546D" w14:paraId="228A0B2E" w14:textId="77777777" w:rsidTr="00D4158A">
              <w:trPr>
                <w:trHeight w:val="20"/>
              </w:trPr>
              <w:tc>
                <w:tcPr>
                  <w:tcW w:w="5364" w:type="dxa"/>
                  <w:shd w:val="clear" w:color="auto" w:fill="auto"/>
                  <w:vAlign w:val="center"/>
                </w:tcPr>
                <w:p w14:paraId="07CF6579" w14:textId="77777777" w:rsidR="00ED2101" w:rsidRPr="009B546D" w:rsidRDefault="00ED2101" w:rsidP="00496B89">
                  <w:pPr>
                    <w:spacing w:after="0" w:line="240" w:lineRule="auto"/>
                    <w:jc w:val="left"/>
                    <w:rPr>
                      <w:rFonts w:eastAsia="Times New Roman" w:cstheme="minorHAnsi"/>
                      <w:color w:val="000000"/>
                      <w:sz w:val="16"/>
                      <w:szCs w:val="16"/>
                      <w:lang w:eastAsia="en-GB"/>
                    </w:rPr>
                  </w:pPr>
                </w:p>
              </w:tc>
              <w:tc>
                <w:tcPr>
                  <w:tcW w:w="992" w:type="dxa"/>
                  <w:tcBorders>
                    <w:top w:val="single" w:sz="4" w:space="0" w:color="auto"/>
                    <w:bottom w:val="single" w:sz="4" w:space="0" w:color="auto"/>
                  </w:tcBorders>
                  <w:shd w:val="clear" w:color="auto" w:fill="auto"/>
                  <w:vAlign w:val="center"/>
                </w:tcPr>
                <w:p w14:paraId="3A74811D" w14:textId="4CBE0B4A" w:rsidR="00ED2101" w:rsidRPr="009B546D" w:rsidRDefault="000E3003"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b/>
                      <w:bCs/>
                      <w:color w:val="000000"/>
                      <w:sz w:val="16"/>
                      <w:szCs w:val="16"/>
                      <w:lang w:eastAsia="en-GB"/>
                    </w:rPr>
                    <w:t>318,160</w:t>
                  </w:r>
                </w:p>
              </w:tc>
            </w:tr>
            <w:tr w:rsidR="00ED2101" w:rsidRPr="009B546D" w14:paraId="40F809FB" w14:textId="77777777" w:rsidTr="00D4158A">
              <w:trPr>
                <w:trHeight w:val="20"/>
              </w:trPr>
              <w:tc>
                <w:tcPr>
                  <w:tcW w:w="5364" w:type="dxa"/>
                  <w:shd w:val="clear" w:color="auto" w:fill="auto"/>
                  <w:vAlign w:val="center"/>
                  <w:hideMark/>
                </w:tcPr>
                <w:p w14:paraId="5174E1BF" w14:textId="77777777" w:rsidR="00ED2101" w:rsidRPr="009B546D" w:rsidRDefault="00ED2101" w:rsidP="00496B89">
                  <w:pPr>
                    <w:spacing w:after="0" w:line="240" w:lineRule="auto"/>
                    <w:jc w:val="left"/>
                    <w:rPr>
                      <w:rFonts w:eastAsia="Times New Roman" w:cstheme="minorHAnsi"/>
                      <w:b/>
                      <w:bCs/>
                      <w:color w:val="000000"/>
                      <w:sz w:val="16"/>
                      <w:szCs w:val="16"/>
                      <w:lang w:eastAsia="en-GB"/>
                    </w:rPr>
                  </w:pPr>
                  <w:r w:rsidRPr="009B546D">
                    <w:rPr>
                      <w:rFonts w:eastAsia="Times New Roman" w:cstheme="minorHAnsi"/>
                      <w:b/>
                      <w:bCs/>
                      <w:color w:val="000000"/>
                      <w:sz w:val="16"/>
                      <w:szCs w:val="16"/>
                      <w:lang w:eastAsia="en-GB"/>
                    </w:rPr>
                    <w:t>Current assets</w:t>
                  </w:r>
                </w:p>
              </w:tc>
              <w:tc>
                <w:tcPr>
                  <w:tcW w:w="992" w:type="dxa"/>
                  <w:tcBorders>
                    <w:top w:val="single" w:sz="4" w:space="0" w:color="auto"/>
                  </w:tcBorders>
                  <w:shd w:val="clear" w:color="auto" w:fill="auto"/>
                  <w:vAlign w:val="center"/>
                  <w:hideMark/>
                </w:tcPr>
                <w:p w14:paraId="0C05436B" w14:textId="77777777" w:rsidR="00ED2101" w:rsidRPr="009B546D" w:rsidRDefault="00ED2101" w:rsidP="00F432B9">
                  <w:pPr>
                    <w:spacing w:after="0" w:line="240" w:lineRule="auto"/>
                    <w:jc w:val="right"/>
                    <w:rPr>
                      <w:rFonts w:eastAsia="Times New Roman" w:cstheme="minorHAnsi"/>
                      <w:b/>
                      <w:bCs/>
                      <w:color w:val="000000"/>
                      <w:sz w:val="16"/>
                      <w:szCs w:val="16"/>
                      <w:lang w:eastAsia="en-GB"/>
                    </w:rPr>
                  </w:pPr>
                </w:p>
              </w:tc>
            </w:tr>
            <w:tr w:rsidR="00ED2101" w:rsidRPr="009B546D" w14:paraId="6C3AFAFE" w14:textId="77777777" w:rsidTr="00D4158A">
              <w:trPr>
                <w:trHeight w:val="20"/>
              </w:trPr>
              <w:tc>
                <w:tcPr>
                  <w:tcW w:w="5364" w:type="dxa"/>
                  <w:shd w:val="clear" w:color="auto" w:fill="auto"/>
                  <w:vAlign w:val="center"/>
                  <w:hideMark/>
                </w:tcPr>
                <w:p w14:paraId="06A3BF2C" w14:textId="77777777" w:rsidR="00ED2101" w:rsidRPr="009B546D" w:rsidRDefault="00ED2101" w:rsidP="00496B89">
                  <w:pPr>
                    <w:spacing w:after="0" w:line="240" w:lineRule="auto"/>
                    <w:jc w:val="left"/>
                    <w:rPr>
                      <w:rFonts w:eastAsia="Times New Roman" w:cstheme="minorHAnsi"/>
                      <w:color w:val="000000"/>
                      <w:sz w:val="16"/>
                      <w:szCs w:val="16"/>
                      <w:lang w:eastAsia="en-GB"/>
                    </w:rPr>
                  </w:pPr>
                  <w:r w:rsidRPr="009B546D">
                    <w:rPr>
                      <w:rFonts w:eastAsia="Times New Roman" w:cstheme="minorHAnsi"/>
                      <w:color w:val="000000"/>
                      <w:sz w:val="16"/>
                      <w:szCs w:val="16"/>
                      <w:lang w:eastAsia="en-GB"/>
                    </w:rPr>
                    <w:t>Trade &amp; other receivables</w:t>
                  </w:r>
                </w:p>
              </w:tc>
              <w:tc>
                <w:tcPr>
                  <w:tcW w:w="992" w:type="dxa"/>
                  <w:shd w:val="clear" w:color="auto" w:fill="auto"/>
                  <w:vAlign w:val="center"/>
                  <w:hideMark/>
                </w:tcPr>
                <w:p w14:paraId="52E9BE6B" w14:textId="17AEF51B" w:rsidR="00ED2101" w:rsidRPr="009B546D" w:rsidRDefault="00086878"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16,500</w:t>
                  </w:r>
                </w:p>
              </w:tc>
            </w:tr>
            <w:tr w:rsidR="00ED2101" w:rsidRPr="009B546D" w14:paraId="73E6285E" w14:textId="77777777" w:rsidTr="00D4158A">
              <w:trPr>
                <w:trHeight w:val="20"/>
              </w:trPr>
              <w:tc>
                <w:tcPr>
                  <w:tcW w:w="5364" w:type="dxa"/>
                  <w:shd w:val="clear" w:color="auto" w:fill="auto"/>
                  <w:vAlign w:val="center"/>
                  <w:hideMark/>
                </w:tcPr>
                <w:p w14:paraId="2DBBC03C" w14:textId="77777777" w:rsidR="00ED2101" w:rsidRPr="009B546D" w:rsidRDefault="00ED2101" w:rsidP="00496B89">
                  <w:pPr>
                    <w:spacing w:after="0" w:line="240" w:lineRule="auto"/>
                    <w:jc w:val="left"/>
                    <w:rPr>
                      <w:rFonts w:eastAsia="Times New Roman" w:cstheme="minorHAnsi"/>
                      <w:color w:val="000000"/>
                      <w:sz w:val="16"/>
                      <w:szCs w:val="16"/>
                      <w:lang w:eastAsia="en-GB"/>
                    </w:rPr>
                  </w:pPr>
                  <w:r w:rsidRPr="009B546D">
                    <w:rPr>
                      <w:rFonts w:eastAsia="Times New Roman" w:cstheme="minorHAnsi"/>
                      <w:color w:val="000000"/>
                      <w:sz w:val="16"/>
                      <w:szCs w:val="16"/>
                      <w:lang w:eastAsia="en-GB"/>
                    </w:rPr>
                    <w:t>Cash and cash equivalents</w:t>
                  </w:r>
                </w:p>
              </w:tc>
              <w:tc>
                <w:tcPr>
                  <w:tcW w:w="992" w:type="dxa"/>
                  <w:tcBorders>
                    <w:bottom w:val="single" w:sz="4" w:space="0" w:color="auto"/>
                  </w:tcBorders>
                  <w:shd w:val="clear" w:color="auto" w:fill="auto"/>
                  <w:vAlign w:val="center"/>
                  <w:hideMark/>
                </w:tcPr>
                <w:p w14:paraId="16CA8F3F" w14:textId="77777777" w:rsidR="00ED2101" w:rsidRPr="009B546D" w:rsidRDefault="00ED2101"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328,563</w:t>
                  </w:r>
                </w:p>
              </w:tc>
            </w:tr>
            <w:tr w:rsidR="00ED2101" w:rsidRPr="009B546D" w14:paraId="599F1AE8" w14:textId="77777777" w:rsidTr="00D4158A">
              <w:trPr>
                <w:trHeight w:val="20"/>
              </w:trPr>
              <w:tc>
                <w:tcPr>
                  <w:tcW w:w="5364" w:type="dxa"/>
                  <w:shd w:val="clear" w:color="auto" w:fill="auto"/>
                  <w:vAlign w:val="center"/>
                  <w:hideMark/>
                </w:tcPr>
                <w:p w14:paraId="73992F46" w14:textId="77777777" w:rsidR="00ED2101" w:rsidRPr="009B546D" w:rsidRDefault="00ED2101" w:rsidP="00496B89">
                  <w:pPr>
                    <w:spacing w:after="0" w:line="240" w:lineRule="auto"/>
                    <w:rPr>
                      <w:rFonts w:eastAsia="Times New Roman" w:cstheme="minorHAnsi"/>
                      <w:color w:val="000000"/>
                      <w:sz w:val="16"/>
                      <w:szCs w:val="16"/>
                      <w:lang w:eastAsia="en-GB"/>
                    </w:rPr>
                  </w:pPr>
                </w:p>
              </w:tc>
              <w:tc>
                <w:tcPr>
                  <w:tcW w:w="992" w:type="dxa"/>
                  <w:tcBorders>
                    <w:top w:val="single" w:sz="4" w:space="0" w:color="auto"/>
                    <w:bottom w:val="single" w:sz="4" w:space="0" w:color="auto"/>
                  </w:tcBorders>
                  <w:shd w:val="clear" w:color="auto" w:fill="auto"/>
                  <w:vAlign w:val="center"/>
                  <w:hideMark/>
                </w:tcPr>
                <w:p w14:paraId="56B78611" w14:textId="31001593" w:rsidR="00ED2101" w:rsidRPr="009B546D" w:rsidRDefault="00086878" w:rsidP="00F432B9">
                  <w:pPr>
                    <w:spacing w:after="0" w:line="240" w:lineRule="auto"/>
                    <w:jc w:val="right"/>
                    <w:rPr>
                      <w:rFonts w:eastAsia="Times New Roman" w:cstheme="minorHAnsi"/>
                      <w:b/>
                      <w:bCs/>
                      <w:color w:val="000000"/>
                      <w:sz w:val="16"/>
                      <w:szCs w:val="16"/>
                      <w:lang w:eastAsia="en-GB"/>
                    </w:rPr>
                  </w:pPr>
                  <w:r w:rsidRPr="009B546D">
                    <w:rPr>
                      <w:rFonts w:eastAsia="Times New Roman" w:cstheme="minorHAnsi"/>
                      <w:b/>
                      <w:bCs/>
                      <w:color w:val="000000"/>
                      <w:sz w:val="16"/>
                      <w:szCs w:val="16"/>
                      <w:lang w:eastAsia="en-GB"/>
                    </w:rPr>
                    <w:t>345,063</w:t>
                  </w:r>
                </w:p>
              </w:tc>
            </w:tr>
            <w:tr w:rsidR="004A336E" w:rsidRPr="009B546D" w14:paraId="7F8A9E9D" w14:textId="77777777" w:rsidTr="00D4158A">
              <w:trPr>
                <w:trHeight w:val="20"/>
              </w:trPr>
              <w:tc>
                <w:tcPr>
                  <w:tcW w:w="5364" w:type="dxa"/>
                  <w:tcBorders>
                    <w:left w:val="nil"/>
                    <w:bottom w:val="nil"/>
                    <w:right w:val="nil"/>
                  </w:tcBorders>
                  <w:shd w:val="clear" w:color="auto" w:fill="auto"/>
                  <w:vAlign w:val="center"/>
                </w:tcPr>
                <w:p w14:paraId="049851D1" w14:textId="77777777" w:rsidR="004A336E" w:rsidRDefault="004A336E" w:rsidP="00496B89">
                  <w:pPr>
                    <w:spacing w:after="0" w:line="240" w:lineRule="auto"/>
                    <w:rPr>
                      <w:rFonts w:eastAsia="Times New Roman" w:cstheme="minorHAnsi"/>
                      <w:szCs w:val="20"/>
                      <w:lang w:eastAsia="en-GB"/>
                    </w:rPr>
                  </w:pPr>
                </w:p>
              </w:tc>
              <w:tc>
                <w:tcPr>
                  <w:tcW w:w="992" w:type="dxa"/>
                  <w:tcBorders>
                    <w:top w:val="single" w:sz="4" w:space="0" w:color="auto"/>
                    <w:left w:val="nil"/>
                    <w:bottom w:val="nil"/>
                    <w:right w:val="nil"/>
                  </w:tcBorders>
                  <w:shd w:val="clear" w:color="auto" w:fill="auto"/>
                  <w:vAlign w:val="center"/>
                </w:tcPr>
                <w:p w14:paraId="62876716" w14:textId="77777777" w:rsidR="004A336E" w:rsidRPr="009B546D" w:rsidRDefault="004A336E" w:rsidP="00F432B9">
                  <w:pPr>
                    <w:spacing w:after="0" w:line="240" w:lineRule="auto"/>
                    <w:jc w:val="right"/>
                    <w:rPr>
                      <w:rFonts w:eastAsia="Times New Roman" w:cstheme="minorHAnsi"/>
                      <w:color w:val="000000"/>
                      <w:sz w:val="16"/>
                      <w:szCs w:val="16"/>
                      <w:lang w:eastAsia="en-GB"/>
                    </w:rPr>
                  </w:pPr>
                </w:p>
              </w:tc>
            </w:tr>
            <w:tr w:rsidR="00ED2101" w:rsidRPr="009B546D" w14:paraId="0AD6F672" w14:textId="77777777" w:rsidTr="00D4158A">
              <w:trPr>
                <w:trHeight w:val="20"/>
              </w:trPr>
              <w:tc>
                <w:tcPr>
                  <w:tcW w:w="5364" w:type="dxa"/>
                  <w:tcBorders>
                    <w:left w:val="nil"/>
                    <w:bottom w:val="nil"/>
                    <w:right w:val="nil"/>
                  </w:tcBorders>
                  <w:shd w:val="clear" w:color="auto" w:fill="auto"/>
                  <w:vAlign w:val="center"/>
                  <w:hideMark/>
                </w:tcPr>
                <w:p w14:paraId="6ACC32A8" w14:textId="79369CAA" w:rsidR="00ED2101" w:rsidRPr="009B546D" w:rsidRDefault="004A336E" w:rsidP="00EA2BB6">
                  <w:pPr>
                    <w:spacing w:after="0" w:line="240" w:lineRule="auto"/>
                    <w:jc w:val="left"/>
                    <w:rPr>
                      <w:rFonts w:eastAsia="Times New Roman" w:cstheme="minorHAnsi"/>
                      <w:szCs w:val="20"/>
                      <w:lang w:eastAsia="en-GB"/>
                    </w:rPr>
                  </w:pPr>
                  <w:r w:rsidRPr="00EA2BB6">
                    <w:rPr>
                      <w:rFonts w:eastAsia="Times New Roman" w:cstheme="minorHAnsi"/>
                      <w:color w:val="000000"/>
                      <w:sz w:val="16"/>
                      <w:szCs w:val="16"/>
                      <w:lang w:eastAsia="en-GB"/>
                    </w:rPr>
                    <w:t>Total assets</w:t>
                  </w:r>
                </w:p>
              </w:tc>
              <w:tc>
                <w:tcPr>
                  <w:tcW w:w="992" w:type="dxa"/>
                  <w:tcBorders>
                    <w:top w:val="single" w:sz="4" w:space="0" w:color="auto"/>
                    <w:left w:val="nil"/>
                    <w:bottom w:val="nil"/>
                    <w:right w:val="nil"/>
                  </w:tcBorders>
                  <w:shd w:val="clear" w:color="auto" w:fill="auto"/>
                  <w:vAlign w:val="center"/>
                  <w:hideMark/>
                </w:tcPr>
                <w:p w14:paraId="36C05057" w14:textId="745F2B8B" w:rsidR="00ED2101" w:rsidRPr="009B546D" w:rsidRDefault="00AE26A9"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663</w:t>
                  </w:r>
                  <w:r w:rsidR="00ED2101" w:rsidRPr="009B546D">
                    <w:rPr>
                      <w:rFonts w:eastAsia="Times New Roman" w:cstheme="minorHAnsi"/>
                      <w:color w:val="000000"/>
                      <w:sz w:val="16"/>
                      <w:szCs w:val="16"/>
                      <w:lang w:eastAsia="en-GB"/>
                    </w:rPr>
                    <w:t>,223</w:t>
                  </w:r>
                </w:p>
              </w:tc>
            </w:tr>
            <w:tr w:rsidR="004A336E" w:rsidRPr="009B546D" w14:paraId="67E2E1F6" w14:textId="77777777" w:rsidTr="00D4158A">
              <w:trPr>
                <w:trHeight w:val="20"/>
              </w:trPr>
              <w:tc>
                <w:tcPr>
                  <w:tcW w:w="5364" w:type="dxa"/>
                  <w:tcBorders>
                    <w:left w:val="nil"/>
                    <w:bottom w:val="nil"/>
                    <w:right w:val="nil"/>
                  </w:tcBorders>
                  <w:shd w:val="clear" w:color="auto" w:fill="auto"/>
                  <w:vAlign w:val="center"/>
                </w:tcPr>
                <w:p w14:paraId="197F583E" w14:textId="77777777" w:rsidR="004A336E" w:rsidRDefault="004A336E" w:rsidP="00496B89">
                  <w:pPr>
                    <w:spacing w:after="0" w:line="240" w:lineRule="auto"/>
                    <w:rPr>
                      <w:rFonts w:eastAsia="Times New Roman" w:cstheme="minorHAnsi"/>
                      <w:szCs w:val="20"/>
                      <w:lang w:eastAsia="en-GB"/>
                    </w:rPr>
                  </w:pPr>
                </w:p>
              </w:tc>
              <w:tc>
                <w:tcPr>
                  <w:tcW w:w="992" w:type="dxa"/>
                  <w:tcBorders>
                    <w:top w:val="single" w:sz="4" w:space="0" w:color="auto"/>
                    <w:left w:val="nil"/>
                    <w:bottom w:val="nil"/>
                    <w:right w:val="nil"/>
                  </w:tcBorders>
                  <w:shd w:val="clear" w:color="auto" w:fill="auto"/>
                  <w:vAlign w:val="center"/>
                </w:tcPr>
                <w:p w14:paraId="4568FDF1" w14:textId="77777777" w:rsidR="004A336E" w:rsidRPr="009B546D" w:rsidRDefault="004A336E" w:rsidP="00F432B9">
                  <w:pPr>
                    <w:spacing w:after="0" w:line="240" w:lineRule="auto"/>
                    <w:jc w:val="right"/>
                    <w:rPr>
                      <w:rFonts w:eastAsia="Times New Roman" w:cstheme="minorHAnsi"/>
                      <w:color w:val="000000"/>
                      <w:sz w:val="16"/>
                      <w:szCs w:val="16"/>
                      <w:lang w:eastAsia="en-GB"/>
                    </w:rPr>
                  </w:pPr>
                </w:p>
              </w:tc>
            </w:tr>
            <w:tr w:rsidR="00ED2101" w:rsidRPr="009B546D" w14:paraId="7D739502" w14:textId="77777777" w:rsidTr="00D4158A">
              <w:trPr>
                <w:trHeight w:val="20"/>
              </w:trPr>
              <w:tc>
                <w:tcPr>
                  <w:tcW w:w="5364" w:type="dxa"/>
                  <w:tcBorders>
                    <w:top w:val="nil"/>
                    <w:left w:val="nil"/>
                    <w:right w:val="nil"/>
                  </w:tcBorders>
                  <w:shd w:val="clear" w:color="auto" w:fill="auto"/>
                  <w:vAlign w:val="center"/>
                  <w:hideMark/>
                </w:tcPr>
                <w:p w14:paraId="73B928E9" w14:textId="77777777" w:rsidR="00ED2101" w:rsidRPr="009B546D" w:rsidRDefault="00ED2101" w:rsidP="00496B89">
                  <w:pPr>
                    <w:spacing w:after="0" w:line="240" w:lineRule="auto"/>
                    <w:jc w:val="left"/>
                    <w:rPr>
                      <w:rFonts w:eastAsia="Times New Roman" w:cstheme="minorHAnsi"/>
                      <w:b/>
                      <w:bCs/>
                      <w:color w:val="000000"/>
                      <w:sz w:val="16"/>
                      <w:szCs w:val="16"/>
                      <w:lang w:eastAsia="en-GB"/>
                    </w:rPr>
                  </w:pPr>
                  <w:r w:rsidRPr="009B546D">
                    <w:rPr>
                      <w:rFonts w:eastAsia="Times New Roman" w:cstheme="minorHAnsi"/>
                      <w:b/>
                      <w:bCs/>
                      <w:color w:val="000000"/>
                      <w:sz w:val="16"/>
                      <w:szCs w:val="16"/>
                      <w:lang w:eastAsia="en-GB"/>
                    </w:rPr>
                    <w:t>Current liabilities</w:t>
                  </w:r>
                </w:p>
              </w:tc>
              <w:tc>
                <w:tcPr>
                  <w:tcW w:w="992" w:type="dxa"/>
                  <w:vMerge w:val="restart"/>
                  <w:tcBorders>
                    <w:top w:val="nil"/>
                    <w:left w:val="nil"/>
                    <w:right w:val="nil"/>
                  </w:tcBorders>
                  <w:shd w:val="clear" w:color="auto" w:fill="auto"/>
                  <w:vAlign w:val="center"/>
                  <w:hideMark/>
                </w:tcPr>
                <w:p w14:paraId="21636703" w14:textId="77777777" w:rsidR="00ED2101" w:rsidRPr="009B546D" w:rsidRDefault="00ED2101" w:rsidP="00F432B9">
                  <w:pPr>
                    <w:spacing w:after="0" w:line="240" w:lineRule="auto"/>
                    <w:jc w:val="left"/>
                    <w:rPr>
                      <w:rFonts w:eastAsia="Times New Roman" w:cstheme="minorHAnsi"/>
                      <w:b/>
                      <w:bCs/>
                      <w:color w:val="000000"/>
                      <w:sz w:val="16"/>
                      <w:szCs w:val="16"/>
                      <w:lang w:eastAsia="en-GB"/>
                    </w:rPr>
                  </w:pPr>
                </w:p>
              </w:tc>
            </w:tr>
            <w:tr w:rsidR="00ED2101" w:rsidRPr="009B546D" w14:paraId="7161C4C2" w14:textId="77777777" w:rsidTr="00D4158A">
              <w:trPr>
                <w:trHeight w:val="20"/>
              </w:trPr>
              <w:tc>
                <w:tcPr>
                  <w:tcW w:w="5364" w:type="dxa"/>
                  <w:shd w:val="clear" w:color="auto" w:fill="auto"/>
                  <w:vAlign w:val="center"/>
                  <w:hideMark/>
                </w:tcPr>
                <w:p w14:paraId="56287366" w14:textId="77777777" w:rsidR="00ED2101" w:rsidRPr="009B546D" w:rsidRDefault="00ED2101" w:rsidP="00496B89">
                  <w:pPr>
                    <w:spacing w:after="0" w:line="240" w:lineRule="auto"/>
                    <w:jc w:val="left"/>
                    <w:rPr>
                      <w:rFonts w:eastAsia="Times New Roman" w:cstheme="minorHAnsi"/>
                      <w:color w:val="000000"/>
                      <w:sz w:val="16"/>
                      <w:szCs w:val="16"/>
                      <w:lang w:eastAsia="en-GB"/>
                    </w:rPr>
                  </w:pPr>
                  <w:r w:rsidRPr="009B546D">
                    <w:rPr>
                      <w:rFonts w:eastAsia="Times New Roman" w:cstheme="minorHAnsi"/>
                      <w:color w:val="000000"/>
                      <w:sz w:val="16"/>
                      <w:szCs w:val="16"/>
                      <w:lang w:eastAsia="en-GB"/>
                    </w:rPr>
                    <w:t>Creditors: amounts falling due within one year</w:t>
                  </w:r>
                </w:p>
              </w:tc>
              <w:tc>
                <w:tcPr>
                  <w:tcW w:w="992" w:type="dxa"/>
                  <w:vMerge/>
                  <w:vAlign w:val="center"/>
                  <w:hideMark/>
                </w:tcPr>
                <w:p w14:paraId="68DFEBB1" w14:textId="77777777" w:rsidR="00ED2101" w:rsidRPr="009B546D" w:rsidRDefault="00ED2101" w:rsidP="00F432B9">
                  <w:pPr>
                    <w:spacing w:after="0" w:line="240" w:lineRule="auto"/>
                    <w:jc w:val="left"/>
                    <w:rPr>
                      <w:rFonts w:eastAsia="Times New Roman" w:cstheme="minorHAnsi"/>
                      <w:b/>
                      <w:bCs/>
                      <w:color w:val="000000"/>
                      <w:sz w:val="16"/>
                      <w:szCs w:val="16"/>
                      <w:lang w:eastAsia="en-GB"/>
                    </w:rPr>
                  </w:pPr>
                </w:p>
              </w:tc>
            </w:tr>
            <w:tr w:rsidR="00ED2101" w:rsidRPr="009B546D" w14:paraId="1C747662" w14:textId="77777777" w:rsidTr="00D4158A">
              <w:trPr>
                <w:trHeight w:val="20"/>
              </w:trPr>
              <w:tc>
                <w:tcPr>
                  <w:tcW w:w="5364" w:type="dxa"/>
                  <w:shd w:val="clear" w:color="auto" w:fill="auto"/>
                  <w:vAlign w:val="center"/>
                  <w:hideMark/>
                </w:tcPr>
                <w:p w14:paraId="4EC6300D" w14:textId="77777777" w:rsidR="00ED2101" w:rsidRPr="009B546D" w:rsidRDefault="00ED2101" w:rsidP="00496B89">
                  <w:pPr>
                    <w:spacing w:after="0" w:line="240" w:lineRule="auto"/>
                    <w:jc w:val="left"/>
                    <w:rPr>
                      <w:rFonts w:eastAsia="Times New Roman" w:cstheme="minorHAnsi"/>
                      <w:color w:val="000000"/>
                      <w:sz w:val="16"/>
                      <w:szCs w:val="16"/>
                      <w:lang w:eastAsia="en-GB"/>
                    </w:rPr>
                  </w:pPr>
                  <w:r w:rsidRPr="009B546D">
                    <w:rPr>
                      <w:rFonts w:eastAsia="Times New Roman" w:cstheme="minorHAnsi"/>
                      <w:color w:val="000000"/>
                      <w:sz w:val="16"/>
                      <w:szCs w:val="16"/>
                      <w:lang w:eastAsia="en-GB"/>
                    </w:rPr>
                    <w:t>Other payables and accruals</w:t>
                  </w:r>
                </w:p>
              </w:tc>
              <w:tc>
                <w:tcPr>
                  <w:tcW w:w="992" w:type="dxa"/>
                  <w:shd w:val="clear" w:color="auto" w:fill="auto"/>
                  <w:vAlign w:val="center"/>
                  <w:hideMark/>
                </w:tcPr>
                <w:p w14:paraId="242E3A04" w14:textId="02166158" w:rsidR="00ED2101" w:rsidRPr="009B546D" w:rsidRDefault="00AE26A9"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(183,662)</w:t>
                  </w:r>
                </w:p>
              </w:tc>
            </w:tr>
            <w:tr w:rsidR="00ED2101" w:rsidRPr="009B546D" w14:paraId="4B170FB5" w14:textId="77777777" w:rsidTr="00D4158A">
              <w:trPr>
                <w:trHeight w:val="20"/>
              </w:trPr>
              <w:tc>
                <w:tcPr>
                  <w:tcW w:w="5364" w:type="dxa"/>
                  <w:shd w:val="clear" w:color="auto" w:fill="auto"/>
                  <w:vAlign w:val="center"/>
                  <w:hideMark/>
                </w:tcPr>
                <w:p w14:paraId="73F4B5BA" w14:textId="77777777" w:rsidR="00ED2101" w:rsidRPr="009B546D" w:rsidRDefault="00ED2101" w:rsidP="00496B89">
                  <w:pPr>
                    <w:spacing w:after="0" w:line="240" w:lineRule="auto"/>
                    <w:jc w:val="left"/>
                    <w:rPr>
                      <w:rFonts w:eastAsia="Times New Roman" w:cstheme="minorHAnsi"/>
                      <w:b/>
                      <w:bCs/>
                      <w:color w:val="000000"/>
                      <w:sz w:val="16"/>
                      <w:szCs w:val="16"/>
                      <w:lang w:eastAsia="en-GB"/>
                    </w:rPr>
                  </w:pPr>
                  <w:r w:rsidRPr="009B546D">
                    <w:rPr>
                      <w:rFonts w:eastAsia="Times New Roman" w:cstheme="minorHAnsi"/>
                      <w:b/>
                      <w:bCs/>
                      <w:color w:val="000000"/>
                      <w:sz w:val="16"/>
                      <w:szCs w:val="16"/>
                      <w:lang w:eastAsia="en-GB"/>
                    </w:rPr>
                    <w:t>Net assets</w:t>
                  </w:r>
                </w:p>
              </w:tc>
              <w:tc>
                <w:tcPr>
                  <w:tcW w:w="992" w:type="dxa"/>
                  <w:tcBorders>
                    <w:top w:val="single" w:sz="4" w:space="0" w:color="auto"/>
                    <w:bottom w:val="single" w:sz="4" w:space="0" w:color="auto"/>
                  </w:tcBorders>
                  <w:shd w:val="clear" w:color="auto" w:fill="auto"/>
                  <w:vAlign w:val="center"/>
                  <w:hideMark/>
                </w:tcPr>
                <w:p w14:paraId="0DECA8DE" w14:textId="43938C3D" w:rsidR="00ED2101" w:rsidRPr="009B546D" w:rsidRDefault="00AE26A9" w:rsidP="00F432B9">
                  <w:pPr>
                    <w:spacing w:after="0" w:line="240" w:lineRule="auto"/>
                    <w:jc w:val="right"/>
                    <w:rPr>
                      <w:rFonts w:eastAsia="Times New Roman" w:cstheme="minorHAnsi"/>
                      <w:b/>
                      <w:bCs/>
                      <w:color w:val="000000"/>
                      <w:sz w:val="16"/>
                      <w:szCs w:val="16"/>
                      <w:lang w:eastAsia="en-GB"/>
                    </w:rPr>
                  </w:pPr>
                  <w:r w:rsidRPr="009B546D">
                    <w:rPr>
                      <w:rFonts w:eastAsia="Times New Roman" w:cstheme="minorHAnsi"/>
                      <w:b/>
                      <w:bCs/>
                      <w:color w:val="000000"/>
                      <w:sz w:val="16"/>
                      <w:szCs w:val="16"/>
                      <w:lang w:eastAsia="en-GB"/>
                    </w:rPr>
                    <w:t>479,</w:t>
                  </w:r>
                  <w:r w:rsidR="000364EA" w:rsidRPr="009B546D">
                    <w:rPr>
                      <w:rFonts w:eastAsia="Times New Roman" w:cstheme="minorHAnsi"/>
                      <w:b/>
                      <w:bCs/>
                      <w:color w:val="000000"/>
                      <w:sz w:val="16"/>
                      <w:szCs w:val="16"/>
                      <w:lang w:eastAsia="en-GB"/>
                    </w:rPr>
                    <w:t>561</w:t>
                  </w:r>
                </w:p>
              </w:tc>
            </w:tr>
            <w:tr w:rsidR="00ED2101" w:rsidRPr="009B546D" w14:paraId="5C62872F" w14:textId="77777777" w:rsidTr="00D4158A">
              <w:trPr>
                <w:trHeight w:val="20"/>
              </w:trPr>
              <w:tc>
                <w:tcPr>
                  <w:tcW w:w="5364" w:type="dxa"/>
                  <w:tcBorders>
                    <w:left w:val="nil"/>
                    <w:bottom w:val="nil"/>
                    <w:right w:val="nil"/>
                  </w:tcBorders>
                  <w:shd w:val="clear" w:color="auto" w:fill="auto"/>
                  <w:vAlign w:val="center"/>
                  <w:hideMark/>
                </w:tcPr>
                <w:p w14:paraId="48999009" w14:textId="77777777" w:rsidR="00ED2101" w:rsidRPr="009B546D" w:rsidRDefault="00ED2101" w:rsidP="00496B89">
                  <w:pPr>
                    <w:spacing w:after="0" w:line="240" w:lineRule="auto"/>
                    <w:jc w:val="left"/>
                    <w:rPr>
                      <w:rFonts w:eastAsia="Times New Roman" w:cstheme="minorHAnsi"/>
                      <w:b/>
                      <w:bCs/>
                      <w:color w:val="000000"/>
                      <w:sz w:val="16"/>
                      <w:szCs w:val="16"/>
                      <w:lang w:eastAsia="en-GB"/>
                    </w:rPr>
                  </w:pPr>
                  <w:r w:rsidRPr="009B546D">
                    <w:rPr>
                      <w:rFonts w:eastAsia="Times New Roman" w:cstheme="minorHAnsi"/>
                      <w:b/>
                      <w:bCs/>
                      <w:color w:val="000000"/>
                      <w:sz w:val="16"/>
                      <w:szCs w:val="16"/>
                      <w:lang w:eastAsia="en-GB"/>
                    </w:rPr>
                    <w:t>Shareholders’ equity</w:t>
                  </w:r>
                </w:p>
              </w:tc>
              <w:tc>
                <w:tcPr>
                  <w:tcW w:w="992" w:type="dxa"/>
                  <w:tcBorders>
                    <w:left w:val="nil"/>
                    <w:bottom w:val="nil"/>
                    <w:right w:val="nil"/>
                  </w:tcBorders>
                  <w:shd w:val="clear" w:color="auto" w:fill="auto"/>
                  <w:vAlign w:val="center"/>
                  <w:hideMark/>
                </w:tcPr>
                <w:p w14:paraId="46378E7F" w14:textId="77777777" w:rsidR="00ED2101" w:rsidRPr="009B546D" w:rsidRDefault="00ED2101" w:rsidP="00F432B9">
                  <w:pPr>
                    <w:spacing w:after="0" w:line="240" w:lineRule="auto"/>
                    <w:jc w:val="right"/>
                    <w:rPr>
                      <w:rFonts w:eastAsia="Times New Roman" w:cstheme="minorHAnsi"/>
                      <w:b/>
                      <w:bCs/>
                      <w:color w:val="000000"/>
                      <w:sz w:val="16"/>
                      <w:szCs w:val="16"/>
                      <w:lang w:eastAsia="en-GB"/>
                    </w:rPr>
                  </w:pPr>
                </w:p>
              </w:tc>
            </w:tr>
            <w:tr w:rsidR="00ED2101" w:rsidRPr="009B546D" w14:paraId="4A667CA5" w14:textId="77777777" w:rsidTr="00D4158A">
              <w:trPr>
                <w:trHeight w:val="20"/>
              </w:trPr>
              <w:tc>
                <w:tcPr>
                  <w:tcW w:w="5364" w:type="dxa"/>
                  <w:tcBorders>
                    <w:top w:val="nil"/>
                    <w:left w:val="nil"/>
                    <w:bottom w:val="nil"/>
                    <w:right w:val="nil"/>
                  </w:tcBorders>
                  <w:shd w:val="clear" w:color="auto" w:fill="auto"/>
                  <w:vAlign w:val="center"/>
                  <w:hideMark/>
                </w:tcPr>
                <w:p w14:paraId="4AE9093D" w14:textId="77777777" w:rsidR="00ED2101" w:rsidRPr="009B546D" w:rsidRDefault="00ED2101" w:rsidP="00496B89">
                  <w:pPr>
                    <w:spacing w:after="0" w:line="240" w:lineRule="auto"/>
                    <w:jc w:val="left"/>
                    <w:rPr>
                      <w:rFonts w:eastAsia="Times New Roman" w:cstheme="minorHAnsi"/>
                      <w:color w:val="000000"/>
                      <w:sz w:val="16"/>
                      <w:szCs w:val="16"/>
                      <w:lang w:eastAsia="en-GB"/>
                    </w:rPr>
                  </w:pPr>
                  <w:r w:rsidRPr="009B546D">
                    <w:rPr>
                      <w:rFonts w:eastAsia="Times New Roman" w:cstheme="minorHAnsi"/>
                      <w:color w:val="000000"/>
                      <w:sz w:val="16"/>
                      <w:szCs w:val="16"/>
                      <w:lang w:eastAsia="en-GB"/>
                    </w:rPr>
                    <w:t>Share capital</w:t>
                  </w:r>
                </w:p>
              </w:tc>
              <w:tc>
                <w:tcPr>
                  <w:tcW w:w="992" w:type="dxa"/>
                  <w:tcBorders>
                    <w:top w:val="nil"/>
                    <w:left w:val="nil"/>
                    <w:bottom w:val="nil"/>
                    <w:right w:val="nil"/>
                  </w:tcBorders>
                  <w:shd w:val="clear" w:color="auto" w:fill="auto"/>
                  <w:vAlign w:val="center"/>
                  <w:hideMark/>
                </w:tcPr>
                <w:p w14:paraId="691449F7" w14:textId="77777777" w:rsidR="00ED2101" w:rsidRPr="009B546D" w:rsidRDefault="00ED2101"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100</w:t>
                  </w:r>
                </w:p>
              </w:tc>
            </w:tr>
            <w:tr w:rsidR="00ED2101" w:rsidRPr="009B546D" w14:paraId="59423F03" w14:textId="77777777" w:rsidTr="00D4158A">
              <w:trPr>
                <w:trHeight w:val="20"/>
              </w:trPr>
              <w:tc>
                <w:tcPr>
                  <w:tcW w:w="5364" w:type="dxa"/>
                  <w:tcBorders>
                    <w:top w:val="nil"/>
                    <w:left w:val="nil"/>
                    <w:bottom w:val="nil"/>
                    <w:right w:val="nil"/>
                  </w:tcBorders>
                  <w:shd w:val="clear" w:color="auto" w:fill="auto"/>
                  <w:vAlign w:val="center"/>
                  <w:hideMark/>
                </w:tcPr>
                <w:p w14:paraId="58C89FB4" w14:textId="77777777" w:rsidR="00ED2101" w:rsidRPr="009B546D" w:rsidRDefault="00ED2101" w:rsidP="00496B89">
                  <w:pPr>
                    <w:spacing w:after="0" w:line="240" w:lineRule="auto"/>
                    <w:jc w:val="left"/>
                    <w:rPr>
                      <w:rFonts w:eastAsia="Times New Roman" w:cstheme="minorHAnsi"/>
                      <w:color w:val="000000"/>
                      <w:sz w:val="16"/>
                      <w:szCs w:val="16"/>
                      <w:lang w:eastAsia="en-GB"/>
                    </w:rPr>
                  </w:pPr>
                  <w:r w:rsidRPr="009B546D">
                    <w:rPr>
                      <w:rFonts w:eastAsia="Times New Roman" w:cstheme="minorHAnsi"/>
                      <w:color w:val="000000"/>
                      <w:sz w:val="16"/>
                      <w:szCs w:val="16"/>
                      <w:lang w:eastAsia="en-GB"/>
                    </w:rPr>
                    <w:t>Capital contribution</w:t>
                  </w:r>
                </w:p>
              </w:tc>
              <w:tc>
                <w:tcPr>
                  <w:tcW w:w="992" w:type="dxa"/>
                  <w:tcBorders>
                    <w:top w:val="nil"/>
                    <w:left w:val="nil"/>
                    <w:bottom w:val="nil"/>
                    <w:right w:val="nil"/>
                  </w:tcBorders>
                  <w:shd w:val="clear" w:color="auto" w:fill="auto"/>
                  <w:vAlign w:val="center"/>
                  <w:hideMark/>
                </w:tcPr>
                <w:p w14:paraId="23A3AD76" w14:textId="77777777" w:rsidR="00ED2101" w:rsidRPr="009B546D" w:rsidRDefault="00ED2101"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50,000</w:t>
                  </w:r>
                </w:p>
              </w:tc>
            </w:tr>
            <w:tr w:rsidR="00ED2101" w:rsidRPr="009B546D" w14:paraId="7DF87E40" w14:textId="77777777" w:rsidTr="00D4158A">
              <w:trPr>
                <w:trHeight w:val="20"/>
              </w:trPr>
              <w:tc>
                <w:tcPr>
                  <w:tcW w:w="5364" w:type="dxa"/>
                  <w:tcBorders>
                    <w:top w:val="nil"/>
                    <w:left w:val="nil"/>
                    <w:bottom w:val="nil"/>
                    <w:right w:val="nil"/>
                  </w:tcBorders>
                  <w:shd w:val="clear" w:color="auto" w:fill="auto"/>
                  <w:vAlign w:val="center"/>
                  <w:hideMark/>
                </w:tcPr>
                <w:p w14:paraId="5D784A4D" w14:textId="77777777" w:rsidR="00ED2101" w:rsidRPr="009B546D" w:rsidRDefault="00ED2101" w:rsidP="00496B89">
                  <w:pPr>
                    <w:spacing w:after="0" w:line="240" w:lineRule="auto"/>
                    <w:jc w:val="left"/>
                    <w:rPr>
                      <w:rFonts w:eastAsia="Times New Roman" w:cstheme="minorHAnsi"/>
                      <w:color w:val="000000"/>
                      <w:sz w:val="16"/>
                      <w:szCs w:val="16"/>
                      <w:lang w:eastAsia="en-GB"/>
                    </w:rPr>
                  </w:pPr>
                  <w:r w:rsidRPr="009B546D">
                    <w:rPr>
                      <w:rFonts w:eastAsia="Times New Roman" w:cstheme="minorHAnsi"/>
                      <w:color w:val="000000"/>
                      <w:sz w:val="16"/>
                      <w:szCs w:val="16"/>
                      <w:lang w:eastAsia="en-GB"/>
                    </w:rPr>
                    <w:t>Retained earnings</w:t>
                  </w:r>
                </w:p>
              </w:tc>
              <w:tc>
                <w:tcPr>
                  <w:tcW w:w="992" w:type="dxa"/>
                  <w:tcBorders>
                    <w:top w:val="nil"/>
                    <w:left w:val="nil"/>
                    <w:bottom w:val="nil"/>
                    <w:right w:val="nil"/>
                  </w:tcBorders>
                  <w:shd w:val="clear" w:color="auto" w:fill="auto"/>
                  <w:vAlign w:val="center"/>
                  <w:hideMark/>
                </w:tcPr>
                <w:p w14:paraId="6AC7619C" w14:textId="55F7AC22" w:rsidR="00ED2101" w:rsidRPr="009B546D" w:rsidRDefault="000364EA" w:rsidP="00F432B9">
                  <w:pPr>
                    <w:spacing w:after="0" w:line="240" w:lineRule="auto"/>
                    <w:jc w:val="right"/>
                    <w:rPr>
                      <w:rFonts w:eastAsia="Times New Roman" w:cstheme="minorHAnsi"/>
                      <w:color w:val="000000"/>
                      <w:sz w:val="16"/>
                      <w:szCs w:val="16"/>
                      <w:lang w:eastAsia="en-GB"/>
                    </w:rPr>
                  </w:pPr>
                  <w:r w:rsidRPr="009B546D">
                    <w:rPr>
                      <w:rFonts w:eastAsia="Times New Roman" w:cstheme="minorHAnsi"/>
                      <w:color w:val="000000"/>
                      <w:sz w:val="16"/>
                      <w:szCs w:val="16"/>
                      <w:lang w:eastAsia="en-GB"/>
                    </w:rPr>
                    <w:t>429,461</w:t>
                  </w:r>
                </w:p>
              </w:tc>
            </w:tr>
            <w:tr w:rsidR="00ED2101" w:rsidRPr="009B546D" w14:paraId="6992CC37" w14:textId="77777777" w:rsidTr="00D4158A">
              <w:trPr>
                <w:trHeight w:val="20"/>
              </w:trPr>
              <w:tc>
                <w:tcPr>
                  <w:tcW w:w="5364" w:type="dxa"/>
                  <w:tcBorders>
                    <w:top w:val="nil"/>
                    <w:left w:val="nil"/>
                    <w:bottom w:val="nil"/>
                    <w:right w:val="nil"/>
                  </w:tcBorders>
                  <w:shd w:val="clear" w:color="auto" w:fill="auto"/>
                  <w:vAlign w:val="center"/>
                  <w:hideMark/>
                </w:tcPr>
                <w:p w14:paraId="304206F4" w14:textId="77777777" w:rsidR="00ED2101" w:rsidRPr="009B546D" w:rsidRDefault="00ED2101" w:rsidP="00496B89">
                  <w:pPr>
                    <w:spacing w:after="0" w:line="240" w:lineRule="auto"/>
                    <w:rPr>
                      <w:rFonts w:eastAsia="Times New Roman" w:cstheme="minorHAnsi"/>
                      <w:color w:val="000000"/>
                      <w:sz w:val="16"/>
                      <w:szCs w:val="16"/>
                      <w:lang w:eastAsia="en-GB"/>
                    </w:rPr>
                  </w:pPr>
                </w:p>
              </w:tc>
              <w:tc>
                <w:tcPr>
                  <w:tcW w:w="992" w:type="dxa"/>
                  <w:tcBorders>
                    <w:top w:val="nil"/>
                    <w:left w:val="nil"/>
                    <w:bottom w:val="nil"/>
                    <w:right w:val="nil"/>
                  </w:tcBorders>
                  <w:shd w:val="clear" w:color="auto" w:fill="auto"/>
                  <w:vAlign w:val="center"/>
                  <w:hideMark/>
                </w:tcPr>
                <w:p w14:paraId="70117A6E" w14:textId="77777777" w:rsidR="00ED2101" w:rsidRPr="009B546D" w:rsidRDefault="00ED2101" w:rsidP="00F432B9">
                  <w:pPr>
                    <w:spacing w:after="0" w:line="240" w:lineRule="auto"/>
                    <w:jc w:val="right"/>
                    <w:rPr>
                      <w:rFonts w:eastAsia="Times New Roman" w:cstheme="minorHAnsi"/>
                      <w:szCs w:val="20"/>
                      <w:lang w:eastAsia="en-GB"/>
                    </w:rPr>
                  </w:pPr>
                </w:p>
              </w:tc>
            </w:tr>
            <w:tr w:rsidR="00ED2101" w:rsidRPr="009B546D" w14:paraId="1440570B" w14:textId="77777777" w:rsidTr="00D4158A">
              <w:trPr>
                <w:trHeight w:val="20"/>
              </w:trPr>
              <w:tc>
                <w:tcPr>
                  <w:tcW w:w="5364" w:type="dxa"/>
                  <w:tcBorders>
                    <w:top w:val="nil"/>
                    <w:left w:val="nil"/>
                    <w:bottom w:val="nil"/>
                    <w:right w:val="nil"/>
                  </w:tcBorders>
                  <w:shd w:val="clear" w:color="auto" w:fill="auto"/>
                  <w:vAlign w:val="center"/>
                  <w:hideMark/>
                </w:tcPr>
                <w:p w14:paraId="3FB1365E" w14:textId="77777777" w:rsidR="00ED2101" w:rsidRPr="009B546D" w:rsidRDefault="00ED2101" w:rsidP="00496B89">
                  <w:pPr>
                    <w:spacing w:after="0" w:line="240" w:lineRule="auto"/>
                    <w:jc w:val="left"/>
                    <w:rPr>
                      <w:rFonts w:eastAsia="Times New Roman" w:cstheme="minorHAnsi"/>
                      <w:b/>
                      <w:bCs/>
                      <w:color w:val="000000"/>
                      <w:sz w:val="16"/>
                      <w:szCs w:val="16"/>
                      <w:lang w:eastAsia="en-GB"/>
                    </w:rPr>
                  </w:pPr>
                  <w:r w:rsidRPr="009B546D">
                    <w:rPr>
                      <w:rFonts w:eastAsia="Times New Roman" w:cstheme="minorHAnsi"/>
                      <w:b/>
                      <w:bCs/>
                      <w:color w:val="000000"/>
                      <w:sz w:val="16"/>
                      <w:szCs w:val="16"/>
                      <w:lang w:eastAsia="en-GB"/>
                    </w:rPr>
                    <w:t>Total shareholders’ equity</w:t>
                  </w:r>
                </w:p>
              </w:tc>
              <w:tc>
                <w:tcPr>
                  <w:tcW w:w="992" w:type="dxa"/>
                  <w:tcBorders>
                    <w:top w:val="single" w:sz="4" w:space="0" w:color="auto"/>
                    <w:left w:val="nil"/>
                    <w:bottom w:val="double" w:sz="6" w:space="0" w:color="auto"/>
                    <w:right w:val="nil"/>
                  </w:tcBorders>
                  <w:shd w:val="clear" w:color="auto" w:fill="auto"/>
                  <w:vAlign w:val="center"/>
                  <w:hideMark/>
                </w:tcPr>
                <w:p w14:paraId="0C7F8C91" w14:textId="58F81922" w:rsidR="00ED2101" w:rsidRPr="009B546D" w:rsidRDefault="000364EA" w:rsidP="00F432B9">
                  <w:pPr>
                    <w:spacing w:after="0" w:line="240" w:lineRule="auto"/>
                    <w:jc w:val="right"/>
                    <w:rPr>
                      <w:rFonts w:eastAsia="Times New Roman" w:cstheme="minorHAnsi"/>
                      <w:b/>
                      <w:bCs/>
                      <w:color w:val="000000"/>
                      <w:sz w:val="16"/>
                      <w:szCs w:val="16"/>
                      <w:lang w:eastAsia="en-GB"/>
                    </w:rPr>
                  </w:pPr>
                  <w:r w:rsidRPr="009B546D">
                    <w:rPr>
                      <w:rFonts w:eastAsia="Times New Roman" w:cstheme="minorHAnsi"/>
                      <w:b/>
                      <w:bCs/>
                      <w:color w:val="000000"/>
                      <w:sz w:val="16"/>
                      <w:szCs w:val="16"/>
                      <w:lang w:eastAsia="en-GB"/>
                    </w:rPr>
                    <w:t>479,561</w:t>
                  </w:r>
                </w:p>
              </w:tc>
            </w:tr>
          </w:tbl>
          <w:p w14:paraId="56172CE0" w14:textId="77777777" w:rsidR="00B315C6" w:rsidRPr="009B546D" w:rsidRDefault="00B315C6" w:rsidP="00F432B9">
            <w:pPr>
              <w:spacing w:after="0" w:line="240" w:lineRule="auto"/>
              <w:rPr>
                <w:rFonts w:cstheme="minorHAnsi"/>
                <w:bCs/>
                <w:sz w:val="16"/>
                <w:szCs w:val="16"/>
              </w:rPr>
            </w:pPr>
          </w:p>
          <w:p w14:paraId="3D8C3C4A" w14:textId="0E13151C" w:rsidR="008A474D" w:rsidRDefault="008A474D" w:rsidP="00F432B9">
            <w:pPr>
              <w:spacing w:after="0" w:line="240" w:lineRule="auto"/>
              <w:rPr>
                <w:rFonts w:cstheme="minorHAnsi"/>
                <w:bCs/>
                <w:sz w:val="16"/>
                <w:szCs w:val="16"/>
              </w:rPr>
            </w:pPr>
            <w:r w:rsidRPr="009B546D">
              <w:rPr>
                <w:rFonts w:cstheme="minorHAnsi"/>
                <w:bCs/>
                <w:sz w:val="16"/>
                <w:szCs w:val="16"/>
              </w:rPr>
              <w:t xml:space="preserve">Set out below is an unaudited </w:t>
            </w:r>
            <w:r w:rsidRPr="009B546D">
              <w:rPr>
                <w:rFonts w:cstheme="minorHAnsi"/>
                <w:bCs/>
                <w:i/>
                <w:iCs/>
                <w:sz w:val="16"/>
                <w:szCs w:val="16"/>
              </w:rPr>
              <w:t>pro forma</w:t>
            </w:r>
            <w:r w:rsidRPr="009B546D">
              <w:rPr>
                <w:rFonts w:cstheme="minorHAnsi"/>
                <w:bCs/>
                <w:sz w:val="16"/>
                <w:szCs w:val="16"/>
              </w:rPr>
              <w:t xml:space="preserve"> statement of aggregated net assets and statement of aggregated earnings of the Enlarged Group (“</w:t>
            </w:r>
            <w:r w:rsidRPr="009B546D">
              <w:rPr>
                <w:rFonts w:cstheme="minorHAnsi"/>
                <w:b/>
                <w:sz w:val="16"/>
                <w:szCs w:val="16"/>
              </w:rPr>
              <w:t>Unaudited Pro Forma Financial Information</w:t>
            </w:r>
            <w:r w:rsidRPr="009B546D">
              <w:rPr>
                <w:rFonts w:cstheme="minorHAnsi"/>
                <w:bCs/>
                <w:sz w:val="16"/>
                <w:szCs w:val="16"/>
              </w:rPr>
              <w:t xml:space="preserve">”). The </w:t>
            </w:r>
            <w:r w:rsidR="007D3733" w:rsidRPr="009B546D">
              <w:rPr>
                <w:rFonts w:cstheme="minorHAnsi"/>
                <w:bCs/>
                <w:sz w:val="16"/>
                <w:szCs w:val="16"/>
              </w:rPr>
              <w:t>U</w:t>
            </w:r>
            <w:r w:rsidRPr="009B546D">
              <w:rPr>
                <w:rFonts w:cstheme="minorHAnsi"/>
                <w:bCs/>
                <w:sz w:val="16"/>
                <w:szCs w:val="16"/>
              </w:rPr>
              <w:t xml:space="preserve">naudited Pro Forma Financial Information has been prepared on the basis set out in the notes below to illustrate the effect of the </w:t>
            </w:r>
            <w:r w:rsidR="00311CE2" w:rsidRPr="009B546D">
              <w:rPr>
                <w:rFonts w:cstheme="minorHAnsi"/>
                <w:bCs/>
                <w:sz w:val="16"/>
                <w:szCs w:val="16"/>
              </w:rPr>
              <w:t xml:space="preserve">Proposed </w:t>
            </w:r>
            <w:r w:rsidRPr="009B546D">
              <w:rPr>
                <w:rFonts w:cstheme="minorHAnsi"/>
                <w:bCs/>
                <w:sz w:val="16"/>
                <w:szCs w:val="16"/>
              </w:rPr>
              <w:t xml:space="preserve">Acquisition on the financial information of the Company and </w:t>
            </w:r>
            <w:r w:rsidR="00AF0C4A" w:rsidRPr="009B546D">
              <w:rPr>
                <w:rFonts w:cstheme="minorHAnsi"/>
                <w:bCs/>
                <w:sz w:val="16"/>
                <w:szCs w:val="16"/>
              </w:rPr>
              <w:t>Alchemist Codes</w:t>
            </w:r>
            <w:r w:rsidRPr="009B546D">
              <w:rPr>
                <w:rFonts w:cstheme="minorHAnsi"/>
                <w:bCs/>
                <w:sz w:val="16"/>
                <w:szCs w:val="16"/>
              </w:rPr>
              <w:t xml:space="preserve"> when combined as well as certain other subsequent events as described in the notes, as if they had taken place as at </w:t>
            </w:r>
            <w:r w:rsidR="00F16B1E" w:rsidRPr="009B546D">
              <w:rPr>
                <w:rFonts w:cstheme="minorHAnsi"/>
                <w:bCs/>
                <w:sz w:val="16"/>
                <w:szCs w:val="16"/>
              </w:rPr>
              <w:t>31 October 2019</w:t>
            </w:r>
            <w:r w:rsidRPr="009B546D">
              <w:rPr>
                <w:rFonts w:cstheme="minorHAnsi"/>
                <w:bCs/>
                <w:sz w:val="16"/>
                <w:szCs w:val="16"/>
              </w:rPr>
              <w:t xml:space="preserve">. Because of the nature of </w:t>
            </w:r>
            <w:r w:rsidRPr="009B546D">
              <w:rPr>
                <w:rFonts w:cstheme="minorHAnsi"/>
                <w:bCs/>
                <w:i/>
                <w:iCs/>
                <w:sz w:val="16"/>
                <w:szCs w:val="16"/>
              </w:rPr>
              <w:t>pro forma</w:t>
            </w:r>
            <w:r w:rsidRPr="009B546D">
              <w:rPr>
                <w:rFonts w:cstheme="minorHAnsi"/>
                <w:bCs/>
                <w:sz w:val="16"/>
                <w:szCs w:val="16"/>
              </w:rPr>
              <w:t xml:space="preserve"> financial information, this unaudited </w:t>
            </w:r>
            <w:r w:rsidRPr="009B546D">
              <w:rPr>
                <w:rFonts w:cstheme="minorHAnsi"/>
                <w:bCs/>
                <w:i/>
                <w:iCs/>
                <w:sz w:val="16"/>
                <w:szCs w:val="16"/>
              </w:rPr>
              <w:t>pro forma</w:t>
            </w:r>
            <w:r w:rsidRPr="009B546D">
              <w:rPr>
                <w:rFonts w:cstheme="minorHAnsi"/>
                <w:bCs/>
                <w:sz w:val="16"/>
                <w:szCs w:val="16"/>
              </w:rPr>
              <w:t xml:space="preserve"> statement of net assets addresses a hypothetical situation and does not therefore represent the actual financial position of the Company as at </w:t>
            </w:r>
            <w:r w:rsidR="0073787B" w:rsidRPr="009B546D">
              <w:rPr>
                <w:rFonts w:cstheme="minorHAnsi"/>
                <w:bCs/>
                <w:sz w:val="16"/>
                <w:szCs w:val="16"/>
              </w:rPr>
              <w:t>31 October 201</w:t>
            </w:r>
            <w:r w:rsidR="00377CE2" w:rsidRPr="009B546D">
              <w:rPr>
                <w:rFonts w:cstheme="minorHAnsi"/>
                <w:bCs/>
                <w:sz w:val="16"/>
                <w:szCs w:val="16"/>
              </w:rPr>
              <w:t>9</w:t>
            </w:r>
            <w:r w:rsidRPr="009B546D">
              <w:rPr>
                <w:rFonts w:cstheme="minorHAnsi"/>
                <w:bCs/>
                <w:sz w:val="16"/>
                <w:szCs w:val="16"/>
              </w:rPr>
              <w:t xml:space="preserve">. </w:t>
            </w:r>
          </w:p>
          <w:p w14:paraId="7129AE26" w14:textId="77777777" w:rsidR="008D5802" w:rsidRDefault="008D5802" w:rsidP="00F432B9">
            <w:pPr>
              <w:spacing w:after="0" w:line="240" w:lineRule="auto"/>
              <w:rPr>
                <w:rFonts w:cstheme="minorHAnsi"/>
                <w:bCs/>
                <w:sz w:val="16"/>
                <w:szCs w:val="16"/>
              </w:rPr>
            </w:pPr>
          </w:p>
          <w:p w14:paraId="20FE011F" w14:textId="77777777" w:rsidR="008D5802" w:rsidRDefault="008D5802" w:rsidP="00F432B9">
            <w:pPr>
              <w:spacing w:after="0" w:line="240" w:lineRule="auto"/>
              <w:rPr>
                <w:rFonts w:cstheme="minorHAnsi"/>
                <w:bCs/>
                <w:sz w:val="16"/>
                <w:szCs w:val="16"/>
              </w:rPr>
            </w:pPr>
          </w:p>
          <w:p w14:paraId="30C3248F" w14:textId="77777777" w:rsidR="008D5802" w:rsidRDefault="008D5802" w:rsidP="00F432B9">
            <w:pPr>
              <w:spacing w:after="0" w:line="240" w:lineRule="auto"/>
              <w:rPr>
                <w:rFonts w:cstheme="minorHAnsi"/>
                <w:bCs/>
                <w:sz w:val="16"/>
                <w:szCs w:val="16"/>
              </w:rPr>
            </w:pPr>
          </w:p>
          <w:p w14:paraId="37438DF1" w14:textId="77777777" w:rsidR="008D5802" w:rsidRDefault="008D5802" w:rsidP="00F432B9">
            <w:pPr>
              <w:spacing w:after="0" w:line="240" w:lineRule="auto"/>
              <w:rPr>
                <w:rFonts w:cstheme="minorHAnsi"/>
                <w:bCs/>
                <w:sz w:val="16"/>
                <w:szCs w:val="16"/>
              </w:rPr>
            </w:pPr>
          </w:p>
          <w:p w14:paraId="3630E3D2" w14:textId="77777777" w:rsidR="008D5802" w:rsidRDefault="008D5802" w:rsidP="00F432B9">
            <w:pPr>
              <w:spacing w:after="0" w:line="240" w:lineRule="auto"/>
              <w:rPr>
                <w:rFonts w:cstheme="minorHAnsi"/>
                <w:bCs/>
                <w:sz w:val="16"/>
                <w:szCs w:val="16"/>
              </w:rPr>
            </w:pPr>
          </w:p>
          <w:p w14:paraId="0E4B346F" w14:textId="77777777" w:rsidR="008D5802" w:rsidRDefault="008D5802" w:rsidP="00F432B9">
            <w:pPr>
              <w:spacing w:after="0" w:line="240" w:lineRule="auto"/>
              <w:rPr>
                <w:rFonts w:cstheme="minorHAnsi"/>
                <w:bCs/>
                <w:sz w:val="16"/>
                <w:szCs w:val="16"/>
              </w:rPr>
            </w:pPr>
          </w:p>
          <w:p w14:paraId="67C754EE" w14:textId="77777777" w:rsidR="008D5802" w:rsidRDefault="008D5802" w:rsidP="00F432B9">
            <w:pPr>
              <w:spacing w:after="0" w:line="240" w:lineRule="auto"/>
              <w:rPr>
                <w:rFonts w:cstheme="minorHAnsi"/>
                <w:bCs/>
                <w:sz w:val="16"/>
                <w:szCs w:val="16"/>
              </w:rPr>
            </w:pPr>
          </w:p>
          <w:p w14:paraId="357CE175" w14:textId="77777777" w:rsidR="008D5802" w:rsidRDefault="008D5802" w:rsidP="00F432B9">
            <w:pPr>
              <w:spacing w:after="0" w:line="240" w:lineRule="auto"/>
              <w:rPr>
                <w:rFonts w:cstheme="minorHAnsi"/>
                <w:bCs/>
                <w:sz w:val="16"/>
                <w:szCs w:val="16"/>
              </w:rPr>
            </w:pPr>
          </w:p>
          <w:p w14:paraId="12860811" w14:textId="35AD7361" w:rsidR="008D5802" w:rsidRDefault="008D5802" w:rsidP="00F432B9">
            <w:pPr>
              <w:spacing w:after="0" w:line="240" w:lineRule="auto"/>
              <w:rPr>
                <w:rFonts w:cstheme="minorHAnsi"/>
                <w:bCs/>
                <w:sz w:val="16"/>
                <w:szCs w:val="16"/>
              </w:rPr>
            </w:pPr>
          </w:p>
          <w:p w14:paraId="5A3026C7" w14:textId="77777777" w:rsidR="00C64965" w:rsidRDefault="00C64965" w:rsidP="00F432B9">
            <w:pPr>
              <w:spacing w:after="0" w:line="240" w:lineRule="auto"/>
              <w:rPr>
                <w:rFonts w:cstheme="minorHAnsi"/>
                <w:bCs/>
                <w:sz w:val="16"/>
                <w:szCs w:val="16"/>
              </w:rPr>
            </w:pPr>
          </w:p>
          <w:p w14:paraId="2B9E696E" w14:textId="77777777" w:rsidR="008D5802" w:rsidRDefault="008D5802" w:rsidP="00F432B9">
            <w:pPr>
              <w:spacing w:after="0" w:line="240" w:lineRule="auto"/>
              <w:rPr>
                <w:rFonts w:cstheme="minorHAnsi"/>
                <w:bCs/>
                <w:sz w:val="16"/>
                <w:szCs w:val="16"/>
              </w:rPr>
            </w:pPr>
          </w:p>
          <w:p w14:paraId="2D5EA442" w14:textId="77777777" w:rsidR="008D5802" w:rsidRDefault="008D5802" w:rsidP="00F432B9">
            <w:pPr>
              <w:spacing w:after="0" w:line="240" w:lineRule="auto"/>
              <w:rPr>
                <w:rFonts w:cstheme="minorHAnsi"/>
                <w:bCs/>
                <w:sz w:val="16"/>
                <w:szCs w:val="16"/>
              </w:rPr>
            </w:pPr>
          </w:p>
          <w:p w14:paraId="678B0B6D" w14:textId="77777777" w:rsidR="00DC44F6" w:rsidRDefault="00DC44F6" w:rsidP="00F432B9">
            <w:pPr>
              <w:spacing w:after="0" w:line="240" w:lineRule="auto"/>
              <w:rPr>
                <w:rFonts w:cstheme="minorHAnsi"/>
                <w:bCs/>
                <w:sz w:val="16"/>
                <w:szCs w:val="16"/>
              </w:rPr>
            </w:pPr>
          </w:p>
          <w:p w14:paraId="6601E8A1" w14:textId="77777777" w:rsidR="008D5802" w:rsidRPr="009B546D" w:rsidRDefault="008D5802" w:rsidP="00F432B9">
            <w:pPr>
              <w:spacing w:after="0" w:line="240" w:lineRule="auto"/>
              <w:rPr>
                <w:rFonts w:cstheme="minorHAnsi"/>
                <w:bCs/>
                <w:sz w:val="16"/>
                <w:szCs w:val="16"/>
              </w:rPr>
            </w:pPr>
          </w:p>
          <w:p w14:paraId="59188395" w14:textId="66BBFC2B" w:rsidR="00680A99" w:rsidRPr="009B546D" w:rsidRDefault="00680A99" w:rsidP="00F432B9">
            <w:pPr>
              <w:spacing w:after="0" w:line="240" w:lineRule="auto"/>
              <w:rPr>
                <w:rFonts w:cstheme="minorHAnsi"/>
                <w:bCs/>
                <w:sz w:val="16"/>
                <w:szCs w:val="16"/>
              </w:rPr>
            </w:pPr>
          </w:p>
          <w:tbl>
            <w:tblPr>
              <w:tblW w:w="6804" w:type="dxa"/>
              <w:tblCellMar>
                <w:left w:w="0" w:type="dxa"/>
                <w:right w:w="0" w:type="dxa"/>
              </w:tblCellMar>
              <w:tblLook w:val="0000" w:firstRow="0" w:lastRow="0" w:firstColumn="0" w:lastColumn="0" w:noHBand="0" w:noVBand="0"/>
            </w:tblPr>
            <w:tblGrid>
              <w:gridCol w:w="993"/>
              <w:gridCol w:w="1209"/>
              <w:gridCol w:w="1209"/>
              <w:gridCol w:w="1175"/>
              <w:gridCol w:w="1139"/>
              <w:gridCol w:w="1079"/>
            </w:tblGrid>
            <w:tr w:rsidR="00A425F2" w:rsidRPr="009B546D" w14:paraId="0B415EDE" w14:textId="77777777" w:rsidTr="00E42C6E">
              <w:trPr>
                <w:cantSplit/>
              </w:trPr>
              <w:tc>
                <w:tcPr>
                  <w:tcW w:w="993" w:type="dxa"/>
                </w:tcPr>
                <w:p w14:paraId="62BBD84C" w14:textId="77777777" w:rsidR="00A425F2" w:rsidRPr="009B546D" w:rsidRDefault="00A425F2" w:rsidP="00496B89">
                  <w:pPr>
                    <w:pStyle w:val="TableNormal1"/>
                    <w:ind w:left="57"/>
                    <w:rPr>
                      <w:rFonts w:asciiTheme="minorHAnsi" w:hAnsiTheme="minorHAnsi" w:cstheme="minorHAnsi"/>
                      <w:b/>
                      <w:sz w:val="16"/>
                      <w:szCs w:val="16"/>
                    </w:rPr>
                  </w:pPr>
                </w:p>
              </w:tc>
              <w:tc>
                <w:tcPr>
                  <w:tcW w:w="1209" w:type="dxa"/>
                  <w:vAlign w:val="center"/>
                </w:tcPr>
                <w:p w14:paraId="5B65BB5E" w14:textId="77777777" w:rsidR="00A425F2" w:rsidRPr="009B546D" w:rsidRDefault="00A425F2" w:rsidP="00F432B9">
                  <w:pPr>
                    <w:pStyle w:val="TableNormal1"/>
                    <w:ind w:left="57"/>
                    <w:jc w:val="center"/>
                    <w:rPr>
                      <w:rFonts w:asciiTheme="minorHAnsi" w:hAnsiTheme="minorHAnsi" w:cstheme="minorHAnsi"/>
                      <w:b/>
                      <w:sz w:val="16"/>
                      <w:szCs w:val="16"/>
                    </w:rPr>
                  </w:pPr>
                </w:p>
              </w:tc>
              <w:tc>
                <w:tcPr>
                  <w:tcW w:w="3523" w:type="dxa"/>
                  <w:gridSpan w:val="3"/>
                  <w:tcBorders>
                    <w:bottom w:val="single" w:sz="4" w:space="0" w:color="auto"/>
                  </w:tcBorders>
                  <w:vAlign w:val="center"/>
                </w:tcPr>
                <w:p w14:paraId="68D1E43B" w14:textId="77777777" w:rsidR="00A425F2" w:rsidRPr="009B546D" w:rsidRDefault="00A425F2" w:rsidP="00F432B9">
                  <w:pPr>
                    <w:pStyle w:val="TableNormal1"/>
                    <w:ind w:left="57"/>
                    <w:jc w:val="center"/>
                    <w:rPr>
                      <w:rFonts w:asciiTheme="minorHAnsi" w:hAnsiTheme="minorHAnsi" w:cstheme="minorHAnsi"/>
                      <w:b/>
                      <w:sz w:val="16"/>
                      <w:szCs w:val="16"/>
                    </w:rPr>
                  </w:pPr>
                  <w:r w:rsidRPr="009B546D">
                    <w:rPr>
                      <w:rFonts w:asciiTheme="minorHAnsi" w:hAnsiTheme="minorHAnsi" w:cstheme="minorHAnsi"/>
                      <w:b/>
                      <w:sz w:val="16"/>
                      <w:szCs w:val="16"/>
                    </w:rPr>
                    <w:t>Adjustments</w:t>
                  </w:r>
                </w:p>
              </w:tc>
              <w:tc>
                <w:tcPr>
                  <w:tcW w:w="1079" w:type="dxa"/>
                  <w:vAlign w:val="center"/>
                </w:tcPr>
                <w:p w14:paraId="572D9887" w14:textId="77777777" w:rsidR="00A425F2" w:rsidRPr="009B546D" w:rsidRDefault="00A425F2" w:rsidP="00F432B9">
                  <w:pPr>
                    <w:pStyle w:val="TableNormal1"/>
                    <w:ind w:left="57"/>
                    <w:jc w:val="center"/>
                    <w:rPr>
                      <w:rFonts w:asciiTheme="minorHAnsi" w:hAnsiTheme="minorHAnsi" w:cstheme="minorHAnsi"/>
                      <w:b/>
                      <w:sz w:val="16"/>
                      <w:szCs w:val="16"/>
                    </w:rPr>
                  </w:pPr>
                </w:p>
              </w:tc>
            </w:tr>
            <w:tr w:rsidR="00A425F2" w:rsidRPr="009B546D" w14:paraId="666C8E68" w14:textId="77777777" w:rsidTr="00D4158A">
              <w:trPr>
                <w:cantSplit/>
                <w:trHeight w:val="20"/>
              </w:trPr>
              <w:tc>
                <w:tcPr>
                  <w:tcW w:w="993" w:type="dxa"/>
                </w:tcPr>
                <w:p w14:paraId="65E12CBC" w14:textId="77777777" w:rsidR="00A425F2" w:rsidRPr="009B546D" w:rsidRDefault="00A425F2" w:rsidP="008D5802">
                  <w:pPr>
                    <w:pStyle w:val="TableNormal1"/>
                    <w:ind w:left="57"/>
                    <w:rPr>
                      <w:rFonts w:asciiTheme="minorHAnsi" w:hAnsiTheme="minorHAnsi" w:cstheme="minorHAnsi"/>
                      <w:b/>
                      <w:sz w:val="16"/>
                      <w:szCs w:val="16"/>
                    </w:rPr>
                  </w:pPr>
                </w:p>
              </w:tc>
              <w:tc>
                <w:tcPr>
                  <w:tcW w:w="1209" w:type="dxa"/>
                  <w:vAlign w:val="center"/>
                </w:tcPr>
                <w:p w14:paraId="0A7E0A15" w14:textId="77777777" w:rsidR="00A425F2" w:rsidRPr="009B546D" w:rsidRDefault="00A425F2" w:rsidP="008D5802">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The Company</w:t>
                  </w:r>
                </w:p>
                <w:p w14:paraId="20557CAE" w14:textId="77777777" w:rsidR="00A425F2" w:rsidRPr="009B546D" w:rsidRDefault="00A425F2" w:rsidP="008D5802">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as at</w:t>
                  </w:r>
                </w:p>
                <w:p w14:paraId="1E93751C" w14:textId="77777777" w:rsidR="00A425F2" w:rsidRPr="009B546D" w:rsidRDefault="00A425F2" w:rsidP="008D5802">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31 October 2019</w:t>
                  </w:r>
                </w:p>
                <w:p w14:paraId="0355D727" w14:textId="77777777" w:rsidR="00A84BB1" w:rsidRPr="009B546D" w:rsidRDefault="00A84BB1" w:rsidP="008D5802">
                  <w:pPr>
                    <w:pStyle w:val="TableNormal1"/>
                    <w:ind w:left="57"/>
                    <w:jc w:val="right"/>
                    <w:rPr>
                      <w:rFonts w:asciiTheme="minorHAnsi" w:hAnsiTheme="minorHAnsi" w:cstheme="minorHAnsi"/>
                      <w:b/>
                      <w:sz w:val="16"/>
                      <w:szCs w:val="16"/>
                    </w:rPr>
                  </w:pPr>
                </w:p>
                <w:p w14:paraId="5F776BC9" w14:textId="77777777" w:rsidR="00A84BB1" w:rsidRPr="009B546D" w:rsidRDefault="00A84BB1" w:rsidP="008D5802">
                  <w:pPr>
                    <w:pStyle w:val="TableNormal1"/>
                    <w:ind w:left="57"/>
                    <w:jc w:val="right"/>
                    <w:rPr>
                      <w:rFonts w:asciiTheme="minorHAnsi" w:hAnsiTheme="minorHAnsi" w:cstheme="minorHAnsi"/>
                      <w:b/>
                      <w:sz w:val="16"/>
                      <w:szCs w:val="16"/>
                    </w:rPr>
                  </w:pPr>
                </w:p>
                <w:p w14:paraId="0A9CE9C5" w14:textId="4B4B9D98" w:rsidR="00A84BB1" w:rsidRPr="009B546D" w:rsidRDefault="00A84BB1" w:rsidP="008D5802">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w:t>
                  </w:r>
                  <w:r w:rsidR="00B6557E">
                    <w:rPr>
                      <w:rFonts w:asciiTheme="minorHAnsi" w:hAnsiTheme="minorHAnsi" w:cstheme="minorHAnsi"/>
                      <w:b/>
                      <w:sz w:val="16"/>
                      <w:szCs w:val="16"/>
                    </w:rPr>
                    <w:t>N</w:t>
                  </w:r>
                  <w:r w:rsidRPr="009B546D">
                    <w:rPr>
                      <w:rFonts w:asciiTheme="minorHAnsi" w:hAnsiTheme="minorHAnsi" w:cstheme="minorHAnsi"/>
                      <w:b/>
                      <w:sz w:val="16"/>
                      <w:szCs w:val="16"/>
                    </w:rPr>
                    <w:t>ote 1)</w:t>
                  </w:r>
                </w:p>
              </w:tc>
              <w:tc>
                <w:tcPr>
                  <w:tcW w:w="1209" w:type="dxa"/>
                  <w:tcBorders>
                    <w:top w:val="single" w:sz="4" w:space="0" w:color="auto"/>
                  </w:tcBorders>
                  <w:vAlign w:val="center"/>
                </w:tcPr>
                <w:p w14:paraId="40C0D3C7" w14:textId="77777777" w:rsidR="00A425F2" w:rsidRPr="009B546D" w:rsidRDefault="00A425F2" w:rsidP="008D5802">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Alchemist Codes</w:t>
                  </w:r>
                </w:p>
                <w:p w14:paraId="40894F63" w14:textId="77777777" w:rsidR="00A425F2" w:rsidRPr="009B546D" w:rsidRDefault="00A425F2" w:rsidP="008D5802">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as at</w:t>
                  </w:r>
                </w:p>
                <w:p w14:paraId="2321E70F" w14:textId="5BDAF295" w:rsidR="00A425F2" w:rsidRPr="009B546D" w:rsidRDefault="00A84BB1" w:rsidP="008D5802">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31 October</w:t>
                  </w:r>
                  <w:r w:rsidR="00A425F2" w:rsidRPr="009B546D">
                    <w:rPr>
                      <w:rFonts w:asciiTheme="minorHAnsi" w:hAnsiTheme="minorHAnsi" w:cstheme="minorHAnsi"/>
                      <w:b/>
                      <w:sz w:val="16"/>
                      <w:szCs w:val="16"/>
                    </w:rPr>
                    <w:t xml:space="preserve"> 2019</w:t>
                  </w:r>
                </w:p>
                <w:p w14:paraId="3837B288" w14:textId="77777777" w:rsidR="00A84BB1" w:rsidRPr="009B546D" w:rsidRDefault="00A84BB1" w:rsidP="008D5802">
                  <w:pPr>
                    <w:pStyle w:val="TableNormal1"/>
                    <w:ind w:left="57"/>
                    <w:jc w:val="right"/>
                    <w:rPr>
                      <w:rFonts w:asciiTheme="minorHAnsi" w:hAnsiTheme="minorHAnsi" w:cstheme="minorHAnsi"/>
                      <w:b/>
                      <w:sz w:val="16"/>
                      <w:szCs w:val="16"/>
                    </w:rPr>
                  </w:pPr>
                </w:p>
                <w:p w14:paraId="1A37F042" w14:textId="77777777" w:rsidR="00B6557E" w:rsidRDefault="00B6557E" w:rsidP="008D5802">
                  <w:pPr>
                    <w:pStyle w:val="TableNormal1"/>
                    <w:ind w:left="57"/>
                    <w:jc w:val="right"/>
                    <w:rPr>
                      <w:rFonts w:asciiTheme="minorHAnsi" w:hAnsiTheme="minorHAnsi" w:cstheme="minorHAnsi"/>
                      <w:b/>
                      <w:sz w:val="16"/>
                      <w:szCs w:val="16"/>
                    </w:rPr>
                  </w:pPr>
                </w:p>
                <w:p w14:paraId="6EB7577D" w14:textId="2EE9A57D" w:rsidR="00A84BB1" w:rsidRPr="009B546D" w:rsidRDefault="00A84BB1" w:rsidP="008D5802">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w:t>
                  </w:r>
                  <w:r w:rsidR="00B6557E">
                    <w:rPr>
                      <w:rFonts w:asciiTheme="minorHAnsi" w:hAnsiTheme="minorHAnsi" w:cstheme="minorHAnsi"/>
                      <w:b/>
                      <w:sz w:val="16"/>
                      <w:szCs w:val="16"/>
                    </w:rPr>
                    <w:t>N</w:t>
                  </w:r>
                  <w:r w:rsidRPr="009B546D">
                    <w:rPr>
                      <w:rFonts w:asciiTheme="minorHAnsi" w:hAnsiTheme="minorHAnsi" w:cstheme="minorHAnsi"/>
                      <w:b/>
                      <w:sz w:val="16"/>
                      <w:szCs w:val="16"/>
                    </w:rPr>
                    <w:t>ote 2)</w:t>
                  </w:r>
                </w:p>
              </w:tc>
              <w:tc>
                <w:tcPr>
                  <w:tcW w:w="1175" w:type="dxa"/>
                  <w:tcBorders>
                    <w:top w:val="single" w:sz="4" w:space="0" w:color="auto"/>
                  </w:tcBorders>
                  <w:vAlign w:val="center"/>
                </w:tcPr>
                <w:p w14:paraId="02ECE3D1" w14:textId="77777777" w:rsidR="00A425F2" w:rsidRPr="009B546D" w:rsidRDefault="00A425F2" w:rsidP="008D5802">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Acquisition of Alchemist Codes</w:t>
                  </w:r>
                </w:p>
                <w:p w14:paraId="275442BC" w14:textId="77777777" w:rsidR="00A84BB1" w:rsidRPr="009B546D" w:rsidRDefault="00A84BB1" w:rsidP="008D5802">
                  <w:pPr>
                    <w:pStyle w:val="TableNormal1"/>
                    <w:ind w:left="57"/>
                    <w:jc w:val="right"/>
                    <w:rPr>
                      <w:rFonts w:asciiTheme="minorHAnsi" w:hAnsiTheme="minorHAnsi" w:cstheme="minorHAnsi"/>
                      <w:b/>
                      <w:sz w:val="16"/>
                      <w:szCs w:val="16"/>
                    </w:rPr>
                  </w:pPr>
                </w:p>
                <w:p w14:paraId="0541CC53" w14:textId="77777777" w:rsidR="00A84BB1" w:rsidRPr="009B546D" w:rsidRDefault="00A84BB1" w:rsidP="008D5802">
                  <w:pPr>
                    <w:pStyle w:val="TableNormal1"/>
                    <w:ind w:left="57"/>
                    <w:jc w:val="right"/>
                    <w:rPr>
                      <w:rFonts w:asciiTheme="minorHAnsi" w:hAnsiTheme="minorHAnsi" w:cstheme="minorHAnsi"/>
                      <w:b/>
                      <w:sz w:val="16"/>
                      <w:szCs w:val="16"/>
                    </w:rPr>
                  </w:pPr>
                </w:p>
                <w:p w14:paraId="3691FDD2" w14:textId="77777777" w:rsidR="00A84BB1" w:rsidRPr="009B546D" w:rsidRDefault="00A84BB1" w:rsidP="008D5802">
                  <w:pPr>
                    <w:pStyle w:val="TableNormal1"/>
                    <w:ind w:left="57"/>
                    <w:jc w:val="right"/>
                    <w:rPr>
                      <w:rFonts w:asciiTheme="minorHAnsi" w:hAnsiTheme="minorHAnsi" w:cstheme="minorHAnsi"/>
                      <w:b/>
                      <w:sz w:val="16"/>
                      <w:szCs w:val="16"/>
                    </w:rPr>
                  </w:pPr>
                </w:p>
                <w:p w14:paraId="0AA43E0A" w14:textId="547E7B02" w:rsidR="00A84BB1" w:rsidRPr="009B546D" w:rsidRDefault="00A84BB1" w:rsidP="008D5802">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w:t>
                  </w:r>
                  <w:r w:rsidR="00B6557E">
                    <w:rPr>
                      <w:rFonts w:asciiTheme="minorHAnsi" w:hAnsiTheme="minorHAnsi" w:cstheme="minorHAnsi"/>
                      <w:b/>
                      <w:sz w:val="16"/>
                      <w:szCs w:val="16"/>
                    </w:rPr>
                    <w:t>N</w:t>
                  </w:r>
                  <w:r w:rsidRPr="009B546D">
                    <w:rPr>
                      <w:rFonts w:asciiTheme="minorHAnsi" w:hAnsiTheme="minorHAnsi" w:cstheme="minorHAnsi"/>
                      <w:b/>
                      <w:sz w:val="16"/>
                      <w:szCs w:val="16"/>
                    </w:rPr>
                    <w:t>ote 3)</w:t>
                  </w:r>
                </w:p>
              </w:tc>
              <w:tc>
                <w:tcPr>
                  <w:tcW w:w="1139" w:type="dxa"/>
                  <w:tcBorders>
                    <w:top w:val="single" w:sz="4" w:space="0" w:color="auto"/>
                  </w:tcBorders>
                  <w:vAlign w:val="center"/>
                </w:tcPr>
                <w:p w14:paraId="243B13CD" w14:textId="77777777" w:rsidR="00A425F2" w:rsidRPr="009B546D" w:rsidRDefault="00A425F2" w:rsidP="008D5802">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Estimate of expenses</w:t>
                  </w:r>
                </w:p>
                <w:p w14:paraId="452DE09A" w14:textId="77777777" w:rsidR="00A84BB1" w:rsidRPr="009B546D" w:rsidRDefault="00A84BB1" w:rsidP="008D5802">
                  <w:pPr>
                    <w:pStyle w:val="TableNormal1"/>
                    <w:ind w:left="57"/>
                    <w:jc w:val="right"/>
                    <w:rPr>
                      <w:rFonts w:asciiTheme="minorHAnsi" w:hAnsiTheme="minorHAnsi" w:cstheme="minorHAnsi"/>
                      <w:b/>
                      <w:sz w:val="16"/>
                      <w:szCs w:val="16"/>
                    </w:rPr>
                  </w:pPr>
                </w:p>
                <w:p w14:paraId="7F92E433" w14:textId="77777777" w:rsidR="00A84BB1" w:rsidRPr="009B546D" w:rsidRDefault="00A84BB1" w:rsidP="008D5802">
                  <w:pPr>
                    <w:pStyle w:val="TableNormal1"/>
                    <w:ind w:left="57"/>
                    <w:jc w:val="right"/>
                    <w:rPr>
                      <w:rFonts w:asciiTheme="minorHAnsi" w:hAnsiTheme="minorHAnsi" w:cstheme="minorHAnsi"/>
                      <w:b/>
                      <w:sz w:val="16"/>
                      <w:szCs w:val="16"/>
                    </w:rPr>
                  </w:pPr>
                </w:p>
                <w:p w14:paraId="2FFBDC27" w14:textId="77777777" w:rsidR="00A84BB1" w:rsidRPr="009B546D" w:rsidRDefault="00A84BB1" w:rsidP="008D5802">
                  <w:pPr>
                    <w:pStyle w:val="TableNormal1"/>
                    <w:ind w:left="57"/>
                    <w:jc w:val="right"/>
                    <w:rPr>
                      <w:rFonts w:asciiTheme="minorHAnsi" w:hAnsiTheme="minorHAnsi" w:cstheme="minorHAnsi"/>
                      <w:b/>
                      <w:sz w:val="16"/>
                      <w:szCs w:val="16"/>
                    </w:rPr>
                  </w:pPr>
                </w:p>
                <w:p w14:paraId="59ECC133" w14:textId="1341EA53" w:rsidR="00A84BB1" w:rsidRPr="009B546D" w:rsidRDefault="00A84BB1" w:rsidP="008D5802">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w:t>
                  </w:r>
                  <w:r w:rsidR="00B6557E">
                    <w:rPr>
                      <w:rFonts w:asciiTheme="minorHAnsi" w:hAnsiTheme="minorHAnsi" w:cstheme="minorHAnsi"/>
                      <w:b/>
                      <w:sz w:val="16"/>
                      <w:szCs w:val="16"/>
                    </w:rPr>
                    <w:t>N</w:t>
                  </w:r>
                  <w:r w:rsidRPr="009B546D">
                    <w:rPr>
                      <w:rFonts w:asciiTheme="minorHAnsi" w:hAnsiTheme="minorHAnsi" w:cstheme="minorHAnsi"/>
                      <w:b/>
                      <w:sz w:val="16"/>
                      <w:szCs w:val="16"/>
                    </w:rPr>
                    <w:t>ote 4)</w:t>
                  </w:r>
                </w:p>
              </w:tc>
              <w:tc>
                <w:tcPr>
                  <w:tcW w:w="1079" w:type="dxa"/>
                  <w:vAlign w:val="center"/>
                </w:tcPr>
                <w:p w14:paraId="6ABCAAE0" w14:textId="77777777" w:rsidR="00A425F2" w:rsidRPr="009B546D" w:rsidRDefault="00A425F2" w:rsidP="008D5802">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Pro forma</w:t>
                  </w:r>
                </w:p>
                <w:p w14:paraId="62F43C0C" w14:textId="77777777" w:rsidR="00A425F2" w:rsidRPr="009B546D" w:rsidRDefault="00A425F2" w:rsidP="008D5802">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net assets</w:t>
                  </w:r>
                </w:p>
                <w:p w14:paraId="37764FA9" w14:textId="77777777" w:rsidR="00A425F2" w:rsidRPr="009B546D" w:rsidRDefault="00A425F2" w:rsidP="008D5802">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of the Enlarged Group</w:t>
                  </w:r>
                </w:p>
                <w:p w14:paraId="0068153F" w14:textId="77777777" w:rsidR="00A84BB1" w:rsidRPr="009B546D" w:rsidRDefault="00A84BB1" w:rsidP="008D5802">
                  <w:pPr>
                    <w:pStyle w:val="TableNormal1"/>
                    <w:ind w:left="57"/>
                    <w:jc w:val="right"/>
                    <w:rPr>
                      <w:rFonts w:asciiTheme="minorHAnsi" w:hAnsiTheme="minorHAnsi" w:cstheme="minorHAnsi"/>
                      <w:b/>
                      <w:sz w:val="16"/>
                      <w:szCs w:val="16"/>
                    </w:rPr>
                  </w:pPr>
                </w:p>
                <w:p w14:paraId="4EB08F0C" w14:textId="493B3B8B" w:rsidR="00A84BB1" w:rsidRPr="009B546D" w:rsidRDefault="00A84BB1" w:rsidP="008D5802">
                  <w:pPr>
                    <w:pStyle w:val="TableNormal1"/>
                    <w:ind w:left="57"/>
                    <w:jc w:val="right"/>
                    <w:rPr>
                      <w:rFonts w:asciiTheme="minorHAnsi" w:hAnsiTheme="minorHAnsi" w:cstheme="minorHAnsi"/>
                      <w:b/>
                      <w:sz w:val="16"/>
                      <w:szCs w:val="16"/>
                    </w:rPr>
                  </w:pPr>
                </w:p>
              </w:tc>
            </w:tr>
            <w:tr w:rsidR="00A425F2" w:rsidRPr="009B546D" w14:paraId="7081A326" w14:textId="77777777" w:rsidTr="00D4158A">
              <w:trPr>
                <w:cantSplit/>
                <w:trHeight w:val="20"/>
              </w:trPr>
              <w:tc>
                <w:tcPr>
                  <w:tcW w:w="993" w:type="dxa"/>
                </w:tcPr>
                <w:p w14:paraId="7D7A2597" w14:textId="77777777" w:rsidR="00A425F2" w:rsidRPr="009B546D" w:rsidRDefault="00A425F2" w:rsidP="008D5802">
                  <w:pPr>
                    <w:pStyle w:val="TableNormal1"/>
                    <w:ind w:left="57"/>
                    <w:rPr>
                      <w:rFonts w:asciiTheme="minorHAnsi" w:hAnsiTheme="minorHAnsi" w:cstheme="minorHAnsi"/>
                      <w:b/>
                      <w:sz w:val="16"/>
                      <w:szCs w:val="16"/>
                    </w:rPr>
                  </w:pPr>
                </w:p>
                <w:p w14:paraId="52010625" w14:textId="77777777" w:rsidR="00A425F2" w:rsidRPr="009B546D" w:rsidRDefault="00A425F2" w:rsidP="008D5802">
                  <w:pPr>
                    <w:pStyle w:val="TableNormal1"/>
                    <w:ind w:left="57"/>
                    <w:rPr>
                      <w:rFonts w:asciiTheme="minorHAnsi" w:hAnsiTheme="minorHAnsi" w:cstheme="minorHAnsi"/>
                      <w:b/>
                      <w:sz w:val="16"/>
                      <w:szCs w:val="16"/>
                    </w:rPr>
                  </w:pPr>
                </w:p>
              </w:tc>
              <w:tc>
                <w:tcPr>
                  <w:tcW w:w="1209" w:type="dxa"/>
                </w:tcPr>
                <w:p w14:paraId="0C558FB0" w14:textId="77777777" w:rsidR="00A425F2" w:rsidRPr="009B546D" w:rsidRDefault="00A425F2" w:rsidP="008D5802">
                  <w:pPr>
                    <w:pStyle w:val="TableNormal1"/>
                    <w:jc w:val="right"/>
                    <w:rPr>
                      <w:rFonts w:asciiTheme="minorHAnsi" w:hAnsiTheme="minorHAnsi" w:cstheme="minorHAnsi"/>
                      <w:b/>
                      <w:sz w:val="16"/>
                      <w:szCs w:val="16"/>
                    </w:rPr>
                  </w:pPr>
                  <w:r w:rsidRPr="009B546D">
                    <w:rPr>
                      <w:rFonts w:asciiTheme="minorHAnsi" w:hAnsiTheme="minorHAnsi" w:cstheme="minorHAnsi"/>
                      <w:b/>
                      <w:sz w:val="16"/>
                      <w:szCs w:val="16"/>
                    </w:rPr>
                    <w:t>£’000</w:t>
                  </w:r>
                </w:p>
              </w:tc>
              <w:tc>
                <w:tcPr>
                  <w:tcW w:w="1209" w:type="dxa"/>
                </w:tcPr>
                <w:p w14:paraId="49760909" w14:textId="77777777" w:rsidR="00A425F2" w:rsidRPr="009B546D" w:rsidRDefault="00A425F2" w:rsidP="008D5802">
                  <w:pPr>
                    <w:pStyle w:val="TableNormal1"/>
                    <w:jc w:val="right"/>
                    <w:rPr>
                      <w:rFonts w:asciiTheme="minorHAnsi" w:hAnsiTheme="minorHAnsi" w:cstheme="minorHAnsi"/>
                      <w:b/>
                      <w:sz w:val="16"/>
                      <w:szCs w:val="16"/>
                    </w:rPr>
                  </w:pPr>
                  <w:r w:rsidRPr="009B546D">
                    <w:rPr>
                      <w:rFonts w:asciiTheme="minorHAnsi" w:hAnsiTheme="minorHAnsi" w:cstheme="minorHAnsi"/>
                      <w:b/>
                      <w:sz w:val="16"/>
                      <w:szCs w:val="16"/>
                    </w:rPr>
                    <w:t>£’000</w:t>
                  </w:r>
                </w:p>
              </w:tc>
              <w:tc>
                <w:tcPr>
                  <w:tcW w:w="1175" w:type="dxa"/>
                </w:tcPr>
                <w:p w14:paraId="50457DA7" w14:textId="77777777" w:rsidR="00A425F2" w:rsidRPr="009B546D" w:rsidRDefault="00A425F2" w:rsidP="008D5802">
                  <w:pPr>
                    <w:pStyle w:val="TableNormal1"/>
                    <w:jc w:val="right"/>
                    <w:rPr>
                      <w:rFonts w:asciiTheme="minorHAnsi" w:hAnsiTheme="minorHAnsi" w:cstheme="minorHAnsi"/>
                      <w:b/>
                      <w:sz w:val="16"/>
                      <w:szCs w:val="16"/>
                    </w:rPr>
                  </w:pPr>
                  <w:r w:rsidRPr="009B546D">
                    <w:rPr>
                      <w:rFonts w:asciiTheme="minorHAnsi" w:hAnsiTheme="minorHAnsi" w:cstheme="minorHAnsi"/>
                      <w:b/>
                      <w:sz w:val="16"/>
                      <w:szCs w:val="16"/>
                    </w:rPr>
                    <w:t>£’000</w:t>
                  </w:r>
                </w:p>
              </w:tc>
              <w:tc>
                <w:tcPr>
                  <w:tcW w:w="1139" w:type="dxa"/>
                </w:tcPr>
                <w:p w14:paraId="14F25247" w14:textId="77777777" w:rsidR="00A425F2" w:rsidRPr="009B546D" w:rsidRDefault="00A425F2" w:rsidP="008D5802">
                  <w:pPr>
                    <w:pStyle w:val="TableNormal1"/>
                    <w:jc w:val="right"/>
                    <w:rPr>
                      <w:rFonts w:asciiTheme="minorHAnsi" w:hAnsiTheme="minorHAnsi" w:cstheme="minorHAnsi"/>
                      <w:b/>
                      <w:sz w:val="16"/>
                      <w:szCs w:val="16"/>
                    </w:rPr>
                  </w:pPr>
                  <w:r w:rsidRPr="009B546D">
                    <w:rPr>
                      <w:rFonts w:asciiTheme="minorHAnsi" w:hAnsiTheme="minorHAnsi" w:cstheme="minorHAnsi"/>
                      <w:b/>
                      <w:sz w:val="16"/>
                      <w:szCs w:val="16"/>
                    </w:rPr>
                    <w:t>£’000</w:t>
                  </w:r>
                </w:p>
              </w:tc>
              <w:tc>
                <w:tcPr>
                  <w:tcW w:w="1079" w:type="dxa"/>
                </w:tcPr>
                <w:p w14:paraId="2F4B22C5" w14:textId="77777777" w:rsidR="00A425F2" w:rsidRPr="009B546D" w:rsidRDefault="00A425F2" w:rsidP="008D5802">
                  <w:pPr>
                    <w:pStyle w:val="TableNormal1"/>
                    <w:jc w:val="right"/>
                    <w:rPr>
                      <w:rFonts w:asciiTheme="minorHAnsi" w:hAnsiTheme="minorHAnsi" w:cstheme="minorHAnsi"/>
                      <w:b/>
                      <w:sz w:val="16"/>
                      <w:szCs w:val="16"/>
                    </w:rPr>
                  </w:pPr>
                  <w:r w:rsidRPr="009B546D">
                    <w:rPr>
                      <w:rFonts w:asciiTheme="minorHAnsi" w:hAnsiTheme="minorHAnsi" w:cstheme="minorHAnsi"/>
                      <w:b/>
                      <w:sz w:val="16"/>
                      <w:szCs w:val="16"/>
                    </w:rPr>
                    <w:t>£’000</w:t>
                  </w:r>
                </w:p>
              </w:tc>
            </w:tr>
            <w:tr w:rsidR="00A425F2" w:rsidRPr="009B546D" w14:paraId="2C021FAF" w14:textId="77777777" w:rsidTr="00D4158A">
              <w:trPr>
                <w:cantSplit/>
                <w:trHeight w:val="20"/>
              </w:trPr>
              <w:tc>
                <w:tcPr>
                  <w:tcW w:w="993" w:type="dxa"/>
                </w:tcPr>
                <w:p w14:paraId="385CE2DD" w14:textId="77777777" w:rsidR="00A425F2" w:rsidRPr="009B546D" w:rsidRDefault="00A425F2" w:rsidP="008D5802">
                  <w:pPr>
                    <w:pStyle w:val="TableNormal1"/>
                    <w:ind w:left="57"/>
                    <w:rPr>
                      <w:rFonts w:asciiTheme="minorHAnsi" w:hAnsiTheme="minorHAnsi" w:cstheme="minorHAnsi"/>
                      <w:b/>
                      <w:sz w:val="16"/>
                      <w:szCs w:val="16"/>
                    </w:rPr>
                  </w:pPr>
                  <w:r w:rsidRPr="009B546D">
                    <w:rPr>
                      <w:rFonts w:asciiTheme="minorHAnsi" w:hAnsiTheme="minorHAnsi" w:cstheme="minorHAnsi"/>
                      <w:b/>
                      <w:sz w:val="16"/>
                      <w:szCs w:val="16"/>
                    </w:rPr>
                    <w:t>Assets</w:t>
                  </w:r>
                </w:p>
              </w:tc>
              <w:tc>
                <w:tcPr>
                  <w:tcW w:w="1209" w:type="dxa"/>
                </w:tcPr>
                <w:p w14:paraId="5E780E14" w14:textId="77777777" w:rsidR="00A425F2" w:rsidRPr="009B546D" w:rsidRDefault="00A425F2" w:rsidP="008D5802">
                  <w:pPr>
                    <w:pStyle w:val="TableNormal1"/>
                    <w:tabs>
                      <w:tab w:val="decimal" w:pos="1134"/>
                    </w:tabs>
                    <w:rPr>
                      <w:rFonts w:asciiTheme="minorHAnsi" w:hAnsiTheme="minorHAnsi" w:cstheme="minorHAnsi"/>
                      <w:sz w:val="16"/>
                      <w:szCs w:val="16"/>
                    </w:rPr>
                  </w:pPr>
                </w:p>
              </w:tc>
              <w:tc>
                <w:tcPr>
                  <w:tcW w:w="1209" w:type="dxa"/>
                </w:tcPr>
                <w:p w14:paraId="3EC0EE48" w14:textId="77777777" w:rsidR="00A425F2" w:rsidRPr="009B546D" w:rsidRDefault="00A425F2" w:rsidP="008D5802">
                  <w:pPr>
                    <w:pStyle w:val="TableNormal1"/>
                    <w:tabs>
                      <w:tab w:val="decimal" w:pos="992"/>
                    </w:tabs>
                    <w:rPr>
                      <w:rFonts w:asciiTheme="minorHAnsi" w:hAnsiTheme="minorHAnsi" w:cstheme="minorHAnsi"/>
                      <w:sz w:val="16"/>
                      <w:szCs w:val="16"/>
                    </w:rPr>
                  </w:pPr>
                </w:p>
              </w:tc>
              <w:tc>
                <w:tcPr>
                  <w:tcW w:w="1175" w:type="dxa"/>
                </w:tcPr>
                <w:p w14:paraId="0A8211E8" w14:textId="77777777" w:rsidR="00A425F2" w:rsidRPr="009B546D" w:rsidRDefault="00A425F2" w:rsidP="008D5802">
                  <w:pPr>
                    <w:pStyle w:val="TableNormal1"/>
                    <w:tabs>
                      <w:tab w:val="decimal" w:pos="993"/>
                    </w:tabs>
                    <w:rPr>
                      <w:rFonts w:asciiTheme="minorHAnsi" w:hAnsiTheme="minorHAnsi" w:cstheme="minorHAnsi"/>
                      <w:sz w:val="16"/>
                      <w:szCs w:val="16"/>
                    </w:rPr>
                  </w:pPr>
                </w:p>
              </w:tc>
              <w:tc>
                <w:tcPr>
                  <w:tcW w:w="1139" w:type="dxa"/>
                </w:tcPr>
                <w:p w14:paraId="3AF5AB47" w14:textId="77777777" w:rsidR="00A425F2" w:rsidRPr="009B546D" w:rsidRDefault="00A425F2" w:rsidP="008D5802">
                  <w:pPr>
                    <w:pStyle w:val="TableNormal1"/>
                    <w:tabs>
                      <w:tab w:val="decimal" w:pos="992"/>
                    </w:tabs>
                    <w:rPr>
                      <w:rFonts w:asciiTheme="minorHAnsi" w:hAnsiTheme="minorHAnsi" w:cstheme="minorHAnsi"/>
                      <w:sz w:val="16"/>
                      <w:szCs w:val="16"/>
                    </w:rPr>
                  </w:pPr>
                </w:p>
              </w:tc>
              <w:tc>
                <w:tcPr>
                  <w:tcW w:w="1079" w:type="dxa"/>
                </w:tcPr>
                <w:p w14:paraId="7DB88CE5" w14:textId="77777777" w:rsidR="00A425F2" w:rsidRPr="009B546D" w:rsidRDefault="00A425F2" w:rsidP="008D5802">
                  <w:pPr>
                    <w:pStyle w:val="TableNormal1"/>
                    <w:tabs>
                      <w:tab w:val="decimal" w:pos="992"/>
                    </w:tabs>
                    <w:rPr>
                      <w:rFonts w:asciiTheme="minorHAnsi" w:hAnsiTheme="minorHAnsi" w:cstheme="minorHAnsi"/>
                      <w:sz w:val="16"/>
                      <w:szCs w:val="16"/>
                    </w:rPr>
                  </w:pPr>
                </w:p>
              </w:tc>
            </w:tr>
            <w:tr w:rsidR="00A425F2" w:rsidRPr="009B546D" w14:paraId="17DC7146" w14:textId="77777777" w:rsidTr="00D4158A">
              <w:trPr>
                <w:cantSplit/>
                <w:trHeight w:val="20"/>
              </w:trPr>
              <w:tc>
                <w:tcPr>
                  <w:tcW w:w="993" w:type="dxa"/>
                </w:tcPr>
                <w:p w14:paraId="68864507" w14:textId="77777777" w:rsidR="00A425F2" w:rsidRPr="009B546D" w:rsidRDefault="00A425F2" w:rsidP="008D5802">
                  <w:pPr>
                    <w:pStyle w:val="TableNormal1"/>
                    <w:ind w:left="57"/>
                    <w:rPr>
                      <w:rFonts w:asciiTheme="minorHAnsi" w:hAnsiTheme="minorHAnsi" w:cstheme="minorHAnsi"/>
                      <w:b/>
                      <w:sz w:val="16"/>
                      <w:szCs w:val="16"/>
                    </w:rPr>
                  </w:pPr>
                </w:p>
              </w:tc>
              <w:tc>
                <w:tcPr>
                  <w:tcW w:w="1209" w:type="dxa"/>
                </w:tcPr>
                <w:p w14:paraId="02131030" w14:textId="77777777" w:rsidR="00A425F2" w:rsidRPr="009B546D" w:rsidRDefault="00A425F2" w:rsidP="008D5802">
                  <w:pPr>
                    <w:pStyle w:val="TableNormal1"/>
                    <w:tabs>
                      <w:tab w:val="decimal" w:pos="1134"/>
                    </w:tabs>
                    <w:rPr>
                      <w:rFonts w:asciiTheme="minorHAnsi" w:hAnsiTheme="minorHAnsi" w:cstheme="minorHAnsi"/>
                      <w:sz w:val="16"/>
                      <w:szCs w:val="16"/>
                    </w:rPr>
                  </w:pPr>
                </w:p>
              </w:tc>
              <w:tc>
                <w:tcPr>
                  <w:tcW w:w="1209" w:type="dxa"/>
                </w:tcPr>
                <w:p w14:paraId="3060B178" w14:textId="77777777" w:rsidR="00A425F2" w:rsidRPr="009B546D" w:rsidRDefault="00A425F2" w:rsidP="008D5802">
                  <w:pPr>
                    <w:pStyle w:val="TableNormal1"/>
                    <w:tabs>
                      <w:tab w:val="decimal" w:pos="992"/>
                    </w:tabs>
                    <w:rPr>
                      <w:rFonts w:asciiTheme="minorHAnsi" w:hAnsiTheme="minorHAnsi" w:cstheme="minorHAnsi"/>
                      <w:sz w:val="16"/>
                      <w:szCs w:val="16"/>
                    </w:rPr>
                  </w:pPr>
                </w:p>
              </w:tc>
              <w:tc>
                <w:tcPr>
                  <w:tcW w:w="1175" w:type="dxa"/>
                </w:tcPr>
                <w:p w14:paraId="08850CA2" w14:textId="77777777" w:rsidR="00A425F2" w:rsidRPr="009B546D" w:rsidRDefault="00A425F2" w:rsidP="008D5802">
                  <w:pPr>
                    <w:pStyle w:val="TableNormal1"/>
                    <w:tabs>
                      <w:tab w:val="decimal" w:pos="993"/>
                    </w:tabs>
                    <w:rPr>
                      <w:rFonts w:asciiTheme="minorHAnsi" w:hAnsiTheme="minorHAnsi" w:cstheme="minorHAnsi"/>
                      <w:sz w:val="16"/>
                      <w:szCs w:val="16"/>
                    </w:rPr>
                  </w:pPr>
                </w:p>
              </w:tc>
              <w:tc>
                <w:tcPr>
                  <w:tcW w:w="1139" w:type="dxa"/>
                </w:tcPr>
                <w:p w14:paraId="73426AA1" w14:textId="77777777" w:rsidR="00A425F2" w:rsidRPr="009B546D" w:rsidRDefault="00A425F2" w:rsidP="008D5802">
                  <w:pPr>
                    <w:pStyle w:val="TableNormal1"/>
                    <w:tabs>
                      <w:tab w:val="decimal" w:pos="992"/>
                    </w:tabs>
                    <w:rPr>
                      <w:rFonts w:asciiTheme="minorHAnsi" w:hAnsiTheme="minorHAnsi" w:cstheme="minorHAnsi"/>
                      <w:sz w:val="16"/>
                      <w:szCs w:val="16"/>
                    </w:rPr>
                  </w:pPr>
                </w:p>
              </w:tc>
              <w:tc>
                <w:tcPr>
                  <w:tcW w:w="1079" w:type="dxa"/>
                </w:tcPr>
                <w:p w14:paraId="5601A324" w14:textId="77777777" w:rsidR="00A425F2" w:rsidRPr="009B546D" w:rsidRDefault="00A425F2" w:rsidP="008D5802">
                  <w:pPr>
                    <w:pStyle w:val="TableNormal1"/>
                    <w:tabs>
                      <w:tab w:val="decimal" w:pos="992"/>
                    </w:tabs>
                    <w:rPr>
                      <w:rFonts w:asciiTheme="minorHAnsi" w:hAnsiTheme="minorHAnsi" w:cstheme="minorHAnsi"/>
                      <w:sz w:val="16"/>
                      <w:szCs w:val="16"/>
                    </w:rPr>
                  </w:pPr>
                </w:p>
              </w:tc>
            </w:tr>
            <w:tr w:rsidR="00A425F2" w:rsidRPr="009B546D" w14:paraId="254E0879" w14:textId="77777777" w:rsidTr="00D4158A">
              <w:trPr>
                <w:cantSplit/>
                <w:trHeight w:val="20"/>
              </w:trPr>
              <w:tc>
                <w:tcPr>
                  <w:tcW w:w="993" w:type="dxa"/>
                </w:tcPr>
                <w:p w14:paraId="7EF2520F" w14:textId="77777777" w:rsidR="00A425F2" w:rsidRPr="009B546D" w:rsidRDefault="00A425F2" w:rsidP="008D5802">
                  <w:pPr>
                    <w:pStyle w:val="TableNormal1"/>
                    <w:ind w:left="57"/>
                    <w:rPr>
                      <w:rFonts w:asciiTheme="minorHAnsi" w:hAnsiTheme="minorHAnsi" w:cstheme="minorHAnsi"/>
                      <w:b/>
                      <w:sz w:val="16"/>
                      <w:szCs w:val="16"/>
                    </w:rPr>
                  </w:pPr>
                  <w:r w:rsidRPr="009B546D">
                    <w:rPr>
                      <w:rFonts w:asciiTheme="minorHAnsi" w:hAnsiTheme="minorHAnsi" w:cstheme="minorHAnsi"/>
                      <w:b/>
                      <w:sz w:val="16"/>
                      <w:szCs w:val="16"/>
                    </w:rPr>
                    <w:t>Non-current assets</w:t>
                  </w:r>
                </w:p>
              </w:tc>
              <w:tc>
                <w:tcPr>
                  <w:tcW w:w="1209" w:type="dxa"/>
                  <w:vAlign w:val="center"/>
                </w:tcPr>
                <w:p w14:paraId="3142FC2A" w14:textId="77777777" w:rsidR="00A425F2" w:rsidRPr="009B546D" w:rsidRDefault="00A425F2" w:rsidP="008D5802">
                  <w:pPr>
                    <w:pStyle w:val="TableNormal1"/>
                    <w:tabs>
                      <w:tab w:val="decimal" w:pos="1134"/>
                    </w:tabs>
                    <w:jc w:val="right"/>
                    <w:rPr>
                      <w:rFonts w:asciiTheme="minorHAnsi" w:hAnsiTheme="minorHAnsi" w:cstheme="minorHAnsi"/>
                      <w:sz w:val="16"/>
                      <w:szCs w:val="16"/>
                    </w:rPr>
                  </w:pPr>
                </w:p>
              </w:tc>
              <w:tc>
                <w:tcPr>
                  <w:tcW w:w="1209" w:type="dxa"/>
                  <w:vAlign w:val="center"/>
                </w:tcPr>
                <w:p w14:paraId="71D0B4B1"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p>
              </w:tc>
              <w:tc>
                <w:tcPr>
                  <w:tcW w:w="1175" w:type="dxa"/>
                  <w:vAlign w:val="center"/>
                </w:tcPr>
                <w:p w14:paraId="6EB0D78B"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p>
              </w:tc>
              <w:tc>
                <w:tcPr>
                  <w:tcW w:w="1139" w:type="dxa"/>
                  <w:vAlign w:val="center"/>
                </w:tcPr>
                <w:p w14:paraId="1149E968"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p>
              </w:tc>
              <w:tc>
                <w:tcPr>
                  <w:tcW w:w="1079" w:type="dxa"/>
                  <w:vAlign w:val="center"/>
                </w:tcPr>
                <w:p w14:paraId="5B8C02A3"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p>
              </w:tc>
            </w:tr>
            <w:tr w:rsidR="00A425F2" w:rsidRPr="009B546D" w14:paraId="4B05D39B" w14:textId="77777777" w:rsidTr="00D4158A">
              <w:trPr>
                <w:cantSplit/>
                <w:trHeight w:val="20"/>
              </w:trPr>
              <w:tc>
                <w:tcPr>
                  <w:tcW w:w="993" w:type="dxa"/>
                </w:tcPr>
                <w:p w14:paraId="3DA7DAF4" w14:textId="77777777" w:rsidR="00A425F2" w:rsidRPr="009B546D" w:rsidRDefault="00A425F2" w:rsidP="008D5802">
                  <w:pPr>
                    <w:pStyle w:val="TableNormal1"/>
                    <w:ind w:left="57"/>
                    <w:rPr>
                      <w:rFonts w:asciiTheme="minorHAnsi" w:hAnsiTheme="minorHAnsi" w:cstheme="minorHAnsi"/>
                      <w:sz w:val="16"/>
                      <w:szCs w:val="16"/>
                    </w:rPr>
                  </w:pPr>
                  <w:r w:rsidRPr="009B546D">
                    <w:rPr>
                      <w:rFonts w:asciiTheme="minorHAnsi" w:hAnsiTheme="minorHAnsi" w:cstheme="minorHAnsi"/>
                      <w:sz w:val="16"/>
                      <w:szCs w:val="16"/>
                    </w:rPr>
                    <w:t>Plant and equipment</w:t>
                  </w:r>
                </w:p>
              </w:tc>
              <w:tc>
                <w:tcPr>
                  <w:tcW w:w="1209" w:type="dxa"/>
                  <w:vAlign w:val="center"/>
                </w:tcPr>
                <w:p w14:paraId="6B87AA0A" w14:textId="1458FFF0"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209" w:type="dxa"/>
                  <w:vAlign w:val="center"/>
                </w:tcPr>
                <w:p w14:paraId="4E9334F2" w14:textId="7999187D" w:rsidR="00A425F2" w:rsidRPr="009B546D" w:rsidRDefault="00CA507B"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15</w:t>
                  </w:r>
                </w:p>
              </w:tc>
              <w:tc>
                <w:tcPr>
                  <w:tcW w:w="1175" w:type="dxa"/>
                  <w:vAlign w:val="center"/>
                </w:tcPr>
                <w:p w14:paraId="006316BD"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39" w:type="dxa"/>
                  <w:vAlign w:val="center"/>
                </w:tcPr>
                <w:p w14:paraId="746BF692"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079" w:type="dxa"/>
                  <w:vAlign w:val="center"/>
                </w:tcPr>
                <w:p w14:paraId="6CDF3BCB" w14:textId="13AF5BE8" w:rsidR="00A425F2" w:rsidRPr="009B546D" w:rsidRDefault="00F313B4"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 xml:space="preserve">15 </w:t>
                  </w:r>
                </w:p>
              </w:tc>
            </w:tr>
            <w:tr w:rsidR="00A425F2" w:rsidRPr="009B546D" w14:paraId="76DCFE4E" w14:textId="77777777" w:rsidTr="00D4158A">
              <w:trPr>
                <w:cantSplit/>
                <w:trHeight w:val="20"/>
              </w:trPr>
              <w:tc>
                <w:tcPr>
                  <w:tcW w:w="993" w:type="dxa"/>
                </w:tcPr>
                <w:p w14:paraId="3993BAB3" w14:textId="77777777" w:rsidR="00A425F2" w:rsidRPr="009B546D" w:rsidRDefault="00A425F2" w:rsidP="008D5802">
                  <w:pPr>
                    <w:pStyle w:val="TableNormal1"/>
                    <w:ind w:left="57"/>
                    <w:rPr>
                      <w:rFonts w:asciiTheme="minorHAnsi" w:hAnsiTheme="minorHAnsi" w:cstheme="minorHAnsi"/>
                      <w:sz w:val="16"/>
                      <w:szCs w:val="16"/>
                    </w:rPr>
                  </w:pPr>
                  <w:r w:rsidRPr="009B546D">
                    <w:rPr>
                      <w:rFonts w:asciiTheme="minorHAnsi" w:hAnsiTheme="minorHAnsi" w:cstheme="minorHAnsi"/>
                      <w:sz w:val="16"/>
                      <w:szCs w:val="16"/>
                    </w:rPr>
                    <w:t>Intangible assets</w:t>
                  </w:r>
                </w:p>
              </w:tc>
              <w:tc>
                <w:tcPr>
                  <w:tcW w:w="1209" w:type="dxa"/>
                  <w:vAlign w:val="center"/>
                </w:tcPr>
                <w:p w14:paraId="736E3340" w14:textId="59EE0FF5"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209" w:type="dxa"/>
                  <w:vAlign w:val="center"/>
                </w:tcPr>
                <w:p w14:paraId="65B1105D" w14:textId="496584BC" w:rsidR="00A425F2" w:rsidRPr="009B546D" w:rsidRDefault="00CA507B"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42</w:t>
                  </w:r>
                </w:p>
              </w:tc>
              <w:tc>
                <w:tcPr>
                  <w:tcW w:w="1175" w:type="dxa"/>
                  <w:vAlign w:val="center"/>
                </w:tcPr>
                <w:p w14:paraId="54CDB233" w14:textId="56A20124" w:rsidR="00A425F2" w:rsidRPr="009B546D" w:rsidRDefault="00A84BB1" w:rsidP="008D5802">
                  <w:pPr>
                    <w:pStyle w:val="TableNormal1"/>
                    <w:tabs>
                      <w:tab w:val="decimal" w:pos="993"/>
                    </w:tabs>
                    <w:jc w:val="right"/>
                    <w:rPr>
                      <w:rFonts w:asciiTheme="minorHAnsi" w:hAnsiTheme="minorHAnsi" w:cstheme="minorHAnsi"/>
                      <w:sz w:val="16"/>
                      <w:szCs w:val="16"/>
                    </w:rPr>
                  </w:pPr>
                  <w:r w:rsidRPr="009B546D">
                    <w:rPr>
                      <w:rFonts w:asciiTheme="minorHAnsi" w:hAnsiTheme="minorHAnsi" w:cstheme="minorHAnsi"/>
                      <w:sz w:val="16"/>
                      <w:szCs w:val="16"/>
                    </w:rPr>
                    <w:t>2,</w:t>
                  </w:r>
                  <w:r w:rsidR="00F313B4" w:rsidRPr="009B546D">
                    <w:rPr>
                      <w:rFonts w:asciiTheme="minorHAnsi" w:hAnsiTheme="minorHAnsi" w:cstheme="minorHAnsi"/>
                      <w:sz w:val="16"/>
                      <w:szCs w:val="16"/>
                    </w:rPr>
                    <w:t>142</w:t>
                  </w:r>
                </w:p>
              </w:tc>
              <w:tc>
                <w:tcPr>
                  <w:tcW w:w="1139" w:type="dxa"/>
                  <w:vAlign w:val="center"/>
                </w:tcPr>
                <w:p w14:paraId="723A3660"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079" w:type="dxa"/>
                  <w:vAlign w:val="center"/>
                </w:tcPr>
                <w:p w14:paraId="3E44F7A3" w14:textId="0D1DF631" w:rsidR="00A425F2" w:rsidRPr="009B546D" w:rsidRDefault="00F313B4"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2,184</w:t>
                  </w:r>
                  <w:r w:rsidR="00A425F2" w:rsidRPr="009B546D">
                    <w:rPr>
                      <w:rFonts w:asciiTheme="minorHAnsi" w:hAnsiTheme="minorHAnsi" w:cstheme="minorHAnsi"/>
                      <w:sz w:val="16"/>
                      <w:szCs w:val="16"/>
                    </w:rPr>
                    <w:t xml:space="preserve"> </w:t>
                  </w:r>
                </w:p>
              </w:tc>
            </w:tr>
            <w:tr w:rsidR="00A425F2" w:rsidRPr="009B546D" w14:paraId="69A3E466" w14:textId="77777777" w:rsidTr="00D4158A">
              <w:trPr>
                <w:cantSplit/>
                <w:trHeight w:val="20"/>
              </w:trPr>
              <w:tc>
                <w:tcPr>
                  <w:tcW w:w="993" w:type="dxa"/>
                </w:tcPr>
                <w:p w14:paraId="1714EB3A" w14:textId="77777777" w:rsidR="00A425F2" w:rsidRPr="009B546D" w:rsidRDefault="00A425F2" w:rsidP="008D5802">
                  <w:pPr>
                    <w:pStyle w:val="TableNormal1"/>
                    <w:ind w:left="57"/>
                    <w:rPr>
                      <w:rFonts w:asciiTheme="minorHAnsi" w:hAnsiTheme="minorHAnsi" w:cstheme="minorHAnsi"/>
                      <w:sz w:val="16"/>
                      <w:szCs w:val="16"/>
                    </w:rPr>
                  </w:pPr>
                </w:p>
              </w:tc>
              <w:tc>
                <w:tcPr>
                  <w:tcW w:w="1209" w:type="dxa"/>
                  <w:vAlign w:val="center"/>
                </w:tcPr>
                <w:p w14:paraId="1890D156" w14:textId="77777777" w:rsidR="00A425F2" w:rsidRPr="009B546D" w:rsidRDefault="00A425F2" w:rsidP="008D5802">
                  <w:pPr>
                    <w:pStyle w:val="TableNormal1"/>
                    <w:tabs>
                      <w:tab w:val="decimal" w:pos="1134"/>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209" w:type="dxa"/>
                  <w:vAlign w:val="center"/>
                </w:tcPr>
                <w:p w14:paraId="06BB8BBD"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75" w:type="dxa"/>
                  <w:vAlign w:val="center"/>
                </w:tcPr>
                <w:p w14:paraId="63EC8DAD"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39" w:type="dxa"/>
                  <w:vAlign w:val="center"/>
                </w:tcPr>
                <w:p w14:paraId="050412A6"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079" w:type="dxa"/>
                  <w:vAlign w:val="center"/>
                </w:tcPr>
                <w:p w14:paraId="084C13E5"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r>
            <w:tr w:rsidR="00A425F2" w:rsidRPr="009B546D" w14:paraId="3E3895AD" w14:textId="77777777" w:rsidTr="00D4158A">
              <w:trPr>
                <w:cantSplit/>
                <w:trHeight w:val="20"/>
              </w:trPr>
              <w:tc>
                <w:tcPr>
                  <w:tcW w:w="993" w:type="dxa"/>
                </w:tcPr>
                <w:p w14:paraId="4F7DFD56" w14:textId="77777777" w:rsidR="00A425F2" w:rsidRPr="009B546D" w:rsidRDefault="00A425F2" w:rsidP="008D5802">
                  <w:pPr>
                    <w:pStyle w:val="TableNormal1"/>
                    <w:ind w:left="57"/>
                    <w:rPr>
                      <w:rFonts w:asciiTheme="minorHAnsi" w:hAnsiTheme="minorHAnsi" w:cstheme="minorHAnsi"/>
                      <w:sz w:val="16"/>
                      <w:szCs w:val="16"/>
                    </w:rPr>
                  </w:pPr>
                </w:p>
              </w:tc>
              <w:tc>
                <w:tcPr>
                  <w:tcW w:w="1209" w:type="dxa"/>
                  <w:vAlign w:val="center"/>
                </w:tcPr>
                <w:p w14:paraId="2F6CB5BE" w14:textId="7606E99C" w:rsidR="00A425F2" w:rsidRPr="009B546D" w:rsidRDefault="00A425F2" w:rsidP="008D5802">
                  <w:pPr>
                    <w:pStyle w:val="TableNormal1"/>
                    <w:tabs>
                      <w:tab w:val="decimal" w:pos="992"/>
                    </w:tabs>
                    <w:jc w:val="right"/>
                    <w:rPr>
                      <w:rFonts w:asciiTheme="minorHAnsi" w:hAnsiTheme="minorHAnsi" w:cstheme="minorHAnsi"/>
                      <w:b/>
                      <w:sz w:val="16"/>
                      <w:szCs w:val="16"/>
                    </w:rPr>
                  </w:pPr>
                  <w:r w:rsidRPr="009B546D">
                    <w:rPr>
                      <w:rFonts w:asciiTheme="minorHAnsi" w:hAnsiTheme="minorHAnsi" w:cstheme="minorHAnsi"/>
                      <w:b/>
                      <w:sz w:val="16"/>
                      <w:szCs w:val="16"/>
                    </w:rPr>
                    <w:t>-</w:t>
                  </w:r>
                </w:p>
              </w:tc>
              <w:tc>
                <w:tcPr>
                  <w:tcW w:w="1209" w:type="dxa"/>
                  <w:vAlign w:val="center"/>
                </w:tcPr>
                <w:p w14:paraId="78850A45" w14:textId="517A6B60" w:rsidR="00A425F2" w:rsidRPr="009B546D" w:rsidRDefault="00CA507B" w:rsidP="008D5802">
                  <w:pPr>
                    <w:pStyle w:val="TableNormal1"/>
                    <w:tabs>
                      <w:tab w:val="decimal" w:pos="992"/>
                    </w:tabs>
                    <w:jc w:val="right"/>
                    <w:rPr>
                      <w:rFonts w:asciiTheme="minorHAnsi" w:hAnsiTheme="minorHAnsi" w:cstheme="minorHAnsi"/>
                      <w:b/>
                      <w:sz w:val="16"/>
                      <w:szCs w:val="16"/>
                    </w:rPr>
                  </w:pPr>
                  <w:r w:rsidRPr="009B546D">
                    <w:rPr>
                      <w:rFonts w:asciiTheme="minorHAnsi" w:hAnsiTheme="minorHAnsi" w:cstheme="minorHAnsi"/>
                      <w:b/>
                      <w:sz w:val="16"/>
                      <w:szCs w:val="16"/>
                    </w:rPr>
                    <w:t>57</w:t>
                  </w:r>
                </w:p>
              </w:tc>
              <w:tc>
                <w:tcPr>
                  <w:tcW w:w="1175" w:type="dxa"/>
                  <w:vAlign w:val="center"/>
                </w:tcPr>
                <w:p w14:paraId="22E7E783" w14:textId="607616D8" w:rsidR="00A425F2" w:rsidRPr="009B546D" w:rsidRDefault="00F313B4" w:rsidP="008D5802">
                  <w:pPr>
                    <w:pStyle w:val="TableNormal1"/>
                    <w:tabs>
                      <w:tab w:val="decimal" w:pos="993"/>
                    </w:tabs>
                    <w:jc w:val="right"/>
                    <w:rPr>
                      <w:rFonts w:asciiTheme="minorHAnsi" w:hAnsiTheme="minorHAnsi" w:cstheme="minorHAnsi"/>
                      <w:b/>
                      <w:sz w:val="16"/>
                      <w:szCs w:val="16"/>
                    </w:rPr>
                  </w:pPr>
                  <w:r w:rsidRPr="009B546D">
                    <w:rPr>
                      <w:rFonts w:asciiTheme="minorHAnsi" w:hAnsiTheme="minorHAnsi" w:cstheme="minorHAnsi"/>
                      <w:b/>
                      <w:sz w:val="16"/>
                      <w:szCs w:val="16"/>
                    </w:rPr>
                    <w:t>2,142</w:t>
                  </w:r>
                </w:p>
              </w:tc>
              <w:tc>
                <w:tcPr>
                  <w:tcW w:w="1139" w:type="dxa"/>
                  <w:vAlign w:val="center"/>
                </w:tcPr>
                <w:p w14:paraId="35A95C8A" w14:textId="77777777" w:rsidR="00A425F2" w:rsidRPr="009B546D" w:rsidRDefault="00A425F2" w:rsidP="008D5802">
                  <w:pPr>
                    <w:pStyle w:val="TableNormal1"/>
                    <w:tabs>
                      <w:tab w:val="decimal" w:pos="992"/>
                    </w:tabs>
                    <w:jc w:val="right"/>
                    <w:rPr>
                      <w:rFonts w:asciiTheme="minorHAnsi" w:hAnsiTheme="minorHAnsi" w:cstheme="minorHAnsi"/>
                      <w:b/>
                      <w:sz w:val="16"/>
                      <w:szCs w:val="16"/>
                    </w:rPr>
                  </w:pPr>
                  <w:r w:rsidRPr="009B546D">
                    <w:rPr>
                      <w:rFonts w:asciiTheme="minorHAnsi" w:hAnsiTheme="minorHAnsi" w:cstheme="minorHAnsi"/>
                      <w:b/>
                      <w:sz w:val="16"/>
                      <w:szCs w:val="16"/>
                    </w:rPr>
                    <w:t>-</w:t>
                  </w:r>
                </w:p>
              </w:tc>
              <w:tc>
                <w:tcPr>
                  <w:tcW w:w="1079" w:type="dxa"/>
                  <w:vAlign w:val="center"/>
                </w:tcPr>
                <w:p w14:paraId="3D4FECB4" w14:textId="139760FF" w:rsidR="00A425F2" w:rsidRPr="009B546D" w:rsidRDefault="00F313B4" w:rsidP="008D5802">
                  <w:pPr>
                    <w:pStyle w:val="TableNormal1"/>
                    <w:tabs>
                      <w:tab w:val="decimal" w:pos="992"/>
                    </w:tabs>
                    <w:jc w:val="right"/>
                    <w:rPr>
                      <w:rFonts w:asciiTheme="minorHAnsi" w:hAnsiTheme="minorHAnsi" w:cstheme="minorHAnsi"/>
                      <w:b/>
                      <w:sz w:val="16"/>
                      <w:szCs w:val="16"/>
                    </w:rPr>
                  </w:pPr>
                  <w:r w:rsidRPr="009B546D">
                    <w:rPr>
                      <w:rFonts w:asciiTheme="minorHAnsi" w:hAnsiTheme="minorHAnsi" w:cstheme="minorHAnsi"/>
                      <w:b/>
                      <w:sz w:val="16"/>
                      <w:szCs w:val="16"/>
                    </w:rPr>
                    <w:t>2,199</w:t>
                  </w:r>
                  <w:r w:rsidR="00A425F2" w:rsidRPr="009B546D">
                    <w:rPr>
                      <w:rFonts w:asciiTheme="minorHAnsi" w:hAnsiTheme="minorHAnsi" w:cstheme="minorHAnsi"/>
                      <w:b/>
                      <w:sz w:val="16"/>
                      <w:szCs w:val="16"/>
                    </w:rPr>
                    <w:t xml:space="preserve"> </w:t>
                  </w:r>
                </w:p>
              </w:tc>
            </w:tr>
            <w:tr w:rsidR="00A425F2" w:rsidRPr="009B546D" w14:paraId="4FC527C9" w14:textId="77777777" w:rsidTr="00D4158A">
              <w:trPr>
                <w:cantSplit/>
                <w:trHeight w:val="20"/>
              </w:trPr>
              <w:tc>
                <w:tcPr>
                  <w:tcW w:w="993" w:type="dxa"/>
                </w:tcPr>
                <w:p w14:paraId="1BD2D0FC" w14:textId="77777777" w:rsidR="00A425F2" w:rsidRPr="009B546D" w:rsidRDefault="00A425F2" w:rsidP="008D5802">
                  <w:pPr>
                    <w:pStyle w:val="TableNormal1"/>
                    <w:ind w:left="57"/>
                    <w:rPr>
                      <w:rFonts w:asciiTheme="minorHAnsi" w:hAnsiTheme="minorHAnsi" w:cstheme="minorHAnsi"/>
                      <w:b/>
                      <w:sz w:val="16"/>
                      <w:szCs w:val="16"/>
                    </w:rPr>
                  </w:pPr>
                </w:p>
              </w:tc>
              <w:tc>
                <w:tcPr>
                  <w:tcW w:w="1209" w:type="dxa"/>
                  <w:vAlign w:val="center"/>
                </w:tcPr>
                <w:p w14:paraId="01A823CD" w14:textId="77777777" w:rsidR="00A425F2" w:rsidRPr="009B546D" w:rsidRDefault="00A425F2" w:rsidP="008D5802">
                  <w:pPr>
                    <w:pStyle w:val="TableNormal1"/>
                    <w:tabs>
                      <w:tab w:val="decimal" w:pos="1134"/>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209" w:type="dxa"/>
                  <w:vAlign w:val="center"/>
                </w:tcPr>
                <w:p w14:paraId="2A721131"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75" w:type="dxa"/>
                  <w:vAlign w:val="center"/>
                </w:tcPr>
                <w:p w14:paraId="750A5499"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39" w:type="dxa"/>
                  <w:vAlign w:val="center"/>
                </w:tcPr>
                <w:p w14:paraId="285C6815"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079" w:type="dxa"/>
                  <w:vAlign w:val="center"/>
                </w:tcPr>
                <w:p w14:paraId="7C11BE79"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r>
            <w:tr w:rsidR="00A425F2" w:rsidRPr="009B546D" w14:paraId="60DC3F76" w14:textId="77777777" w:rsidTr="00D4158A">
              <w:trPr>
                <w:cantSplit/>
                <w:trHeight w:val="20"/>
              </w:trPr>
              <w:tc>
                <w:tcPr>
                  <w:tcW w:w="993" w:type="dxa"/>
                </w:tcPr>
                <w:p w14:paraId="59941F5D" w14:textId="77777777" w:rsidR="00A425F2" w:rsidRPr="009B546D" w:rsidRDefault="00A425F2" w:rsidP="008D5802">
                  <w:pPr>
                    <w:pStyle w:val="TableNormal1"/>
                    <w:ind w:left="57"/>
                    <w:rPr>
                      <w:rFonts w:asciiTheme="minorHAnsi" w:hAnsiTheme="minorHAnsi" w:cstheme="minorHAnsi"/>
                      <w:b/>
                      <w:sz w:val="16"/>
                      <w:szCs w:val="16"/>
                    </w:rPr>
                  </w:pPr>
                  <w:r w:rsidRPr="009B546D">
                    <w:rPr>
                      <w:rFonts w:asciiTheme="minorHAnsi" w:hAnsiTheme="minorHAnsi" w:cstheme="minorHAnsi"/>
                      <w:b/>
                      <w:sz w:val="16"/>
                      <w:szCs w:val="16"/>
                    </w:rPr>
                    <w:t>Current assets</w:t>
                  </w:r>
                </w:p>
              </w:tc>
              <w:tc>
                <w:tcPr>
                  <w:tcW w:w="1209" w:type="dxa"/>
                  <w:vAlign w:val="center"/>
                </w:tcPr>
                <w:p w14:paraId="2284085B" w14:textId="77777777" w:rsidR="00A425F2" w:rsidRPr="009B546D" w:rsidRDefault="00A425F2" w:rsidP="008D5802">
                  <w:pPr>
                    <w:pStyle w:val="TableNormal1"/>
                    <w:tabs>
                      <w:tab w:val="decimal" w:pos="1134"/>
                    </w:tabs>
                    <w:jc w:val="right"/>
                    <w:rPr>
                      <w:rFonts w:asciiTheme="minorHAnsi" w:hAnsiTheme="minorHAnsi" w:cstheme="minorHAnsi"/>
                      <w:sz w:val="16"/>
                      <w:szCs w:val="16"/>
                    </w:rPr>
                  </w:pPr>
                </w:p>
              </w:tc>
              <w:tc>
                <w:tcPr>
                  <w:tcW w:w="1209" w:type="dxa"/>
                  <w:vAlign w:val="center"/>
                </w:tcPr>
                <w:p w14:paraId="3E414F2B"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p>
              </w:tc>
              <w:tc>
                <w:tcPr>
                  <w:tcW w:w="1175" w:type="dxa"/>
                  <w:vAlign w:val="center"/>
                </w:tcPr>
                <w:p w14:paraId="6A8702BB"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p>
              </w:tc>
              <w:tc>
                <w:tcPr>
                  <w:tcW w:w="1139" w:type="dxa"/>
                  <w:vAlign w:val="center"/>
                </w:tcPr>
                <w:p w14:paraId="58809F2B"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p>
              </w:tc>
              <w:tc>
                <w:tcPr>
                  <w:tcW w:w="1079" w:type="dxa"/>
                  <w:vAlign w:val="center"/>
                </w:tcPr>
                <w:p w14:paraId="5967094A"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p>
              </w:tc>
            </w:tr>
            <w:tr w:rsidR="00A425F2" w:rsidRPr="009B546D" w14:paraId="62AB53F4" w14:textId="77777777" w:rsidTr="004A10FC">
              <w:trPr>
                <w:cantSplit/>
                <w:trHeight w:val="20"/>
              </w:trPr>
              <w:tc>
                <w:tcPr>
                  <w:tcW w:w="993" w:type="dxa"/>
                </w:tcPr>
                <w:p w14:paraId="7C7B7B10" w14:textId="77777777" w:rsidR="00A425F2" w:rsidRPr="009B546D" w:rsidRDefault="00A425F2" w:rsidP="008D5802">
                  <w:pPr>
                    <w:pStyle w:val="BDO4table"/>
                    <w:suppressAutoHyphens/>
                    <w:spacing w:line="240" w:lineRule="auto"/>
                    <w:ind w:left="57" w:firstLine="0"/>
                    <w:rPr>
                      <w:rFonts w:asciiTheme="minorHAnsi" w:hAnsiTheme="minorHAnsi" w:cstheme="minorHAnsi"/>
                      <w:sz w:val="16"/>
                      <w:szCs w:val="16"/>
                    </w:rPr>
                  </w:pPr>
                  <w:r w:rsidRPr="009B546D">
                    <w:rPr>
                      <w:rFonts w:asciiTheme="minorHAnsi" w:hAnsiTheme="minorHAnsi" w:cstheme="minorHAnsi"/>
                      <w:sz w:val="16"/>
                      <w:szCs w:val="16"/>
                    </w:rPr>
                    <w:t>Trade and other receivables</w:t>
                  </w:r>
                </w:p>
              </w:tc>
              <w:tc>
                <w:tcPr>
                  <w:tcW w:w="1209" w:type="dxa"/>
                  <w:vAlign w:val="center"/>
                </w:tcPr>
                <w:p w14:paraId="282D15EA" w14:textId="15D51F24"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12</w:t>
                  </w:r>
                </w:p>
              </w:tc>
              <w:tc>
                <w:tcPr>
                  <w:tcW w:w="1209" w:type="dxa"/>
                  <w:vAlign w:val="center"/>
                </w:tcPr>
                <w:p w14:paraId="64AE8AA5" w14:textId="3170E11E" w:rsidR="00A425F2" w:rsidRPr="009B546D" w:rsidRDefault="00CA507B"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134</w:t>
                  </w:r>
                </w:p>
              </w:tc>
              <w:tc>
                <w:tcPr>
                  <w:tcW w:w="1175" w:type="dxa"/>
                  <w:vAlign w:val="center"/>
                </w:tcPr>
                <w:p w14:paraId="1709D793"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39" w:type="dxa"/>
                  <w:shd w:val="clear" w:color="auto" w:fill="auto"/>
                  <w:vAlign w:val="center"/>
                </w:tcPr>
                <w:p w14:paraId="6F9FF100" w14:textId="77777777" w:rsidR="00A425F2" w:rsidRPr="006C7D74" w:rsidRDefault="00A425F2" w:rsidP="008D5802">
                  <w:pPr>
                    <w:pStyle w:val="TableNormal1"/>
                    <w:tabs>
                      <w:tab w:val="decimal" w:pos="992"/>
                    </w:tabs>
                    <w:jc w:val="right"/>
                    <w:rPr>
                      <w:rFonts w:asciiTheme="minorHAnsi" w:hAnsiTheme="minorHAnsi" w:cstheme="minorHAnsi"/>
                      <w:sz w:val="16"/>
                      <w:szCs w:val="16"/>
                    </w:rPr>
                  </w:pPr>
                  <w:r w:rsidRPr="006C7D74">
                    <w:rPr>
                      <w:rFonts w:asciiTheme="minorHAnsi" w:hAnsiTheme="minorHAnsi" w:cstheme="minorHAnsi"/>
                      <w:sz w:val="16"/>
                      <w:szCs w:val="16"/>
                    </w:rPr>
                    <w:t>-</w:t>
                  </w:r>
                </w:p>
              </w:tc>
              <w:tc>
                <w:tcPr>
                  <w:tcW w:w="1079" w:type="dxa"/>
                  <w:shd w:val="clear" w:color="auto" w:fill="auto"/>
                  <w:vAlign w:val="center"/>
                </w:tcPr>
                <w:p w14:paraId="65ED7B98" w14:textId="07AEA315" w:rsidR="00A425F2" w:rsidRPr="006C7D74" w:rsidRDefault="00F313B4" w:rsidP="008D5802">
                  <w:pPr>
                    <w:pStyle w:val="TableNormal1"/>
                    <w:tabs>
                      <w:tab w:val="decimal" w:pos="992"/>
                    </w:tabs>
                    <w:jc w:val="right"/>
                    <w:rPr>
                      <w:rFonts w:asciiTheme="minorHAnsi" w:hAnsiTheme="minorHAnsi" w:cstheme="minorHAnsi"/>
                      <w:sz w:val="16"/>
                      <w:szCs w:val="16"/>
                    </w:rPr>
                  </w:pPr>
                  <w:r w:rsidRPr="006C7D74">
                    <w:rPr>
                      <w:rFonts w:asciiTheme="minorHAnsi" w:hAnsiTheme="minorHAnsi" w:cstheme="minorHAnsi"/>
                      <w:sz w:val="16"/>
                      <w:szCs w:val="16"/>
                    </w:rPr>
                    <w:t xml:space="preserve">146 </w:t>
                  </w:r>
                </w:p>
              </w:tc>
            </w:tr>
            <w:tr w:rsidR="00A425F2" w:rsidRPr="009B546D" w14:paraId="6BA7E9AD" w14:textId="77777777" w:rsidTr="004A10FC">
              <w:trPr>
                <w:cantSplit/>
                <w:trHeight w:val="20"/>
              </w:trPr>
              <w:tc>
                <w:tcPr>
                  <w:tcW w:w="993" w:type="dxa"/>
                </w:tcPr>
                <w:p w14:paraId="61C09A65" w14:textId="77777777" w:rsidR="00A425F2" w:rsidRPr="009B546D" w:rsidRDefault="00A425F2" w:rsidP="008D5802">
                  <w:pPr>
                    <w:pStyle w:val="BDO4table"/>
                    <w:suppressAutoHyphens/>
                    <w:spacing w:line="240" w:lineRule="auto"/>
                    <w:ind w:left="57" w:firstLine="0"/>
                    <w:rPr>
                      <w:rFonts w:asciiTheme="minorHAnsi" w:hAnsiTheme="minorHAnsi" w:cstheme="minorHAnsi"/>
                      <w:sz w:val="16"/>
                      <w:szCs w:val="16"/>
                    </w:rPr>
                  </w:pPr>
                  <w:r w:rsidRPr="009B546D">
                    <w:rPr>
                      <w:rFonts w:asciiTheme="minorHAnsi" w:hAnsiTheme="minorHAnsi" w:cstheme="minorHAnsi"/>
                      <w:sz w:val="16"/>
                      <w:szCs w:val="16"/>
                    </w:rPr>
                    <w:t>Cash and cash equivalents</w:t>
                  </w:r>
                </w:p>
              </w:tc>
              <w:tc>
                <w:tcPr>
                  <w:tcW w:w="1209" w:type="dxa"/>
                  <w:vAlign w:val="center"/>
                </w:tcPr>
                <w:p w14:paraId="34EFFDF7" w14:textId="03F0752C"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3,704</w:t>
                  </w:r>
                </w:p>
              </w:tc>
              <w:tc>
                <w:tcPr>
                  <w:tcW w:w="1209" w:type="dxa"/>
                  <w:vAlign w:val="center"/>
                </w:tcPr>
                <w:p w14:paraId="75EECE6F" w14:textId="51B3046A" w:rsidR="00A425F2" w:rsidRPr="009B546D" w:rsidRDefault="00CA507B"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84</w:t>
                  </w:r>
                </w:p>
              </w:tc>
              <w:tc>
                <w:tcPr>
                  <w:tcW w:w="1175" w:type="dxa"/>
                  <w:vAlign w:val="center"/>
                </w:tcPr>
                <w:p w14:paraId="65727321"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39" w:type="dxa"/>
                  <w:shd w:val="clear" w:color="auto" w:fill="auto"/>
                  <w:vAlign w:val="center"/>
                </w:tcPr>
                <w:p w14:paraId="72B7AE19" w14:textId="5BBD41A7" w:rsidR="00A425F2" w:rsidRPr="004A10FC" w:rsidRDefault="0050273B" w:rsidP="008D5802">
                  <w:pPr>
                    <w:pStyle w:val="TableNormal1"/>
                    <w:tabs>
                      <w:tab w:val="decimal" w:pos="992"/>
                    </w:tabs>
                    <w:jc w:val="right"/>
                    <w:rPr>
                      <w:rFonts w:asciiTheme="minorHAnsi" w:hAnsiTheme="minorHAnsi" w:cstheme="minorHAnsi"/>
                      <w:sz w:val="16"/>
                      <w:szCs w:val="16"/>
                    </w:rPr>
                  </w:pPr>
                  <w:r w:rsidRPr="004A10FC">
                    <w:rPr>
                      <w:rFonts w:asciiTheme="minorHAnsi" w:hAnsiTheme="minorHAnsi" w:cstheme="minorHAnsi"/>
                      <w:sz w:val="16"/>
                      <w:szCs w:val="16"/>
                    </w:rPr>
                    <w:t>(</w:t>
                  </w:r>
                  <w:r w:rsidR="006C7D74" w:rsidRPr="004A10FC">
                    <w:rPr>
                      <w:rFonts w:asciiTheme="minorHAnsi" w:hAnsiTheme="minorHAnsi" w:cstheme="minorHAnsi"/>
                      <w:sz w:val="16"/>
                      <w:szCs w:val="16"/>
                    </w:rPr>
                    <w:t>364</w:t>
                  </w:r>
                  <w:r w:rsidR="00B31904" w:rsidRPr="004A10FC">
                    <w:rPr>
                      <w:rFonts w:asciiTheme="minorHAnsi" w:hAnsiTheme="minorHAnsi" w:cstheme="minorHAnsi"/>
                      <w:sz w:val="16"/>
                      <w:szCs w:val="16"/>
                    </w:rPr>
                    <w:t>)</w:t>
                  </w:r>
                  <w:r w:rsidR="00A425F2" w:rsidRPr="004A10FC">
                    <w:rPr>
                      <w:rFonts w:asciiTheme="minorHAnsi" w:hAnsiTheme="minorHAnsi" w:cstheme="minorHAnsi"/>
                      <w:sz w:val="16"/>
                      <w:szCs w:val="16"/>
                    </w:rPr>
                    <w:t xml:space="preserve"> </w:t>
                  </w:r>
                </w:p>
              </w:tc>
              <w:tc>
                <w:tcPr>
                  <w:tcW w:w="1079" w:type="dxa"/>
                  <w:shd w:val="clear" w:color="auto" w:fill="auto"/>
                  <w:vAlign w:val="center"/>
                </w:tcPr>
                <w:p w14:paraId="0B9EF19E" w14:textId="6DDC142D" w:rsidR="00A425F2" w:rsidRPr="004A10FC" w:rsidRDefault="00F313B4" w:rsidP="008D5802">
                  <w:pPr>
                    <w:pStyle w:val="TableNormal1"/>
                    <w:tabs>
                      <w:tab w:val="decimal" w:pos="992"/>
                    </w:tabs>
                    <w:jc w:val="right"/>
                    <w:rPr>
                      <w:rFonts w:asciiTheme="minorHAnsi" w:hAnsiTheme="minorHAnsi" w:cstheme="minorHAnsi"/>
                      <w:sz w:val="16"/>
                      <w:szCs w:val="16"/>
                    </w:rPr>
                  </w:pPr>
                  <w:r w:rsidRPr="004A10FC">
                    <w:rPr>
                      <w:rFonts w:asciiTheme="minorHAnsi" w:hAnsiTheme="minorHAnsi" w:cstheme="minorHAnsi"/>
                      <w:sz w:val="16"/>
                      <w:szCs w:val="16"/>
                    </w:rPr>
                    <w:t>3,4</w:t>
                  </w:r>
                  <w:r w:rsidR="006C7D74" w:rsidRPr="004A10FC">
                    <w:rPr>
                      <w:rFonts w:asciiTheme="minorHAnsi" w:hAnsiTheme="minorHAnsi" w:cstheme="minorHAnsi"/>
                      <w:sz w:val="16"/>
                      <w:szCs w:val="16"/>
                    </w:rPr>
                    <w:t>24</w:t>
                  </w:r>
                  <w:r w:rsidR="00A425F2" w:rsidRPr="004A10FC">
                    <w:rPr>
                      <w:rFonts w:asciiTheme="minorHAnsi" w:hAnsiTheme="minorHAnsi" w:cstheme="minorHAnsi"/>
                      <w:sz w:val="16"/>
                      <w:szCs w:val="16"/>
                    </w:rPr>
                    <w:t xml:space="preserve"> </w:t>
                  </w:r>
                </w:p>
              </w:tc>
            </w:tr>
            <w:tr w:rsidR="00A425F2" w:rsidRPr="009B546D" w14:paraId="64C3ECCA" w14:textId="77777777" w:rsidTr="004A10FC">
              <w:trPr>
                <w:cantSplit/>
                <w:trHeight w:val="20"/>
              </w:trPr>
              <w:tc>
                <w:tcPr>
                  <w:tcW w:w="993" w:type="dxa"/>
                </w:tcPr>
                <w:p w14:paraId="23BC834B" w14:textId="77777777" w:rsidR="00A425F2" w:rsidRPr="009B546D" w:rsidRDefault="00A425F2" w:rsidP="008D5802">
                  <w:pPr>
                    <w:pStyle w:val="TableNormal1"/>
                    <w:ind w:left="57"/>
                    <w:rPr>
                      <w:rFonts w:asciiTheme="minorHAnsi" w:hAnsiTheme="minorHAnsi" w:cstheme="minorHAnsi"/>
                      <w:sz w:val="16"/>
                      <w:szCs w:val="16"/>
                    </w:rPr>
                  </w:pPr>
                </w:p>
              </w:tc>
              <w:tc>
                <w:tcPr>
                  <w:tcW w:w="1209" w:type="dxa"/>
                  <w:vAlign w:val="center"/>
                </w:tcPr>
                <w:p w14:paraId="12058806" w14:textId="77777777" w:rsidR="00A425F2" w:rsidRPr="009B546D" w:rsidRDefault="00A425F2" w:rsidP="008D5802">
                  <w:pPr>
                    <w:pStyle w:val="TableNormal1"/>
                    <w:tabs>
                      <w:tab w:val="decimal" w:pos="1134"/>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209" w:type="dxa"/>
                  <w:vAlign w:val="center"/>
                </w:tcPr>
                <w:p w14:paraId="7940155C"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75" w:type="dxa"/>
                  <w:vAlign w:val="center"/>
                </w:tcPr>
                <w:p w14:paraId="2A8059B1"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39" w:type="dxa"/>
                  <w:shd w:val="clear" w:color="auto" w:fill="auto"/>
                  <w:vAlign w:val="center"/>
                </w:tcPr>
                <w:p w14:paraId="18FDAB1A" w14:textId="77777777" w:rsidR="00A425F2" w:rsidRPr="004A10FC" w:rsidRDefault="00A425F2" w:rsidP="008D5802">
                  <w:pPr>
                    <w:pStyle w:val="TableNormal1"/>
                    <w:tabs>
                      <w:tab w:val="decimal" w:pos="992"/>
                    </w:tabs>
                    <w:jc w:val="right"/>
                    <w:rPr>
                      <w:rFonts w:asciiTheme="minorHAnsi" w:hAnsiTheme="minorHAnsi" w:cstheme="minorHAnsi"/>
                      <w:sz w:val="16"/>
                      <w:szCs w:val="16"/>
                    </w:rPr>
                  </w:pPr>
                  <w:r w:rsidRPr="004A10FC">
                    <w:rPr>
                      <w:rFonts w:asciiTheme="minorHAnsi" w:hAnsiTheme="minorHAnsi" w:cstheme="minorHAnsi"/>
                      <w:sz w:val="16"/>
                      <w:szCs w:val="16"/>
                    </w:rPr>
                    <w:t>––––––</w:t>
                  </w:r>
                </w:p>
              </w:tc>
              <w:tc>
                <w:tcPr>
                  <w:tcW w:w="1079" w:type="dxa"/>
                  <w:shd w:val="clear" w:color="auto" w:fill="auto"/>
                  <w:vAlign w:val="center"/>
                </w:tcPr>
                <w:p w14:paraId="5699C914" w14:textId="5198F72D" w:rsidR="00A425F2" w:rsidRPr="004A10FC" w:rsidRDefault="00A425F2" w:rsidP="008D5802">
                  <w:pPr>
                    <w:pStyle w:val="TableNormal1"/>
                    <w:tabs>
                      <w:tab w:val="decimal" w:pos="992"/>
                    </w:tabs>
                    <w:jc w:val="right"/>
                    <w:rPr>
                      <w:rFonts w:asciiTheme="minorHAnsi" w:hAnsiTheme="minorHAnsi" w:cstheme="minorHAnsi"/>
                      <w:sz w:val="16"/>
                      <w:szCs w:val="16"/>
                    </w:rPr>
                  </w:pPr>
                  <w:r w:rsidRPr="004A10FC">
                    <w:rPr>
                      <w:rFonts w:asciiTheme="minorHAnsi" w:hAnsiTheme="minorHAnsi" w:cstheme="minorHAnsi"/>
                      <w:sz w:val="16"/>
                      <w:szCs w:val="16"/>
                    </w:rPr>
                    <w:t>––––––</w:t>
                  </w:r>
                </w:p>
              </w:tc>
            </w:tr>
            <w:tr w:rsidR="00A425F2" w:rsidRPr="009B546D" w14:paraId="680C1F8C" w14:textId="77777777" w:rsidTr="004A10FC">
              <w:trPr>
                <w:cantSplit/>
                <w:trHeight w:val="20"/>
              </w:trPr>
              <w:tc>
                <w:tcPr>
                  <w:tcW w:w="993" w:type="dxa"/>
                </w:tcPr>
                <w:p w14:paraId="4B5FEA22" w14:textId="77777777" w:rsidR="00A425F2" w:rsidRPr="009B546D" w:rsidRDefault="00A425F2" w:rsidP="008D5802">
                  <w:pPr>
                    <w:pStyle w:val="TableNormal1"/>
                    <w:ind w:left="57"/>
                    <w:rPr>
                      <w:rFonts w:asciiTheme="minorHAnsi" w:hAnsiTheme="minorHAnsi" w:cstheme="minorHAnsi"/>
                      <w:sz w:val="16"/>
                      <w:szCs w:val="16"/>
                    </w:rPr>
                  </w:pPr>
                </w:p>
              </w:tc>
              <w:tc>
                <w:tcPr>
                  <w:tcW w:w="1209" w:type="dxa"/>
                  <w:vAlign w:val="center"/>
                </w:tcPr>
                <w:p w14:paraId="39A5F1A5" w14:textId="0183A8CF" w:rsidR="00A425F2" w:rsidRPr="009B546D" w:rsidRDefault="00A425F2" w:rsidP="008D5802">
                  <w:pPr>
                    <w:pStyle w:val="TableNormal1"/>
                    <w:tabs>
                      <w:tab w:val="decimal" w:pos="992"/>
                    </w:tabs>
                    <w:jc w:val="right"/>
                    <w:rPr>
                      <w:rFonts w:asciiTheme="minorHAnsi" w:hAnsiTheme="minorHAnsi" w:cstheme="minorHAnsi"/>
                      <w:b/>
                      <w:sz w:val="16"/>
                      <w:szCs w:val="16"/>
                    </w:rPr>
                  </w:pPr>
                  <w:r w:rsidRPr="009B546D">
                    <w:rPr>
                      <w:rFonts w:asciiTheme="minorHAnsi" w:hAnsiTheme="minorHAnsi" w:cstheme="minorHAnsi"/>
                      <w:b/>
                      <w:sz w:val="16"/>
                      <w:szCs w:val="16"/>
                    </w:rPr>
                    <w:t>3,716</w:t>
                  </w:r>
                </w:p>
              </w:tc>
              <w:tc>
                <w:tcPr>
                  <w:tcW w:w="1209" w:type="dxa"/>
                  <w:vAlign w:val="center"/>
                </w:tcPr>
                <w:p w14:paraId="2E3411DF" w14:textId="2EFEEC99" w:rsidR="00A425F2" w:rsidRPr="009B546D" w:rsidRDefault="00CA507B" w:rsidP="008D5802">
                  <w:pPr>
                    <w:pStyle w:val="TableNormal1"/>
                    <w:tabs>
                      <w:tab w:val="decimal" w:pos="992"/>
                    </w:tabs>
                    <w:jc w:val="right"/>
                    <w:rPr>
                      <w:rFonts w:asciiTheme="minorHAnsi" w:hAnsiTheme="minorHAnsi" w:cstheme="minorHAnsi"/>
                      <w:b/>
                      <w:sz w:val="16"/>
                      <w:szCs w:val="16"/>
                    </w:rPr>
                  </w:pPr>
                  <w:r w:rsidRPr="009B546D">
                    <w:rPr>
                      <w:rFonts w:asciiTheme="minorHAnsi" w:hAnsiTheme="minorHAnsi" w:cstheme="minorHAnsi"/>
                      <w:b/>
                      <w:sz w:val="16"/>
                      <w:szCs w:val="16"/>
                    </w:rPr>
                    <w:t>218</w:t>
                  </w:r>
                </w:p>
              </w:tc>
              <w:tc>
                <w:tcPr>
                  <w:tcW w:w="1175" w:type="dxa"/>
                  <w:vAlign w:val="center"/>
                </w:tcPr>
                <w:p w14:paraId="1E9E6411" w14:textId="77777777" w:rsidR="00A425F2" w:rsidRPr="009B546D" w:rsidRDefault="00A425F2" w:rsidP="008D5802">
                  <w:pPr>
                    <w:pStyle w:val="TableNormal1"/>
                    <w:tabs>
                      <w:tab w:val="decimal" w:pos="993"/>
                    </w:tabs>
                    <w:jc w:val="right"/>
                    <w:rPr>
                      <w:rFonts w:asciiTheme="minorHAnsi" w:hAnsiTheme="minorHAnsi" w:cstheme="minorHAnsi"/>
                      <w:b/>
                      <w:sz w:val="16"/>
                      <w:szCs w:val="16"/>
                    </w:rPr>
                  </w:pPr>
                  <w:r w:rsidRPr="009B546D">
                    <w:rPr>
                      <w:rFonts w:asciiTheme="minorHAnsi" w:hAnsiTheme="minorHAnsi" w:cstheme="minorHAnsi"/>
                      <w:b/>
                      <w:sz w:val="16"/>
                      <w:szCs w:val="16"/>
                    </w:rPr>
                    <w:t>-</w:t>
                  </w:r>
                </w:p>
              </w:tc>
              <w:tc>
                <w:tcPr>
                  <w:tcW w:w="1139" w:type="dxa"/>
                  <w:shd w:val="clear" w:color="auto" w:fill="auto"/>
                  <w:vAlign w:val="center"/>
                </w:tcPr>
                <w:p w14:paraId="3D71A1AA" w14:textId="04C772F1" w:rsidR="00A425F2" w:rsidRPr="004A10FC" w:rsidRDefault="00B31904" w:rsidP="008D5802">
                  <w:pPr>
                    <w:pStyle w:val="TableNormal1"/>
                    <w:tabs>
                      <w:tab w:val="decimal" w:pos="992"/>
                    </w:tabs>
                    <w:jc w:val="right"/>
                    <w:rPr>
                      <w:rFonts w:asciiTheme="minorHAnsi" w:hAnsiTheme="minorHAnsi" w:cstheme="minorHAnsi"/>
                      <w:b/>
                      <w:sz w:val="16"/>
                      <w:szCs w:val="16"/>
                    </w:rPr>
                  </w:pPr>
                  <w:r w:rsidRPr="004A10FC">
                    <w:rPr>
                      <w:rFonts w:asciiTheme="minorHAnsi" w:hAnsiTheme="minorHAnsi" w:cstheme="minorHAnsi"/>
                      <w:b/>
                      <w:sz w:val="16"/>
                      <w:szCs w:val="16"/>
                    </w:rPr>
                    <w:t>(</w:t>
                  </w:r>
                  <w:r w:rsidR="006C7D74" w:rsidRPr="004A10FC">
                    <w:rPr>
                      <w:rFonts w:asciiTheme="minorHAnsi" w:hAnsiTheme="minorHAnsi" w:cstheme="minorHAnsi"/>
                      <w:b/>
                      <w:sz w:val="16"/>
                      <w:szCs w:val="16"/>
                    </w:rPr>
                    <w:t>364</w:t>
                  </w:r>
                  <w:r w:rsidRPr="004A10FC">
                    <w:rPr>
                      <w:rFonts w:asciiTheme="minorHAnsi" w:hAnsiTheme="minorHAnsi" w:cstheme="minorHAnsi"/>
                      <w:b/>
                      <w:sz w:val="16"/>
                      <w:szCs w:val="16"/>
                    </w:rPr>
                    <w:t>)</w:t>
                  </w:r>
                  <w:r w:rsidR="00A425F2" w:rsidRPr="004A10FC">
                    <w:rPr>
                      <w:rFonts w:asciiTheme="minorHAnsi" w:hAnsiTheme="minorHAnsi" w:cstheme="minorHAnsi"/>
                      <w:b/>
                      <w:sz w:val="16"/>
                      <w:szCs w:val="16"/>
                    </w:rPr>
                    <w:t xml:space="preserve"> </w:t>
                  </w:r>
                </w:p>
              </w:tc>
              <w:tc>
                <w:tcPr>
                  <w:tcW w:w="1079" w:type="dxa"/>
                  <w:shd w:val="clear" w:color="auto" w:fill="auto"/>
                  <w:vAlign w:val="center"/>
                </w:tcPr>
                <w:p w14:paraId="4B53C728" w14:textId="592E402D" w:rsidR="00A425F2" w:rsidRPr="004A10FC" w:rsidRDefault="00F313B4" w:rsidP="008D5802">
                  <w:pPr>
                    <w:pStyle w:val="TableNormal1"/>
                    <w:tabs>
                      <w:tab w:val="decimal" w:pos="992"/>
                    </w:tabs>
                    <w:jc w:val="right"/>
                    <w:rPr>
                      <w:rFonts w:asciiTheme="minorHAnsi" w:hAnsiTheme="minorHAnsi" w:cstheme="minorHAnsi"/>
                      <w:b/>
                      <w:sz w:val="16"/>
                      <w:szCs w:val="16"/>
                    </w:rPr>
                  </w:pPr>
                  <w:r w:rsidRPr="004A10FC">
                    <w:rPr>
                      <w:rFonts w:asciiTheme="minorHAnsi" w:hAnsiTheme="minorHAnsi" w:cstheme="minorHAnsi"/>
                      <w:b/>
                      <w:sz w:val="16"/>
                      <w:szCs w:val="16"/>
                    </w:rPr>
                    <w:t>3,</w:t>
                  </w:r>
                  <w:r w:rsidR="006C7D74" w:rsidRPr="004A10FC">
                    <w:rPr>
                      <w:rFonts w:asciiTheme="minorHAnsi" w:hAnsiTheme="minorHAnsi" w:cstheme="minorHAnsi"/>
                      <w:b/>
                      <w:sz w:val="16"/>
                      <w:szCs w:val="16"/>
                    </w:rPr>
                    <w:t>570</w:t>
                  </w:r>
                  <w:r w:rsidR="00A425F2" w:rsidRPr="004A10FC">
                    <w:rPr>
                      <w:rFonts w:asciiTheme="minorHAnsi" w:hAnsiTheme="minorHAnsi" w:cstheme="minorHAnsi"/>
                      <w:b/>
                      <w:sz w:val="16"/>
                      <w:szCs w:val="16"/>
                    </w:rPr>
                    <w:t xml:space="preserve"> </w:t>
                  </w:r>
                </w:p>
              </w:tc>
            </w:tr>
            <w:tr w:rsidR="00A425F2" w:rsidRPr="009B546D" w14:paraId="1439F220" w14:textId="77777777" w:rsidTr="004A10FC">
              <w:trPr>
                <w:cantSplit/>
                <w:trHeight w:val="20"/>
              </w:trPr>
              <w:tc>
                <w:tcPr>
                  <w:tcW w:w="993" w:type="dxa"/>
                </w:tcPr>
                <w:p w14:paraId="34232BC8" w14:textId="77777777" w:rsidR="00A425F2" w:rsidRPr="009B546D" w:rsidRDefault="00A425F2" w:rsidP="008D5802">
                  <w:pPr>
                    <w:pStyle w:val="TableNormal1"/>
                    <w:ind w:left="57"/>
                    <w:rPr>
                      <w:rFonts w:asciiTheme="minorHAnsi" w:hAnsiTheme="minorHAnsi" w:cstheme="minorHAnsi"/>
                      <w:b/>
                      <w:sz w:val="16"/>
                      <w:szCs w:val="16"/>
                    </w:rPr>
                  </w:pPr>
                </w:p>
              </w:tc>
              <w:tc>
                <w:tcPr>
                  <w:tcW w:w="1209" w:type="dxa"/>
                  <w:vAlign w:val="center"/>
                </w:tcPr>
                <w:p w14:paraId="44535D0A" w14:textId="77777777" w:rsidR="00A425F2" w:rsidRPr="009B546D" w:rsidRDefault="00A425F2" w:rsidP="008D5802">
                  <w:pPr>
                    <w:pStyle w:val="TableNormal1"/>
                    <w:tabs>
                      <w:tab w:val="decimal" w:pos="1134"/>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209" w:type="dxa"/>
                  <w:vAlign w:val="center"/>
                </w:tcPr>
                <w:p w14:paraId="4D252A1D"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75" w:type="dxa"/>
                  <w:vAlign w:val="center"/>
                </w:tcPr>
                <w:p w14:paraId="25CD8071"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39" w:type="dxa"/>
                  <w:shd w:val="clear" w:color="auto" w:fill="auto"/>
                  <w:vAlign w:val="center"/>
                </w:tcPr>
                <w:p w14:paraId="57C523B9" w14:textId="77777777" w:rsidR="00A425F2" w:rsidRPr="004A10FC" w:rsidRDefault="00A425F2" w:rsidP="008D5802">
                  <w:pPr>
                    <w:pStyle w:val="TableNormal1"/>
                    <w:tabs>
                      <w:tab w:val="decimal" w:pos="992"/>
                    </w:tabs>
                    <w:jc w:val="right"/>
                    <w:rPr>
                      <w:rFonts w:asciiTheme="minorHAnsi" w:hAnsiTheme="minorHAnsi" w:cstheme="minorHAnsi"/>
                      <w:b/>
                      <w:sz w:val="16"/>
                      <w:szCs w:val="16"/>
                    </w:rPr>
                  </w:pPr>
                  <w:r w:rsidRPr="004A10FC">
                    <w:rPr>
                      <w:rFonts w:asciiTheme="minorHAnsi" w:hAnsiTheme="minorHAnsi" w:cstheme="minorHAnsi"/>
                      <w:b/>
                      <w:sz w:val="16"/>
                      <w:szCs w:val="16"/>
                    </w:rPr>
                    <w:t>––––––</w:t>
                  </w:r>
                </w:p>
              </w:tc>
              <w:tc>
                <w:tcPr>
                  <w:tcW w:w="1079" w:type="dxa"/>
                  <w:shd w:val="clear" w:color="auto" w:fill="auto"/>
                  <w:vAlign w:val="center"/>
                </w:tcPr>
                <w:p w14:paraId="40F864A5" w14:textId="5AE9DDA2" w:rsidR="00A425F2" w:rsidRPr="004A10FC" w:rsidRDefault="00A425F2" w:rsidP="008D5802">
                  <w:pPr>
                    <w:pStyle w:val="TableNormal1"/>
                    <w:tabs>
                      <w:tab w:val="decimal" w:pos="992"/>
                    </w:tabs>
                    <w:jc w:val="right"/>
                    <w:rPr>
                      <w:rFonts w:asciiTheme="minorHAnsi" w:hAnsiTheme="minorHAnsi" w:cstheme="minorHAnsi"/>
                      <w:sz w:val="16"/>
                      <w:szCs w:val="16"/>
                    </w:rPr>
                  </w:pPr>
                  <w:r w:rsidRPr="004A10FC">
                    <w:rPr>
                      <w:rFonts w:asciiTheme="minorHAnsi" w:hAnsiTheme="minorHAnsi" w:cstheme="minorHAnsi"/>
                      <w:sz w:val="16"/>
                      <w:szCs w:val="16"/>
                    </w:rPr>
                    <w:t>––––––</w:t>
                  </w:r>
                </w:p>
              </w:tc>
            </w:tr>
            <w:tr w:rsidR="00A425F2" w:rsidRPr="009B546D" w14:paraId="43AA2046" w14:textId="77777777" w:rsidTr="004A10FC">
              <w:trPr>
                <w:cantSplit/>
                <w:trHeight w:val="20"/>
              </w:trPr>
              <w:tc>
                <w:tcPr>
                  <w:tcW w:w="993" w:type="dxa"/>
                </w:tcPr>
                <w:p w14:paraId="0E0A637C" w14:textId="77777777" w:rsidR="00A425F2" w:rsidRPr="009B546D" w:rsidRDefault="00A425F2" w:rsidP="008D5802">
                  <w:pPr>
                    <w:pStyle w:val="TableNormal1"/>
                    <w:ind w:left="57"/>
                    <w:rPr>
                      <w:rFonts w:asciiTheme="minorHAnsi" w:hAnsiTheme="minorHAnsi" w:cstheme="minorHAnsi"/>
                      <w:b/>
                      <w:sz w:val="16"/>
                      <w:szCs w:val="16"/>
                    </w:rPr>
                  </w:pPr>
                  <w:r w:rsidRPr="009B546D">
                    <w:rPr>
                      <w:rFonts w:asciiTheme="minorHAnsi" w:hAnsiTheme="minorHAnsi" w:cstheme="minorHAnsi"/>
                      <w:b/>
                      <w:sz w:val="16"/>
                      <w:szCs w:val="16"/>
                    </w:rPr>
                    <w:t>Total assets</w:t>
                  </w:r>
                </w:p>
              </w:tc>
              <w:tc>
                <w:tcPr>
                  <w:tcW w:w="1209" w:type="dxa"/>
                  <w:vAlign w:val="center"/>
                </w:tcPr>
                <w:p w14:paraId="3F9745D1" w14:textId="52242BB2" w:rsidR="00A425F2" w:rsidRPr="009B546D" w:rsidRDefault="00A425F2" w:rsidP="008D5802">
                  <w:pPr>
                    <w:pStyle w:val="TableNormal1"/>
                    <w:tabs>
                      <w:tab w:val="decimal" w:pos="992"/>
                    </w:tabs>
                    <w:jc w:val="right"/>
                    <w:rPr>
                      <w:rFonts w:asciiTheme="minorHAnsi" w:hAnsiTheme="minorHAnsi" w:cstheme="minorHAnsi"/>
                      <w:b/>
                      <w:sz w:val="16"/>
                      <w:szCs w:val="16"/>
                    </w:rPr>
                  </w:pPr>
                  <w:r w:rsidRPr="009B546D">
                    <w:rPr>
                      <w:rFonts w:asciiTheme="minorHAnsi" w:hAnsiTheme="minorHAnsi" w:cstheme="minorHAnsi"/>
                      <w:b/>
                      <w:sz w:val="16"/>
                      <w:szCs w:val="16"/>
                    </w:rPr>
                    <w:t>3,716</w:t>
                  </w:r>
                </w:p>
              </w:tc>
              <w:tc>
                <w:tcPr>
                  <w:tcW w:w="1209" w:type="dxa"/>
                  <w:vAlign w:val="center"/>
                </w:tcPr>
                <w:p w14:paraId="295E3E7D" w14:textId="5E60D88F" w:rsidR="00A425F2" w:rsidRPr="009B546D" w:rsidRDefault="005D0800" w:rsidP="008D5802">
                  <w:pPr>
                    <w:pStyle w:val="TableNormal1"/>
                    <w:tabs>
                      <w:tab w:val="decimal" w:pos="992"/>
                    </w:tabs>
                    <w:jc w:val="right"/>
                    <w:rPr>
                      <w:rFonts w:asciiTheme="minorHAnsi" w:hAnsiTheme="minorHAnsi" w:cstheme="minorHAnsi"/>
                      <w:b/>
                      <w:sz w:val="16"/>
                      <w:szCs w:val="16"/>
                    </w:rPr>
                  </w:pPr>
                  <w:r w:rsidRPr="009B546D">
                    <w:rPr>
                      <w:rFonts w:asciiTheme="minorHAnsi" w:hAnsiTheme="minorHAnsi" w:cstheme="minorHAnsi"/>
                      <w:b/>
                      <w:sz w:val="16"/>
                      <w:szCs w:val="16"/>
                    </w:rPr>
                    <w:t>275</w:t>
                  </w:r>
                </w:p>
              </w:tc>
              <w:tc>
                <w:tcPr>
                  <w:tcW w:w="1175" w:type="dxa"/>
                  <w:vAlign w:val="center"/>
                </w:tcPr>
                <w:p w14:paraId="1F9019E7" w14:textId="4460DA76" w:rsidR="00A425F2" w:rsidRPr="009B546D" w:rsidRDefault="00F313B4" w:rsidP="008D5802">
                  <w:pPr>
                    <w:pStyle w:val="TableNormal1"/>
                    <w:tabs>
                      <w:tab w:val="decimal" w:pos="993"/>
                    </w:tabs>
                    <w:jc w:val="right"/>
                    <w:rPr>
                      <w:rFonts w:asciiTheme="minorHAnsi" w:hAnsiTheme="minorHAnsi" w:cstheme="minorHAnsi"/>
                      <w:b/>
                      <w:sz w:val="16"/>
                      <w:szCs w:val="16"/>
                    </w:rPr>
                  </w:pPr>
                  <w:r w:rsidRPr="009B546D">
                    <w:rPr>
                      <w:rFonts w:asciiTheme="minorHAnsi" w:hAnsiTheme="minorHAnsi" w:cstheme="minorHAnsi"/>
                      <w:b/>
                      <w:sz w:val="16"/>
                      <w:szCs w:val="16"/>
                    </w:rPr>
                    <w:t>2,142</w:t>
                  </w:r>
                </w:p>
              </w:tc>
              <w:tc>
                <w:tcPr>
                  <w:tcW w:w="1139" w:type="dxa"/>
                  <w:shd w:val="clear" w:color="auto" w:fill="auto"/>
                  <w:vAlign w:val="center"/>
                </w:tcPr>
                <w:p w14:paraId="763E7A3F" w14:textId="52A9CC04" w:rsidR="00A425F2" w:rsidRPr="004A10FC" w:rsidRDefault="00B31904" w:rsidP="008D5802">
                  <w:pPr>
                    <w:pStyle w:val="TableNormal1"/>
                    <w:tabs>
                      <w:tab w:val="decimal" w:pos="992"/>
                    </w:tabs>
                    <w:jc w:val="right"/>
                    <w:rPr>
                      <w:rFonts w:asciiTheme="minorHAnsi" w:hAnsiTheme="minorHAnsi" w:cstheme="minorHAnsi"/>
                      <w:b/>
                      <w:sz w:val="16"/>
                      <w:szCs w:val="16"/>
                    </w:rPr>
                  </w:pPr>
                  <w:r w:rsidRPr="004A10FC">
                    <w:rPr>
                      <w:rFonts w:asciiTheme="minorHAnsi" w:hAnsiTheme="minorHAnsi" w:cstheme="minorHAnsi"/>
                      <w:b/>
                      <w:sz w:val="16"/>
                      <w:szCs w:val="16"/>
                    </w:rPr>
                    <w:t>(</w:t>
                  </w:r>
                  <w:r w:rsidR="006C7D74" w:rsidRPr="004A10FC">
                    <w:rPr>
                      <w:rFonts w:asciiTheme="minorHAnsi" w:hAnsiTheme="minorHAnsi" w:cstheme="minorHAnsi"/>
                      <w:b/>
                      <w:sz w:val="16"/>
                      <w:szCs w:val="16"/>
                    </w:rPr>
                    <w:t>364</w:t>
                  </w:r>
                  <w:r w:rsidRPr="004A10FC">
                    <w:rPr>
                      <w:rFonts w:asciiTheme="minorHAnsi" w:hAnsiTheme="minorHAnsi" w:cstheme="minorHAnsi"/>
                      <w:b/>
                      <w:sz w:val="16"/>
                      <w:szCs w:val="16"/>
                    </w:rPr>
                    <w:t>)</w:t>
                  </w:r>
                  <w:r w:rsidR="00A425F2" w:rsidRPr="004A10FC">
                    <w:rPr>
                      <w:rFonts w:asciiTheme="minorHAnsi" w:hAnsiTheme="minorHAnsi" w:cstheme="minorHAnsi"/>
                      <w:b/>
                      <w:sz w:val="16"/>
                      <w:szCs w:val="16"/>
                    </w:rPr>
                    <w:t xml:space="preserve"> </w:t>
                  </w:r>
                </w:p>
              </w:tc>
              <w:tc>
                <w:tcPr>
                  <w:tcW w:w="1079" w:type="dxa"/>
                  <w:shd w:val="clear" w:color="auto" w:fill="auto"/>
                  <w:vAlign w:val="center"/>
                </w:tcPr>
                <w:p w14:paraId="55E4C017" w14:textId="5704858D" w:rsidR="00A425F2" w:rsidRPr="004A10FC" w:rsidRDefault="00F313B4" w:rsidP="008D5802">
                  <w:pPr>
                    <w:pStyle w:val="TableNormal1"/>
                    <w:tabs>
                      <w:tab w:val="decimal" w:pos="992"/>
                    </w:tabs>
                    <w:jc w:val="right"/>
                    <w:rPr>
                      <w:rFonts w:asciiTheme="minorHAnsi" w:hAnsiTheme="minorHAnsi" w:cstheme="minorHAnsi"/>
                      <w:b/>
                      <w:sz w:val="16"/>
                      <w:szCs w:val="16"/>
                    </w:rPr>
                  </w:pPr>
                  <w:r w:rsidRPr="004A10FC">
                    <w:rPr>
                      <w:rFonts w:asciiTheme="minorHAnsi" w:hAnsiTheme="minorHAnsi" w:cstheme="minorHAnsi"/>
                      <w:b/>
                      <w:sz w:val="16"/>
                      <w:szCs w:val="16"/>
                    </w:rPr>
                    <w:t>5,</w:t>
                  </w:r>
                  <w:r w:rsidR="006C7D74" w:rsidRPr="004A10FC">
                    <w:rPr>
                      <w:rFonts w:asciiTheme="minorHAnsi" w:hAnsiTheme="minorHAnsi" w:cstheme="minorHAnsi"/>
                      <w:b/>
                      <w:sz w:val="16"/>
                      <w:szCs w:val="16"/>
                    </w:rPr>
                    <w:t>769</w:t>
                  </w:r>
                  <w:r w:rsidR="00A425F2" w:rsidRPr="004A10FC">
                    <w:rPr>
                      <w:rFonts w:asciiTheme="minorHAnsi" w:hAnsiTheme="minorHAnsi" w:cstheme="minorHAnsi"/>
                      <w:b/>
                      <w:sz w:val="16"/>
                      <w:szCs w:val="16"/>
                    </w:rPr>
                    <w:t xml:space="preserve"> </w:t>
                  </w:r>
                </w:p>
              </w:tc>
            </w:tr>
            <w:tr w:rsidR="00A425F2" w:rsidRPr="009B546D" w14:paraId="16B07A45" w14:textId="77777777" w:rsidTr="00D4158A">
              <w:trPr>
                <w:cantSplit/>
                <w:trHeight w:val="20"/>
              </w:trPr>
              <w:tc>
                <w:tcPr>
                  <w:tcW w:w="993" w:type="dxa"/>
                </w:tcPr>
                <w:p w14:paraId="70A5092D" w14:textId="77777777" w:rsidR="00A425F2" w:rsidRPr="009B546D" w:rsidRDefault="00A425F2" w:rsidP="008D5802">
                  <w:pPr>
                    <w:pStyle w:val="TableNormal1"/>
                    <w:ind w:left="57"/>
                    <w:rPr>
                      <w:rFonts w:asciiTheme="minorHAnsi" w:hAnsiTheme="minorHAnsi" w:cstheme="minorHAnsi"/>
                      <w:b/>
                      <w:sz w:val="16"/>
                      <w:szCs w:val="16"/>
                    </w:rPr>
                  </w:pPr>
                </w:p>
              </w:tc>
              <w:tc>
                <w:tcPr>
                  <w:tcW w:w="1209" w:type="dxa"/>
                  <w:vAlign w:val="center"/>
                </w:tcPr>
                <w:p w14:paraId="065DE4D5" w14:textId="77777777" w:rsidR="00A425F2" w:rsidRPr="009B546D" w:rsidRDefault="00A425F2" w:rsidP="008D5802">
                  <w:pPr>
                    <w:pStyle w:val="TableNormal1"/>
                    <w:tabs>
                      <w:tab w:val="decimal" w:pos="1134"/>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209" w:type="dxa"/>
                  <w:vAlign w:val="center"/>
                </w:tcPr>
                <w:p w14:paraId="5B207EFE"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75" w:type="dxa"/>
                  <w:vAlign w:val="center"/>
                </w:tcPr>
                <w:p w14:paraId="08B4B849"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39" w:type="dxa"/>
                  <w:vAlign w:val="center"/>
                </w:tcPr>
                <w:p w14:paraId="180E6C1D"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079" w:type="dxa"/>
                  <w:vAlign w:val="center"/>
                </w:tcPr>
                <w:p w14:paraId="7C5652B9"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r>
            <w:tr w:rsidR="00A425F2" w:rsidRPr="009B546D" w14:paraId="2885B011" w14:textId="77777777" w:rsidTr="00D4158A">
              <w:trPr>
                <w:cantSplit/>
                <w:trHeight w:val="20"/>
              </w:trPr>
              <w:tc>
                <w:tcPr>
                  <w:tcW w:w="993" w:type="dxa"/>
                </w:tcPr>
                <w:p w14:paraId="0B4F74AC" w14:textId="77777777" w:rsidR="00A425F2" w:rsidRPr="009B546D" w:rsidRDefault="00A425F2" w:rsidP="008D5802">
                  <w:pPr>
                    <w:pStyle w:val="BDO4table"/>
                    <w:suppressAutoHyphens/>
                    <w:spacing w:line="240" w:lineRule="auto"/>
                    <w:ind w:left="57" w:firstLine="0"/>
                    <w:rPr>
                      <w:rFonts w:asciiTheme="minorHAnsi" w:hAnsiTheme="minorHAnsi" w:cstheme="minorHAnsi"/>
                      <w:b/>
                      <w:sz w:val="16"/>
                      <w:szCs w:val="16"/>
                    </w:rPr>
                  </w:pPr>
                  <w:r w:rsidRPr="009B546D">
                    <w:rPr>
                      <w:rFonts w:asciiTheme="minorHAnsi" w:hAnsiTheme="minorHAnsi" w:cstheme="minorHAnsi"/>
                      <w:b/>
                      <w:sz w:val="16"/>
                      <w:szCs w:val="16"/>
                    </w:rPr>
                    <w:t>Liabilities</w:t>
                  </w:r>
                </w:p>
              </w:tc>
              <w:tc>
                <w:tcPr>
                  <w:tcW w:w="1209" w:type="dxa"/>
                  <w:vAlign w:val="center"/>
                </w:tcPr>
                <w:p w14:paraId="023BA887" w14:textId="77777777" w:rsidR="00A425F2" w:rsidRPr="009B546D" w:rsidRDefault="00A425F2" w:rsidP="008D5802">
                  <w:pPr>
                    <w:pStyle w:val="TableNormal1"/>
                    <w:tabs>
                      <w:tab w:val="decimal" w:pos="1134"/>
                    </w:tabs>
                    <w:jc w:val="right"/>
                    <w:rPr>
                      <w:rFonts w:asciiTheme="minorHAnsi" w:hAnsiTheme="minorHAnsi" w:cstheme="minorHAnsi"/>
                      <w:sz w:val="16"/>
                      <w:szCs w:val="16"/>
                    </w:rPr>
                  </w:pPr>
                </w:p>
              </w:tc>
              <w:tc>
                <w:tcPr>
                  <w:tcW w:w="1209" w:type="dxa"/>
                  <w:vAlign w:val="center"/>
                </w:tcPr>
                <w:p w14:paraId="45BD05CE"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p>
              </w:tc>
              <w:tc>
                <w:tcPr>
                  <w:tcW w:w="1175" w:type="dxa"/>
                  <w:vAlign w:val="center"/>
                </w:tcPr>
                <w:p w14:paraId="7F94839B"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p>
              </w:tc>
              <w:tc>
                <w:tcPr>
                  <w:tcW w:w="1139" w:type="dxa"/>
                  <w:vAlign w:val="center"/>
                </w:tcPr>
                <w:p w14:paraId="7F89C4FF"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p>
              </w:tc>
              <w:tc>
                <w:tcPr>
                  <w:tcW w:w="1079" w:type="dxa"/>
                  <w:vAlign w:val="center"/>
                </w:tcPr>
                <w:p w14:paraId="635755DB"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p>
              </w:tc>
            </w:tr>
            <w:tr w:rsidR="00A425F2" w:rsidRPr="009B546D" w14:paraId="7D5DB32B" w14:textId="77777777" w:rsidTr="00D4158A">
              <w:trPr>
                <w:cantSplit/>
                <w:trHeight w:val="20"/>
              </w:trPr>
              <w:tc>
                <w:tcPr>
                  <w:tcW w:w="993" w:type="dxa"/>
                </w:tcPr>
                <w:p w14:paraId="2BC0392B" w14:textId="77777777" w:rsidR="00A425F2" w:rsidRPr="009B546D" w:rsidRDefault="00A425F2" w:rsidP="008D5802">
                  <w:pPr>
                    <w:pStyle w:val="BDO4table"/>
                    <w:suppressAutoHyphens/>
                    <w:spacing w:line="240" w:lineRule="auto"/>
                    <w:ind w:left="57" w:firstLine="0"/>
                    <w:rPr>
                      <w:rFonts w:asciiTheme="minorHAnsi" w:hAnsiTheme="minorHAnsi" w:cstheme="minorHAnsi"/>
                      <w:b/>
                      <w:sz w:val="16"/>
                      <w:szCs w:val="16"/>
                    </w:rPr>
                  </w:pPr>
                </w:p>
              </w:tc>
              <w:tc>
                <w:tcPr>
                  <w:tcW w:w="1209" w:type="dxa"/>
                  <w:vAlign w:val="center"/>
                </w:tcPr>
                <w:p w14:paraId="085DFAEB" w14:textId="77777777" w:rsidR="00A425F2" w:rsidRPr="009B546D" w:rsidRDefault="00A425F2" w:rsidP="008D5802">
                  <w:pPr>
                    <w:pStyle w:val="TableNormal1"/>
                    <w:tabs>
                      <w:tab w:val="decimal" w:pos="1134"/>
                    </w:tabs>
                    <w:jc w:val="right"/>
                    <w:rPr>
                      <w:rFonts w:asciiTheme="minorHAnsi" w:hAnsiTheme="minorHAnsi" w:cstheme="minorHAnsi"/>
                      <w:sz w:val="16"/>
                      <w:szCs w:val="16"/>
                    </w:rPr>
                  </w:pPr>
                </w:p>
              </w:tc>
              <w:tc>
                <w:tcPr>
                  <w:tcW w:w="1209" w:type="dxa"/>
                  <w:vAlign w:val="center"/>
                </w:tcPr>
                <w:p w14:paraId="186FCA1D"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p>
              </w:tc>
              <w:tc>
                <w:tcPr>
                  <w:tcW w:w="1175" w:type="dxa"/>
                  <w:vAlign w:val="center"/>
                </w:tcPr>
                <w:p w14:paraId="13A96B9E"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p>
              </w:tc>
              <w:tc>
                <w:tcPr>
                  <w:tcW w:w="1139" w:type="dxa"/>
                  <w:vAlign w:val="center"/>
                </w:tcPr>
                <w:p w14:paraId="65923EE6"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p>
              </w:tc>
              <w:tc>
                <w:tcPr>
                  <w:tcW w:w="1079" w:type="dxa"/>
                  <w:vAlign w:val="center"/>
                </w:tcPr>
                <w:p w14:paraId="3683E7BB"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p>
              </w:tc>
            </w:tr>
            <w:tr w:rsidR="00A425F2" w:rsidRPr="009B546D" w14:paraId="1FEA062F" w14:textId="77777777" w:rsidTr="00D4158A">
              <w:trPr>
                <w:cantSplit/>
                <w:trHeight w:val="20"/>
              </w:trPr>
              <w:tc>
                <w:tcPr>
                  <w:tcW w:w="993" w:type="dxa"/>
                </w:tcPr>
                <w:p w14:paraId="0EAF6858" w14:textId="77777777" w:rsidR="00A425F2" w:rsidRPr="009B546D" w:rsidRDefault="00A425F2" w:rsidP="008D5802">
                  <w:pPr>
                    <w:pStyle w:val="BDO4table"/>
                    <w:suppressAutoHyphens/>
                    <w:spacing w:line="240" w:lineRule="auto"/>
                    <w:ind w:left="57" w:firstLine="0"/>
                    <w:rPr>
                      <w:rFonts w:asciiTheme="minorHAnsi" w:hAnsiTheme="minorHAnsi" w:cstheme="minorHAnsi"/>
                      <w:b/>
                      <w:sz w:val="16"/>
                      <w:szCs w:val="16"/>
                    </w:rPr>
                  </w:pPr>
                  <w:r w:rsidRPr="009B546D">
                    <w:rPr>
                      <w:rFonts w:asciiTheme="minorHAnsi" w:hAnsiTheme="minorHAnsi" w:cstheme="minorHAnsi"/>
                      <w:b/>
                      <w:sz w:val="16"/>
                      <w:szCs w:val="16"/>
                    </w:rPr>
                    <w:t>Current liabilities</w:t>
                  </w:r>
                </w:p>
              </w:tc>
              <w:tc>
                <w:tcPr>
                  <w:tcW w:w="1209" w:type="dxa"/>
                  <w:vAlign w:val="center"/>
                </w:tcPr>
                <w:p w14:paraId="7A42A4D9" w14:textId="77777777" w:rsidR="00A425F2" w:rsidRPr="009B546D" w:rsidRDefault="00A425F2" w:rsidP="008D5802">
                  <w:pPr>
                    <w:pStyle w:val="TableNormal1"/>
                    <w:tabs>
                      <w:tab w:val="decimal" w:pos="1134"/>
                    </w:tabs>
                    <w:jc w:val="right"/>
                    <w:rPr>
                      <w:rFonts w:asciiTheme="minorHAnsi" w:hAnsiTheme="minorHAnsi" w:cstheme="minorHAnsi"/>
                      <w:sz w:val="16"/>
                      <w:szCs w:val="16"/>
                    </w:rPr>
                  </w:pPr>
                </w:p>
              </w:tc>
              <w:tc>
                <w:tcPr>
                  <w:tcW w:w="1209" w:type="dxa"/>
                  <w:vAlign w:val="center"/>
                </w:tcPr>
                <w:p w14:paraId="69BB1177"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p>
              </w:tc>
              <w:tc>
                <w:tcPr>
                  <w:tcW w:w="1175" w:type="dxa"/>
                  <w:vAlign w:val="center"/>
                </w:tcPr>
                <w:p w14:paraId="4899ED27"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p>
              </w:tc>
              <w:tc>
                <w:tcPr>
                  <w:tcW w:w="1139" w:type="dxa"/>
                  <w:vAlign w:val="center"/>
                </w:tcPr>
                <w:p w14:paraId="542BD2B9"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p>
              </w:tc>
              <w:tc>
                <w:tcPr>
                  <w:tcW w:w="1079" w:type="dxa"/>
                  <w:vAlign w:val="center"/>
                </w:tcPr>
                <w:p w14:paraId="303FF014"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p>
              </w:tc>
            </w:tr>
            <w:tr w:rsidR="00A425F2" w:rsidRPr="009B546D" w14:paraId="2F50985C" w14:textId="77777777" w:rsidTr="00D4158A">
              <w:trPr>
                <w:cantSplit/>
                <w:trHeight w:val="20"/>
              </w:trPr>
              <w:tc>
                <w:tcPr>
                  <w:tcW w:w="993" w:type="dxa"/>
                </w:tcPr>
                <w:p w14:paraId="6FFC0786" w14:textId="77777777" w:rsidR="00A425F2" w:rsidRPr="009B546D" w:rsidRDefault="00A425F2" w:rsidP="008D5802">
                  <w:pPr>
                    <w:pStyle w:val="BDO4table"/>
                    <w:suppressAutoHyphens/>
                    <w:spacing w:line="240" w:lineRule="auto"/>
                    <w:ind w:left="57" w:firstLine="0"/>
                    <w:rPr>
                      <w:rFonts w:asciiTheme="minorHAnsi" w:hAnsiTheme="minorHAnsi" w:cstheme="minorHAnsi"/>
                      <w:sz w:val="16"/>
                      <w:szCs w:val="16"/>
                    </w:rPr>
                  </w:pPr>
                  <w:r w:rsidRPr="009B546D">
                    <w:rPr>
                      <w:rFonts w:asciiTheme="minorHAnsi" w:hAnsiTheme="minorHAnsi" w:cstheme="minorHAnsi"/>
                      <w:sz w:val="16"/>
                      <w:szCs w:val="16"/>
                    </w:rPr>
                    <w:t>Amounts due to a director</w:t>
                  </w:r>
                </w:p>
              </w:tc>
              <w:tc>
                <w:tcPr>
                  <w:tcW w:w="1209" w:type="dxa"/>
                  <w:vAlign w:val="center"/>
                </w:tcPr>
                <w:p w14:paraId="32B98057" w14:textId="313CF1D8"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(289)</w:t>
                  </w:r>
                </w:p>
              </w:tc>
              <w:tc>
                <w:tcPr>
                  <w:tcW w:w="1209" w:type="dxa"/>
                  <w:vAlign w:val="center"/>
                </w:tcPr>
                <w:p w14:paraId="117D495F" w14:textId="638452BA" w:rsidR="00A425F2" w:rsidRPr="009B546D" w:rsidRDefault="005D0800"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(6)</w:t>
                  </w:r>
                </w:p>
              </w:tc>
              <w:tc>
                <w:tcPr>
                  <w:tcW w:w="1175" w:type="dxa"/>
                  <w:vAlign w:val="center"/>
                </w:tcPr>
                <w:p w14:paraId="0E748B18"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39" w:type="dxa"/>
                  <w:vAlign w:val="center"/>
                </w:tcPr>
                <w:p w14:paraId="2808D96F"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079" w:type="dxa"/>
                  <w:vAlign w:val="center"/>
                </w:tcPr>
                <w:p w14:paraId="768A3643" w14:textId="0B46E5B5" w:rsidR="00A425F2" w:rsidRPr="009B546D" w:rsidRDefault="009B141C"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r w:rsidR="00F313B4" w:rsidRPr="009B546D">
                    <w:rPr>
                      <w:rFonts w:asciiTheme="minorHAnsi" w:hAnsiTheme="minorHAnsi" w:cstheme="minorHAnsi"/>
                      <w:sz w:val="16"/>
                      <w:szCs w:val="16"/>
                    </w:rPr>
                    <w:t>295</w:t>
                  </w:r>
                  <w:r w:rsidRPr="009B546D">
                    <w:rPr>
                      <w:rFonts w:asciiTheme="minorHAnsi" w:hAnsiTheme="minorHAnsi" w:cstheme="minorHAnsi"/>
                      <w:sz w:val="16"/>
                      <w:szCs w:val="16"/>
                    </w:rPr>
                    <w:t>)</w:t>
                  </w:r>
                  <w:r w:rsidR="00A425F2" w:rsidRPr="009B546D">
                    <w:rPr>
                      <w:rFonts w:asciiTheme="minorHAnsi" w:hAnsiTheme="minorHAnsi" w:cstheme="minorHAnsi"/>
                      <w:sz w:val="16"/>
                      <w:szCs w:val="16"/>
                    </w:rPr>
                    <w:t xml:space="preserve"> </w:t>
                  </w:r>
                </w:p>
              </w:tc>
            </w:tr>
            <w:tr w:rsidR="00A425F2" w:rsidRPr="009B546D" w14:paraId="51380EC6" w14:textId="77777777" w:rsidTr="00D4158A">
              <w:trPr>
                <w:cantSplit/>
                <w:trHeight w:val="20"/>
              </w:trPr>
              <w:tc>
                <w:tcPr>
                  <w:tcW w:w="993" w:type="dxa"/>
                </w:tcPr>
                <w:p w14:paraId="41F1CA2D" w14:textId="77777777" w:rsidR="00A425F2" w:rsidRPr="009B546D" w:rsidRDefault="00A425F2" w:rsidP="008D5802">
                  <w:pPr>
                    <w:pStyle w:val="BDO4table"/>
                    <w:suppressAutoHyphens/>
                    <w:spacing w:line="240" w:lineRule="auto"/>
                    <w:ind w:left="57" w:firstLine="0"/>
                    <w:rPr>
                      <w:rFonts w:asciiTheme="minorHAnsi" w:hAnsiTheme="minorHAnsi" w:cstheme="minorHAnsi"/>
                      <w:sz w:val="16"/>
                      <w:szCs w:val="16"/>
                    </w:rPr>
                  </w:pPr>
                  <w:r w:rsidRPr="009B546D">
                    <w:rPr>
                      <w:rFonts w:asciiTheme="minorHAnsi" w:hAnsiTheme="minorHAnsi" w:cstheme="minorHAnsi"/>
                      <w:sz w:val="16"/>
                      <w:szCs w:val="16"/>
                    </w:rPr>
                    <w:t>Other payables and accruals</w:t>
                  </w:r>
                </w:p>
              </w:tc>
              <w:tc>
                <w:tcPr>
                  <w:tcW w:w="1209" w:type="dxa"/>
                  <w:vAlign w:val="center"/>
                </w:tcPr>
                <w:p w14:paraId="73E6087F" w14:textId="24FB6C20"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r w:rsidR="0050273B" w:rsidRPr="009B546D">
                    <w:rPr>
                      <w:rFonts w:asciiTheme="minorHAnsi" w:hAnsiTheme="minorHAnsi" w:cstheme="minorHAnsi"/>
                      <w:sz w:val="16"/>
                      <w:szCs w:val="16"/>
                    </w:rPr>
                    <w:t>218</w:t>
                  </w:r>
                  <w:r w:rsidRPr="009B546D">
                    <w:rPr>
                      <w:rFonts w:asciiTheme="minorHAnsi" w:hAnsiTheme="minorHAnsi" w:cstheme="minorHAnsi"/>
                      <w:sz w:val="16"/>
                      <w:szCs w:val="16"/>
                    </w:rPr>
                    <w:t>)</w:t>
                  </w:r>
                </w:p>
              </w:tc>
              <w:tc>
                <w:tcPr>
                  <w:tcW w:w="1209" w:type="dxa"/>
                  <w:vAlign w:val="center"/>
                </w:tcPr>
                <w:p w14:paraId="5AE0DC68" w14:textId="39E719F6"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r w:rsidR="005D0800" w:rsidRPr="009B546D">
                    <w:rPr>
                      <w:rFonts w:asciiTheme="minorHAnsi" w:hAnsiTheme="minorHAnsi" w:cstheme="minorHAnsi"/>
                      <w:sz w:val="16"/>
                      <w:szCs w:val="16"/>
                    </w:rPr>
                    <w:t>111</w:t>
                  </w:r>
                  <w:r w:rsidRPr="009B546D">
                    <w:rPr>
                      <w:rFonts w:asciiTheme="minorHAnsi" w:hAnsiTheme="minorHAnsi" w:cstheme="minorHAnsi"/>
                      <w:sz w:val="16"/>
                      <w:szCs w:val="16"/>
                    </w:rPr>
                    <w:t>)</w:t>
                  </w:r>
                </w:p>
              </w:tc>
              <w:tc>
                <w:tcPr>
                  <w:tcW w:w="1175" w:type="dxa"/>
                  <w:vAlign w:val="center"/>
                </w:tcPr>
                <w:p w14:paraId="7F746DC0"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39" w:type="dxa"/>
                  <w:vAlign w:val="center"/>
                </w:tcPr>
                <w:p w14:paraId="30A35523"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079" w:type="dxa"/>
                  <w:vAlign w:val="center"/>
                </w:tcPr>
                <w:p w14:paraId="0505F942" w14:textId="71DBB799" w:rsidR="00A425F2" w:rsidRPr="009B546D" w:rsidRDefault="009B141C"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r w:rsidR="00F313B4" w:rsidRPr="009B546D">
                    <w:rPr>
                      <w:rFonts w:asciiTheme="minorHAnsi" w:hAnsiTheme="minorHAnsi" w:cstheme="minorHAnsi"/>
                      <w:sz w:val="16"/>
                      <w:szCs w:val="16"/>
                    </w:rPr>
                    <w:t>329</w:t>
                  </w:r>
                  <w:r w:rsidRPr="009B546D">
                    <w:rPr>
                      <w:rFonts w:asciiTheme="minorHAnsi" w:hAnsiTheme="minorHAnsi" w:cstheme="minorHAnsi"/>
                      <w:sz w:val="16"/>
                      <w:szCs w:val="16"/>
                    </w:rPr>
                    <w:t>)</w:t>
                  </w:r>
                  <w:r w:rsidR="00A425F2" w:rsidRPr="009B546D">
                    <w:rPr>
                      <w:rFonts w:asciiTheme="minorHAnsi" w:hAnsiTheme="minorHAnsi" w:cstheme="minorHAnsi"/>
                      <w:sz w:val="16"/>
                      <w:szCs w:val="16"/>
                    </w:rPr>
                    <w:t xml:space="preserve"> </w:t>
                  </w:r>
                </w:p>
              </w:tc>
            </w:tr>
            <w:tr w:rsidR="00A425F2" w:rsidRPr="009B546D" w14:paraId="3449CF69" w14:textId="77777777" w:rsidTr="00D4158A">
              <w:trPr>
                <w:cantSplit/>
                <w:trHeight w:val="20"/>
              </w:trPr>
              <w:tc>
                <w:tcPr>
                  <w:tcW w:w="993" w:type="dxa"/>
                </w:tcPr>
                <w:p w14:paraId="6E9BABCD" w14:textId="77777777" w:rsidR="00A425F2" w:rsidRPr="009B546D" w:rsidRDefault="00A425F2" w:rsidP="008D5802">
                  <w:pPr>
                    <w:pStyle w:val="TableNormal1"/>
                    <w:ind w:left="57"/>
                    <w:rPr>
                      <w:rFonts w:asciiTheme="minorHAnsi" w:hAnsiTheme="minorHAnsi" w:cstheme="minorHAnsi"/>
                      <w:sz w:val="16"/>
                      <w:szCs w:val="16"/>
                    </w:rPr>
                  </w:pPr>
                </w:p>
              </w:tc>
              <w:tc>
                <w:tcPr>
                  <w:tcW w:w="1209" w:type="dxa"/>
                  <w:vAlign w:val="center"/>
                </w:tcPr>
                <w:p w14:paraId="651ACA90" w14:textId="77777777" w:rsidR="00A425F2" w:rsidRPr="009B546D" w:rsidRDefault="00A425F2" w:rsidP="008D5802">
                  <w:pPr>
                    <w:pStyle w:val="TableNormal1"/>
                    <w:tabs>
                      <w:tab w:val="decimal" w:pos="1134"/>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209" w:type="dxa"/>
                  <w:vAlign w:val="center"/>
                </w:tcPr>
                <w:p w14:paraId="4FD9D027"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75" w:type="dxa"/>
                  <w:vAlign w:val="center"/>
                </w:tcPr>
                <w:p w14:paraId="721339D6"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39" w:type="dxa"/>
                  <w:vAlign w:val="center"/>
                </w:tcPr>
                <w:p w14:paraId="669EC67E"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079" w:type="dxa"/>
                  <w:vAlign w:val="center"/>
                </w:tcPr>
                <w:p w14:paraId="7431C46F"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r>
            <w:tr w:rsidR="00A425F2" w:rsidRPr="009B546D" w14:paraId="74E143C8" w14:textId="77777777" w:rsidTr="00D4158A">
              <w:trPr>
                <w:cantSplit/>
                <w:trHeight w:val="20"/>
              </w:trPr>
              <w:tc>
                <w:tcPr>
                  <w:tcW w:w="993" w:type="dxa"/>
                </w:tcPr>
                <w:p w14:paraId="0EA6B701" w14:textId="77777777" w:rsidR="00A425F2" w:rsidRPr="009B546D" w:rsidRDefault="00A425F2" w:rsidP="008D5802">
                  <w:pPr>
                    <w:pStyle w:val="TableNormal1"/>
                    <w:ind w:left="57"/>
                    <w:rPr>
                      <w:rFonts w:asciiTheme="minorHAnsi" w:hAnsiTheme="minorHAnsi" w:cstheme="minorHAnsi"/>
                      <w:b/>
                      <w:sz w:val="16"/>
                      <w:szCs w:val="16"/>
                    </w:rPr>
                  </w:pPr>
                </w:p>
              </w:tc>
              <w:tc>
                <w:tcPr>
                  <w:tcW w:w="1209" w:type="dxa"/>
                  <w:vAlign w:val="center"/>
                </w:tcPr>
                <w:p w14:paraId="2CC75C42" w14:textId="161CBDB6" w:rsidR="00A425F2" w:rsidRPr="009B546D" w:rsidRDefault="00A425F2" w:rsidP="008D5802">
                  <w:pPr>
                    <w:pStyle w:val="TableNormal1"/>
                    <w:tabs>
                      <w:tab w:val="decimal" w:pos="992"/>
                    </w:tabs>
                    <w:jc w:val="right"/>
                    <w:rPr>
                      <w:rFonts w:asciiTheme="minorHAnsi" w:hAnsiTheme="minorHAnsi" w:cstheme="minorHAnsi"/>
                      <w:b/>
                      <w:sz w:val="16"/>
                      <w:szCs w:val="16"/>
                    </w:rPr>
                  </w:pPr>
                  <w:r w:rsidRPr="009B546D">
                    <w:rPr>
                      <w:rFonts w:asciiTheme="minorHAnsi" w:hAnsiTheme="minorHAnsi" w:cstheme="minorHAnsi"/>
                      <w:b/>
                      <w:sz w:val="16"/>
                      <w:szCs w:val="16"/>
                    </w:rPr>
                    <w:t>(</w:t>
                  </w:r>
                  <w:r w:rsidR="00E71AAD" w:rsidRPr="009B546D">
                    <w:rPr>
                      <w:rFonts w:asciiTheme="minorHAnsi" w:hAnsiTheme="minorHAnsi" w:cstheme="minorHAnsi"/>
                      <w:b/>
                      <w:sz w:val="16"/>
                      <w:szCs w:val="16"/>
                    </w:rPr>
                    <w:t>507</w:t>
                  </w:r>
                  <w:r w:rsidRPr="009B546D">
                    <w:rPr>
                      <w:rFonts w:asciiTheme="minorHAnsi" w:hAnsiTheme="minorHAnsi" w:cstheme="minorHAnsi"/>
                      <w:b/>
                      <w:sz w:val="16"/>
                      <w:szCs w:val="16"/>
                    </w:rPr>
                    <w:t>)</w:t>
                  </w:r>
                </w:p>
              </w:tc>
              <w:tc>
                <w:tcPr>
                  <w:tcW w:w="1209" w:type="dxa"/>
                  <w:vAlign w:val="center"/>
                </w:tcPr>
                <w:p w14:paraId="772B20F9" w14:textId="151F627E" w:rsidR="00A425F2" w:rsidRPr="009B546D" w:rsidRDefault="00A425F2" w:rsidP="008D5802">
                  <w:pPr>
                    <w:pStyle w:val="TableNormal1"/>
                    <w:tabs>
                      <w:tab w:val="decimal" w:pos="992"/>
                    </w:tabs>
                    <w:jc w:val="right"/>
                    <w:rPr>
                      <w:rFonts w:asciiTheme="minorHAnsi" w:hAnsiTheme="minorHAnsi" w:cstheme="minorHAnsi"/>
                      <w:b/>
                      <w:sz w:val="16"/>
                      <w:szCs w:val="16"/>
                    </w:rPr>
                  </w:pPr>
                  <w:r w:rsidRPr="009B546D">
                    <w:rPr>
                      <w:rFonts w:asciiTheme="minorHAnsi" w:hAnsiTheme="minorHAnsi" w:cstheme="minorHAnsi"/>
                      <w:sz w:val="16"/>
                      <w:szCs w:val="16"/>
                    </w:rPr>
                    <w:t>(</w:t>
                  </w:r>
                  <w:r w:rsidR="005D0800" w:rsidRPr="009B546D">
                    <w:rPr>
                      <w:rFonts w:asciiTheme="minorHAnsi" w:hAnsiTheme="minorHAnsi" w:cstheme="minorHAnsi"/>
                      <w:sz w:val="16"/>
                      <w:szCs w:val="16"/>
                    </w:rPr>
                    <w:t>117</w:t>
                  </w:r>
                  <w:r w:rsidRPr="009B546D">
                    <w:rPr>
                      <w:rFonts w:asciiTheme="minorHAnsi" w:hAnsiTheme="minorHAnsi" w:cstheme="minorHAnsi"/>
                      <w:sz w:val="16"/>
                      <w:szCs w:val="16"/>
                    </w:rPr>
                    <w:t>)</w:t>
                  </w:r>
                </w:p>
              </w:tc>
              <w:tc>
                <w:tcPr>
                  <w:tcW w:w="1175" w:type="dxa"/>
                  <w:vAlign w:val="center"/>
                </w:tcPr>
                <w:p w14:paraId="4C9CD7DC" w14:textId="77777777" w:rsidR="00A425F2" w:rsidRPr="009B546D" w:rsidRDefault="00A425F2" w:rsidP="008D5802">
                  <w:pPr>
                    <w:pStyle w:val="TableNormal1"/>
                    <w:tabs>
                      <w:tab w:val="decimal" w:pos="993"/>
                    </w:tabs>
                    <w:jc w:val="right"/>
                    <w:rPr>
                      <w:rFonts w:asciiTheme="minorHAnsi" w:hAnsiTheme="minorHAnsi" w:cstheme="minorHAnsi"/>
                      <w:b/>
                      <w:sz w:val="16"/>
                      <w:szCs w:val="16"/>
                    </w:rPr>
                  </w:pPr>
                  <w:r w:rsidRPr="009B546D">
                    <w:rPr>
                      <w:rFonts w:asciiTheme="minorHAnsi" w:hAnsiTheme="minorHAnsi" w:cstheme="minorHAnsi"/>
                      <w:b/>
                      <w:sz w:val="16"/>
                      <w:szCs w:val="16"/>
                    </w:rPr>
                    <w:t>-</w:t>
                  </w:r>
                </w:p>
              </w:tc>
              <w:tc>
                <w:tcPr>
                  <w:tcW w:w="1139" w:type="dxa"/>
                  <w:vAlign w:val="center"/>
                </w:tcPr>
                <w:p w14:paraId="3811DFE0" w14:textId="77777777" w:rsidR="00A425F2" w:rsidRPr="009B546D" w:rsidRDefault="00A425F2" w:rsidP="008D5802">
                  <w:pPr>
                    <w:pStyle w:val="TableNormal1"/>
                    <w:tabs>
                      <w:tab w:val="decimal" w:pos="992"/>
                    </w:tabs>
                    <w:jc w:val="right"/>
                    <w:rPr>
                      <w:rFonts w:asciiTheme="minorHAnsi" w:hAnsiTheme="minorHAnsi" w:cstheme="minorHAnsi"/>
                      <w:b/>
                      <w:sz w:val="16"/>
                      <w:szCs w:val="16"/>
                    </w:rPr>
                  </w:pPr>
                  <w:r w:rsidRPr="009B546D">
                    <w:rPr>
                      <w:rFonts w:asciiTheme="minorHAnsi" w:hAnsiTheme="minorHAnsi" w:cstheme="minorHAnsi"/>
                      <w:b/>
                      <w:sz w:val="16"/>
                      <w:szCs w:val="16"/>
                    </w:rPr>
                    <w:t>-</w:t>
                  </w:r>
                </w:p>
              </w:tc>
              <w:tc>
                <w:tcPr>
                  <w:tcW w:w="1079" w:type="dxa"/>
                  <w:vAlign w:val="center"/>
                </w:tcPr>
                <w:p w14:paraId="20C65CC2" w14:textId="701243A1" w:rsidR="00A425F2" w:rsidRPr="009B546D" w:rsidRDefault="009B141C" w:rsidP="008D5802">
                  <w:pPr>
                    <w:pStyle w:val="TableNormal1"/>
                    <w:tabs>
                      <w:tab w:val="decimal" w:pos="992"/>
                    </w:tabs>
                    <w:jc w:val="right"/>
                    <w:rPr>
                      <w:rFonts w:asciiTheme="minorHAnsi" w:hAnsiTheme="minorHAnsi" w:cstheme="minorHAnsi"/>
                      <w:b/>
                      <w:sz w:val="16"/>
                      <w:szCs w:val="16"/>
                    </w:rPr>
                  </w:pPr>
                  <w:r w:rsidRPr="009B546D">
                    <w:rPr>
                      <w:rFonts w:asciiTheme="minorHAnsi" w:hAnsiTheme="minorHAnsi" w:cstheme="minorHAnsi"/>
                      <w:b/>
                      <w:sz w:val="16"/>
                      <w:szCs w:val="16"/>
                    </w:rPr>
                    <w:t>(</w:t>
                  </w:r>
                  <w:r w:rsidR="00F313B4" w:rsidRPr="009B546D">
                    <w:rPr>
                      <w:rFonts w:asciiTheme="minorHAnsi" w:hAnsiTheme="minorHAnsi" w:cstheme="minorHAnsi"/>
                      <w:b/>
                      <w:sz w:val="16"/>
                      <w:szCs w:val="16"/>
                    </w:rPr>
                    <w:t>624</w:t>
                  </w:r>
                  <w:r w:rsidRPr="009B546D">
                    <w:rPr>
                      <w:rFonts w:asciiTheme="minorHAnsi" w:hAnsiTheme="minorHAnsi" w:cstheme="minorHAnsi"/>
                      <w:b/>
                      <w:sz w:val="16"/>
                      <w:szCs w:val="16"/>
                    </w:rPr>
                    <w:t>)</w:t>
                  </w:r>
                  <w:r w:rsidR="00A425F2" w:rsidRPr="009B546D">
                    <w:rPr>
                      <w:rFonts w:asciiTheme="minorHAnsi" w:hAnsiTheme="minorHAnsi" w:cstheme="minorHAnsi"/>
                      <w:b/>
                      <w:sz w:val="16"/>
                      <w:szCs w:val="16"/>
                    </w:rPr>
                    <w:t xml:space="preserve"> </w:t>
                  </w:r>
                </w:p>
              </w:tc>
            </w:tr>
            <w:tr w:rsidR="00A425F2" w:rsidRPr="009B546D" w14:paraId="414E9559" w14:textId="77777777" w:rsidTr="00D4158A">
              <w:trPr>
                <w:cantSplit/>
                <w:trHeight w:val="20"/>
              </w:trPr>
              <w:tc>
                <w:tcPr>
                  <w:tcW w:w="993" w:type="dxa"/>
                </w:tcPr>
                <w:p w14:paraId="00F25089" w14:textId="77777777" w:rsidR="00A425F2" w:rsidRPr="009B546D" w:rsidRDefault="00A425F2" w:rsidP="008D5802">
                  <w:pPr>
                    <w:pStyle w:val="TableNormal1"/>
                    <w:ind w:left="57"/>
                    <w:rPr>
                      <w:rFonts w:asciiTheme="minorHAnsi" w:hAnsiTheme="minorHAnsi" w:cstheme="minorHAnsi"/>
                      <w:sz w:val="16"/>
                      <w:szCs w:val="16"/>
                    </w:rPr>
                  </w:pPr>
                </w:p>
              </w:tc>
              <w:tc>
                <w:tcPr>
                  <w:tcW w:w="1209" w:type="dxa"/>
                  <w:vAlign w:val="center"/>
                </w:tcPr>
                <w:p w14:paraId="6B085B6D" w14:textId="77777777" w:rsidR="00A425F2" w:rsidRPr="009B546D" w:rsidRDefault="00A425F2" w:rsidP="008D5802">
                  <w:pPr>
                    <w:pStyle w:val="TableNormal1"/>
                    <w:tabs>
                      <w:tab w:val="decimal" w:pos="1134"/>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209" w:type="dxa"/>
                  <w:vAlign w:val="center"/>
                </w:tcPr>
                <w:p w14:paraId="3AA865A0"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75" w:type="dxa"/>
                  <w:vAlign w:val="center"/>
                </w:tcPr>
                <w:p w14:paraId="694F8842"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39" w:type="dxa"/>
                  <w:vAlign w:val="center"/>
                </w:tcPr>
                <w:p w14:paraId="2B2B43B7"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079" w:type="dxa"/>
                  <w:vAlign w:val="center"/>
                </w:tcPr>
                <w:p w14:paraId="35D180FF"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r>
            <w:tr w:rsidR="00A425F2" w:rsidRPr="009B546D" w14:paraId="57372419" w14:textId="77777777" w:rsidTr="00D4158A">
              <w:trPr>
                <w:cantSplit/>
                <w:trHeight w:val="20"/>
              </w:trPr>
              <w:tc>
                <w:tcPr>
                  <w:tcW w:w="993" w:type="dxa"/>
                </w:tcPr>
                <w:p w14:paraId="7EC44195" w14:textId="77777777" w:rsidR="00A425F2" w:rsidRPr="009B546D" w:rsidRDefault="00A425F2" w:rsidP="008D5802">
                  <w:pPr>
                    <w:pStyle w:val="TableNormal1"/>
                    <w:ind w:left="57"/>
                    <w:rPr>
                      <w:rFonts w:asciiTheme="minorHAnsi" w:hAnsiTheme="minorHAnsi" w:cstheme="minorHAnsi"/>
                      <w:b/>
                      <w:sz w:val="16"/>
                      <w:szCs w:val="16"/>
                    </w:rPr>
                  </w:pPr>
                  <w:r w:rsidRPr="009B546D">
                    <w:rPr>
                      <w:rFonts w:asciiTheme="minorHAnsi" w:hAnsiTheme="minorHAnsi" w:cstheme="minorHAnsi"/>
                      <w:b/>
                      <w:sz w:val="16"/>
                      <w:szCs w:val="16"/>
                    </w:rPr>
                    <w:t>Total liabilities</w:t>
                  </w:r>
                </w:p>
              </w:tc>
              <w:tc>
                <w:tcPr>
                  <w:tcW w:w="1209" w:type="dxa"/>
                  <w:vAlign w:val="center"/>
                </w:tcPr>
                <w:p w14:paraId="4A14F18E" w14:textId="0130A291" w:rsidR="00A425F2" w:rsidRPr="009B546D" w:rsidRDefault="00A425F2" w:rsidP="008D5802">
                  <w:pPr>
                    <w:pStyle w:val="TableNormal1"/>
                    <w:tabs>
                      <w:tab w:val="decimal" w:pos="992"/>
                    </w:tabs>
                    <w:jc w:val="right"/>
                    <w:rPr>
                      <w:rFonts w:asciiTheme="minorHAnsi" w:hAnsiTheme="minorHAnsi" w:cstheme="minorHAnsi"/>
                      <w:b/>
                      <w:sz w:val="16"/>
                      <w:szCs w:val="16"/>
                    </w:rPr>
                  </w:pPr>
                  <w:r w:rsidRPr="009B546D">
                    <w:rPr>
                      <w:rFonts w:asciiTheme="minorHAnsi" w:hAnsiTheme="minorHAnsi" w:cstheme="minorHAnsi"/>
                      <w:b/>
                      <w:sz w:val="16"/>
                      <w:szCs w:val="16"/>
                    </w:rPr>
                    <w:t>(</w:t>
                  </w:r>
                  <w:r w:rsidR="00E71AAD" w:rsidRPr="009B546D">
                    <w:rPr>
                      <w:rFonts w:asciiTheme="minorHAnsi" w:hAnsiTheme="minorHAnsi" w:cstheme="minorHAnsi"/>
                      <w:b/>
                      <w:sz w:val="16"/>
                      <w:szCs w:val="16"/>
                    </w:rPr>
                    <w:t>507</w:t>
                  </w:r>
                  <w:r w:rsidRPr="009B546D">
                    <w:rPr>
                      <w:rFonts w:asciiTheme="minorHAnsi" w:hAnsiTheme="minorHAnsi" w:cstheme="minorHAnsi"/>
                      <w:b/>
                      <w:sz w:val="16"/>
                      <w:szCs w:val="16"/>
                    </w:rPr>
                    <w:t>)</w:t>
                  </w:r>
                </w:p>
              </w:tc>
              <w:tc>
                <w:tcPr>
                  <w:tcW w:w="1209" w:type="dxa"/>
                  <w:vAlign w:val="center"/>
                </w:tcPr>
                <w:p w14:paraId="2083BB51" w14:textId="07B958C0" w:rsidR="00A425F2" w:rsidRPr="009B546D" w:rsidRDefault="00A425F2" w:rsidP="008D5802">
                  <w:pPr>
                    <w:pStyle w:val="TableNormal1"/>
                    <w:tabs>
                      <w:tab w:val="decimal" w:pos="992"/>
                    </w:tabs>
                    <w:jc w:val="right"/>
                    <w:rPr>
                      <w:rFonts w:asciiTheme="minorHAnsi" w:hAnsiTheme="minorHAnsi" w:cstheme="minorHAnsi"/>
                      <w:b/>
                      <w:sz w:val="16"/>
                      <w:szCs w:val="16"/>
                    </w:rPr>
                  </w:pPr>
                  <w:r w:rsidRPr="009B546D">
                    <w:rPr>
                      <w:rFonts w:asciiTheme="minorHAnsi" w:hAnsiTheme="minorHAnsi" w:cstheme="minorHAnsi"/>
                      <w:sz w:val="16"/>
                      <w:szCs w:val="16"/>
                    </w:rPr>
                    <w:t>(</w:t>
                  </w:r>
                  <w:r w:rsidR="005D0800" w:rsidRPr="009B546D">
                    <w:rPr>
                      <w:rFonts w:asciiTheme="minorHAnsi" w:hAnsiTheme="minorHAnsi" w:cstheme="minorHAnsi"/>
                      <w:sz w:val="16"/>
                      <w:szCs w:val="16"/>
                    </w:rPr>
                    <w:t>117</w:t>
                  </w:r>
                  <w:r w:rsidRPr="009B546D">
                    <w:rPr>
                      <w:rFonts w:asciiTheme="minorHAnsi" w:hAnsiTheme="minorHAnsi" w:cstheme="minorHAnsi"/>
                      <w:sz w:val="16"/>
                      <w:szCs w:val="16"/>
                    </w:rPr>
                    <w:t>)</w:t>
                  </w:r>
                </w:p>
              </w:tc>
              <w:tc>
                <w:tcPr>
                  <w:tcW w:w="1175" w:type="dxa"/>
                  <w:vAlign w:val="center"/>
                </w:tcPr>
                <w:p w14:paraId="78B5C706" w14:textId="77777777" w:rsidR="00A425F2" w:rsidRPr="009B546D" w:rsidRDefault="00A425F2" w:rsidP="008D5802">
                  <w:pPr>
                    <w:pStyle w:val="TableNormal1"/>
                    <w:tabs>
                      <w:tab w:val="decimal" w:pos="993"/>
                    </w:tabs>
                    <w:jc w:val="right"/>
                    <w:rPr>
                      <w:rFonts w:asciiTheme="minorHAnsi" w:hAnsiTheme="minorHAnsi" w:cstheme="minorHAnsi"/>
                      <w:b/>
                      <w:sz w:val="16"/>
                      <w:szCs w:val="16"/>
                    </w:rPr>
                  </w:pPr>
                  <w:r w:rsidRPr="009B546D">
                    <w:rPr>
                      <w:rFonts w:asciiTheme="minorHAnsi" w:hAnsiTheme="minorHAnsi" w:cstheme="minorHAnsi"/>
                      <w:b/>
                      <w:sz w:val="16"/>
                      <w:szCs w:val="16"/>
                    </w:rPr>
                    <w:t>-</w:t>
                  </w:r>
                </w:p>
              </w:tc>
              <w:tc>
                <w:tcPr>
                  <w:tcW w:w="1139" w:type="dxa"/>
                  <w:vAlign w:val="center"/>
                </w:tcPr>
                <w:p w14:paraId="70A11EA6" w14:textId="77777777" w:rsidR="00A425F2" w:rsidRPr="009B546D" w:rsidRDefault="00A425F2" w:rsidP="008D5802">
                  <w:pPr>
                    <w:pStyle w:val="TableNormal1"/>
                    <w:tabs>
                      <w:tab w:val="decimal" w:pos="992"/>
                    </w:tabs>
                    <w:jc w:val="right"/>
                    <w:rPr>
                      <w:rFonts w:asciiTheme="minorHAnsi" w:hAnsiTheme="minorHAnsi" w:cstheme="minorHAnsi"/>
                      <w:b/>
                      <w:sz w:val="16"/>
                      <w:szCs w:val="16"/>
                    </w:rPr>
                  </w:pPr>
                  <w:r w:rsidRPr="009B546D">
                    <w:rPr>
                      <w:rFonts w:asciiTheme="minorHAnsi" w:hAnsiTheme="minorHAnsi" w:cstheme="minorHAnsi"/>
                      <w:b/>
                      <w:sz w:val="16"/>
                      <w:szCs w:val="16"/>
                    </w:rPr>
                    <w:t>-</w:t>
                  </w:r>
                </w:p>
              </w:tc>
              <w:tc>
                <w:tcPr>
                  <w:tcW w:w="1079" w:type="dxa"/>
                  <w:vAlign w:val="center"/>
                </w:tcPr>
                <w:p w14:paraId="7021AEAD" w14:textId="6C8E6888" w:rsidR="00A425F2" w:rsidRPr="009B546D" w:rsidRDefault="009B141C" w:rsidP="008D5802">
                  <w:pPr>
                    <w:pStyle w:val="TableNormal1"/>
                    <w:tabs>
                      <w:tab w:val="decimal" w:pos="992"/>
                    </w:tabs>
                    <w:jc w:val="right"/>
                    <w:rPr>
                      <w:rFonts w:asciiTheme="minorHAnsi" w:hAnsiTheme="minorHAnsi" w:cstheme="minorHAnsi"/>
                      <w:b/>
                      <w:sz w:val="16"/>
                      <w:szCs w:val="16"/>
                    </w:rPr>
                  </w:pPr>
                  <w:r w:rsidRPr="009B546D">
                    <w:rPr>
                      <w:rFonts w:asciiTheme="minorHAnsi" w:hAnsiTheme="minorHAnsi" w:cstheme="minorHAnsi"/>
                      <w:b/>
                      <w:sz w:val="16"/>
                      <w:szCs w:val="16"/>
                    </w:rPr>
                    <w:t>(</w:t>
                  </w:r>
                  <w:r w:rsidR="00F313B4" w:rsidRPr="009B546D">
                    <w:rPr>
                      <w:rFonts w:asciiTheme="minorHAnsi" w:hAnsiTheme="minorHAnsi" w:cstheme="minorHAnsi"/>
                      <w:b/>
                      <w:sz w:val="16"/>
                      <w:szCs w:val="16"/>
                    </w:rPr>
                    <w:t>624</w:t>
                  </w:r>
                  <w:r w:rsidRPr="009B546D">
                    <w:rPr>
                      <w:rFonts w:asciiTheme="minorHAnsi" w:hAnsiTheme="minorHAnsi" w:cstheme="minorHAnsi"/>
                      <w:b/>
                      <w:sz w:val="16"/>
                      <w:szCs w:val="16"/>
                    </w:rPr>
                    <w:t>)</w:t>
                  </w:r>
                  <w:r w:rsidR="00A425F2" w:rsidRPr="009B546D">
                    <w:rPr>
                      <w:rFonts w:asciiTheme="minorHAnsi" w:hAnsiTheme="minorHAnsi" w:cstheme="minorHAnsi"/>
                      <w:b/>
                      <w:sz w:val="16"/>
                      <w:szCs w:val="16"/>
                    </w:rPr>
                    <w:t xml:space="preserve"> </w:t>
                  </w:r>
                </w:p>
              </w:tc>
            </w:tr>
            <w:tr w:rsidR="00A425F2" w:rsidRPr="009B546D" w14:paraId="3A0395C1" w14:textId="77777777" w:rsidTr="00D4158A">
              <w:trPr>
                <w:cantSplit/>
                <w:trHeight w:val="20"/>
              </w:trPr>
              <w:tc>
                <w:tcPr>
                  <w:tcW w:w="993" w:type="dxa"/>
                </w:tcPr>
                <w:p w14:paraId="7970B9A8" w14:textId="77777777" w:rsidR="00A425F2" w:rsidRPr="009B546D" w:rsidRDefault="00A425F2" w:rsidP="008D5802">
                  <w:pPr>
                    <w:pStyle w:val="TableNormal1"/>
                    <w:ind w:left="57"/>
                    <w:rPr>
                      <w:rFonts w:asciiTheme="minorHAnsi" w:hAnsiTheme="minorHAnsi" w:cstheme="minorHAnsi"/>
                      <w:b/>
                      <w:sz w:val="16"/>
                      <w:szCs w:val="16"/>
                    </w:rPr>
                  </w:pPr>
                </w:p>
              </w:tc>
              <w:tc>
                <w:tcPr>
                  <w:tcW w:w="1209" w:type="dxa"/>
                  <w:vAlign w:val="center"/>
                </w:tcPr>
                <w:p w14:paraId="748F556B" w14:textId="77777777" w:rsidR="00A425F2" w:rsidRPr="009B546D" w:rsidRDefault="00A425F2" w:rsidP="008D5802">
                  <w:pPr>
                    <w:pStyle w:val="TableNormal1"/>
                    <w:tabs>
                      <w:tab w:val="decimal" w:pos="1134"/>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209" w:type="dxa"/>
                  <w:vAlign w:val="center"/>
                </w:tcPr>
                <w:p w14:paraId="39CCDF96"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75" w:type="dxa"/>
                  <w:vAlign w:val="center"/>
                </w:tcPr>
                <w:p w14:paraId="03AA3EC2" w14:textId="77777777" w:rsidR="00A425F2" w:rsidRPr="009B546D" w:rsidRDefault="00A425F2" w:rsidP="008D5802">
                  <w:pPr>
                    <w:pStyle w:val="TableNormal1"/>
                    <w:tabs>
                      <w:tab w:val="decimal" w:pos="993"/>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139" w:type="dxa"/>
                  <w:vAlign w:val="center"/>
                </w:tcPr>
                <w:p w14:paraId="353653F8"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1079" w:type="dxa"/>
                  <w:vAlign w:val="center"/>
                </w:tcPr>
                <w:p w14:paraId="0040337B" w14:textId="77777777" w:rsidR="00A425F2" w:rsidRPr="009B546D" w:rsidRDefault="00A425F2" w:rsidP="008D5802">
                  <w:pPr>
                    <w:pStyle w:val="TableNormal1"/>
                    <w:tabs>
                      <w:tab w:val="decimal" w:pos="992"/>
                    </w:tabs>
                    <w:jc w:val="right"/>
                    <w:rPr>
                      <w:rFonts w:asciiTheme="minorHAnsi" w:hAnsiTheme="minorHAnsi" w:cstheme="minorHAnsi"/>
                      <w:sz w:val="16"/>
                      <w:szCs w:val="16"/>
                    </w:rPr>
                  </w:pPr>
                  <w:r w:rsidRPr="009B546D">
                    <w:rPr>
                      <w:rFonts w:asciiTheme="minorHAnsi" w:hAnsiTheme="minorHAnsi" w:cstheme="minorHAnsi"/>
                      <w:sz w:val="16"/>
                      <w:szCs w:val="16"/>
                    </w:rPr>
                    <w:t>––––––</w:t>
                  </w:r>
                </w:p>
              </w:tc>
            </w:tr>
            <w:tr w:rsidR="00A425F2" w:rsidRPr="00E42C6E" w14:paraId="3EC6EFB9" w14:textId="77777777" w:rsidTr="00D4158A">
              <w:trPr>
                <w:cantSplit/>
                <w:trHeight w:val="20"/>
              </w:trPr>
              <w:tc>
                <w:tcPr>
                  <w:tcW w:w="993" w:type="dxa"/>
                </w:tcPr>
                <w:p w14:paraId="3694DD10" w14:textId="77777777" w:rsidR="00A425F2" w:rsidRPr="009B546D" w:rsidRDefault="00A425F2" w:rsidP="008D5802">
                  <w:pPr>
                    <w:pStyle w:val="TableNormal1"/>
                    <w:ind w:left="57"/>
                    <w:rPr>
                      <w:rFonts w:asciiTheme="minorHAnsi" w:hAnsiTheme="minorHAnsi" w:cstheme="minorHAnsi"/>
                      <w:b/>
                      <w:sz w:val="16"/>
                      <w:szCs w:val="16"/>
                    </w:rPr>
                  </w:pPr>
                  <w:r w:rsidRPr="009B546D">
                    <w:rPr>
                      <w:rFonts w:asciiTheme="minorHAnsi" w:hAnsiTheme="minorHAnsi" w:cstheme="minorHAnsi"/>
                      <w:b/>
                      <w:sz w:val="16"/>
                      <w:szCs w:val="16"/>
                    </w:rPr>
                    <w:t>Net assets</w:t>
                  </w:r>
                </w:p>
              </w:tc>
              <w:tc>
                <w:tcPr>
                  <w:tcW w:w="1209" w:type="dxa"/>
                  <w:vAlign w:val="center"/>
                </w:tcPr>
                <w:p w14:paraId="07F18FC6" w14:textId="57012E12" w:rsidR="00A425F2" w:rsidRPr="009B546D" w:rsidRDefault="00A425F2" w:rsidP="008D5802">
                  <w:pPr>
                    <w:pStyle w:val="TableNormal1"/>
                    <w:tabs>
                      <w:tab w:val="decimal" w:pos="992"/>
                    </w:tabs>
                    <w:jc w:val="right"/>
                    <w:rPr>
                      <w:rFonts w:asciiTheme="minorHAnsi" w:hAnsiTheme="minorHAnsi" w:cstheme="minorHAnsi"/>
                      <w:b/>
                      <w:sz w:val="16"/>
                      <w:szCs w:val="16"/>
                    </w:rPr>
                  </w:pPr>
                  <w:r w:rsidRPr="009B546D">
                    <w:rPr>
                      <w:rFonts w:asciiTheme="minorHAnsi" w:hAnsiTheme="minorHAnsi" w:cstheme="minorHAnsi"/>
                      <w:b/>
                      <w:sz w:val="16"/>
                      <w:szCs w:val="16"/>
                    </w:rPr>
                    <w:t>3,2</w:t>
                  </w:r>
                  <w:r w:rsidR="00E71AAD" w:rsidRPr="009B546D">
                    <w:rPr>
                      <w:rFonts w:asciiTheme="minorHAnsi" w:hAnsiTheme="minorHAnsi" w:cstheme="minorHAnsi"/>
                      <w:b/>
                      <w:sz w:val="16"/>
                      <w:szCs w:val="16"/>
                    </w:rPr>
                    <w:t>09</w:t>
                  </w:r>
                </w:p>
              </w:tc>
              <w:tc>
                <w:tcPr>
                  <w:tcW w:w="1209" w:type="dxa"/>
                  <w:vAlign w:val="center"/>
                </w:tcPr>
                <w:p w14:paraId="5925540D" w14:textId="2E4D1EBF" w:rsidR="00A425F2" w:rsidRPr="009B546D" w:rsidRDefault="00E71AAD" w:rsidP="008D5802">
                  <w:pPr>
                    <w:pStyle w:val="TableNormal1"/>
                    <w:tabs>
                      <w:tab w:val="decimal" w:pos="992"/>
                    </w:tabs>
                    <w:jc w:val="center"/>
                    <w:rPr>
                      <w:rFonts w:asciiTheme="minorHAnsi" w:hAnsiTheme="minorHAnsi" w:cstheme="minorHAnsi"/>
                      <w:b/>
                      <w:sz w:val="16"/>
                      <w:szCs w:val="16"/>
                    </w:rPr>
                  </w:pPr>
                  <w:r w:rsidRPr="009B546D">
                    <w:rPr>
                      <w:rFonts w:asciiTheme="minorHAnsi" w:hAnsiTheme="minorHAnsi" w:cstheme="minorHAnsi"/>
                      <w:b/>
                      <w:sz w:val="16"/>
                      <w:szCs w:val="16"/>
                    </w:rPr>
                    <w:t xml:space="preserve"> </w:t>
                  </w:r>
                  <w:r w:rsidR="005D0800" w:rsidRPr="009B546D">
                    <w:rPr>
                      <w:rFonts w:asciiTheme="minorHAnsi" w:hAnsiTheme="minorHAnsi" w:cstheme="minorHAnsi"/>
                      <w:b/>
                      <w:sz w:val="16"/>
                      <w:szCs w:val="16"/>
                    </w:rPr>
                    <w:t>158</w:t>
                  </w:r>
                </w:p>
              </w:tc>
              <w:tc>
                <w:tcPr>
                  <w:tcW w:w="1175" w:type="dxa"/>
                  <w:vAlign w:val="center"/>
                </w:tcPr>
                <w:p w14:paraId="08166E9D" w14:textId="5FA14A3F" w:rsidR="00A425F2" w:rsidRPr="009B546D" w:rsidRDefault="00F313B4" w:rsidP="008D5802">
                  <w:pPr>
                    <w:pStyle w:val="TableNormal1"/>
                    <w:tabs>
                      <w:tab w:val="decimal" w:pos="993"/>
                    </w:tabs>
                    <w:jc w:val="right"/>
                    <w:rPr>
                      <w:rFonts w:asciiTheme="minorHAnsi" w:hAnsiTheme="minorHAnsi" w:cstheme="minorHAnsi"/>
                      <w:b/>
                      <w:sz w:val="16"/>
                      <w:szCs w:val="16"/>
                    </w:rPr>
                  </w:pPr>
                  <w:r w:rsidRPr="009B546D">
                    <w:rPr>
                      <w:rFonts w:asciiTheme="minorHAnsi" w:hAnsiTheme="minorHAnsi" w:cstheme="minorHAnsi"/>
                      <w:b/>
                      <w:sz w:val="16"/>
                      <w:szCs w:val="16"/>
                    </w:rPr>
                    <w:t>2,142</w:t>
                  </w:r>
                </w:p>
              </w:tc>
              <w:tc>
                <w:tcPr>
                  <w:tcW w:w="1139" w:type="dxa"/>
                  <w:vAlign w:val="center"/>
                </w:tcPr>
                <w:p w14:paraId="5F9E2220" w14:textId="20185208" w:rsidR="00A425F2" w:rsidRPr="004A10FC" w:rsidRDefault="00F673A7" w:rsidP="008D5802">
                  <w:pPr>
                    <w:pStyle w:val="TableNormal1"/>
                    <w:tabs>
                      <w:tab w:val="decimal" w:pos="992"/>
                    </w:tabs>
                    <w:jc w:val="right"/>
                    <w:rPr>
                      <w:rFonts w:asciiTheme="minorHAnsi" w:hAnsiTheme="minorHAnsi" w:cstheme="minorHAnsi"/>
                      <w:b/>
                      <w:sz w:val="16"/>
                      <w:szCs w:val="16"/>
                    </w:rPr>
                  </w:pPr>
                  <w:r w:rsidRPr="004A10FC">
                    <w:rPr>
                      <w:rFonts w:asciiTheme="minorHAnsi" w:hAnsiTheme="minorHAnsi" w:cstheme="minorHAnsi"/>
                      <w:b/>
                      <w:sz w:val="16"/>
                      <w:szCs w:val="16"/>
                    </w:rPr>
                    <w:t>(</w:t>
                  </w:r>
                  <w:r w:rsidR="006C7D74" w:rsidRPr="004A10FC">
                    <w:rPr>
                      <w:rFonts w:asciiTheme="minorHAnsi" w:hAnsiTheme="minorHAnsi" w:cstheme="minorHAnsi"/>
                      <w:b/>
                      <w:sz w:val="16"/>
                      <w:szCs w:val="16"/>
                    </w:rPr>
                    <w:t>364</w:t>
                  </w:r>
                  <w:r w:rsidRPr="004A10FC">
                    <w:rPr>
                      <w:rFonts w:asciiTheme="minorHAnsi" w:hAnsiTheme="minorHAnsi" w:cstheme="minorHAnsi"/>
                      <w:b/>
                      <w:sz w:val="16"/>
                      <w:szCs w:val="16"/>
                    </w:rPr>
                    <w:t>)</w:t>
                  </w:r>
                </w:p>
              </w:tc>
              <w:tc>
                <w:tcPr>
                  <w:tcW w:w="1079" w:type="dxa"/>
                  <w:vAlign w:val="center"/>
                </w:tcPr>
                <w:p w14:paraId="508FFC17" w14:textId="600FAEF5" w:rsidR="00A425F2" w:rsidRPr="004A10FC" w:rsidRDefault="004E5767" w:rsidP="008D5802">
                  <w:pPr>
                    <w:pStyle w:val="TableNormal1"/>
                    <w:tabs>
                      <w:tab w:val="decimal" w:pos="992"/>
                    </w:tabs>
                    <w:jc w:val="right"/>
                    <w:rPr>
                      <w:rFonts w:asciiTheme="minorHAnsi" w:hAnsiTheme="minorHAnsi" w:cstheme="minorHAnsi"/>
                      <w:b/>
                      <w:sz w:val="16"/>
                      <w:szCs w:val="16"/>
                    </w:rPr>
                  </w:pPr>
                  <w:r w:rsidRPr="004A10FC">
                    <w:rPr>
                      <w:rFonts w:asciiTheme="minorHAnsi" w:hAnsiTheme="minorHAnsi" w:cstheme="minorHAnsi"/>
                      <w:b/>
                      <w:sz w:val="16"/>
                      <w:szCs w:val="16"/>
                    </w:rPr>
                    <w:t>5,</w:t>
                  </w:r>
                  <w:r w:rsidR="006C7D74" w:rsidRPr="004A10FC">
                    <w:rPr>
                      <w:rFonts w:asciiTheme="minorHAnsi" w:hAnsiTheme="minorHAnsi" w:cstheme="minorHAnsi"/>
                      <w:b/>
                      <w:sz w:val="16"/>
                      <w:szCs w:val="16"/>
                    </w:rPr>
                    <w:t>145</w:t>
                  </w:r>
                  <w:r w:rsidR="00A425F2" w:rsidRPr="004A10FC">
                    <w:rPr>
                      <w:rFonts w:asciiTheme="minorHAnsi" w:hAnsiTheme="minorHAnsi" w:cstheme="minorHAnsi"/>
                      <w:b/>
                      <w:sz w:val="16"/>
                      <w:szCs w:val="16"/>
                    </w:rPr>
                    <w:t xml:space="preserve"> </w:t>
                  </w:r>
                </w:p>
              </w:tc>
            </w:tr>
            <w:tr w:rsidR="00A425F2" w:rsidRPr="009B546D" w14:paraId="016502D4" w14:textId="77777777" w:rsidTr="00D4158A">
              <w:trPr>
                <w:cantSplit/>
                <w:trHeight w:val="20"/>
              </w:trPr>
              <w:tc>
                <w:tcPr>
                  <w:tcW w:w="993" w:type="dxa"/>
                </w:tcPr>
                <w:p w14:paraId="70E75F3A" w14:textId="77777777" w:rsidR="00A425F2" w:rsidRPr="00384557" w:rsidRDefault="00A425F2" w:rsidP="008D5802">
                  <w:pPr>
                    <w:pStyle w:val="TableNormal1"/>
                    <w:ind w:left="57"/>
                    <w:rPr>
                      <w:rFonts w:asciiTheme="minorHAnsi" w:hAnsiTheme="minorHAnsi" w:cstheme="minorHAnsi"/>
                      <w:dstrike/>
                      <w:sz w:val="18"/>
                      <w:szCs w:val="18"/>
                    </w:rPr>
                  </w:pPr>
                </w:p>
              </w:tc>
              <w:tc>
                <w:tcPr>
                  <w:tcW w:w="1209" w:type="dxa"/>
                  <w:vAlign w:val="center"/>
                </w:tcPr>
                <w:p w14:paraId="773D17CC" w14:textId="77777777" w:rsidR="00A425F2" w:rsidRPr="009B546D" w:rsidRDefault="00A425F2" w:rsidP="008D5802">
                  <w:pPr>
                    <w:pStyle w:val="TableNormal1"/>
                    <w:tabs>
                      <w:tab w:val="decimal" w:pos="1134"/>
                    </w:tabs>
                    <w:jc w:val="right"/>
                    <w:rPr>
                      <w:rFonts w:asciiTheme="minorHAnsi" w:hAnsiTheme="minorHAnsi" w:cstheme="minorHAnsi"/>
                      <w:dstrike/>
                      <w:sz w:val="18"/>
                      <w:szCs w:val="18"/>
                    </w:rPr>
                  </w:pPr>
                  <w:r w:rsidRPr="009B546D">
                    <w:rPr>
                      <w:rFonts w:asciiTheme="minorHAnsi" w:hAnsiTheme="minorHAnsi" w:cstheme="minorHAnsi"/>
                      <w:dstrike/>
                      <w:sz w:val="18"/>
                      <w:szCs w:val="18"/>
                    </w:rPr>
                    <w:t>––––––</w:t>
                  </w:r>
                </w:p>
              </w:tc>
              <w:tc>
                <w:tcPr>
                  <w:tcW w:w="1209" w:type="dxa"/>
                  <w:vAlign w:val="center"/>
                </w:tcPr>
                <w:p w14:paraId="7DC6E451" w14:textId="77777777" w:rsidR="00A425F2" w:rsidRPr="009B546D" w:rsidRDefault="00A425F2" w:rsidP="008D5802">
                  <w:pPr>
                    <w:pStyle w:val="TableNormal1"/>
                    <w:tabs>
                      <w:tab w:val="decimal" w:pos="992"/>
                    </w:tabs>
                    <w:jc w:val="right"/>
                    <w:rPr>
                      <w:rFonts w:asciiTheme="minorHAnsi" w:hAnsiTheme="minorHAnsi" w:cstheme="minorHAnsi"/>
                      <w:dstrike/>
                      <w:sz w:val="18"/>
                      <w:szCs w:val="18"/>
                    </w:rPr>
                  </w:pPr>
                  <w:r w:rsidRPr="009B546D">
                    <w:rPr>
                      <w:rFonts w:asciiTheme="minorHAnsi" w:hAnsiTheme="minorHAnsi" w:cstheme="minorHAnsi"/>
                      <w:dstrike/>
                      <w:sz w:val="18"/>
                      <w:szCs w:val="18"/>
                    </w:rPr>
                    <w:t>––––––</w:t>
                  </w:r>
                </w:p>
              </w:tc>
              <w:tc>
                <w:tcPr>
                  <w:tcW w:w="1175" w:type="dxa"/>
                  <w:vAlign w:val="center"/>
                </w:tcPr>
                <w:p w14:paraId="5231F754" w14:textId="77777777" w:rsidR="00A425F2" w:rsidRPr="009B546D" w:rsidRDefault="00A425F2" w:rsidP="008D5802">
                  <w:pPr>
                    <w:pStyle w:val="TableNormal1"/>
                    <w:tabs>
                      <w:tab w:val="decimal" w:pos="993"/>
                    </w:tabs>
                    <w:jc w:val="right"/>
                    <w:rPr>
                      <w:rFonts w:asciiTheme="minorHAnsi" w:hAnsiTheme="minorHAnsi" w:cstheme="minorHAnsi"/>
                      <w:dstrike/>
                      <w:sz w:val="18"/>
                      <w:szCs w:val="18"/>
                    </w:rPr>
                  </w:pPr>
                  <w:r w:rsidRPr="009B546D">
                    <w:rPr>
                      <w:rFonts w:asciiTheme="minorHAnsi" w:hAnsiTheme="minorHAnsi" w:cstheme="minorHAnsi"/>
                      <w:dstrike/>
                      <w:sz w:val="18"/>
                      <w:szCs w:val="18"/>
                    </w:rPr>
                    <w:t>––––––</w:t>
                  </w:r>
                </w:p>
              </w:tc>
              <w:tc>
                <w:tcPr>
                  <w:tcW w:w="1139" w:type="dxa"/>
                  <w:vAlign w:val="center"/>
                </w:tcPr>
                <w:p w14:paraId="61EA2DC0" w14:textId="77777777" w:rsidR="00A425F2" w:rsidRPr="009B546D" w:rsidRDefault="00A425F2" w:rsidP="008D5802">
                  <w:pPr>
                    <w:pStyle w:val="TableNormal1"/>
                    <w:tabs>
                      <w:tab w:val="decimal" w:pos="992"/>
                    </w:tabs>
                    <w:jc w:val="right"/>
                    <w:rPr>
                      <w:rFonts w:asciiTheme="minorHAnsi" w:hAnsiTheme="minorHAnsi" w:cstheme="minorHAnsi"/>
                      <w:dstrike/>
                      <w:sz w:val="18"/>
                      <w:szCs w:val="18"/>
                    </w:rPr>
                  </w:pPr>
                  <w:r w:rsidRPr="009B546D">
                    <w:rPr>
                      <w:rFonts w:asciiTheme="minorHAnsi" w:hAnsiTheme="minorHAnsi" w:cstheme="minorHAnsi"/>
                      <w:dstrike/>
                      <w:sz w:val="18"/>
                      <w:szCs w:val="18"/>
                    </w:rPr>
                    <w:t>––––––</w:t>
                  </w:r>
                </w:p>
              </w:tc>
              <w:tc>
                <w:tcPr>
                  <w:tcW w:w="1079" w:type="dxa"/>
                  <w:vAlign w:val="center"/>
                </w:tcPr>
                <w:p w14:paraId="6FEA0F97" w14:textId="77777777" w:rsidR="00A425F2" w:rsidRPr="009B546D" w:rsidRDefault="00A425F2" w:rsidP="008D5802">
                  <w:pPr>
                    <w:pStyle w:val="TableNormal1"/>
                    <w:tabs>
                      <w:tab w:val="decimal" w:pos="992"/>
                    </w:tabs>
                    <w:jc w:val="right"/>
                    <w:rPr>
                      <w:rFonts w:asciiTheme="minorHAnsi" w:hAnsiTheme="minorHAnsi" w:cstheme="minorHAnsi"/>
                      <w:dstrike/>
                      <w:sz w:val="18"/>
                      <w:szCs w:val="18"/>
                    </w:rPr>
                  </w:pPr>
                  <w:r w:rsidRPr="009B546D">
                    <w:rPr>
                      <w:rFonts w:asciiTheme="minorHAnsi" w:hAnsiTheme="minorHAnsi" w:cstheme="minorHAnsi"/>
                      <w:dstrike/>
                      <w:sz w:val="18"/>
                      <w:szCs w:val="18"/>
                    </w:rPr>
                    <w:t>––––––</w:t>
                  </w:r>
                </w:p>
              </w:tc>
            </w:tr>
          </w:tbl>
          <w:p w14:paraId="54C5DA9B" w14:textId="77777777" w:rsidR="003644CE" w:rsidRPr="009B546D" w:rsidRDefault="003644CE" w:rsidP="00F432B9">
            <w:pPr>
              <w:spacing w:after="0" w:line="240" w:lineRule="auto"/>
              <w:rPr>
                <w:rFonts w:cstheme="minorHAnsi"/>
                <w:bCs/>
                <w:sz w:val="16"/>
                <w:szCs w:val="16"/>
              </w:rPr>
            </w:pPr>
          </w:p>
          <w:p w14:paraId="07F74960" w14:textId="3C8DB8CC" w:rsidR="00E11E78" w:rsidRPr="009B546D" w:rsidRDefault="00F313B4" w:rsidP="00F432B9">
            <w:pPr>
              <w:spacing w:line="240" w:lineRule="auto"/>
              <w:rPr>
                <w:rFonts w:cstheme="minorHAnsi"/>
                <w:b/>
                <w:sz w:val="16"/>
                <w:szCs w:val="16"/>
                <w:u w:val="single"/>
              </w:rPr>
            </w:pPr>
            <w:r w:rsidRPr="009B546D">
              <w:rPr>
                <w:rFonts w:cstheme="minorHAnsi"/>
                <w:b/>
                <w:sz w:val="16"/>
                <w:szCs w:val="16"/>
                <w:u w:val="single"/>
              </w:rPr>
              <w:t>Notes</w:t>
            </w:r>
          </w:p>
          <w:p w14:paraId="148BC32E" w14:textId="62C72986" w:rsidR="008A2048" w:rsidRPr="00E42C6E" w:rsidRDefault="008A2048" w:rsidP="00953F04">
            <w:pPr>
              <w:pStyle w:val="ListParagraph"/>
              <w:numPr>
                <w:ilvl w:val="0"/>
                <w:numId w:val="77"/>
              </w:numPr>
              <w:spacing w:after="120"/>
              <w:contextualSpacing w:val="0"/>
              <w:rPr>
                <w:rFonts w:asciiTheme="minorHAnsi" w:hAnsiTheme="minorHAnsi" w:cstheme="minorHAnsi"/>
                <w:bCs/>
                <w:sz w:val="16"/>
                <w:szCs w:val="16"/>
              </w:rPr>
            </w:pPr>
            <w:r w:rsidRPr="00E42C6E">
              <w:rPr>
                <w:rFonts w:asciiTheme="minorHAnsi" w:hAnsiTheme="minorHAnsi" w:cstheme="minorHAnsi"/>
                <w:bCs/>
                <w:sz w:val="16"/>
                <w:szCs w:val="16"/>
              </w:rPr>
              <w:t>The net assets of the Company at 31 October 2019 have been extracted without adjustment from the financial information on the Company for the year ended 31 October 2019</w:t>
            </w:r>
            <w:r w:rsidR="00C64965">
              <w:rPr>
                <w:rFonts w:asciiTheme="minorHAnsi" w:hAnsiTheme="minorHAnsi" w:cstheme="minorHAnsi"/>
                <w:bCs/>
                <w:sz w:val="16"/>
                <w:szCs w:val="16"/>
              </w:rPr>
              <w:t>.</w:t>
            </w:r>
          </w:p>
          <w:p w14:paraId="50CB800B" w14:textId="77777777" w:rsidR="008A2048" w:rsidRPr="00E42C6E" w:rsidRDefault="008A2048" w:rsidP="00F432B9">
            <w:pPr>
              <w:spacing w:after="120" w:line="240" w:lineRule="auto"/>
              <w:rPr>
                <w:rFonts w:cstheme="minorHAnsi"/>
                <w:bCs/>
                <w:sz w:val="16"/>
                <w:szCs w:val="16"/>
              </w:rPr>
            </w:pPr>
            <w:r w:rsidRPr="00E42C6E">
              <w:rPr>
                <w:rFonts w:cstheme="minorHAnsi"/>
                <w:bCs/>
                <w:sz w:val="16"/>
                <w:szCs w:val="16"/>
              </w:rPr>
              <w:t>Adjustments:</w:t>
            </w:r>
          </w:p>
          <w:p w14:paraId="29FC1903" w14:textId="14AA0A4B" w:rsidR="008A2048" w:rsidRPr="00E42C6E" w:rsidRDefault="008A2048" w:rsidP="00953F04">
            <w:pPr>
              <w:pStyle w:val="ListParagraph"/>
              <w:numPr>
                <w:ilvl w:val="0"/>
                <w:numId w:val="77"/>
              </w:numPr>
              <w:spacing w:after="120"/>
              <w:contextualSpacing w:val="0"/>
              <w:rPr>
                <w:rFonts w:asciiTheme="minorHAnsi" w:hAnsiTheme="minorHAnsi" w:cstheme="minorHAnsi"/>
                <w:bCs/>
                <w:sz w:val="16"/>
                <w:szCs w:val="16"/>
              </w:rPr>
            </w:pPr>
            <w:r w:rsidRPr="00E42C6E">
              <w:rPr>
                <w:rFonts w:asciiTheme="minorHAnsi" w:hAnsiTheme="minorHAnsi" w:cstheme="minorHAnsi"/>
                <w:bCs/>
                <w:sz w:val="16"/>
                <w:szCs w:val="16"/>
              </w:rPr>
              <w:t xml:space="preserve">The translated net assets of Alchemist Codes have been extracted from the interim financial information of Alchemist Codes for the six month period ended </w:t>
            </w:r>
            <w:r w:rsidR="00B6610A" w:rsidRPr="00E42C6E">
              <w:rPr>
                <w:rFonts w:asciiTheme="minorHAnsi" w:hAnsiTheme="minorHAnsi" w:cstheme="minorHAnsi"/>
                <w:bCs/>
                <w:sz w:val="16"/>
                <w:szCs w:val="16"/>
              </w:rPr>
              <w:t>31 October 2019 and</w:t>
            </w:r>
            <w:r w:rsidRPr="00E42C6E">
              <w:rPr>
                <w:rFonts w:asciiTheme="minorHAnsi" w:hAnsiTheme="minorHAnsi" w:cstheme="minorHAnsi"/>
                <w:bCs/>
                <w:sz w:val="16"/>
                <w:szCs w:val="16"/>
              </w:rPr>
              <w:t xml:space="preserve"> translated at a rate of 5.3867 (GBP:RM)</w:t>
            </w:r>
            <w:r w:rsidR="00C64965">
              <w:rPr>
                <w:rFonts w:asciiTheme="minorHAnsi" w:hAnsiTheme="minorHAnsi" w:cstheme="minorHAnsi"/>
                <w:bCs/>
                <w:sz w:val="16"/>
                <w:szCs w:val="16"/>
              </w:rPr>
              <w:t>.</w:t>
            </w:r>
          </w:p>
          <w:p w14:paraId="47585AF6" w14:textId="77777777" w:rsidR="008A2048" w:rsidRPr="00E42C6E" w:rsidRDefault="008A2048" w:rsidP="00953F04">
            <w:pPr>
              <w:pStyle w:val="ListParagraph"/>
              <w:numPr>
                <w:ilvl w:val="0"/>
                <w:numId w:val="77"/>
              </w:numPr>
              <w:spacing w:after="120"/>
              <w:contextualSpacing w:val="0"/>
              <w:rPr>
                <w:rFonts w:asciiTheme="minorHAnsi" w:hAnsiTheme="minorHAnsi" w:cstheme="minorHAnsi"/>
                <w:bCs/>
                <w:sz w:val="16"/>
                <w:szCs w:val="16"/>
              </w:rPr>
            </w:pPr>
            <w:r w:rsidRPr="00E42C6E">
              <w:rPr>
                <w:rFonts w:asciiTheme="minorHAnsi" w:hAnsiTheme="minorHAnsi" w:cstheme="minorHAnsi"/>
                <w:bCs/>
                <w:sz w:val="16"/>
                <w:szCs w:val="16"/>
              </w:rPr>
              <w:t>An adjustment has been made to reflect the estimated intangible assets arising on the acquisition of Alchemist Codes.</w:t>
            </w:r>
          </w:p>
          <w:p w14:paraId="23A6652A" w14:textId="388F9E31" w:rsidR="008A2048" w:rsidRPr="00E42C6E" w:rsidRDefault="008A2048" w:rsidP="00F432B9">
            <w:pPr>
              <w:pStyle w:val="ListParagraph"/>
              <w:spacing w:after="120"/>
              <w:contextualSpacing w:val="0"/>
              <w:rPr>
                <w:rFonts w:asciiTheme="minorHAnsi" w:hAnsiTheme="minorHAnsi" w:cstheme="minorHAnsi"/>
                <w:bCs/>
                <w:sz w:val="16"/>
                <w:szCs w:val="16"/>
              </w:rPr>
            </w:pPr>
            <w:r w:rsidRPr="00E42C6E">
              <w:rPr>
                <w:rFonts w:asciiTheme="minorHAnsi" w:hAnsiTheme="minorHAnsi" w:cstheme="minorHAnsi"/>
                <w:bCs/>
                <w:sz w:val="16"/>
                <w:szCs w:val="16"/>
              </w:rPr>
              <w:t>For the purposes of this pro forma information, no adjustment has been made to the assets and liabilities of Alchemist Codes to reflect their fair value.</w:t>
            </w:r>
            <w:r w:rsidR="00B575FC">
              <w:rPr>
                <w:rFonts w:asciiTheme="minorHAnsi" w:hAnsiTheme="minorHAnsi" w:cstheme="minorHAnsi"/>
                <w:bCs/>
                <w:sz w:val="16"/>
                <w:szCs w:val="16"/>
              </w:rPr>
              <w:t xml:space="preserve"> </w:t>
            </w:r>
            <w:r w:rsidRPr="00E42C6E">
              <w:rPr>
                <w:rFonts w:asciiTheme="minorHAnsi" w:hAnsiTheme="minorHAnsi" w:cstheme="minorHAnsi"/>
                <w:bCs/>
                <w:sz w:val="16"/>
                <w:szCs w:val="16"/>
              </w:rPr>
              <w:t>The difference between the net assets of Alchemist Codes as stated at their book value at 30 April 2019 and the estimated consideration has therefore been presented as a single value in “Intangible assets”.</w:t>
            </w:r>
            <w:r w:rsidR="00B575FC">
              <w:rPr>
                <w:rFonts w:asciiTheme="minorHAnsi" w:hAnsiTheme="minorHAnsi" w:cstheme="minorHAnsi"/>
                <w:bCs/>
                <w:sz w:val="16"/>
                <w:szCs w:val="16"/>
              </w:rPr>
              <w:t xml:space="preserve"> </w:t>
            </w:r>
            <w:r w:rsidRPr="00E42C6E">
              <w:rPr>
                <w:rFonts w:asciiTheme="minorHAnsi" w:hAnsiTheme="minorHAnsi" w:cstheme="minorHAnsi"/>
                <w:bCs/>
                <w:sz w:val="16"/>
                <w:szCs w:val="16"/>
              </w:rPr>
              <w:t xml:space="preserve">The net assets of Alchemist Codes will be subject to a fair value restatement as at the effective date of </w:t>
            </w:r>
            <w:r w:rsidRPr="00E42C6E">
              <w:rPr>
                <w:rFonts w:asciiTheme="minorHAnsi" w:hAnsiTheme="minorHAnsi" w:cstheme="minorHAnsi"/>
                <w:bCs/>
                <w:sz w:val="16"/>
                <w:szCs w:val="16"/>
              </w:rPr>
              <w:lastRenderedPageBreak/>
              <w:t>the transaction. Actual intangible assets included in the Enlarged Group’s next published financial statements may therefore be materially different from that included in the pro forma statement of net assets.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437"/>
            </w:tblGrid>
            <w:tr w:rsidR="00FC3128" w:rsidRPr="009B546D" w14:paraId="4485C068" w14:textId="77777777" w:rsidTr="00E42C6E">
              <w:tc>
                <w:tcPr>
                  <w:tcW w:w="4644" w:type="dxa"/>
                </w:tcPr>
                <w:p w14:paraId="5FCAF546" w14:textId="77777777" w:rsidR="00FC3128" w:rsidRPr="00E42C6E" w:rsidRDefault="00FC3128" w:rsidP="00F432B9">
                  <w:pPr>
                    <w:pStyle w:val="ListParagraph"/>
                    <w:ind w:left="0"/>
                    <w:rPr>
                      <w:rFonts w:asciiTheme="minorHAnsi" w:hAnsiTheme="minorHAnsi" w:cstheme="minorHAnsi"/>
                      <w:bCs/>
                      <w:sz w:val="16"/>
                      <w:szCs w:val="16"/>
                    </w:rPr>
                  </w:pPr>
                </w:p>
              </w:tc>
              <w:tc>
                <w:tcPr>
                  <w:tcW w:w="1437" w:type="dxa"/>
                </w:tcPr>
                <w:p w14:paraId="08306B01" w14:textId="7800547C" w:rsidR="00FC3128" w:rsidRPr="00E42C6E" w:rsidRDefault="00FC3128" w:rsidP="00F432B9">
                  <w:pPr>
                    <w:pStyle w:val="ListParagraph"/>
                    <w:ind w:left="0"/>
                    <w:jc w:val="right"/>
                    <w:rPr>
                      <w:rFonts w:asciiTheme="minorHAnsi" w:hAnsiTheme="minorHAnsi" w:cstheme="minorHAnsi"/>
                      <w:bCs/>
                      <w:sz w:val="16"/>
                      <w:szCs w:val="16"/>
                    </w:rPr>
                  </w:pPr>
                  <w:r w:rsidRPr="00E42C6E">
                    <w:rPr>
                      <w:rFonts w:asciiTheme="minorHAnsi" w:hAnsiTheme="minorHAnsi" w:cstheme="minorHAnsi"/>
                      <w:bCs/>
                      <w:sz w:val="16"/>
                      <w:szCs w:val="16"/>
                    </w:rPr>
                    <w:t>£’000</w:t>
                  </w:r>
                </w:p>
              </w:tc>
            </w:tr>
            <w:tr w:rsidR="00FC3128" w:rsidRPr="009B546D" w14:paraId="3449A275" w14:textId="77777777" w:rsidTr="00E42C6E">
              <w:tc>
                <w:tcPr>
                  <w:tcW w:w="4644" w:type="dxa"/>
                </w:tcPr>
                <w:p w14:paraId="45EC1359" w14:textId="4F4E9D49" w:rsidR="00FC3128" w:rsidRPr="00E42C6E" w:rsidRDefault="00FC3128" w:rsidP="00496B89">
                  <w:pPr>
                    <w:pStyle w:val="ListParagraph"/>
                    <w:ind w:left="0"/>
                    <w:rPr>
                      <w:rFonts w:asciiTheme="minorHAnsi" w:hAnsiTheme="minorHAnsi" w:cstheme="minorHAnsi"/>
                      <w:bCs/>
                      <w:sz w:val="16"/>
                      <w:szCs w:val="16"/>
                    </w:rPr>
                  </w:pPr>
                  <w:r w:rsidRPr="00E42C6E">
                    <w:rPr>
                      <w:rFonts w:asciiTheme="minorHAnsi" w:hAnsiTheme="minorHAnsi" w:cstheme="minorHAnsi"/>
                      <w:bCs/>
                      <w:sz w:val="16"/>
                      <w:szCs w:val="16"/>
                    </w:rPr>
                    <w:t>Consideration payable in cash</w:t>
                  </w:r>
                </w:p>
              </w:tc>
              <w:tc>
                <w:tcPr>
                  <w:tcW w:w="1437" w:type="dxa"/>
                </w:tcPr>
                <w:p w14:paraId="0CAF1873" w14:textId="5F51DDDA" w:rsidR="00FC3128" w:rsidRPr="00E42C6E" w:rsidRDefault="00FC3128" w:rsidP="00F432B9">
                  <w:pPr>
                    <w:pStyle w:val="ListParagraph"/>
                    <w:ind w:left="0"/>
                    <w:jc w:val="right"/>
                    <w:rPr>
                      <w:rFonts w:asciiTheme="minorHAnsi" w:hAnsiTheme="minorHAnsi" w:cstheme="minorHAnsi"/>
                      <w:bCs/>
                      <w:sz w:val="16"/>
                      <w:szCs w:val="16"/>
                    </w:rPr>
                  </w:pPr>
                  <w:r w:rsidRPr="00E42C6E">
                    <w:rPr>
                      <w:rFonts w:asciiTheme="minorHAnsi" w:hAnsiTheme="minorHAnsi" w:cstheme="minorHAnsi"/>
                      <w:bCs/>
                      <w:sz w:val="16"/>
                      <w:szCs w:val="16"/>
                    </w:rPr>
                    <w:t>-</w:t>
                  </w:r>
                </w:p>
              </w:tc>
            </w:tr>
            <w:tr w:rsidR="00FC3128" w:rsidRPr="009B546D" w14:paraId="79C73AE4" w14:textId="77777777" w:rsidTr="00E42C6E">
              <w:tc>
                <w:tcPr>
                  <w:tcW w:w="4644" w:type="dxa"/>
                </w:tcPr>
                <w:p w14:paraId="07EA4291" w14:textId="43FC93E8" w:rsidR="00FC3128" w:rsidRPr="00E42C6E" w:rsidRDefault="00FC3128" w:rsidP="00496B89">
                  <w:pPr>
                    <w:pStyle w:val="ListParagraph"/>
                    <w:ind w:left="0"/>
                    <w:rPr>
                      <w:rFonts w:asciiTheme="minorHAnsi" w:hAnsiTheme="minorHAnsi" w:cstheme="minorHAnsi"/>
                      <w:bCs/>
                      <w:sz w:val="16"/>
                      <w:szCs w:val="16"/>
                    </w:rPr>
                  </w:pPr>
                  <w:r w:rsidRPr="00E42C6E">
                    <w:rPr>
                      <w:rFonts w:asciiTheme="minorHAnsi" w:hAnsiTheme="minorHAnsi" w:cstheme="minorHAnsi"/>
                      <w:bCs/>
                      <w:sz w:val="16"/>
                      <w:szCs w:val="16"/>
                    </w:rPr>
                    <w:t>Consideration payable in Company shares</w:t>
                  </w:r>
                </w:p>
              </w:tc>
              <w:tc>
                <w:tcPr>
                  <w:tcW w:w="1437" w:type="dxa"/>
                  <w:tcBorders>
                    <w:bottom w:val="single" w:sz="4" w:space="0" w:color="auto"/>
                  </w:tcBorders>
                </w:tcPr>
                <w:p w14:paraId="410862E8" w14:textId="065C604B" w:rsidR="00FC3128" w:rsidRPr="00E42C6E" w:rsidRDefault="00FC3128" w:rsidP="00F432B9">
                  <w:pPr>
                    <w:pStyle w:val="ListParagraph"/>
                    <w:ind w:left="0"/>
                    <w:jc w:val="right"/>
                    <w:rPr>
                      <w:rFonts w:asciiTheme="minorHAnsi" w:hAnsiTheme="minorHAnsi" w:cstheme="minorHAnsi"/>
                      <w:bCs/>
                      <w:sz w:val="16"/>
                      <w:szCs w:val="16"/>
                    </w:rPr>
                  </w:pPr>
                  <w:r w:rsidRPr="00E42C6E">
                    <w:rPr>
                      <w:rFonts w:asciiTheme="minorHAnsi" w:hAnsiTheme="minorHAnsi" w:cstheme="minorHAnsi"/>
                      <w:bCs/>
                      <w:sz w:val="16"/>
                      <w:szCs w:val="16"/>
                    </w:rPr>
                    <w:t>2,300</w:t>
                  </w:r>
                </w:p>
              </w:tc>
            </w:tr>
            <w:tr w:rsidR="00FC3128" w:rsidRPr="009B546D" w14:paraId="0A8103A8" w14:textId="77777777" w:rsidTr="00E42C6E">
              <w:tc>
                <w:tcPr>
                  <w:tcW w:w="4644" w:type="dxa"/>
                </w:tcPr>
                <w:p w14:paraId="6B2B2A25" w14:textId="507CDA47" w:rsidR="00FC3128" w:rsidRPr="00E42C6E" w:rsidRDefault="00FC3128" w:rsidP="00496B89">
                  <w:pPr>
                    <w:pStyle w:val="ListParagraph"/>
                    <w:ind w:left="0"/>
                    <w:rPr>
                      <w:rFonts w:asciiTheme="minorHAnsi" w:hAnsiTheme="minorHAnsi" w:cstheme="minorHAnsi"/>
                      <w:bCs/>
                      <w:sz w:val="16"/>
                      <w:szCs w:val="16"/>
                    </w:rPr>
                  </w:pPr>
                  <w:r w:rsidRPr="00E42C6E">
                    <w:rPr>
                      <w:rFonts w:asciiTheme="minorHAnsi" w:hAnsiTheme="minorHAnsi" w:cstheme="minorHAnsi"/>
                      <w:bCs/>
                      <w:sz w:val="16"/>
                      <w:szCs w:val="16"/>
                    </w:rPr>
                    <w:t>Total consideration</w:t>
                  </w:r>
                </w:p>
              </w:tc>
              <w:tc>
                <w:tcPr>
                  <w:tcW w:w="1437" w:type="dxa"/>
                  <w:tcBorders>
                    <w:top w:val="single" w:sz="4" w:space="0" w:color="auto"/>
                  </w:tcBorders>
                </w:tcPr>
                <w:p w14:paraId="71FCCE3E" w14:textId="328D3A22" w:rsidR="00FC3128" w:rsidRPr="00E42C6E" w:rsidRDefault="0001113D" w:rsidP="00F432B9">
                  <w:pPr>
                    <w:pStyle w:val="ListParagraph"/>
                    <w:ind w:left="0"/>
                    <w:jc w:val="right"/>
                    <w:rPr>
                      <w:rFonts w:asciiTheme="minorHAnsi" w:hAnsiTheme="minorHAnsi" w:cstheme="minorHAnsi"/>
                      <w:b/>
                      <w:sz w:val="16"/>
                      <w:szCs w:val="16"/>
                    </w:rPr>
                  </w:pPr>
                  <w:r w:rsidRPr="00E42C6E">
                    <w:rPr>
                      <w:rFonts w:asciiTheme="minorHAnsi" w:hAnsiTheme="minorHAnsi" w:cstheme="minorHAnsi"/>
                      <w:b/>
                      <w:sz w:val="16"/>
                      <w:szCs w:val="16"/>
                    </w:rPr>
                    <w:t>2,300</w:t>
                  </w:r>
                </w:p>
              </w:tc>
            </w:tr>
            <w:tr w:rsidR="00FC3128" w:rsidRPr="009B546D" w14:paraId="0C2F0A74" w14:textId="77777777" w:rsidTr="00E42C6E">
              <w:tc>
                <w:tcPr>
                  <w:tcW w:w="4644" w:type="dxa"/>
                </w:tcPr>
                <w:p w14:paraId="12760380" w14:textId="0CECE2E4" w:rsidR="00FC3128" w:rsidRPr="00E42C6E" w:rsidRDefault="00FC3128" w:rsidP="00496B89">
                  <w:pPr>
                    <w:pStyle w:val="ListParagraph"/>
                    <w:ind w:left="0"/>
                    <w:rPr>
                      <w:rFonts w:asciiTheme="minorHAnsi" w:hAnsiTheme="minorHAnsi" w:cstheme="minorHAnsi"/>
                      <w:bCs/>
                      <w:sz w:val="16"/>
                      <w:szCs w:val="16"/>
                    </w:rPr>
                  </w:pPr>
                  <w:r w:rsidRPr="00E42C6E">
                    <w:rPr>
                      <w:rFonts w:asciiTheme="minorHAnsi" w:hAnsiTheme="minorHAnsi" w:cstheme="minorHAnsi"/>
                      <w:bCs/>
                      <w:sz w:val="16"/>
                      <w:szCs w:val="16"/>
                    </w:rPr>
                    <w:t>Book value of net assets of Alchemist Codes as at 31 October 2019</w:t>
                  </w:r>
                </w:p>
              </w:tc>
              <w:tc>
                <w:tcPr>
                  <w:tcW w:w="1437" w:type="dxa"/>
                  <w:tcBorders>
                    <w:bottom w:val="single" w:sz="4" w:space="0" w:color="auto"/>
                  </w:tcBorders>
                </w:tcPr>
                <w:p w14:paraId="5470F335" w14:textId="709B5D03" w:rsidR="00FC3128" w:rsidRPr="00E42C6E" w:rsidRDefault="0001113D" w:rsidP="00F432B9">
                  <w:pPr>
                    <w:pStyle w:val="ListParagraph"/>
                    <w:ind w:left="0"/>
                    <w:jc w:val="right"/>
                    <w:rPr>
                      <w:rFonts w:asciiTheme="minorHAnsi" w:hAnsiTheme="minorHAnsi" w:cstheme="minorHAnsi"/>
                      <w:bCs/>
                      <w:sz w:val="16"/>
                      <w:szCs w:val="16"/>
                    </w:rPr>
                  </w:pPr>
                  <w:r w:rsidRPr="00E42C6E">
                    <w:rPr>
                      <w:rFonts w:asciiTheme="minorHAnsi" w:hAnsiTheme="minorHAnsi" w:cstheme="minorHAnsi"/>
                      <w:bCs/>
                      <w:sz w:val="16"/>
                      <w:szCs w:val="16"/>
                    </w:rPr>
                    <w:t>(158)</w:t>
                  </w:r>
                </w:p>
              </w:tc>
            </w:tr>
            <w:tr w:rsidR="00FC3128" w:rsidRPr="009B546D" w14:paraId="129B6164" w14:textId="77777777" w:rsidTr="00E42C6E">
              <w:tc>
                <w:tcPr>
                  <w:tcW w:w="4644" w:type="dxa"/>
                </w:tcPr>
                <w:p w14:paraId="03B0C196" w14:textId="6689D286" w:rsidR="00FC3128" w:rsidRPr="00E42C6E" w:rsidRDefault="00FC3128" w:rsidP="00496B89">
                  <w:pPr>
                    <w:pStyle w:val="ListParagraph"/>
                    <w:ind w:left="0"/>
                    <w:rPr>
                      <w:rFonts w:asciiTheme="minorHAnsi" w:hAnsiTheme="minorHAnsi" w:cstheme="minorHAnsi"/>
                      <w:bCs/>
                      <w:sz w:val="16"/>
                      <w:szCs w:val="16"/>
                    </w:rPr>
                  </w:pPr>
                  <w:r w:rsidRPr="00E42C6E">
                    <w:rPr>
                      <w:rFonts w:asciiTheme="minorHAnsi" w:hAnsiTheme="minorHAnsi" w:cstheme="minorHAnsi"/>
                      <w:bCs/>
                      <w:sz w:val="16"/>
                      <w:szCs w:val="16"/>
                    </w:rPr>
                    <w:t>Estimated intangible assets arising on the Transaction</w:t>
                  </w:r>
                </w:p>
              </w:tc>
              <w:tc>
                <w:tcPr>
                  <w:tcW w:w="1437" w:type="dxa"/>
                  <w:tcBorders>
                    <w:top w:val="single" w:sz="4" w:space="0" w:color="auto"/>
                    <w:bottom w:val="single" w:sz="4" w:space="0" w:color="auto"/>
                  </w:tcBorders>
                </w:tcPr>
                <w:p w14:paraId="2EFF48DF" w14:textId="7D6AD41D" w:rsidR="00FC3128" w:rsidRPr="00E42C6E" w:rsidRDefault="0001113D" w:rsidP="00F432B9">
                  <w:pPr>
                    <w:pStyle w:val="ListParagraph"/>
                    <w:ind w:left="0"/>
                    <w:jc w:val="right"/>
                    <w:rPr>
                      <w:rFonts w:asciiTheme="minorHAnsi" w:hAnsiTheme="minorHAnsi" w:cstheme="minorHAnsi"/>
                      <w:bCs/>
                      <w:sz w:val="16"/>
                      <w:szCs w:val="16"/>
                    </w:rPr>
                  </w:pPr>
                  <w:r w:rsidRPr="00E42C6E">
                    <w:rPr>
                      <w:rFonts w:asciiTheme="minorHAnsi" w:hAnsiTheme="minorHAnsi" w:cstheme="minorHAnsi"/>
                      <w:bCs/>
                      <w:sz w:val="16"/>
                      <w:szCs w:val="16"/>
                    </w:rPr>
                    <w:t>2,142</w:t>
                  </w:r>
                </w:p>
              </w:tc>
            </w:tr>
          </w:tbl>
          <w:p w14:paraId="395C05FD" w14:textId="48654C8A" w:rsidR="004A4817" w:rsidRDefault="004A4817" w:rsidP="00496B89">
            <w:pPr>
              <w:pStyle w:val="ListParagraph"/>
              <w:rPr>
                <w:rFonts w:asciiTheme="minorHAnsi" w:hAnsiTheme="minorHAnsi" w:cstheme="minorHAnsi"/>
                <w:bCs/>
                <w:sz w:val="16"/>
                <w:szCs w:val="16"/>
              </w:rPr>
            </w:pPr>
          </w:p>
          <w:p w14:paraId="42B8F407" w14:textId="77777777" w:rsidR="00C27FC4" w:rsidRPr="004A12EB" w:rsidRDefault="00C27FC4" w:rsidP="00C27FC4">
            <w:pPr>
              <w:pStyle w:val="ListParagraph"/>
              <w:numPr>
                <w:ilvl w:val="0"/>
                <w:numId w:val="77"/>
              </w:numPr>
              <w:spacing w:after="120"/>
              <w:contextualSpacing w:val="0"/>
              <w:rPr>
                <w:rFonts w:cstheme="minorHAnsi"/>
                <w:bCs/>
                <w:sz w:val="16"/>
                <w:szCs w:val="16"/>
              </w:rPr>
            </w:pPr>
            <w:r w:rsidRPr="004A12EB">
              <w:rPr>
                <w:rFonts w:asciiTheme="minorHAnsi" w:hAnsiTheme="minorHAnsi" w:cstheme="minorHAnsi"/>
                <w:bCs/>
                <w:sz w:val="16"/>
                <w:szCs w:val="16"/>
              </w:rPr>
              <w:t>The total expenses in connection with the Proposed Acquisition and Re-Admission are estimated at £0.364 million.</w:t>
            </w:r>
          </w:p>
          <w:p w14:paraId="4C769745" w14:textId="77777777" w:rsidR="00C27FC4" w:rsidRPr="004A12EB" w:rsidRDefault="00C27FC4" w:rsidP="00C27FC4">
            <w:pPr>
              <w:pStyle w:val="ListParagraph"/>
              <w:numPr>
                <w:ilvl w:val="0"/>
                <w:numId w:val="77"/>
              </w:numPr>
              <w:spacing w:after="120"/>
              <w:contextualSpacing w:val="0"/>
              <w:rPr>
                <w:rFonts w:cstheme="minorHAnsi"/>
                <w:bCs/>
                <w:sz w:val="16"/>
                <w:szCs w:val="16"/>
              </w:rPr>
            </w:pPr>
            <w:r w:rsidRPr="004A12EB">
              <w:rPr>
                <w:rFonts w:asciiTheme="minorHAnsi" w:hAnsiTheme="minorHAnsi" w:cstheme="minorHAnsi"/>
                <w:bCs/>
                <w:sz w:val="16"/>
                <w:szCs w:val="16"/>
              </w:rPr>
              <w:t>No account has been taken of the financial performance of the Company or Alchemist Codes since 31 October 2019, nor of any other event save as disclosed above.</w:t>
            </w:r>
          </w:p>
          <w:p w14:paraId="71361462" w14:textId="77777777" w:rsidR="00C27FC4" w:rsidRPr="00E42C6E" w:rsidRDefault="00C27FC4" w:rsidP="00496B89">
            <w:pPr>
              <w:pStyle w:val="ListParagraph"/>
              <w:rPr>
                <w:rFonts w:asciiTheme="minorHAnsi" w:hAnsiTheme="minorHAnsi" w:cstheme="minorHAnsi"/>
                <w:bCs/>
                <w:sz w:val="16"/>
                <w:szCs w:val="16"/>
              </w:rPr>
            </w:pPr>
          </w:p>
          <w:p w14:paraId="7C727E14" w14:textId="0C0FE8BC" w:rsidR="00A425F2" w:rsidRPr="009B546D" w:rsidRDefault="00A425F2" w:rsidP="00F432B9">
            <w:pPr>
              <w:spacing w:line="240" w:lineRule="auto"/>
              <w:rPr>
                <w:rFonts w:cstheme="minorHAnsi"/>
                <w:b/>
                <w:sz w:val="16"/>
                <w:szCs w:val="16"/>
                <w:u w:val="single"/>
              </w:rPr>
            </w:pPr>
            <w:r w:rsidRPr="00384557">
              <w:rPr>
                <w:rFonts w:cstheme="minorHAnsi"/>
                <w:b/>
                <w:sz w:val="16"/>
                <w:szCs w:val="16"/>
                <w:u w:val="single"/>
              </w:rPr>
              <w:t>Pro forma Income Statement</w:t>
            </w:r>
          </w:p>
          <w:p w14:paraId="01C78B3E" w14:textId="0A3700F9" w:rsidR="00F53C2F" w:rsidRPr="009B546D" w:rsidRDefault="00F53C2F" w:rsidP="00F432B9">
            <w:pPr>
              <w:autoSpaceDE w:val="0"/>
              <w:autoSpaceDN w:val="0"/>
              <w:adjustRightInd w:val="0"/>
              <w:spacing w:after="200" w:line="240" w:lineRule="auto"/>
              <w:rPr>
                <w:rFonts w:cstheme="minorHAnsi"/>
                <w:sz w:val="16"/>
              </w:rPr>
            </w:pPr>
            <w:r w:rsidRPr="009B546D">
              <w:rPr>
                <w:rFonts w:cstheme="minorHAnsi"/>
                <w:sz w:val="16"/>
                <w:szCs w:val="16"/>
              </w:rPr>
              <w:t>The unaudited pro forma income statement is based on the income statement of the Company for the year ended 31 October 2019, set out in the financial information on the Company for the year ended 31 October 2019; and the income statement of Alchemist Codes for the period from 17 April 2018 to 30 April 2019.</w:t>
            </w:r>
            <w:r w:rsidR="00B575FC">
              <w:rPr>
                <w:rFonts w:cstheme="minorHAnsi"/>
                <w:sz w:val="16"/>
                <w:szCs w:val="16"/>
              </w:rPr>
              <w:t xml:space="preserve"> </w:t>
            </w:r>
            <w:r w:rsidRPr="009B546D">
              <w:rPr>
                <w:rFonts w:cstheme="minorHAnsi"/>
                <w:sz w:val="16"/>
                <w:szCs w:val="16"/>
              </w:rPr>
              <w:t xml:space="preserve">It has been prepared in a manner consistent with the accounting policies adopted by the Company in preparing such information and on the basis </w:t>
            </w:r>
            <w:r w:rsidR="00F673A7" w:rsidRPr="009B546D">
              <w:rPr>
                <w:rFonts w:cstheme="minorHAnsi"/>
                <w:sz w:val="16"/>
                <w:szCs w:val="16"/>
              </w:rPr>
              <w:t>as described in the notes.</w:t>
            </w:r>
          </w:p>
          <w:tbl>
            <w:tblPr>
              <w:tblStyle w:val="TableGrid"/>
              <w:tblW w:w="6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1144"/>
              <w:gridCol w:w="249"/>
              <w:gridCol w:w="1075"/>
              <w:gridCol w:w="232"/>
              <w:gridCol w:w="1051"/>
              <w:gridCol w:w="247"/>
              <w:gridCol w:w="1034"/>
            </w:tblGrid>
            <w:tr w:rsidR="00763BEF" w:rsidRPr="009B546D" w14:paraId="37721C06" w14:textId="77777777" w:rsidTr="00E42C6E">
              <w:tc>
                <w:tcPr>
                  <w:tcW w:w="1607" w:type="dxa"/>
                </w:tcPr>
                <w:p w14:paraId="60F732DE" w14:textId="77777777" w:rsidR="00307D35" w:rsidRPr="009B546D" w:rsidRDefault="00307D35" w:rsidP="00496B89">
                  <w:pPr>
                    <w:pStyle w:val="TableNormal1"/>
                    <w:ind w:left="57"/>
                    <w:jc w:val="center"/>
                    <w:rPr>
                      <w:rFonts w:asciiTheme="minorHAnsi" w:hAnsiTheme="minorHAnsi" w:cstheme="minorHAnsi"/>
                      <w:b/>
                      <w:sz w:val="16"/>
                      <w:szCs w:val="16"/>
                    </w:rPr>
                  </w:pPr>
                </w:p>
              </w:tc>
              <w:tc>
                <w:tcPr>
                  <w:tcW w:w="1144" w:type="dxa"/>
                  <w:vAlign w:val="center"/>
                </w:tcPr>
                <w:p w14:paraId="4748878F" w14:textId="77777777" w:rsidR="00307D35" w:rsidRPr="009B546D" w:rsidRDefault="00307D35" w:rsidP="00F432B9">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 xml:space="preserve">The </w:t>
                  </w:r>
                </w:p>
                <w:p w14:paraId="44855988" w14:textId="77777777" w:rsidR="00307D35" w:rsidRPr="009B546D" w:rsidRDefault="00307D35" w:rsidP="00F432B9">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Company</w:t>
                  </w:r>
                </w:p>
                <w:p w14:paraId="22B26DD0" w14:textId="77777777" w:rsidR="00307D35" w:rsidRPr="009B546D" w:rsidRDefault="00307D35" w:rsidP="00F432B9">
                  <w:pPr>
                    <w:pStyle w:val="TableNormal1"/>
                    <w:ind w:left="57"/>
                    <w:jc w:val="right"/>
                    <w:rPr>
                      <w:rFonts w:asciiTheme="minorHAnsi" w:hAnsiTheme="minorHAnsi" w:cstheme="minorHAnsi"/>
                      <w:b/>
                      <w:sz w:val="16"/>
                      <w:szCs w:val="16"/>
                    </w:rPr>
                  </w:pPr>
                </w:p>
                <w:p w14:paraId="4AC8956A" w14:textId="59C69FAF" w:rsidR="00307D35" w:rsidRPr="009B546D" w:rsidRDefault="00307D35" w:rsidP="00F432B9">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(Note 1)</w:t>
                  </w:r>
                </w:p>
              </w:tc>
              <w:tc>
                <w:tcPr>
                  <w:tcW w:w="249" w:type="dxa"/>
                </w:tcPr>
                <w:p w14:paraId="0C18E9A3" w14:textId="77777777" w:rsidR="00307D35" w:rsidRPr="009B546D" w:rsidRDefault="00307D35" w:rsidP="00F432B9">
                  <w:pPr>
                    <w:pStyle w:val="TableNormal1"/>
                    <w:ind w:left="57"/>
                    <w:jc w:val="right"/>
                    <w:rPr>
                      <w:rFonts w:asciiTheme="minorHAnsi" w:hAnsiTheme="minorHAnsi" w:cstheme="minorHAnsi"/>
                      <w:b/>
                      <w:sz w:val="16"/>
                      <w:szCs w:val="16"/>
                    </w:rPr>
                  </w:pPr>
                </w:p>
              </w:tc>
              <w:tc>
                <w:tcPr>
                  <w:tcW w:w="1075" w:type="dxa"/>
                  <w:vAlign w:val="center"/>
                </w:tcPr>
                <w:p w14:paraId="32C7DBCC" w14:textId="77777777" w:rsidR="00307D35" w:rsidRPr="009B546D" w:rsidRDefault="00307D35" w:rsidP="00F432B9">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Alchemist Codes</w:t>
                  </w:r>
                </w:p>
                <w:p w14:paraId="0FCFE7F1" w14:textId="77777777" w:rsidR="00307D35" w:rsidRPr="009B546D" w:rsidRDefault="00307D35" w:rsidP="00F432B9">
                  <w:pPr>
                    <w:pStyle w:val="TableNormal1"/>
                    <w:ind w:left="57"/>
                    <w:jc w:val="right"/>
                    <w:rPr>
                      <w:rFonts w:asciiTheme="minorHAnsi" w:hAnsiTheme="minorHAnsi" w:cstheme="minorHAnsi"/>
                      <w:b/>
                      <w:sz w:val="16"/>
                      <w:szCs w:val="16"/>
                    </w:rPr>
                  </w:pPr>
                </w:p>
                <w:p w14:paraId="3847E2D3" w14:textId="59B81643" w:rsidR="00307D35" w:rsidRPr="009B546D" w:rsidRDefault="00307D35" w:rsidP="00F432B9">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(Note 2)</w:t>
                  </w:r>
                </w:p>
              </w:tc>
              <w:tc>
                <w:tcPr>
                  <w:tcW w:w="232" w:type="dxa"/>
                </w:tcPr>
                <w:p w14:paraId="38D57798" w14:textId="77777777" w:rsidR="00307D35" w:rsidRPr="009B546D" w:rsidRDefault="00307D35" w:rsidP="00F432B9">
                  <w:pPr>
                    <w:pStyle w:val="TableNormal1"/>
                    <w:ind w:left="57"/>
                    <w:jc w:val="right"/>
                    <w:rPr>
                      <w:rFonts w:asciiTheme="minorHAnsi" w:hAnsiTheme="minorHAnsi" w:cstheme="minorHAnsi"/>
                      <w:b/>
                      <w:sz w:val="16"/>
                      <w:szCs w:val="16"/>
                    </w:rPr>
                  </w:pPr>
                </w:p>
              </w:tc>
              <w:tc>
                <w:tcPr>
                  <w:tcW w:w="1051" w:type="dxa"/>
                </w:tcPr>
                <w:p w14:paraId="7059CBDF" w14:textId="77777777" w:rsidR="00307D35" w:rsidRPr="009B546D" w:rsidRDefault="00307D35" w:rsidP="00F432B9">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Adjustment</w:t>
                  </w:r>
                </w:p>
                <w:p w14:paraId="746EB9AB" w14:textId="77777777" w:rsidR="00307D35" w:rsidRDefault="00307D35" w:rsidP="00F432B9">
                  <w:pPr>
                    <w:pStyle w:val="TableNormal1"/>
                    <w:ind w:left="57"/>
                    <w:jc w:val="right"/>
                    <w:rPr>
                      <w:rFonts w:asciiTheme="minorHAnsi" w:hAnsiTheme="minorHAnsi" w:cstheme="minorHAnsi"/>
                      <w:b/>
                      <w:sz w:val="16"/>
                      <w:szCs w:val="16"/>
                    </w:rPr>
                  </w:pPr>
                </w:p>
                <w:p w14:paraId="62FE5323" w14:textId="77777777" w:rsidR="00953F04" w:rsidRDefault="00953F04" w:rsidP="00F432B9">
                  <w:pPr>
                    <w:pStyle w:val="TableNormal1"/>
                    <w:ind w:left="57"/>
                    <w:jc w:val="right"/>
                    <w:rPr>
                      <w:rFonts w:asciiTheme="minorHAnsi" w:hAnsiTheme="minorHAnsi" w:cstheme="minorHAnsi"/>
                      <w:b/>
                      <w:sz w:val="16"/>
                      <w:szCs w:val="16"/>
                    </w:rPr>
                  </w:pPr>
                </w:p>
                <w:p w14:paraId="3FEF190E" w14:textId="60B50A93" w:rsidR="00953F04" w:rsidRPr="009B546D" w:rsidRDefault="00953F04" w:rsidP="00F432B9">
                  <w:pPr>
                    <w:pStyle w:val="TableNormal1"/>
                    <w:ind w:left="57"/>
                    <w:jc w:val="right"/>
                    <w:rPr>
                      <w:rFonts w:asciiTheme="minorHAnsi" w:hAnsiTheme="minorHAnsi" w:cstheme="minorHAnsi"/>
                      <w:b/>
                      <w:sz w:val="16"/>
                      <w:szCs w:val="16"/>
                    </w:rPr>
                  </w:pPr>
                  <w:r>
                    <w:rPr>
                      <w:rFonts w:asciiTheme="minorHAnsi" w:hAnsiTheme="minorHAnsi" w:cstheme="minorHAnsi"/>
                      <w:b/>
                      <w:sz w:val="16"/>
                      <w:szCs w:val="16"/>
                    </w:rPr>
                    <w:t>(Note 3)</w:t>
                  </w:r>
                </w:p>
              </w:tc>
              <w:tc>
                <w:tcPr>
                  <w:tcW w:w="247" w:type="dxa"/>
                </w:tcPr>
                <w:p w14:paraId="52A10F6B" w14:textId="77777777" w:rsidR="00307D35" w:rsidRPr="009B546D" w:rsidRDefault="00307D35" w:rsidP="00F432B9">
                  <w:pPr>
                    <w:pStyle w:val="TableNormal1"/>
                    <w:ind w:left="57"/>
                    <w:jc w:val="right"/>
                    <w:rPr>
                      <w:rFonts w:asciiTheme="minorHAnsi" w:hAnsiTheme="minorHAnsi" w:cstheme="minorHAnsi"/>
                      <w:b/>
                      <w:sz w:val="16"/>
                      <w:szCs w:val="16"/>
                    </w:rPr>
                  </w:pPr>
                </w:p>
              </w:tc>
              <w:tc>
                <w:tcPr>
                  <w:tcW w:w="1034" w:type="dxa"/>
                </w:tcPr>
                <w:p w14:paraId="3235A19C" w14:textId="77777777" w:rsidR="00307D35" w:rsidRDefault="00307D35" w:rsidP="00F432B9">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Pro forma Income Statement</w:t>
                  </w:r>
                </w:p>
                <w:p w14:paraId="07D953D7" w14:textId="1431B1FA" w:rsidR="00953F04" w:rsidRPr="009B546D" w:rsidRDefault="00953F04" w:rsidP="00F432B9">
                  <w:pPr>
                    <w:pStyle w:val="TableNormal1"/>
                    <w:ind w:left="57"/>
                    <w:jc w:val="right"/>
                    <w:rPr>
                      <w:rFonts w:asciiTheme="minorHAnsi" w:hAnsiTheme="minorHAnsi" w:cstheme="minorHAnsi"/>
                      <w:b/>
                      <w:sz w:val="16"/>
                      <w:szCs w:val="16"/>
                    </w:rPr>
                  </w:pPr>
                  <w:r>
                    <w:rPr>
                      <w:rFonts w:asciiTheme="minorHAnsi" w:hAnsiTheme="minorHAnsi" w:cstheme="minorHAnsi"/>
                      <w:b/>
                      <w:sz w:val="16"/>
                      <w:szCs w:val="16"/>
                    </w:rPr>
                    <w:t>(Note 4)</w:t>
                  </w:r>
                </w:p>
              </w:tc>
            </w:tr>
            <w:tr w:rsidR="00BA3C34" w:rsidRPr="009B546D" w14:paraId="5B5CF516" w14:textId="77777777" w:rsidTr="00E42C6E">
              <w:tc>
                <w:tcPr>
                  <w:tcW w:w="1607" w:type="dxa"/>
                </w:tcPr>
                <w:p w14:paraId="2FA9DF82" w14:textId="77777777" w:rsidR="00307D35" w:rsidRPr="009B546D" w:rsidRDefault="00307D35" w:rsidP="00496B89">
                  <w:pPr>
                    <w:pStyle w:val="TableNormal1"/>
                    <w:ind w:left="57"/>
                    <w:jc w:val="center"/>
                    <w:rPr>
                      <w:rFonts w:asciiTheme="minorHAnsi" w:hAnsiTheme="minorHAnsi" w:cstheme="minorHAnsi"/>
                      <w:b/>
                      <w:sz w:val="16"/>
                      <w:szCs w:val="16"/>
                    </w:rPr>
                  </w:pPr>
                </w:p>
              </w:tc>
              <w:tc>
                <w:tcPr>
                  <w:tcW w:w="1144" w:type="dxa"/>
                </w:tcPr>
                <w:p w14:paraId="22396DD7" w14:textId="62D639F4" w:rsidR="00307D35" w:rsidRPr="009B546D" w:rsidRDefault="00307D35" w:rsidP="00F432B9">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£'000</w:t>
                  </w:r>
                </w:p>
              </w:tc>
              <w:tc>
                <w:tcPr>
                  <w:tcW w:w="249" w:type="dxa"/>
                </w:tcPr>
                <w:p w14:paraId="1037833C" w14:textId="77777777" w:rsidR="00307D35" w:rsidRPr="009B546D" w:rsidRDefault="00307D35" w:rsidP="00F432B9">
                  <w:pPr>
                    <w:pStyle w:val="TableNormal1"/>
                    <w:ind w:left="57"/>
                    <w:jc w:val="right"/>
                    <w:rPr>
                      <w:rFonts w:asciiTheme="minorHAnsi" w:hAnsiTheme="minorHAnsi" w:cstheme="minorHAnsi"/>
                      <w:b/>
                      <w:sz w:val="16"/>
                      <w:szCs w:val="16"/>
                    </w:rPr>
                  </w:pPr>
                </w:p>
              </w:tc>
              <w:tc>
                <w:tcPr>
                  <w:tcW w:w="1075" w:type="dxa"/>
                </w:tcPr>
                <w:p w14:paraId="218534D5" w14:textId="5BC9D314" w:rsidR="00307D35" w:rsidRPr="009B546D" w:rsidRDefault="00307D35" w:rsidP="00F432B9">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£'000</w:t>
                  </w:r>
                </w:p>
              </w:tc>
              <w:tc>
                <w:tcPr>
                  <w:tcW w:w="232" w:type="dxa"/>
                </w:tcPr>
                <w:p w14:paraId="0E4896DD" w14:textId="77777777" w:rsidR="00307D35" w:rsidRPr="009B546D" w:rsidRDefault="00307D35" w:rsidP="00F432B9">
                  <w:pPr>
                    <w:pStyle w:val="TableNormal1"/>
                    <w:ind w:left="57"/>
                    <w:jc w:val="right"/>
                    <w:rPr>
                      <w:rFonts w:asciiTheme="minorHAnsi" w:hAnsiTheme="minorHAnsi" w:cstheme="minorHAnsi"/>
                      <w:b/>
                      <w:sz w:val="16"/>
                      <w:szCs w:val="16"/>
                    </w:rPr>
                  </w:pPr>
                </w:p>
              </w:tc>
              <w:tc>
                <w:tcPr>
                  <w:tcW w:w="1051" w:type="dxa"/>
                </w:tcPr>
                <w:p w14:paraId="01346AA2" w14:textId="77777777" w:rsidR="00307D35" w:rsidRPr="009B546D" w:rsidRDefault="00307D35" w:rsidP="00F432B9">
                  <w:pPr>
                    <w:pStyle w:val="TableNormal1"/>
                    <w:jc w:val="right"/>
                    <w:rPr>
                      <w:rFonts w:asciiTheme="minorHAnsi" w:hAnsiTheme="minorHAnsi" w:cstheme="minorHAnsi"/>
                      <w:b/>
                      <w:sz w:val="16"/>
                      <w:szCs w:val="16"/>
                    </w:rPr>
                  </w:pPr>
                  <w:r w:rsidRPr="009B546D">
                    <w:rPr>
                      <w:rFonts w:asciiTheme="minorHAnsi" w:hAnsiTheme="minorHAnsi" w:cstheme="minorHAnsi"/>
                      <w:b/>
                      <w:sz w:val="16"/>
                      <w:szCs w:val="16"/>
                    </w:rPr>
                    <w:t>£'000</w:t>
                  </w:r>
                </w:p>
              </w:tc>
              <w:tc>
                <w:tcPr>
                  <w:tcW w:w="247" w:type="dxa"/>
                </w:tcPr>
                <w:p w14:paraId="52EB8804" w14:textId="77777777" w:rsidR="00307D35" w:rsidRPr="009B546D" w:rsidRDefault="00307D35" w:rsidP="00F432B9">
                  <w:pPr>
                    <w:pStyle w:val="TableNormal1"/>
                    <w:ind w:left="57"/>
                    <w:jc w:val="right"/>
                    <w:rPr>
                      <w:rFonts w:asciiTheme="minorHAnsi" w:hAnsiTheme="minorHAnsi" w:cstheme="minorHAnsi"/>
                      <w:b/>
                      <w:sz w:val="16"/>
                      <w:szCs w:val="16"/>
                    </w:rPr>
                  </w:pPr>
                </w:p>
              </w:tc>
              <w:tc>
                <w:tcPr>
                  <w:tcW w:w="1034" w:type="dxa"/>
                </w:tcPr>
                <w:p w14:paraId="6517C13C" w14:textId="77777777" w:rsidR="00307D35" w:rsidRPr="009B546D" w:rsidRDefault="00307D35" w:rsidP="00F432B9">
                  <w:pPr>
                    <w:pStyle w:val="TableNormal1"/>
                    <w:jc w:val="right"/>
                    <w:rPr>
                      <w:rFonts w:asciiTheme="minorHAnsi" w:hAnsiTheme="minorHAnsi" w:cstheme="minorHAnsi"/>
                      <w:b/>
                      <w:sz w:val="16"/>
                      <w:szCs w:val="16"/>
                    </w:rPr>
                  </w:pPr>
                  <w:r w:rsidRPr="009B546D">
                    <w:rPr>
                      <w:rFonts w:asciiTheme="minorHAnsi" w:hAnsiTheme="minorHAnsi" w:cstheme="minorHAnsi"/>
                      <w:b/>
                      <w:sz w:val="16"/>
                      <w:szCs w:val="16"/>
                    </w:rPr>
                    <w:t>£'000</w:t>
                  </w:r>
                </w:p>
              </w:tc>
            </w:tr>
            <w:tr w:rsidR="00BA3C34" w:rsidRPr="009B546D" w14:paraId="46619FC7" w14:textId="77777777" w:rsidTr="00E42C6E">
              <w:tc>
                <w:tcPr>
                  <w:tcW w:w="1607" w:type="dxa"/>
                </w:tcPr>
                <w:p w14:paraId="1833221D" w14:textId="77777777" w:rsidR="00307D35" w:rsidRPr="009B546D" w:rsidRDefault="00307D35" w:rsidP="00496B89">
                  <w:pPr>
                    <w:pStyle w:val="TableNormal1"/>
                    <w:ind w:left="57"/>
                    <w:jc w:val="center"/>
                    <w:rPr>
                      <w:rFonts w:asciiTheme="minorHAnsi" w:hAnsiTheme="minorHAnsi" w:cstheme="minorHAnsi"/>
                      <w:b/>
                      <w:sz w:val="16"/>
                      <w:szCs w:val="16"/>
                    </w:rPr>
                  </w:pPr>
                </w:p>
              </w:tc>
              <w:tc>
                <w:tcPr>
                  <w:tcW w:w="1144" w:type="dxa"/>
                </w:tcPr>
                <w:p w14:paraId="18403C01" w14:textId="77777777" w:rsidR="00307D35" w:rsidRPr="009B546D" w:rsidRDefault="00307D35" w:rsidP="00F432B9">
                  <w:pPr>
                    <w:pStyle w:val="TableNormal1"/>
                    <w:ind w:left="57"/>
                    <w:jc w:val="center"/>
                    <w:rPr>
                      <w:rFonts w:asciiTheme="minorHAnsi" w:hAnsiTheme="minorHAnsi" w:cstheme="minorHAnsi"/>
                      <w:b/>
                      <w:sz w:val="16"/>
                      <w:szCs w:val="16"/>
                    </w:rPr>
                  </w:pPr>
                </w:p>
              </w:tc>
              <w:tc>
                <w:tcPr>
                  <w:tcW w:w="249" w:type="dxa"/>
                </w:tcPr>
                <w:p w14:paraId="734AA922" w14:textId="77777777" w:rsidR="00307D35" w:rsidRPr="009B546D" w:rsidRDefault="00307D35" w:rsidP="00F432B9">
                  <w:pPr>
                    <w:pStyle w:val="TableNormal1"/>
                    <w:ind w:left="57"/>
                    <w:jc w:val="center"/>
                    <w:rPr>
                      <w:rFonts w:asciiTheme="minorHAnsi" w:hAnsiTheme="minorHAnsi" w:cstheme="minorHAnsi"/>
                      <w:b/>
                      <w:sz w:val="16"/>
                      <w:szCs w:val="16"/>
                    </w:rPr>
                  </w:pPr>
                </w:p>
              </w:tc>
              <w:tc>
                <w:tcPr>
                  <w:tcW w:w="1075" w:type="dxa"/>
                </w:tcPr>
                <w:p w14:paraId="12477517" w14:textId="77777777" w:rsidR="00307D35" w:rsidRPr="009B546D" w:rsidRDefault="00307D35" w:rsidP="00F432B9">
                  <w:pPr>
                    <w:pStyle w:val="TableNormal1"/>
                    <w:ind w:left="57"/>
                    <w:jc w:val="center"/>
                    <w:rPr>
                      <w:rFonts w:asciiTheme="minorHAnsi" w:hAnsiTheme="minorHAnsi" w:cstheme="minorHAnsi"/>
                      <w:b/>
                      <w:sz w:val="16"/>
                      <w:szCs w:val="16"/>
                    </w:rPr>
                  </w:pPr>
                </w:p>
              </w:tc>
              <w:tc>
                <w:tcPr>
                  <w:tcW w:w="232" w:type="dxa"/>
                </w:tcPr>
                <w:p w14:paraId="5A63B105" w14:textId="77777777" w:rsidR="00307D35" w:rsidRPr="009B546D" w:rsidRDefault="00307D35" w:rsidP="00F432B9">
                  <w:pPr>
                    <w:pStyle w:val="TableNormal1"/>
                    <w:ind w:left="57"/>
                    <w:jc w:val="center"/>
                    <w:rPr>
                      <w:rFonts w:asciiTheme="minorHAnsi" w:hAnsiTheme="minorHAnsi" w:cstheme="minorHAnsi"/>
                      <w:b/>
                      <w:sz w:val="16"/>
                      <w:szCs w:val="16"/>
                    </w:rPr>
                  </w:pPr>
                </w:p>
              </w:tc>
              <w:tc>
                <w:tcPr>
                  <w:tcW w:w="1051" w:type="dxa"/>
                </w:tcPr>
                <w:p w14:paraId="3D8AF977" w14:textId="77777777" w:rsidR="00307D35" w:rsidRPr="009B546D" w:rsidRDefault="00307D35" w:rsidP="00F432B9">
                  <w:pPr>
                    <w:pStyle w:val="TableNormal1"/>
                    <w:ind w:left="57"/>
                    <w:jc w:val="center"/>
                    <w:rPr>
                      <w:rFonts w:asciiTheme="minorHAnsi" w:hAnsiTheme="minorHAnsi" w:cstheme="minorHAnsi"/>
                      <w:b/>
                      <w:sz w:val="16"/>
                      <w:szCs w:val="16"/>
                    </w:rPr>
                  </w:pPr>
                </w:p>
              </w:tc>
              <w:tc>
                <w:tcPr>
                  <w:tcW w:w="247" w:type="dxa"/>
                </w:tcPr>
                <w:p w14:paraId="17910C3F" w14:textId="77777777" w:rsidR="00307D35" w:rsidRPr="009B546D" w:rsidRDefault="00307D35" w:rsidP="00F432B9">
                  <w:pPr>
                    <w:pStyle w:val="TableNormal1"/>
                    <w:ind w:left="57"/>
                    <w:jc w:val="center"/>
                    <w:rPr>
                      <w:rFonts w:asciiTheme="minorHAnsi" w:hAnsiTheme="minorHAnsi" w:cstheme="minorHAnsi"/>
                      <w:b/>
                      <w:sz w:val="16"/>
                      <w:szCs w:val="16"/>
                    </w:rPr>
                  </w:pPr>
                </w:p>
              </w:tc>
              <w:tc>
                <w:tcPr>
                  <w:tcW w:w="1034" w:type="dxa"/>
                </w:tcPr>
                <w:p w14:paraId="328F8156" w14:textId="77777777" w:rsidR="00307D35" w:rsidRPr="009B546D" w:rsidRDefault="00307D35" w:rsidP="00F432B9">
                  <w:pPr>
                    <w:pStyle w:val="TableNormal1"/>
                    <w:ind w:left="57"/>
                    <w:jc w:val="center"/>
                    <w:rPr>
                      <w:rFonts w:asciiTheme="minorHAnsi" w:hAnsiTheme="minorHAnsi" w:cstheme="minorHAnsi"/>
                      <w:b/>
                      <w:sz w:val="16"/>
                      <w:szCs w:val="16"/>
                    </w:rPr>
                  </w:pPr>
                </w:p>
              </w:tc>
            </w:tr>
            <w:tr w:rsidR="00BA3C34" w:rsidRPr="009B546D" w14:paraId="4B0A1BD3" w14:textId="77777777" w:rsidTr="00E42C6E">
              <w:tc>
                <w:tcPr>
                  <w:tcW w:w="1607" w:type="dxa"/>
                </w:tcPr>
                <w:p w14:paraId="2A3B5F79" w14:textId="77777777" w:rsidR="00307D35" w:rsidRPr="009B546D" w:rsidRDefault="00307D35" w:rsidP="00496B89">
                  <w:pPr>
                    <w:pStyle w:val="TableNormal1"/>
                    <w:ind w:left="57"/>
                    <w:rPr>
                      <w:rFonts w:asciiTheme="minorHAnsi" w:hAnsiTheme="minorHAnsi" w:cstheme="minorHAnsi"/>
                      <w:sz w:val="16"/>
                      <w:szCs w:val="16"/>
                    </w:rPr>
                  </w:pPr>
                  <w:r w:rsidRPr="009B546D">
                    <w:rPr>
                      <w:rFonts w:asciiTheme="minorHAnsi" w:hAnsiTheme="minorHAnsi" w:cstheme="minorHAnsi"/>
                      <w:sz w:val="16"/>
                      <w:szCs w:val="16"/>
                    </w:rPr>
                    <w:t>Revenue</w:t>
                  </w:r>
                </w:p>
              </w:tc>
              <w:tc>
                <w:tcPr>
                  <w:tcW w:w="1144" w:type="dxa"/>
                </w:tcPr>
                <w:p w14:paraId="6C6C756B" w14:textId="77777777"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249" w:type="dxa"/>
                </w:tcPr>
                <w:p w14:paraId="17E17CE4"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75" w:type="dxa"/>
                </w:tcPr>
                <w:p w14:paraId="4080E369" w14:textId="54B7D3BB" w:rsidR="00307D35" w:rsidRPr="009B546D" w:rsidRDefault="00763BEF"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208</w:t>
                  </w:r>
                </w:p>
              </w:tc>
              <w:tc>
                <w:tcPr>
                  <w:tcW w:w="232" w:type="dxa"/>
                </w:tcPr>
                <w:p w14:paraId="2BA10FE8"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51" w:type="dxa"/>
                </w:tcPr>
                <w:p w14:paraId="5CEC0C2C" w14:textId="77777777"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247" w:type="dxa"/>
                </w:tcPr>
                <w:p w14:paraId="669BEC78"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34" w:type="dxa"/>
                </w:tcPr>
                <w:p w14:paraId="06CB946F" w14:textId="2B4287E6" w:rsidR="00307D35" w:rsidRPr="009B546D" w:rsidRDefault="00BA3C34"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208</w:t>
                  </w:r>
                </w:p>
              </w:tc>
            </w:tr>
            <w:tr w:rsidR="00BA3C34" w:rsidRPr="009B546D" w14:paraId="319B6B8C" w14:textId="77777777" w:rsidTr="00E42C6E">
              <w:tc>
                <w:tcPr>
                  <w:tcW w:w="1607" w:type="dxa"/>
                </w:tcPr>
                <w:p w14:paraId="5DDA3BA7" w14:textId="3EF0D068" w:rsidR="00307D35" w:rsidRPr="009B546D" w:rsidRDefault="00307D35" w:rsidP="00496B89">
                  <w:pPr>
                    <w:pStyle w:val="TableNormal1"/>
                    <w:ind w:left="57"/>
                    <w:rPr>
                      <w:rFonts w:asciiTheme="minorHAnsi" w:hAnsiTheme="minorHAnsi" w:cstheme="minorHAnsi"/>
                      <w:sz w:val="16"/>
                      <w:szCs w:val="16"/>
                    </w:rPr>
                  </w:pPr>
                  <w:r w:rsidRPr="009B546D">
                    <w:rPr>
                      <w:rFonts w:asciiTheme="minorHAnsi" w:hAnsiTheme="minorHAnsi" w:cstheme="minorHAnsi"/>
                      <w:sz w:val="16"/>
                      <w:szCs w:val="16"/>
                    </w:rPr>
                    <w:t>Cost of sales</w:t>
                  </w:r>
                </w:p>
              </w:tc>
              <w:tc>
                <w:tcPr>
                  <w:tcW w:w="1144" w:type="dxa"/>
                </w:tcPr>
                <w:p w14:paraId="6A8B5A14" w14:textId="77777777"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249" w:type="dxa"/>
                </w:tcPr>
                <w:p w14:paraId="7F0B9105"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75" w:type="dxa"/>
                </w:tcPr>
                <w:p w14:paraId="79C77243" w14:textId="326449AA" w:rsidR="00307D35" w:rsidRPr="009B546D" w:rsidRDefault="00763BEF"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(58)</w:t>
                  </w:r>
                </w:p>
              </w:tc>
              <w:tc>
                <w:tcPr>
                  <w:tcW w:w="232" w:type="dxa"/>
                </w:tcPr>
                <w:p w14:paraId="73776182"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51" w:type="dxa"/>
                </w:tcPr>
                <w:p w14:paraId="45E4AB17" w14:textId="77777777"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247" w:type="dxa"/>
                </w:tcPr>
                <w:p w14:paraId="70847CBA"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34" w:type="dxa"/>
                </w:tcPr>
                <w:p w14:paraId="25B1D093" w14:textId="4C6AC0B2" w:rsidR="00307D35" w:rsidRPr="009B546D" w:rsidRDefault="00BA3C34"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(58)</w:t>
                  </w:r>
                </w:p>
              </w:tc>
            </w:tr>
            <w:tr w:rsidR="00BA3C34" w:rsidRPr="009B546D" w14:paraId="45A35112" w14:textId="77777777" w:rsidTr="00E42C6E">
              <w:tc>
                <w:tcPr>
                  <w:tcW w:w="1607" w:type="dxa"/>
                </w:tcPr>
                <w:p w14:paraId="01D5CCDE" w14:textId="77777777" w:rsidR="00307D35" w:rsidRPr="009B546D" w:rsidRDefault="00307D35" w:rsidP="00F432B9">
                  <w:pPr>
                    <w:pStyle w:val="TableNormal1"/>
                    <w:ind w:left="57"/>
                    <w:rPr>
                      <w:rFonts w:asciiTheme="minorHAnsi" w:hAnsiTheme="minorHAnsi" w:cstheme="minorHAnsi"/>
                      <w:sz w:val="16"/>
                      <w:szCs w:val="16"/>
                    </w:rPr>
                  </w:pPr>
                  <w:r w:rsidRPr="009B546D">
                    <w:rPr>
                      <w:rFonts w:asciiTheme="minorHAnsi" w:hAnsiTheme="minorHAnsi" w:cstheme="minorHAnsi"/>
                      <w:sz w:val="16"/>
                      <w:szCs w:val="16"/>
                    </w:rPr>
                    <w:t>Gross profit</w:t>
                  </w:r>
                </w:p>
              </w:tc>
              <w:tc>
                <w:tcPr>
                  <w:tcW w:w="1144" w:type="dxa"/>
                </w:tcPr>
                <w:p w14:paraId="29358D83" w14:textId="77777777"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249" w:type="dxa"/>
                </w:tcPr>
                <w:p w14:paraId="0682B5DB"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75" w:type="dxa"/>
                </w:tcPr>
                <w:p w14:paraId="64F54929" w14:textId="5C858E6E"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150</w:t>
                  </w:r>
                </w:p>
              </w:tc>
              <w:tc>
                <w:tcPr>
                  <w:tcW w:w="232" w:type="dxa"/>
                </w:tcPr>
                <w:p w14:paraId="3104A59A"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51" w:type="dxa"/>
                </w:tcPr>
                <w:p w14:paraId="08E049ED" w14:textId="555320AC"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247" w:type="dxa"/>
                </w:tcPr>
                <w:p w14:paraId="1F80C1F8"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34" w:type="dxa"/>
                </w:tcPr>
                <w:p w14:paraId="319BEB6C" w14:textId="3030E565" w:rsidR="00307D35" w:rsidRPr="009B546D" w:rsidRDefault="00A86F74"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150</w:t>
                  </w:r>
                </w:p>
              </w:tc>
            </w:tr>
            <w:tr w:rsidR="00BA3C34" w:rsidRPr="009B546D" w14:paraId="613C06E6" w14:textId="77777777" w:rsidTr="00E42C6E">
              <w:tc>
                <w:tcPr>
                  <w:tcW w:w="1607" w:type="dxa"/>
                </w:tcPr>
                <w:p w14:paraId="2569FA47" w14:textId="77777777" w:rsidR="00307D35" w:rsidRPr="009B546D" w:rsidRDefault="00307D35" w:rsidP="00496B89">
                  <w:pPr>
                    <w:pStyle w:val="TableNormal1"/>
                    <w:ind w:left="57"/>
                    <w:rPr>
                      <w:rFonts w:asciiTheme="minorHAnsi" w:hAnsiTheme="minorHAnsi" w:cstheme="minorHAnsi"/>
                      <w:sz w:val="16"/>
                      <w:szCs w:val="16"/>
                    </w:rPr>
                  </w:pPr>
                </w:p>
              </w:tc>
              <w:tc>
                <w:tcPr>
                  <w:tcW w:w="1144" w:type="dxa"/>
                </w:tcPr>
                <w:p w14:paraId="12D1EDBA" w14:textId="77777777" w:rsidR="00307D35" w:rsidRPr="009B546D" w:rsidRDefault="00307D35" w:rsidP="00F432B9">
                  <w:pPr>
                    <w:pStyle w:val="TableNormal1"/>
                    <w:ind w:left="57"/>
                    <w:jc w:val="right"/>
                    <w:rPr>
                      <w:rFonts w:asciiTheme="minorHAnsi" w:hAnsiTheme="minorHAnsi" w:cstheme="minorHAnsi"/>
                      <w:sz w:val="16"/>
                      <w:szCs w:val="16"/>
                    </w:rPr>
                  </w:pPr>
                </w:p>
              </w:tc>
              <w:tc>
                <w:tcPr>
                  <w:tcW w:w="249" w:type="dxa"/>
                </w:tcPr>
                <w:p w14:paraId="1A99A501"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75" w:type="dxa"/>
                </w:tcPr>
                <w:p w14:paraId="135BE631" w14:textId="77777777" w:rsidR="00307D35" w:rsidRPr="009B546D" w:rsidRDefault="00307D35" w:rsidP="00F432B9">
                  <w:pPr>
                    <w:pStyle w:val="TableNormal1"/>
                    <w:ind w:left="57"/>
                    <w:jc w:val="right"/>
                    <w:rPr>
                      <w:rFonts w:asciiTheme="minorHAnsi" w:hAnsiTheme="minorHAnsi" w:cstheme="minorHAnsi"/>
                      <w:sz w:val="16"/>
                      <w:szCs w:val="16"/>
                    </w:rPr>
                  </w:pPr>
                </w:p>
              </w:tc>
              <w:tc>
                <w:tcPr>
                  <w:tcW w:w="232" w:type="dxa"/>
                </w:tcPr>
                <w:p w14:paraId="479A9C93"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51" w:type="dxa"/>
                </w:tcPr>
                <w:p w14:paraId="117584C7" w14:textId="77777777" w:rsidR="00307D35" w:rsidRPr="009B546D" w:rsidRDefault="00307D35" w:rsidP="00F432B9">
                  <w:pPr>
                    <w:pStyle w:val="TableNormal1"/>
                    <w:ind w:left="57"/>
                    <w:jc w:val="right"/>
                    <w:rPr>
                      <w:rFonts w:asciiTheme="minorHAnsi" w:hAnsiTheme="minorHAnsi" w:cstheme="minorHAnsi"/>
                      <w:sz w:val="16"/>
                      <w:szCs w:val="16"/>
                    </w:rPr>
                  </w:pPr>
                </w:p>
              </w:tc>
              <w:tc>
                <w:tcPr>
                  <w:tcW w:w="247" w:type="dxa"/>
                </w:tcPr>
                <w:p w14:paraId="647383CF"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34" w:type="dxa"/>
                </w:tcPr>
                <w:p w14:paraId="3E947AE9" w14:textId="77777777" w:rsidR="00307D35" w:rsidRPr="009B546D" w:rsidRDefault="00307D35" w:rsidP="00F432B9">
                  <w:pPr>
                    <w:pStyle w:val="TableNormal1"/>
                    <w:ind w:left="57"/>
                    <w:jc w:val="right"/>
                    <w:rPr>
                      <w:rFonts w:asciiTheme="minorHAnsi" w:hAnsiTheme="minorHAnsi" w:cstheme="minorHAnsi"/>
                      <w:sz w:val="16"/>
                      <w:szCs w:val="16"/>
                    </w:rPr>
                  </w:pPr>
                </w:p>
              </w:tc>
            </w:tr>
            <w:tr w:rsidR="00BA3C34" w:rsidRPr="009B546D" w14:paraId="55371247" w14:textId="77777777" w:rsidTr="00E42C6E">
              <w:tc>
                <w:tcPr>
                  <w:tcW w:w="1607" w:type="dxa"/>
                </w:tcPr>
                <w:p w14:paraId="1BCAB748" w14:textId="42F65C77" w:rsidR="00307D35" w:rsidRPr="009B546D" w:rsidRDefault="00307D35" w:rsidP="00496B89">
                  <w:pPr>
                    <w:pStyle w:val="TableNormal1"/>
                    <w:ind w:left="57"/>
                    <w:rPr>
                      <w:rFonts w:asciiTheme="minorHAnsi" w:hAnsiTheme="minorHAnsi" w:cstheme="minorHAnsi"/>
                      <w:sz w:val="16"/>
                      <w:szCs w:val="16"/>
                    </w:rPr>
                  </w:pPr>
                  <w:r w:rsidRPr="009B546D">
                    <w:rPr>
                      <w:rFonts w:asciiTheme="minorHAnsi" w:hAnsiTheme="minorHAnsi" w:cstheme="minorHAnsi"/>
                      <w:sz w:val="16"/>
                      <w:szCs w:val="16"/>
                    </w:rPr>
                    <w:t>Other income</w:t>
                  </w:r>
                </w:p>
              </w:tc>
              <w:tc>
                <w:tcPr>
                  <w:tcW w:w="1144" w:type="dxa"/>
                </w:tcPr>
                <w:p w14:paraId="785438E9" w14:textId="004611C8"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249" w:type="dxa"/>
                </w:tcPr>
                <w:p w14:paraId="52183B0E"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75" w:type="dxa"/>
                </w:tcPr>
                <w:p w14:paraId="069E5E08" w14:textId="5EDD1ED8" w:rsidR="00307D35" w:rsidRPr="009B546D" w:rsidRDefault="00763BEF"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2</w:t>
                  </w:r>
                </w:p>
              </w:tc>
              <w:tc>
                <w:tcPr>
                  <w:tcW w:w="232" w:type="dxa"/>
                </w:tcPr>
                <w:p w14:paraId="048A1980"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51" w:type="dxa"/>
                </w:tcPr>
                <w:p w14:paraId="4100E6A4" w14:textId="567633B4"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247" w:type="dxa"/>
                </w:tcPr>
                <w:p w14:paraId="5A9D02AF"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34" w:type="dxa"/>
                </w:tcPr>
                <w:p w14:paraId="547CDCFF" w14:textId="63F5256D" w:rsidR="00307D35" w:rsidRPr="009B546D" w:rsidRDefault="00A86F74"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2</w:t>
                  </w:r>
                </w:p>
              </w:tc>
            </w:tr>
            <w:tr w:rsidR="00BA3C34" w:rsidRPr="009B546D" w14:paraId="79A97B3F" w14:textId="77777777" w:rsidTr="00E42C6E">
              <w:tc>
                <w:tcPr>
                  <w:tcW w:w="1607" w:type="dxa"/>
                </w:tcPr>
                <w:p w14:paraId="63E00AAF" w14:textId="094420FA" w:rsidR="00307D35" w:rsidRPr="009B546D" w:rsidRDefault="00307D35" w:rsidP="00496B89">
                  <w:pPr>
                    <w:pStyle w:val="TableNormal1"/>
                    <w:ind w:left="57"/>
                    <w:rPr>
                      <w:rFonts w:asciiTheme="minorHAnsi" w:hAnsiTheme="minorHAnsi" w:cstheme="minorHAnsi"/>
                      <w:sz w:val="16"/>
                      <w:szCs w:val="16"/>
                    </w:rPr>
                  </w:pPr>
                  <w:r w:rsidRPr="009B546D">
                    <w:rPr>
                      <w:rFonts w:asciiTheme="minorHAnsi" w:hAnsiTheme="minorHAnsi" w:cstheme="minorHAnsi"/>
                      <w:sz w:val="16"/>
                      <w:szCs w:val="16"/>
                    </w:rPr>
                    <w:t>Admin expenses</w:t>
                  </w:r>
                </w:p>
              </w:tc>
              <w:tc>
                <w:tcPr>
                  <w:tcW w:w="1144" w:type="dxa"/>
                </w:tcPr>
                <w:p w14:paraId="12CE371B" w14:textId="4EA9A216"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(488)</w:t>
                  </w:r>
                </w:p>
              </w:tc>
              <w:tc>
                <w:tcPr>
                  <w:tcW w:w="249" w:type="dxa"/>
                </w:tcPr>
                <w:p w14:paraId="0C24CA9F"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75" w:type="dxa"/>
                </w:tcPr>
                <w:p w14:paraId="7A7DF7FF" w14:textId="5CBBF783" w:rsidR="00307D35" w:rsidRPr="009B546D" w:rsidRDefault="00763BEF"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(57)</w:t>
                  </w:r>
                </w:p>
              </w:tc>
              <w:tc>
                <w:tcPr>
                  <w:tcW w:w="232" w:type="dxa"/>
                </w:tcPr>
                <w:p w14:paraId="4D9FE15B"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51" w:type="dxa"/>
                </w:tcPr>
                <w:p w14:paraId="0995334F" w14:textId="77777777"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247" w:type="dxa"/>
                </w:tcPr>
                <w:p w14:paraId="3BDE099C"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34" w:type="dxa"/>
                </w:tcPr>
                <w:p w14:paraId="50236A15" w14:textId="32134E68" w:rsidR="00307D35" w:rsidRPr="009B546D" w:rsidRDefault="00A86F74"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(545)</w:t>
                  </w:r>
                </w:p>
              </w:tc>
            </w:tr>
            <w:tr w:rsidR="00A86F74" w:rsidRPr="009B546D" w14:paraId="64D0BE5A" w14:textId="77777777" w:rsidTr="00E42C6E">
              <w:tc>
                <w:tcPr>
                  <w:tcW w:w="1607" w:type="dxa"/>
                </w:tcPr>
                <w:p w14:paraId="653B7BFC" w14:textId="77777777" w:rsidR="00307D35" w:rsidRPr="009B546D" w:rsidRDefault="00307D35" w:rsidP="00496B89">
                  <w:pPr>
                    <w:pStyle w:val="TableNormal1"/>
                    <w:ind w:left="57"/>
                    <w:rPr>
                      <w:rFonts w:asciiTheme="minorHAnsi" w:hAnsiTheme="minorHAnsi" w:cstheme="minorHAnsi"/>
                      <w:sz w:val="16"/>
                      <w:szCs w:val="16"/>
                    </w:rPr>
                  </w:pPr>
                  <w:r w:rsidRPr="009B546D">
                    <w:rPr>
                      <w:rFonts w:asciiTheme="minorHAnsi" w:hAnsiTheme="minorHAnsi" w:cstheme="minorHAnsi"/>
                      <w:sz w:val="16"/>
                      <w:szCs w:val="16"/>
                    </w:rPr>
                    <w:t>Loss on foreign exchange</w:t>
                  </w:r>
                </w:p>
              </w:tc>
              <w:tc>
                <w:tcPr>
                  <w:tcW w:w="1144" w:type="dxa"/>
                </w:tcPr>
                <w:p w14:paraId="2E1AD7ED" w14:textId="24F1246E"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(36)</w:t>
                  </w:r>
                </w:p>
              </w:tc>
              <w:tc>
                <w:tcPr>
                  <w:tcW w:w="249" w:type="dxa"/>
                </w:tcPr>
                <w:p w14:paraId="56DA6CA6"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75" w:type="dxa"/>
                </w:tcPr>
                <w:p w14:paraId="1486F612" w14:textId="17D6D525"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232" w:type="dxa"/>
                </w:tcPr>
                <w:p w14:paraId="189ADB3F"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51" w:type="dxa"/>
                </w:tcPr>
                <w:p w14:paraId="07D9B70A" w14:textId="27BBB007"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247" w:type="dxa"/>
                </w:tcPr>
                <w:p w14:paraId="464FA21F"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34" w:type="dxa"/>
                </w:tcPr>
                <w:p w14:paraId="780B4E88" w14:textId="520F6754" w:rsidR="00307D35" w:rsidRPr="009B546D" w:rsidRDefault="00A86F74"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(36)</w:t>
                  </w:r>
                </w:p>
              </w:tc>
            </w:tr>
            <w:tr w:rsidR="00E95F08" w:rsidRPr="009B546D" w14:paraId="7C4FA1EB" w14:textId="77777777" w:rsidTr="00E42C6E">
              <w:tc>
                <w:tcPr>
                  <w:tcW w:w="1607" w:type="dxa"/>
                </w:tcPr>
                <w:p w14:paraId="07850255" w14:textId="5C32CFEA" w:rsidR="00E95F08" w:rsidRPr="009B546D" w:rsidRDefault="00C17CAA" w:rsidP="00496B89">
                  <w:pPr>
                    <w:pStyle w:val="TableNormal1"/>
                    <w:ind w:left="57"/>
                    <w:rPr>
                      <w:rFonts w:asciiTheme="minorHAnsi" w:hAnsiTheme="minorHAnsi" w:cstheme="minorHAnsi"/>
                      <w:sz w:val="16"/>
                      <w:szCs w:val="16"/>
                    </w:rPr>
                  </w:pPr>
                  <w:r>
                    <w:rPr>
                      <w:rFonts w:asciiTheme="minorHAnsi" w:hAnsiTheme="minorHAnsi" w:cstheme="minorHAnsi"/>
                      <w:sz w:val="16"/>
                      <w:szCs w:val="16"/>
                    </w:rPr>
                    <w:t xml:space="preserve">Transaction </w:t>
                  </w:r>
                  <w:r w:rsidR="00E95F08">
                    <w:rPr>
                      <w:rFonts w:asciiTheme="minorHAnsi" w:hAnsiTheme="minorHAnsi" w:cstheme="minorHAnsi"/>
                      <w:sz w:val="16"/>
                      <w:szCs w:val="16"/>
                    </w:rPr>
                    <w:t>costs</w:t>
                  </w:r>
                </w:p>
              </w:tc>
              <w:tc>
                <w:tcPr>
                  <w:tcW w:w="1144" w:type="dxa"/>
                </w:tcPr>
                <w:p w14:paraId="14B735F6" w14:textId="06A361EC" w:rsidR="00E95F08" w:rsidRPr="009B546D" w:rsidRDefault="006F03FF" w:rsidP="00F432B9">
                  <w:pPr>
                    <w:pStyle w:val="TableNormal1"/>
                    <w:ind w:left="57"/>
                    <w:jc w:val="right"/>
                    <w:rPr>
                      <w:rFonts w:asciiTheme="minorHAnsi" w:hAnsiTheme="minorHAnsi" w:cstheme="minorHAnsi"/>
                      <w:sz w:val="16"/>
                      <w:szCs w:val="16"/>
                    </w:rPr>
                  </w:pPr>
                  <w:r>
                    <w:rPr>
                      <w:rFonts w:asciiTheme="minorHAnsi" w:hAnsiTheme="minorHAnsi" w:cstheme="minorHAnsi"/>
                      <w:sz w:val="16"/>
                      <w:szCs w:val="16"/>
                    </w:rPr>
                    <w:t>-</w:t>
                  </w:r>
                </w:p>
              </w:tc>
              <w:tc>
                <w:tcPr>
                  <w:tcW w:w="249" w:type="dxa"/>
                </w:tcPr>
                <w:p w14:paraId="539DE6B3" w14:textId="77777777" w:rsidR="00E95F08" w:rsidRPr="009B546D" w:rsidRDefault="00E95F08" w:rsidP="00F432B9">
                  <w:pPr>
                    <w:pStyle w:val="TableNormal1"/>
                    <w:ind w:left="57"/>
                    <w:jc w:val="right"/>
                    <w:rPr>
                      <w:rFonts w:asciiTheme="minorHAnsi" w:hAnsiTheme="minorHAnsi" w:cstheme="minorHAnsi"/>
                      <w:sz w:val="16"/>
                      <w:szCs w:val="16"/>
                    </w:rPr>
                  </w:pPr>
                </w:p>
              </w:tc>
              <w:tc>
                <w:tcPr>
                  <w:tcW w:w="1075" w:type="dxa"/>
                </w:tcPr>
                <w:p w14:paraId="6BA84D26" w14:textId="44F05F25" w:rsidR="00E95F08" w:rsidRPr="009B546D" w:rsidRDefault="006F03FF" w:rsidP="00F432B9">
                  <w:pPr>
                    <w:pStyle w:val="TableNormal1"/>
                    <w:ind w:left="57"/>
                    <w:jc w:val="right"/>
                    <w:rPr>
                      <w:rFonts w:asciiTheme="minorHAnsi" w:hAnsiTheme="minorHAnsi" w:cstheme="minorHAnsi"/>
                      <w:sz w:val="16"/>
                      <w:szCs w:val="16"/>
                    </w:rPr>
                  </w:pPr>
                  <w:r>
                    <w:rPr>
                      <w:rFonts w:asciiTheme="minorHAnsi" w:hAnsiTheme="minorHAnsi" w:cstheme="minorHAnsi"/>
                      <w:sz w:val="16"/>
                      <w:szCs w:val="16"/>
                    </w:rPr>
                    <w:t>-</w:t>
                  </w:r>
                </w:p>
              </w:tc>
              <w:tc>
                <w:tcPr>
                  <w:tcW w:w="232" w:type="dxa"/>
                </w:tcPr>
                <w:p w14:paraId="32A488C4" w14:textId="77777777" w:rsidR="00E95F08" w:rsidRPr="009B546D" w:rsidRDefault="00E95F08" w:rsidP="00F432B9">
                  <w:pPr>
                    <w:pStyle w:val="TableNormal1"/>
                    <w:ind w:left="57"/>
                    <w:jc w:val="right"/>
                    <w:rPr>
                      <w:rFonts w:asciiTheme="minorHAnsi" w:hAnsiTheme="minorHAnsi" w:cstheme="minorHAnsi"/>
                      <w:sz w:val="16"/>
                      <w:szCs w:val="16"/>
                    </w:rPr>
                  </w:pPr>
                </w:p>
              </w:tc>
              <w:tc>
                <w:tcPr>
                  <w:tcW w:w="1051" w:type="dxa"/>
                </w:tcPr>
                <w:p w14:paraId="6D1F98A6" w14:textId="723F15DA" w:rsidR="00E95F08" w:rsidRPr="009B546D" w:rsidRDefault="006F03FF" w:rsidP="00F432B9">
                  <w:pPr>
                    <w:pStyle w:val="TableNormal1"/>
                    <w:ind w:left="57"/>
                    <w:jc w:val="right"/>
                    <w:rPr>
                      <w:rFonts w:asciiTheme="minorHAnsi" w:hAnsiTheme="minorHAnsi" w:cstheme="minorHAnsi"/>
                      <w:sz w:val="16"/>
                      <w:szCs w:val="16"/>
                    </w:rPr>
                  </w:pPr>
                  <w:r>
                    <w:rPr>
                      <w:rFonts w:asciiTheme="minorHAnsi" w:hAnsiTheme="minorHAnsi" w:cstheme="minorHAnsi"/>
                      <w:sz w:val="16"/>
                      <w:szCs w:val="16"/>
                    </w:rPr>
                    <w:t>(364)</w:t>
                  </w:r>
                </w:p>
              </w:tc>
              <w:tc>
                <w:tcPr>
                  <w:tcW w:w="247" w:type="dxa"/>
                </w:tcPr>
                <w:p w14:paraId="70300326" w14:textId="77777777" w:rsidR="00E95F08" w:rsidRPr="009B546D" w:rsidRDefault="00E95F08" w:rsidP="00F432B9">
                  <w:pPr>
                    <w:pStyle w:val="TableNormal1"/>
                    <w:ind w:left="57"/>
                    <w:jc w:val="right"/>
                    <w:rPr>
                      <w:rFonts w:asciiTheme="minorHAnsi" w:hAnsiTheme="minorHAnsi" w:cstheme="minorHAnsi"/>
                      <w:sz w:val="16"/>
                      <w:szCs w:val="16"/>
                    </w:rPr>
                  </w:pPr>
                </w:p>
              </w:tc>
              <w:tc>
                <w:tcPr>
                  <w:tcW w:w="1034" w:type="dxa"/>
                </w:tcPr>
                <w:p w14:paraId="7CF5C9E7" w14:textId="5467EE77" w:rsidR="00E95F08" w:rsidRPr="009B546D" w:rsidRDefault="006F03FF" w:rsidP="00F432B9">
                  <w:pPr>
                    <w:pStyle w:val="TableNormal1"/>
                    <w:ind w:left="57"/>
                    <w:jc w:val="right"/>
                    <w:rPr>
                      <w:rFonts w:asciiTheme="minorHAnsi" w:hAnsiTheme="minorHAnsi" w:cstheme="minorHAnsi"/>
                      <w:sz w:val="16"/>
                      <w:szCs w:val="16"/>
                    </w:rPr>
                  </w:pPr>
                  <w:r>
                    <w:rPr>
                      <w:rFonts w:asciiTheme="minorHAnsi" w:hAnsiTheme="minorHAnsi" w:cstheme="minorHAnsi"/>
                      <w:sz w:val="16"/>
                      <w:szCs w:val="16"/>
                    </w:rPr>
                    <w:t>(364)</w:t>
                  </w:r>
                </w:p>
              </w:tc>
            </w:tr>
            <w:tr w:rsidR="00A86F74" w:rsidRPr="009B546D" w14:paraId="4910C4D9" w14:textId="77777777" w:rsidTr="00E42C6E">
              <w:tc>
                <w:tcPr>
                  <w:tcW w:w="1607" w:type="dxa"/>
                </w:tcPr>
                <w:p w14:paraId="372361C8" w14:textId="77777777" w:rsidR="00307D35" w:rsidRPr="009B546D" w:rsidRDefault="00307D35" w:rsidP="00496B89">
                  <w:pPr>
                    <w:pStyle w:val="TableNormal1"/>
                    <w:ind w:left="57"/>
                    <w:rPr>
                      <w:rFonts w:asciiTheme="minorHAnsi" w:hAnsiTheme="minorHAnsi" w:cstheme="minorHAnsi"/>
                      <w:sz w:val="16"/>
                      <w:szCs w:val="16"/>
                    </w:rPr>
                  </w:pPr>
                  <w:r w:rsidRPr="009B546D">
                    <w:rPr>
                      <w:rFonts w:asciiTheme="minorHAnsi" w:hAnsiTheme="minorHAnsi" w:cstheme="minorHAnsi"/>
                      <w:sz w:val="16"/>
                      <w:szCs w:val="16"/>
                    </w:rPr>
                    <w:t>Finance income</w:t>
                  </w:r>
                </w:p>
              </w:tc>
              <w:tc>
                <w:tcPr>
                  <w:tcW w:w="1144" w:type="dxa"/>
                </w:tcPr>
                <w:p w14:paraId="1A614DCA" w14:textId="33FBE10D"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20</w:t>
                  </w:r>
                </w:p>
              </w:tc>
              <w:tc>
                <w:tcPr>
                  <w:tcW w:w="249" w:type="dxa"/>
                </w:tcPr>
                <w:p w14:paraId="21F20079"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75" w:type="dxa"/>
                </w:tcPr>
                <w:p w14:paraId="5C08DD60" w14:textId="6C4BE148"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232" w:type="dxa"/>
                </w:tcPr>
                <w:p w14:paraId="5B218749"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51" w:type="dxa"/>
                </w:tcPr>
                <w:p w14:paraId="304FEC70" w14:textId="5E793DFC"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247" w:type="dxa"/>
                </w:tcPr>
                <w:p w14:paraId="052E5444"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34" w:type="dxa"/>
                </w:tcPr>
                <w:p w14:paraId="5D63646E" w14:textId="60F579E6" w:rsidR="00307D35" w:rsidRPr="009B546D" w:rsidRDefault="00A86F74"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20</w:t>
                  </w:r>
                </w:p>
              </w:tc>
            </w:tr>
            <w:tr w:rsidR="00A86F74" w:rsidRPr="009B546D" w14:paraId="307FF9DE" w14:textId="77777777" w:rsidTr="00E42C6E">
              <w:tc>
                <w:tcPr>
                  <w:tcW w:w="1607" w:type="dxa"/>
                </w:tcPr>
                <w:p w14:paraId="33848A5D" w14:textId="77777777" w:rsidR="00307D35" w:rsidRPr="009B546D" w:rsidRDefault="00307D35" w:rsidP="00F432B9">
                  <w:pPr>
                    <w:pStyle w:val="TableNormal1"/>
                    <w:ind w:left="57"/>
                    <w:rPr>
                      <w:rFonts w:asciiTheme="minorHAnsi" w:hAnsiTheme="minorHAnsi" w:cstheme="minorHAnsi"/>
                      <w:b/>
                      <w:sz w:val="16"/>
                      <w:szCs w:val="16"/>
                    </w:rPr>
                  </w:pPr>
                  <w:r w:rsidRPr="009B546D">
                    <w:rPr>
                      <w:rFonts w:asciiTheme="minorHAnsi" w:hAnsiTheme="minorHAnsi" w:cstheme="minorHAnsi"/>
                      <w:b/>
                      <w:sz w:val="16"/>
                      <w:szCs w:val="16"/>
                    </w:rPr>
                    <w:t>(Loss)/profit before taxation</w:t>
                  </w:r>
                </w:p>
              </w:tc>
              <w:tc>
                <w:tcPr>
                  <w:tcW w:w="1144" w:type="dxa"/>
                </w:tcPr>
                <w:p w14:paraId="4D060D04" w14:textId="66157005" w:rsidR="00307D35" w:rsidRPr="009B546D" w:rsidRDefault="00307D35" w:rsidP="00F432B9">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(504)</w:t>
                  </w:r>
                </w:p>
              </w:tc>
              <w:tc>
                <w:tcPr>
                  <w:tcW w:w="249" w:type="dxa"/>
                </w:tcPr>
                <w:p w14:paraId="7C2E2505" w14:textId="77777777" w:rsidR="00307D35" w:rsidRPr="009B546D" w:rsidRDefault="00307D35" w:rsidP="00F432B9">
                  <w:pPr>
                    <w:pStyle w:val="TableNormal1"/>
                    <w:ind w:left="57"/>
                    <w:jc w:val="right"/>
                    <w:rPr>
                      <w:rFonts w:asciiTheme="minorHAnsi" w:hAnsiTheme="minorHAnsi" w:cstheme="minorHAnsi"/>
                      <w:b/>
                      <w:sz w:val="16"/>
                      <w:szCs w:val="16"/>
                    </w:rPr>
                  </w:pPr>
                </w:p>
              </w:tc>
              <w:tc>
                <w:tcPr>
                  <w:tcW w:w="1075" w:type="dxa"/>
                </w:tcPr>
                <w:p w14:paraId="270F9371" w14:textId="7A58CCA5" w:rsidR="00307D35" w:rsidRPr="009B546D" w:rsidRDefault="00BA3C34" w:rsidP="00F432B9">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95</w:t>
                  </w:r>
                </w:p>
              </w:tc>
              <w:tc>
                <w:tcPr>
                  <w:tcW w:w="232" w:type="dxa"/>
                </w:tcPr>
                <w:p w14:paraId="1B982D45" w14:textId="77777777" w:rsidR="00307D35" w:rsidRPr="009B546D" w:rsidRDefault="00307D35" w:rsidP="00F432B9">
                  <w:pPr>
                    <w:pStyle w:val="TableNormal1"/>
                    <w:ind w:left="57"/>
                    <w:jc w:val="right"/>
                    <w:rPr>
                      <w:rFonts w:asciiTheme="minorHAnsi" w:hAnsiTheme="minorHAnsi" w:cstheme="minorHAnsi"/>
                      <w:b/>
                      <w:sz w:val="16"/>
                      <w:szCs w:val="16"/>
                    </w:rPr>
                  </w:pPr>
                </w:p>
              </w:tc>
              <w:tc>
                <w:tcPr>
                  <w:tcW w:w="1051" w:type="dxa"/>
                </w:tcPr>
                <w:p w14:paraId="772900B7" w14:textId="77777777" w:rsidR="00307D35" w:rsidRPr="009B546D" w:rsidRDefault="00307D35" w:rsidP="00F432B9">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w:t>
                  </w:r>
                </w:p>
              </w:tc>
              <w:tc>
                <w:tcPr>
                  <w:tcW w:w="247" w:type="dxa"/>
                </w:tcPr>
                <w:p w14:paraId="7B0D53F4" w14:textId="77777777" w:rsidR="00307D35" w:rsidRPr="009B546D" w:rsidRDefault="00307D35" w:rsidP="00F432B9">
                  <w:pPr>
                    <w:pStyle w:val="TableNormal1"/>
                    <w:ind w:left="57"/>
                    <w:jc w:val="right"/>
                    <w:rPr>
                      <w:rFonts w:asciiTheme="minorHAnsi" w:hAnsiTheme="minorHAnsi" w:cstheme="minorHAnsi"/>
                      <w:b/>
                      <w:sz w:val="16"/>
                      <w:szCs w:val="16"/>
                    </w:rPr>
                  </w:pPr>
                </w:p>
              </w:tc>
              <w:tc>
                <w:tcPr>
                  <w:tcW w:w="1034" w:type="dxa"/>
                </w:tcPr>
                <w:p w14:paraId="376B754E" w14:textId="7B2CFC23" w:rsidR="00307D35" w:rsidRPr="009B546D" w:rsidRDefault="00A86F74" w:rsidP="00F432B9">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w:t>
                  </w:r>
                  <w:r w:rsidR="006F03FF">
                    <w:rPr>
                      <w:rFonts w:asciiTheme="minorHAnsi" w:hAnsiTheme="minorHAnsi" w:cstheme="minorHAnsi"/>
                      <w:b/>
                      <w:sz w:val="16"/>
                      <w:szCs w:val="16"/>
                    </w:rPr>
                    <w:t>723</w:t>
                  </w:r>
                  <w:r w:rsidRPr="009B546D">
                    <w:rPr>
                      <w:rFonts w:asciiTheme="minorHAnsi" w:hAnsiTheme="minorHAnsi" w:cstheme="minorHAnsi"/>
                      <w:b/>
                      <w:sz w:val="16"/>
                      <w:szCs w:val="16"/>
                    </w:rPr>
                    <w:t>)</w:t>
                  </w:r>
                </w:p>
              </w:tc>
            </w:tr>
            <w:tr w:rsidR="00A86F74" w:rsidRPr="009B546D" w14:paraId="3880F1D8" w14:textId="77777777" w:rsidTr="00E42C6E">
              <w:tc>
                <w:tcPr>
                  <w:tcW w:w="1607" w:type="dxa"/>
                </w:tcPr>
                <w:p w14:paraId="38A18CE5" w14:textId="77777777" w:rsidR="00307D35" w:rsidRPr="009B546D" w:rsidRDefault="00307D35" w:rsidP="00496B89">
                  <w:pPr>
                    <w:pStyle w:val="TableNormal1"/>
                    <w:ind w:left="57"/>
                    <w:rPr>
                      <w:rFonts w:asciiTheme="minorHAnsi" w:hAnsiTheme="minorHAnsi" w:cstheme="minorHAnsi"/>
                      <w:b/>
                      <w:sz w:val="16"/>
                      <w:szCs w:val="16"/>
                    </w:rPr>
                  </w:pPr>
                </w:p>
              </w:tc>
              <w:tc>
                <w:tcPr>
                  <w:tcW w:w="1144" w:type="dxa"/>
                </w:tcPr>
                <w:p w14:paraId="29A33CA4" w14:textId="77777777" w:rsidR="00307D35" w:rsidRPr="009B546D" w:rsidRDefault="00307D35" w:rsidP="00F432B9">
                  <w:pPr>
                    <w:pStyle w:val="TableNormal1"/>
                    <w:ind w:left="57"/>
                    <w:jc w:val="right"/>
                    <w:rPr>
                      <w:rFonts w:asciiTheme="minorHAnsi" w:hAnsiTheme="minorHAnsi" w:cstheme="minorHAnsi"/>
                      <w:b/>
                      <w:sz w:val="16"/>
                      <w:szCs w:val="16"/>
                    </w:rPr>
                  </w:pPr>
                </w:p>
              </w:tc>
              <w:tc>
                <w:tcPr>
                  <w:tcW w:w="249" w:type="dxa"/>
                </w:tcPr>
                <w:p w14:paraId="765A3332" w14:textId="77777777" w:rsidR="00307D35" w:rsidRPr="009B546D" w:rsidRDefault="00307D35" w:rsidP="00F432B9">
                  <w:pPr>
                    <w:pStyle w:val="TableNormal1"/>
                    <w:ind w:left="57"/>
                    <w:jc w:val="right"/>
                    <w:rPr>
                      <w:rFonts w:asciiTheme="minorHAnsi" w:hAnsiTheme="minorHAnsi" w:cstheme="minorHAnsi"/>
                      <w:b/>
                      <w:sz w:val="16"/>
                      <w:szCs w:val="16"/>
                    </w:rPr>
                  </w:pPr>
                </w:p>
              </w:tc>
              <w:tc>
                <w:tcPr>
                  <w:tcW w:w="1075" w:type="dxa"/>
                </w:tcPr>
                <w:p w14:paraId="7D6AFA46" w14:textId="77777777" w:rsidR="00307D35" w:rsidRPr="009B546D" w:rsidRDefault="00307D35" w:rsidP="00F432B9">
                  <w:pPr>
                    <w:pStyle w:val="TableNormal1"/>
                    <w:ind w:left="57"/>
                    <w:jc w:val="right"/>
                    <w:rPr>
                      <w:rFonts w:asciiTheme="minorHAnsi" w:hAnsiTheme="minorHAnsi" w:cstheme="minorHAnsi"/>
                      <w:b/>
                      <w:sz w:val="16"/>
                      <w:szCs w:val="16"/>
                    </w:rPr>
                  </w:pPr>
                </w:p>
              </w:tc>
              <w:tc>
                <w:tcPr>
                  <w:tcW w:w="232" w:type="dxa"/>
                </w:tcPr>
                <w:p w14:paraId="0C104C0A" w14:textId="77777777" w:rsidR="00307D35" w:rsidRPr="009B546D" w:rsidRDefault="00307D35" w:rsidP="00F432B9">
                  <w:pPr>
                    <w:pStyle w:val="TableNormal1"/>
                    <w:ind w:left="57"/>
                    <w:jc w:val="right"/>
                    <w:rPr>
                      <w:rFonts w:asciiTheme="minorHAnsi" w:hAnsiTheme="minorHAnsi" w:cstheme="minorHAnsi"/>
                      <w:b/>
                      <w:sz w:val="16"/>
                      <w:szCs w:val="16"/>
                    </w:rPr>
                  </w:pPr>
                </w:p>
              </w:tc>
              <w:tc>
                <w:tcPr>
                  <w:tcW w:w="1051" w:type="dxa"/>
                </w:tcPr>
                <w:p w14:paraId="401AB230" w14:textId="77777777" w:rsidR="00307D35" w:rsidRPr="009B546D" w:rsidRDefault="00307D35" w:rsidP="00F432B9">
                  <w:pPr>
                    <w:pStyle w:val="TableNormal1"/>
                    <w:rPr>
                      <w:rFonts w:asciiTheme="minorHAnsi" w:hAnsiTheme="minorHAnsi" w:cstheme="minorHAnsi"/>
                      <w:b/>
                      <w:sz w:val="16"/>
                      <w:szCs w:val="16"/>
                    </w:rPr>
                  </w:pPr>
                </w:p>
              </w:tc>
              <w:tc>
                <w:tcPr>
                  <w:tcW w:w="247" w:type="dxa"/>
                </w:tcPr>
                <w:p w14:paraId="5B32B9EC" w14:textId="77777777" w:rsidR="00307D35" w:rsidRPr="009B546D" w:rsidRDefault="00307D35" w:rsidP="00F432B9">
                  <w:pPr>
                    <w:pStyle w:val="TableNormal1"/>
                    <w:ind w:left="57"/>
                    <w:jc w:val="right"/>
                    <w:rPr>
                      <w:rFonts w:asciiTheme="minorHAnsi" w:hAnsiTheme="minorHAnsi" w:cstheme="minorHAnsi"/>
                      <w:b/>
                      <w:sz w:val="16"/>
                      <w:szCs w:val="16"/>
                    </w:rPr>
                  </w:pPr>
                </w:p>
              </w:tc>
              <w:tc>
                <w:tcPr>
                  <w:tcW w:w="1034" w:type="dxa"/>
                </w:tcPr>
                <w:p w14:paraId="44136E72" w14:textId="77777777" w:rsidR="00307D35" w:rsidRPr="009B546D" w:rsidRDefault="00307D35" w:rsidP="00F432B9">
                  <w:pPr>
                    <w:pStyle w:val="TableNormal1"/>
                    <w:ind w:left="57"/>
                    <w:jc w:val="right"/>
                    <w:rPr>
                      <w:rFonts w:asciiTheme="minorHAnsi" w:hAnsiTheme="minorHAnsi" w:cstheme="minorHAnsi"/>
                      <w:b/>
                      <w:sz w:val="16"/>
                      <w:szCs w:val="16"/>
                    </w:rPr>
                  </w:pPr>
                </w:p>
              </w:tc>
            </w:tr>
            <w:tr w:rsidR="00A86F74" w:rsidRPr="009B546D" w14:paraId="32686E88" w14:textId="77777777" w:rsidTr="00E42C6E">
              <w:tc>
                <w:tcPr>
                  <w:tcW w:w="1607" w:type="dxa"/>
                </w:tcPr>
                <w:p w14:paraId="45CAAA8F" w14:textId="77777777" w:rsidR="00307D35" w:rsidRPr="009B546D" w:rsidRDefault="00307D35" w:rsidP="00496B89">
                  <w:pPr>
                    <w:pStyle w:val="TableNormal1"/>
                    <w:ind w:left="57"/>
                    <w:rPr>
                      <w:rFonts w:asciiTheme="minorHAnsi" w:hAnsiTheme="minorHAnsi" w:cstheme="minorHAnsi"/>
                      <w:sz w:val="16"/>
                      <w:szCs w:val="16"/>
                    </w:rPr>
                  </w:pPr>
                  <w:r w:rsidRPr="009B546D">
                    <w:rPr>
                      <w:rFonts w:asciiTheme="minorHAnsi" w:hAnsiTheme="minorHAnsi" w:cstheme="minorHAnsi"/>
                      <w:sz w:val="16"/>
                      <w:szCs w:val="16"/>
                    </w:rPr>
                    <w:t>Taxation</w:t>
                  </w:r>
                </w:p>
              </w:tc>
              <w:tc>
                <w:tcPr>
                  <w:tcW w:w="1144" w:type="dxa"/>
                </w:tcPr>
                <w:p w14:paraId="4E741FEF" w14:textId="77777777"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249" w:type="dxa"/>
                </w:tcPr>
                <w:p w14:paraId="57F9F5C1"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75" w:type="dxa"/>
                </w:tcPr>
                <w:p w14:paraId="2B55D677" w14:textId="29F9AEA1" w:rsidR="00307D35" w:rsidRPr="009B546D" w:rsidRDefault="00BA3C34"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(14)</w:t>
                  </w:r>
                </w:p>
              </w:tc>
              <w:tc>
                <w:tcPr>
                  <w:tcW w:w="232" w:type="dxa"/>
                </w:tcPr>
                <w:p w14:paraId="1711558B"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51" w:type="dxa"/>
                </w:tcPr>
                <w:p w14:paraId="0F0B85D3" w14:textId="77777777" w:rsidR="00307D35" w:rsidRPr="009B546D" w:rsidRDefault="00307D35"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w:t>
                  </w:r>
                </w:p>
              </w:tc>
              <w:tc>
                <w:tcPr>
                  <w:tcW w:w="247" w:type="dxa"/>
                </w:tcPr>
                <w:p w14:paraId="48199857" w14:textId="77777777" w:rsidR="00307D35" w:rsidRPr="009B546D" w:rsidRDefault="00307D35" w:rsidP="00F432B9">
                  <w:pPr>
                    <w:pStyle w:val="TableNormal1"/>
                    <w:ind w:left="57"/>
                    <w:jc w:val="right"/>
                    <w:rPr>
                      <w:rFonts w:asciiTheme="minorHAnsi" w:hAnsiTheme="minorHAnsi" w:cstheme="minorHAnsi"/>
                      <w:sz w:val="16"/>
                      <w:szCs w:val="16"/>
                    </w:rPr>
                  </w:pPr>
                </w:p>
              </w:tc>
              <w:tc>
                <w:tcPr>
                  <w:tcW w:w="1034" w:type="dxa"/>
                </w:tcPr>
                <w:p w14:paraId="18F60D49" w14:textId="6AAD2550" w:rsidR="00307D35" w:rsidRPr="009B546D" w:rsidRDefault="00EF7BD3" w:rsidP="00F432B9">
                  <w:pPr>
                    <w:pStyle w:val="TableNormal1"/>
                    <w:ind w:left="57"/>
                    <w:jc w:val="right"/>
                    <w:rPr>
                      <w:rFonts w:asciiTheme="minorHAnsi" w:hAnsiTheme="minorHAnsi" w:cstheme="minorHAnsi"/>
                      <w:sz w:val="16"/>
                      <w:szCs w:val="16"/>
                    </w:rPr>
                  </w:pPr>
                  <w:r w:rsidRPr="009B546D">
                    <w:rPr>
                      <w:rFonts w:asciiTheme="minorHAnsi" w:hAnsiTheme="minorHAnsi" w:cstheme="minorHAnsi"/>
                      <w:sz w:val="16"/>
                      <w:szCs w:val="16"/>
                    </w:rPr>
                    <w:t>(14)</w:t>
                  </w:r>
                </w:p>
              </w:tc>
            </w:tr>
            <w:tr w:rsidR="00A86F74" w:rsidRPr="009B546D" w14:paraId="43521817" w14:textId="77777777" w:rsidTr="00E42C6E">
              <w:tc>
                <w:tcPr>
                  <w:tcW w:w="1607" w:type="dxa"/>
                </w:tcPr>
                <w:p w14:paraId="6B65160B" w14:textId="77777777" w:rsidR="00307D35" w:rsidRPr="009B546D" w:rsidRDefault="00307D35" w:rsidP="00496B89">
                  <w:pPr>
                    <w:pStyle w:val="TableNormal1"/>
                    <w:ind w:left="57"/>
                    <w:rPr>
                      <w:rFonts w:asciiTheme="minorHAnsi" w:hAnsiTheme="minorHAnsi" w:cstheme="minorHAnsi"/>
                      <w:b/>
                      <w:sz w:val="16"/>
                      <w:szCs w:val="16"/>
                    </w:rPr>
                  </w:pPr>
                </w:p>
                <w:p w14:paraId="200B9E82" w14:textId="77777777" w:rsidR="00307D35" w:rsidRPr="009B546D" w:rsidRDefault="00307D35" w:rsidP="00F432B9">
                  <w:pPr>
                    <w:pStyle w:val="TableNormal1"/>
                    <w:ind w:left="57"/>
                    <w:rPr>
                      <w:rFonts w:asciiTheme="minorHAnsi" w:hAnsiTheme="minorHAnsi" w:cstheme="minorHAnsi"/>
                      <w:b/>
                      <w:sz w:val="16"/>
                      <w:szCs w:val="16"/>
                    </w:rPr>
                  </w:pPr>
                  <w:r w:rsidRPr="009B546D">
                    <w:rPr>
                      <w:rFonts w:asciiTheme="minorHAnsi" w:hAnsiTheme="minorHAnsi" w:cstheme="minorHAnsi"/>
                      <w:b/>
                      <w:sz w:val="16"/>
                      <w:szCs w:val="16"/>
                    </w:rPr>
                    <w:t>Net profit/(loss)</w:t>
                  </w:r>
                </w:p>
              </w:tc>
              <w:tc>
                <w:tcPr>
                  <w:tcW w:w="1144" w:type="dxa"/>
                </w:tcPr>
                <w:p w14:paraId="5B5A9019" w14:textId="77777777" w:rsidR="00307D35" w:rsidRPr="009B546D" w:rsidRDefault="00307D35" w:rsidP="00F432B9">
                  <w:pPr>
                    <w:pStyle w:val="TableNormal1"/>
                    <w:ind w:left="57"/>
                    <w:jc w:val="right"/>
                    <w:rPr>
                      <w:rFonts w:asciiTheme="minorHAnsi" w:hAnsiTheme="minorHAnsi" w:cstheme="minorHAnsi"/>
                      <w:b/>
                      <w:sz w:val="16"/>
                      <w:szCs w:val="16"/>
                    </w:rPr>
                  </w:pPr>
                </w:p>
                <w:p w14:paraId="3C56E33A" w14:textId="0F7D4B34" w:rsidR="00307D35" w:rsidRPr="009B546D" w:rsidRDefault="00307D35" w:rsidP="00F432B9">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(504)</w:t>
                  </w:r>
                </w:p>
              </w:tc>
              <w:tc>
                <w:tcPr>
                  <w:tcW w:w="249" w:type="dxa"/>
                </w:tcPr>
                <w:p w14:paraId="6C58013C" w14:textId="77777777" w:rsidR="00307D35" w:rsidRPr="009B546D" w:rsidRDefault="00307D35" w:rsidP="00F432B9">
                  <w:pPr>
                    <w:pStyle w:val="TableNormal1"/>
                    <w:ind w:left="57"/>
                    <w:jc w:val="right"/>
                    <w:rPr>
                      <w:rFonts w:asciiTheme="minorHAnsi" w:hAnsiTheme="minorHAnsi" w:cstheme="minorHAnsi"/>
                      <w:b/>
                      <w:sz w:val="16"/>
                      <w:szCs w:val="16"/>
                    </w:rPr>
                  </w:pPr>
                </w:p>
              </w:tc>
              <w:tc>
                <w:tcPr>
                  <w:tcW w:w="1075" w:type="dxa"/>
                </w:tcPr>
                <w:p w14:paraId="07343A7C" w14:textId="77777777" w:rsidR="00307D35" w:rsidRPr="009B546D" w:rsidRDefault="00307D35" w:rsidP="00F432B9">
                  <w:pPr>
                    <w:pStyle w:val="TableNormal1"/>
                    <w:ind w:left="57"/>
                    <w:jc w:val="right"/>
                    <w:rPr>
                      <w:rFonts w:asciiTheme="minorHAnsi" w:hAnsiTheme="minorHAnsi" w:cstheme="minorHAnsi"/>
                      <w:b/>
                      <w:sz w:val="16"/>
                      <w:szCs w:val="16"/>
                    </w:rPr>
                  </w:pPr>
                </w:p>
                <w:p w14:paraId="79B458DF" w14:textId="54BAB4E6" w:rsidR="00307D35" w:rsidRPr="009B546D" w:rsidRDefault="00BA3C34" w:rsidP="00F432B9">
                  <w:pPr>
                    <w:pStyle w:val="TableNormal1"/>
                    <w:ind w:left="57"/>
                    <w:jc w:val="right"/>
                    <w:rPr>
                      <w:rFonts w:asciiTheme="minorHAnsi" w:hAnsiTheme="minorHAnsi" w:cstheme="minorHAnsi"/>
                      <w:b/>
                      <w:sz w:val="16"/>
                      <w:szCs w:val="16"/>
                    </w:rPr>
                  </w:pPr>
                  <w:r w:rsidRPr="009B546D">
                    <w:rPr>
                      <w:rFonts w:asciiTheme="minorHAnsi" w:hAnsiTheme="minorHAnsi" w:cstheme="minorHAnsi"/>
                      <w:b/>
                      <w:sz w:val="16"/>
                      <w:szCs w:val="16"/>
                    </w:rPr>
                    <w:t>81</w:t>
                  </w:r>
                </w:p>
              </w:tc>
              <w:tc>
                <w:tcPr>
                  <w:tcW w:w="232" w:type="dxa"/>
                </w:tcPr>
                <w:p w14:paraId="16C25B33" w14:textId="77777777" w:rsidR="00307D35" w:rsidRPr="009B546D" w:rsidRDefault="00307D35" w:rsidP="00F432B9">
                  <w:pPr>
                    <w:pStyle w:val="TableNormal1"/>
                    <w:ind w:left="57"/>
                    <w:jc w:val="right"/>
                    <w:rPr>
                      <w:rFonts w:asciiTheme="minorHAnsi" w:hAnsiTheme="minorHAnsi" w:cstheme="minorHAnsi"/>
                      <w:b/>
                      <w:sz w:val="16"/>
                      <w:szCs w:val="16"/>
                    </w:rPr>
                  </w:pPr>
                </w:p>
              </w:tc>
              <w:tc>
                <w:tcPr>
                  <w:tcW w:w="1051" w:type="dxa"/>
                </w:tcPr>
                <w:p w14:paraId="3931747E" w14:textId="77777777" w:rsidR="00307D35" w:rsidRPr="009B546D" w:rsidRDefault="00307D35" w:rsidP="00F432B9">
                  <w:pPr>
                    <w:pStyle w:val="TableNormal1"/>
                    <w:ind w:left="57"/>
                    <w:jc w:val="right"/>
                    <w:rPr>
                      <w:rFonts w:asciiTheme="minorHAnsi" w:hAnsiTheme="minorHAnsi" w:cstheme="minorHAnsi"/>
                      <w:b/>
                      <w:sz w:val="16"/>
                      <w:szCs w:val="16"/>
                    </w:rPr>
                  </w:pPr>
                </w:p>
                <w:p w14:paraId="394ECBC2" w14:textId="07D1C6F3" w:rsidR="00307D35" w:rsidRPr="009B546D" w:rsidRDefault="00806243" w:rsidP="00F432B9">
                  <w:pPr>
                    <w:pStyle w:val="TableNormal1"/>
                    <w:ind w:left="57"/>
                    <w:jc w:val="right"/>
                    <w:rPr>
                      <w:rFonts w:asciiTheme="minorHAnsi" w:hAnsiTheme="minorHAnsi" w:cstheme="minorHAnsi"/>
                      <w:b/>
                      <w:sz w:val="16"/>
                      <w:szCs w:val="16"/>
                    </w:rPr>
                  </w:pPr>
                  <w:r>
                    <w:rPr>
                      <w:rFonts w:asciiTheme="minorHAnsi" w:hAnsiTheme="minorHAnsi" w:cstheme="minorHAnsi"/>
                      <w:b/>
                      <w:sz w:val="16"/>
                      <w:szCs w:val="16"/>
                    </w:rPr>
                    <w:t>(364)</w:t>
                  </w:r>
                </w:p>
              </w:tc>
              <w:tc>
                <w:tcPr>
                  <w:tcW w:w="247" w:type="dxa"/>
                </w:tcPr>
                <w:p w14:paraId="1EEB9DFB" w14:textId="77777777" w:rsidR="00307D35" w:rsidRPr="009B546D" w:rsidRDefault="00307D35" w:rsidP="00F432B9">
                  <w:pPr>
                    <w:pStyle w:val="TableNormal1"/>
                    <w:ind w:left="57"/>
                    <w:jc w:val="right"/>
                    <w:rPr>
                      <w:rFonts w:asciiTheme="minorHAnsi" w:hAnsiTheme="minorHAnsi" w:cstheme="minorHAnsi"/>
                      <w:b/>
                      <w:sz w:val="16"/>
                      <w:szCs w:val="16"/>
                    </w:rPr>
                  </w:pPr>
                </w:p>
              </w:tc>
              <w:tc>
                <w:tcPr>
                  <w:tcW w:w="1034" w:type="dxa"/>
                </w:tcPr>
                <w:p w14:paraId="50186B1E" w14:textId="77777777" w:rsidR="00307D35" w:rsidRPr="009B546D" w:rsidRDefault="00307D35" w:rsidP="00F432B9">
                  <w:pPr>
                    <w:pStyle w:val="TableNormal1"/>
                    <w:ind w:left="57"/>
                    <w:jc w:val="right"/>
                    <w:rPr>
                      <w:rFonts w:asciiTheme="minorHAnsi" w:hAnsiTheme="minorHAnsi" w:cstheme="minorHAnsi"/>
                      <w:b/>
                      <w:sz w:val="16"/>
                      <w:szCs w:val="16"/>
                    </w:rPr>
                  </w:pPr>
                </w:p>
                <w:p w14:paraId="53D23BEF" w14:textId="15CA120D" w:rsidR="00307D35" w:rsidRPr="009B546D" w:rsidRDefault="00EF7BD3" w:rsidP="00F432B9">
                  <w:pPr>
                    <w:pStyle w:val="TableNormal1"/>
                    <w:ind w:left="57"/>
                    <w:jc w:val="right"/>
                    <w:rPr>
                      <w:rFonts w:asciiTheme="minorHAnsi" w:hAnsiTheme="minorHAnsi" w:cstheme="minorHAnsi"/>
                      <w:b/>
                      <w:bCs/>
                      <w:sz w:val="16"/>
                      <w:szCs w:val="16"/>
                    </w:rPr>
                  </w:pPr>
                  <w:r w:rsidRPr="009B546D">
                    <w:rPr>
                      <w:rFonts w:asciiTheme="minorHAnsi" w:hAnsiTheme="minorHAnsi" w:cstheme="minorHAnsi"/>
                      <w:b/>
                      <w:bCs/>
                      <w:sz w:val="16"/>
                      <w:szCs w:val="16"/>
                    </w:rPr>
                    <w:t>(</w:t>
                  </w:r>
                  <w:r w:rsidR="006F03FF">
                    <w:rPr>
                      <w:rFonts w:asciiTheme="minorHAnsi" w:hAnsiTheme="minorHAnsi" w:cstheme="minorHAnsi"/>
                      <w:b/>
                      <w:bCs/>
                      <w:sz w:val="16"/>
                      <w:szCs w:val="16"/>
                    </w:rPr>
                    <w:t>787</w:t>
                  </w:r>
                  <w:r w:rsidRPr="009B546D">
                    <w:rPr>
                      <w:rFonts w:asciiTheme="minorHAnsi" w:hAnsiTheme="minorHAnsi" w:cstheme="minorHAnsi"/>
                      <w:b/>
                      <w:bCs/>
                      <w:sz w:val="16"/>
                      <w:szCs w:val="16"/>
                    </w:rPr>
                    <w:t>)</w:t>
                  </w:r>
                </w:p>
              </w:tc>
            </w:tr>
          </w:tbl>
          <w:p w14:paraId="7F89857A" w14:textId="59D2904E" w:rsidR="000E5C2F" w:rsidRPr="009B546D" w:rsidRDefault="000E5C2F" w:rsidP="00F432B9">
            <w:pPr>
              <w:spacing w:after="0" w:line="240" w:lineRule="auto"/>
              <w:rPr>
                <w:rFonts w:cstheme="minorHAnsi"/>
                <w:bCs/>
                <w:sz w:val="16"/>
                <w:szCs w:val="16"/>
              </w:rPr>
            </w:pPr>
          </w:p>
          <w:p w14:paraId="7DF6EB41" w14:textId="77777777" w:rsidR="000E5C2F" w:rsidRPr="009B546D" w:rsidRDefault="000E5C2F" w:rsidP="00F432B9">
            <w:pPr>
              <w:spacing w:after="0" w:line="240" w:lineRule="auto"/>
              <w:rPr>
                <w:rFonts w:cstheme="minorHAnsi"/>
                <w:bCs/>
                <w:sz w:val="16"/>
                <w:szCs w:val="16"/>
              </w:rPr>
            </w:pPr>
          </w:p>
          <w:p w14:paraId="193714D5" w14:textId="6A52FA31" w:rsidR="007D3733" w:rsidRPr="009B546D" w:rsidRDefault="001C4EAA" w:rsidP="00F432B9">
            <w:pPr>
              <w:spacing w:after="0" w:line="240" w:lineRule="auto"/>
              <w:rPr>
                <w:rFonts w:cstheme="minorHAnsi"/>
                <w:bCs/>
                <w:sz w:val="18"/>
                <w:szCs w:val="18"/>
              </w:rPr>
            </w:pPr>
            <w:r w:rsidRPr="009B546D">
              <w:rPr>
                <w:rFonts w:cstheme="minorHAnsi"/>
                <w:bCs/>
                <w:sz w:val="18"/>
                <w:szCs w:val="18"/>
              </w:rPr>
              <w:t>Notes:</w:t>
            </w:r>
          </w:p>
          <w:p w14:paraId="2F7EC190" w14:textId="042331ED" w:rsidR="009155FC" w:rsidRPr="00E42C6E" w:rsidRDefault="009155FC" w:rsidP="00EA2BB6">
            <w:pPr>
              <w:numPr>
                <w:ilvl w:val="0"/>
                <w:numId w:val="94"/>
              </w:numPr>
              <w:spacing w:after="200" w:line="240" w:lineRule="auto"/>
              <w:jc w:val="left"/>
              <w:rPr>
                <w:rFonts w:cstheme="minorHAnsi"/>
                <w:sz w:val="16"/>
                <w:szCs w:val="20"/>
              </w:rPr>
            </w:pPr>
            <w:r w:rsidRPr="00E42C6E">
              <w:rPr>
                <w:rFonts w:cstheme="minorHAnsi"/>
                <w:sz w:val="16"/>
                <w:szCs w:val="20"/>
              </w:rPr>
              <w:t>The income of the Company for the year ended 31 October 2019 have been extracted without adjustment from the financial information on the Company for the year ended 31 October 2019</w:t>
            </w:r>
            <w:r w:rsidR="00812CCC">
              <w:rPr>
                <w:rFonts w:cstheme="minorHAnsi"/>
                <w:sz w:val="16"/>
                <w:szCs w:val="20"/>
              </w:rPr>
              <w:t>.</w:t>
            </w:r>
          </w:p>
          <w:p w14:paraId="24E8502A" w14:textId="52693942" w:rsidR="001C4EAA" w:rsidRPr="00EA2BB6" w:rsidRDefault="009155FC" w:rsidP="00EA2BB6">
            <w:pPr>
              <w:numPr>
                <w:ilvl w:val="0"/>
                <w:numId w:val="94"/>
              </w:numPr>
              <w:spacing w:after="200" w:line="240" w:lineRule="auto"/>
              <w:jc w:val="left"/>
              <w:rPr>
                <w:sz w:val="18"/>
                <w:szCs w:val="18"/>
              </w:rPr>
            </w:pPr>
            <w:r w:rsidRPr="15D66BA0">
              <w:rPr>
                <w:sz w:val="16"/>
                <w:szCs w:val="16"/>
              </w:rPr>
              <w:t xml:space="preserve">The translated income statement of Alchemist Codes </w:t>
            </w:r>
            <w:r w:rsidR="00B6610A" w:rsidRPr="15D66BA0">
              <w:rPr>
                <w:sz w:val="16"/>
                <w:szCs w:val="16"/>
              </w:rPr>
              <w:t>has</w:t>
            </w:r>
            <w:r w:rsidRPr="15D66BA0">
              <w:rPr>
                <w:sz w:val="16"/>
                <w:szCs w:val="16"/>
              </w:rPr>
              <w:t xml:space="preserve"> been extracted from the historical financial information of Alchemist Codes for the period from 17 April 2018 to </w:t>
            </w:r>
            <w:r w:rsidR="00450DD6" w:rsidRPr="15D66BA0">
              <w:rPr>
                <w:sz w:val="16"/>
                <w:szCs w:val="16"/>
              </w:rPr>
              <w:t>30 April 2019 and</w:t>
            </w:r>
            <w:r w:rsidRPr="15D66BA0">
              <w:rPr>
                <w:sz w:val="16"/>
                <w:szCs w:val="16"/>
              </w:rPr>
              <w:t xml:space="preserve"> translated at a rate of 5.34 (GBP:RM).</w:t>
            </w:r>
          </w:p>
          <w:p w14:paraId="7F581C4B" w14:textId="015DB9A5" w:rsidR="00953F04" w:rsidRPr="00E42C6E" w:rsidRDefault="00953F04" w:rsidP="00EA2BB6">
            <w:pPr>
              <w:pStyle w:val="ListParagraph"/>
              <w:numPr>
                <w:ilvl w:val="0"/>
                <w:numId w:val="94"/>
              </w:numPr>
              <w:spacing w:after="120"/>
              <w:contextualSpacing w:val="0"/>
              <w:rPr>
                <w:rFonts w:asciiTheme="minorHAnsi" w:hAnsiTheme="minorHAnsi" w:cstheme="minorHAnsi"/>
                <w:bCs/>
                <w:sz w:val="16"/>
                <w:szCs w:val="16"/>
              </w:rPr>
            </w:pPr>
            <w:r w:rsidRPr="00007607">
              <w:rPr>
                <w:rFonts w:asciiTheme="minorHAnsi" w:hAnsiTheme="minorHAnsi" w:cstheme="minorHAnsi"/>
                <w:bCs/>
                <w:sz w:val="16"/>
                <w:szCs w:val="16"/>
              </w:rPr>
              <w:t>The total expense</w:t>
            </w:r>
            <w:r w:rsidR="00D72BBF">
              <w:rPr>
                <w:rFonts w:asciiTheme="minorHAnsi" w:hAnsiTheme="minorHAnsi" w:cstheme="minorHAnsi"/>
                <w:bCs/>
                <w:sz w:val="16"/>
                <w:szCs w:val="16"/>
              </w:rPr>
              <w:t>s</w:t>
            </w:r>
            <w:r w:rsidRPr="00007607">
              <w:rPr>
                <w:rFonts w:asciiTheme="minorHAnsi" w:hAnsiTheme="minorHAnsi" w:cstheme="minorHAnsi"/>
                <w:bCs/>
                <w:sz w:val="16"/>
                <w:szCs w:val="16"/>
              </w:rPr>
              <w:t xml:space="preserve"> in connection with the Proposed Acquisition and Re-Admission are estimated at </w:t>
            </w:r>
            <w:r w:rsidRPr="004A10FC">
              <w:rPr>
                <w:rFonts w:asciiTheme="minorHAnsi" w:hAnsiTheme="minorHAnsi" w:cstheme="minorHAnsi"/>
                <w:bCs/>
                <w:sz w:val="16"/>
                <w:szCs w:val="16"/>
              </w:rPr>
              <w:t>£0.364</w:t>
            </w:r>
            <w:r w:rsidRPr="00E42C6E">
              <w:rPr>
                <w:rFonts w:asciiTheme="minorHAnsi" w:hAnsiTheme="minorHAnsi" w:cstheme="minorHAnsi"/>
                <w:bCs/>
                <w:sz w:val="16"/>
                <w:szCs w:val="16"/>
              </w:rPr>
              <w:t xml:space="preserve"> million.</w:t>
            </w:r>
          </w:p>
          <w:p w14:paraId="72425C8F" w14:textId="77777777" w:rsidR="00953F04" w:rsidRPr="00E42C6E" w:rsidRDefault="00953F04" w:rsidP="00EA2BB6">
            <w:pPr>
              <w:pStyle w:val="ListParagraph"/>
              <w:numPr>
                <w:ilvl w:val="0"/>
                <w:numId w:val="94"/>
              </w:numPr>
              <w:spacing w:after="120"/>
              <w:contextualSpacing w:val="0"/>
              <w:rPr>
                <w:rFonts w:asciiTheme="minorHAnsi" w:hAnsiTheme="minorHAnsi" w:cstheme="minorHAnsi"/>
                <w:b/>
                <w:sz w:val="16"/>
                <w:szCs w:val="16"/>
                <w:u w:val="single"/>
              </w:rPr>
            </w:pPr>
            <w:r w:rsidRPr="00E42C6E">
              <w:rPr>
                <w:rFonts w:asciiTheme="minorHAnsi" w:hAnsiTheme="minorHAnsi" w:cstheme="minorHAnsi"/>
                <w:bCs/>
                <w:sz w:val="16"/>
                <w:szCs w:val="16"/>
              </w:rPr>
              <w:t>No account has been taken of the financial performance of the Company or Alchemist Codes since 31 October 2019, nor of any other event save as disclosed above</w:t>
            </w:r>
            <w:r w:rsidRPr="00E42C6E">
              <w:rPr>
                <w:rFonts w:asciiTheme="minorHAnsi" w:hAnsiTheme="minorHAnsi" w:cstheme="minorHAnsi"/>
                <w:b/>
                <w:sz w:val="16"/>
                <w:szCs w:val="16"/>
                <w:u w:val="single"/>
              </w:rPr>
              <w:t>.</w:t>
            </w:r>
          </w:p>
          <w:p w14:paraId="77139127" w14:textId="4DC1F532" w:rsidR="00953F04" w:rsidRPr="009B546D" w:rsidRDefault="00953F04" w:rsidP="00EA2BB6">
            <w:pPr>
              <w:spacing w:after="200" w:line="240" w:lineRule="auto"/>
              <w:ind w:left="360"/>
              <w:jc w:val="left"/>
              <w:rPr>
                <w:sz w:val="18"/>
                <w:szCs w:val="18"/>
              </w:rPr>
            </w:pPr>
          </w:p>
        </w:tc>
      </w:tr>
      <w:tr w:rsidR="00FE5454" w:rsidRPr="009B546D" w14:paraId="13F4FB18" w14:textId="77777777" w:rsidTr="00EA2BB6">
        <w:trPr>
          <w:trHeight w:val="1520"/>
        </w:trPr>
        <w:tc>
          <w:tcPr>
            <w:tcW w:w="385" w:type="pct"/>
            <w:gridSpan w:val="2"/>
            <w:shd w:val="clear" w:color="auto" w:fill="auto"/>
          </w:tcPr>
          <w:p w14:paraId="5C4AE0CF" w14:textId="77777777" w:rsidR="00FE5454" w:rsidRPr="009B546D" w:rsidDel="008737F1" w:rsidRDefault="00FE5454" w:rsidP="00F432B9">
            <w:pPr>
              <w:spacing w:after="0" w:line="240" w:lineRule="auto"/>
              <w:ind w:hanging="200"/>
              <w:jc w:val="center"/>
              <w:rPr>
                <w:rFonts w:cstheme="minorHAnsi"/>
                <w:b/>
                <w:sz w:val="16"/>
                <w:szCs w:val="16"/>
              </w:rPr>
            </w:pPr>
            <w:r w:rsidRPr="009B546D">
              <w:rPr>
                <w:rFonts w:cstheme="minorHAnsi"/>
                <w:b/>
                <w:sz w:val="16"/>
                <w:szCs w:val="16"/>
              </w:rPr>
              <w:lastRenderedPageBreak/>
              <w:t>6 (c)</w:t>
            </w:r>
          </w:p>
        </w:tc>
        <w:tc>
          <w:tcPr>
            <w:tcW w:w="641" w:type="pct"/>
            <w:shd w:val="clear" w:color="auto" w:fill="auto"/>
          </w:tcPr>
          <w:p w14:paraId="3F9F50A6" w14:textId="77777777" w:rsidR="00FE5454" w:rsidRPr="009B546D" w:rsidRDefault="00FE5454" w:rsidP="00F432B9">
            <w:pPr>
              <w:spacing w:after="0" w:line="240" w:lineRule="auto"/>
              <w:rPr>
                <w:rFonts w:cstheme="minorHAnsi"/>
                <w:b/>
                <w:sz w:val="16"/>
                <w:szCs w:val="16"/>
              </w:rPr>
            </w:pPr>
            <w:r w:rsidRPr="009B546D">
              <w:rPr>
                <w:rFonts w:cstheme="minorHAnsi"/>
                <w:b/>
                <w:sz w:val="16"/>
                <w:szCs w:val="16"/>
              </w:rPr>
              <w:t>What are the key risks that are specific to the issuer?</w:t>
            </w:r>
          </w:p>
        </w:tc>
        <w:tc>
          <w:tcPr>
            <w:tcW w:w="3975" w:type="pct"/>
            <w:shd w:val="clear" w:color="auto" w:fill="auto"/>
          </w:tcPr>
          <w:p w14:paraId="5DE5B5E9" w14:textId="5FABBE18" w:rsidR="00FE5454" w:rsidRPr="009B546D" w:rsidRDefault="00FE5454" w:rsidP="00F432B9">
            <w:pPr>
              <w:spacing w:after="0" w:line="240" w:lineRule="auto"/>
              <w:rPr>
                <w:rFonts w:cstheme="minorHAnsi"/>
                <w:bCs/>
                <w:sz w:val="16"/>
              </w:rPr>
            </w:pPr>
            <w:r w:rsidRPr="009B546D">
              <w:rPr>
                <w:rFonts w:cstheme="minorHAnsi"/>
                <w:bCs/>
                <w:sz w:val="16"/>
              </w:rPr>
              <w:t>This summary section only includes the ten most material and high risk factors. The materiality of the risks reflects</w:t>
            </w:r>
            <w:r w:rsidR="00005CC3" w:rsidRPr="009B546D">
              <w:rPr>
                <w:rFonts w:cstheme="minorHAnsi"/>
                <w:bCs/>
                <w:sz w:val="16"/>
              </w:rPr>
              <w:t xml:space="preserve"> an Enlarged Group where </w:t>
            </w:r>
            <w:r w:rsidR="00AF0C4A" w:rsidRPr="009B546D">
              <w:rPr>
                <w:rFonts w:cstheme="minorHAnsi"/>
                <w:bCs/>
                <w:sz w:val="16"/>
              </w:rPr>
              <w:t>Alchemist Codes</w:t>
            </w:r>
            <w:r w:rsidR="00005CC3" w:rsidRPr="009B546D">
              <w:rPr>
                <w:rFonts w:cstheme="minorHAnsi"/>
                <w:bCs/>
                <w:sz w:val="16"/>
              </w:rPr>
              <w:t xml:space="preserve"> constitutes the operational component</w:t>
            </w:r>
            <w:r w:rsidRPr="009B546D">
              <w:rPr>
                <w:rFonts w:cstheme="minorHAnsi"/>
                <w:bCs/>
                <w:sz w:val="16"/>
              </w:rPr>
              <w:t>.</w:t>
            </w:r>
          </w:p>
          <w:p w14:paraId="6236E7F5" w14:textId="6F6D88BA" w:rsidR="00462558" w:rsidRPr="009B546D" w:rsidRDefault="00462558" w:rsidP="00F432B9">
            <w:pPr>
              <w:spacing w:after="0" w:line="240" w:lineRule="auto"/>
              <w:rPr>
                <w:rFonts w:cstheme="minorHAnsi"/>
                <w:bCs/>
                <w:sz w:val="16"/>
              </w:rPr>
            </w:pPr>
          </w:p>
          <w:p w14:paraId="21E9B341" w14:textId="690467FE" w:rsidR="00D9534C" w:rsidRPr="009B546D" w:rsidRDefault="00D9534C" w:rsidP="00F432B9">
            <w:pPr>
              <w:pStyle w:val="Heading2"/>
              <w:keepNext w:val="0"/>
              <w:widowControl w:val="0"/>
              <w:spacing w:line="240" w:lineRule="auto"/>
              <w:rPr>
                <w:rFonts w:asciiTheme="minorHAnsi" w:eastAsiaTheme="minorHAnsi" w:hAnsiTheme="minorHAnsi" w:cstheme="minorHAnsi"/>
                <w:b w:val="0"/>
                <w:bCs/>
                <w:color w:val="auto"/>
                <w:sz w:val="16"/>
                <w:szCs w:val="22"/>
              </w:rPr>
            </w:pPr>
            <w:r w:rsidRPr="009B546D">
              <w:rPr>
                <w:rFonts w:asciiTheme="minorHAnsi" w:eastAsiaTheme="minorHAnsi" w:hAnsiTheme="minorHAnsi" w:cstheme="minorHAnsi"/>
                <w:b w:val="0"/>
                <w:bCs/>
                <w:color w:val="auto"/>
                <w:sz w:val="16"/>
                <w:szCs w:val="22"/>
              </w:rPr>
              <w:t>Risks relating to the Enlarged Group and its business strategy</w:t>
            </w:r>
          </w:p>
          <w:p w14:paraId="09D6467C" w14:textId="77777777" w:rsidR="001C44BE" w:rsidRPr="009B546D" w:rsidRDefault="00BC7352" w:rsidP="00496B89">
            <w:pPr>
              <w:pStyle w:val="ListParagraph"/>
              <w:numPr>
                <w:ilvl w:val="0"/>
                <w:numId w:val="49"/>
              </w:numPr>
              <w:rPr>
                <w:rFonts w:asciiTheme="minorHAnsi" w:eastAsiaTheme="minorHAnsi" w:hAnsiTheme="minorHAnsi" w:cstheme="minorHAnsi"/>
                <w:bCs/>
                <w:kern w:val="0"/>
                <w:sz w:val="16"/>
                <w:lang w:eastAsia="en-US"/>
              </w:rPr>
            </w:pPr>
            <w:r w:rsidRPr="009B546D">
              <w:rPr>
                <w:rFonts w:asciiTheme="minorHAnsi" w:eastAsiaTheme="minorHAnsi" w:hAnsiTheme="minorHAnsi" w:cstheme="minorHAnsi"/>
                <w:bCs/>
                <w:kern w:val="0"/>
                <w:sz w:val="16"/>
                <w:lang w:eastAsia="en-US"/>
              </w:rPr>
              <w:t xml:space="preserve">The recent growth rates </w:t>
            </w:r>
            <w:r w:rsidR="001C44BE" w:rsidRPr="009B546D">
              <w:rPr>
                <w:rFonts w:asciiTheme="minorHAnsi" w:eastAsiaTheme="minorHAnsi" w:hAnsiTheme="minorHAnsi" w:cstheme="minorHAnsi"/>
                <w:bCs/>
                <w:kern w:val="0"/>
                <w:sz w:val="16"/>
                <w:lang w:eastAsia="en-US"/>
              </w:rPr>
              <w:t xml:space="preserve">of Alchemist Codes </w:t>
            </w:r>
            <w:r w:rsidRPr="009B546D">
              <w:rPr>
                <w:rFonts w:asciiTheme="minorHAnsi" w:eastAsiaTheme="minorHAnsi" w:hAnsiTheme="minorHAnsi" w:cstheme="minorHAnsi"/>
                <w:bCs/>
                <w:kern w:val="0"/>
                <w:sz w:val="16"/>
                <w:lang w:eastAsia="en-US"/>
              </w:rPr>
              <w:t>may not be sustainable or indicative of future growth.</w:t>
            </w:r>
          </w:p>
          <w:p w14:paraId="07388AD4" w14:textId="2E87E700" w:rsidR="001C44BE" w:rsidRPr="009B546D" w:rsidRDefault="001C44BE" w:rsidP="00F432B9">
            <w:pPr>
              <w:pStyle w:val="ListParagraph"/>
              <w:numPr>
                <w:ilvl w:val="0"/>
                <w:numId w:val="49"/>
              </w:numPr>
              <w:rPr>
                <w:rFonts w:asciiTheme="minorHAnsi" w:eastAsiaTheme="minorHAnsi" w:hAnsiTheme="minorHAnsi" w:cstheme="minorHAnsi"/>
                <w:bCs/>
                <w:kern w:val="0"/>
                <w:sz w:val="16"/>
                <w:lang w:eastAsia="en-US"/>
              </w:rPr>
            </w:pPr>
            <w:r w:rsidRPr="009B546D">
              <w:rPr>
                <w:rFonts w:asciiTheme="minorHAnsi" w:eastAsiaTheme="minorHAnsi" w:hAnsiTheme="minorHAnsi" w:cstheme="minorHAnsi"/>
                <w:bCs/>
                <w:kern w:val="0"/>
                <w:sz w:val="16"/>
                <w:lang w:eastAsia="en-US"/>
              </w:rPr>
              <w:t>Alchemist Codes must successfully maintain, scale and upgrade its information technology systems, and failure to do so could have a material adverse effect on the business, financial condition and results of operations.</w:t>
            </w:r>
          </w:p>
          <w:p w14:paraId="63E1F36E" w14:textId="77777777" w:rsidR="006E6E54" w:rsidRPr="009B546D" w:rsidRDefault="006E6E54" w:rsidP="00F432B9">
            <w:pPr>
              <w:pStyle w:val="NormalWeb"/>
              <w:spacing w:before="240" w:beforeAutospacing="0" w:after="0" w:afterAutospacing="0"/>
              <w:jc w:val="both"/>
              <w:rPr>
                <w:rFonts w:asciiTheme="minorHAnsi" w:hAnsiTheme="minorHAnsi" w:cstheme="minorHAnsi"/>
                <w:color w:val="000000"/>
                <w:sz w:val="16"/>
                <w:szCs w:val="16"/>
              </w:rPr>
            </w:pPr>
            <w:r w:rsidRPr="009B546D">
              <w:rPr>
                <w:rFonts w:asciiTheme="minorHAnsi" w:hAnsiTheme="minorHAnsi" w:cstheme="minorHAnsi"/>
                <w:color w:val="000000"/>
                <w:sz w:val="16"/>
                <w:szCs w:val="16"/>
              </w:rPr>
              <w:t>Risks relating to the development and the use of the OCTAPLUS application</w:t>
            </w:r>
          </w:p>
          <w:p w14:paraId="70B937F1" w14:textId="77777777" w:rsidR="00897B16" w:rsidRPr="009B546D" w:rsidRDefault="00897B16" w:rsidP="00F432B9">
            <w:pPr>
              <w:pStyle w:val="NormalWeb"/>
              <w:numPr>
                <w:ilvl w:val="0"/>
                <w:numId w:val="50"/>
              </w:numPr>
              <w:spacing w:before="240" w:beforeAutospacing="0" w:after="0" w:afterAutospacing="0"/>
              <w:jc w:val="both"/>
              <w:rPr>
                <w:rFonts w:asciiTheme="minorHAnsi" w:eastAsiaTheme="minorHAnsi" w:hAnsiTheme="minorHAnsi" w:cstheme="minorHAnsi"/>
                <w:bCs/>
                <w:sz w:val="16"/>
                <w:szCs w:val="22"/>
                <w:lang w:eastAsia="en-US"/>
              </w:rPr>
            </w:pPr>
            <w:r w:rsidRPr="009B546D">
              <w:rPr>
                <w:rFonts w:asciiTheme="minorHAnsi" w:eastAsiaTheme="minorHAnsi" w:hAnsiTheme="minorHAnsi" w:cstheme="minorHAnsi"/>
                <w:bCs/>
                <w:sz w:val="16"/>
                <w:szCs w:val="22"/>
                <w:lang w:eastAsia="en-US"/>
              </w:rPr>
              <w:t>The OCTAPLUS application depends on its ability to build a strong community of affiliates, retailers, engaged users and influencers. Alchemist Codes may not be able to build an affiliate, retailer, and user community if it receives user complaints, negative publicity or otherwise fails to live up to users' expectations, which could materially adversely affect its business, operating results and growth prospects.</w:t>
            </w:r>
          </w:p>
          <w:p w14:paraId="07330368" w14:textId="721ACB8B" w:rsidR="00BE442D" w:rsidRPr="009B546D" w:rsidRDefault="00897B16" w:rsidP="00F432B9">
            <w:pPr>
              <w:pStyle w:val="NormalWeb"/>
              <w:numPr>
                <w:ilvl w:val="0"/>
                <w:numId w:val="50"/>
              </w:numPr>
              <w:spacing w:before="240" w:beforeAutospacing="0" w:after="0" w:afterAutospacing="0"/>
              <w:jc w:val="both"/>
              <w:rPr>
                <w:rFonts w:asciiTheme="minorHAnsi" w:eastAsiaTheme="minorHAnsi" w:hAnsiTheme="minorHAnsi" w:cstheme="minorHAnsi"/>
                <w:bCs/>
                <w:sz w:val="16"/>
                <w:szCs w:val="22"/>
                <w:lang w:eastAsia="en-US"/>
              </w:rPr>
            </w:pPr>
            <w:r w:rsidRPr="009B546D">
              <w:rPr>
                <w:rFonts w:asciiTheme="minorHAnsi" w:eastAsiaTheme="minorHAnsi" w:hAnsiTheme="minorHAnsi" w:cstheme="minorHAnsi"/>
                <w:bCs/>
                <w:sz w:val="16"/>
                <w:szCs w:val="22"/>
                <w:lang w:eastAsia="en-US"/>
              </w:rPr>
              <w:t>If OCTAPLUS fails to acquire new users, or fail</w:t>
            </w:r>
            <w:r w:rsidR="006E6E54" w:rsidRPr="009B546D">
              <w:rPr>
                <w:rFonts w:asciiTheme="minorHAnsi" w:eastAsiaTheme="minorHAnsi" w:hAnsiTheme="minorHAnsi" w:cstheme="minorHAnsi"/>
                <w:bCs/>
                <w:sz w:val="16"/>
                <w:szCs w:val="22"/>
                <w:lang w:eastAsia="en-US"/>
              </w:rPr>
              <w:t>s</w:t>
            </w:r>
            <w:r w:rsidRPr="009B546D">
              <w:rPr>
                <w:rFonts w:asciiTheme="minorHAnsi" w:eastAsiaTheme="minorHAnsi" w:hAnsiTheme="minorHAnsi" w:cstheme="minorHAnsi"/>
                <w:bCs/>
                <w:sz w:val="16"/>
                <w:szCs w:val="22"/>
                <w:lang w:eastAsia="en-US"/>
              </w:rPr>
              <w:t xml:space="preserve"> to do so in a cost-effective manner, Alchemist Codes may not be able to increase revenue or maintain profitability.</w:t>
            </w:r>
          </w:p>
          <w:p w14:paraId="78D78070" w14:textId="521E5B99" w:rsidR="000A2A33" w:rsidRPr="009B546D" w:rsidRDefault="000A2A33" w:rsidP="00F432B9">
            <w:pPr>
              <w:pStyle w:val="NormalWeb"/>
              <w:numPr>
                <w:ilvl w:val="0"/>
                <w:numId w:val="50"/>
              </w:numPr>
              <w:spacing w:before="240" w:beforeAutospacing="0" w:after="0" w:afterAutospacing="0"/>
              <w:jc w:val="both"/>
              <w:rPr>
                <w:rFonts w:asciiTheme="minorHAnsi" w:eastAsiaTheme="minorHAnsi" w:hAnsiTheme="minorHAnsi" w:cstheme="minorHAnsi"/>
                <w:bCs/>
                <w:sz w:val="16"/>
                <w:szCs w:val="22"/>
                <w:lang w:eastAsia="en-US"/>
              </w:rPr>
            </w:pPr>
            <w:r w:rsidRPr="009B546D">
              <w:rPr>
                <w:rFonts w:asciiTheme="minorHAnsi" w:eastAsiaTheme="minorHAnsi" w:hAnsiTheme="minorHAnsi" w:cstheme="minorHAnsi"/>
                <w:bCs/>
                <w:sz w:val="16"/>
                <w:szCs w:val="22"/>
                <w:lang w:eastAsia="en-US"/>
              </w:rPr>
              <w:t>The use of social media and influencers may materially and adversely affect the reputation of Alchemist Codes or subject Alchemist Codes to fines or other penalties.</w:t>
            </w:r>
          </w:p>
          <w:p w14:paraId="7A6DB711" w14:textId="53A0D281" w:rsidR="00D9534C" w:rsidRPr="009B546D" w:rsidRDefault="00D9534C" w:rsidP="00F432B9">
            <w:pPr>
              <w:pStyle w:val="NormalWeb"/>
              <w:spacing w:before="240" w:beforeAutospacing="0" w:after="0" w:afterAutospacing="0"/>
              <w:jc w:val="both"/>
              <w:rPr>
                <w:rFonts w:asciiTheme="minorHAnsi" w:eastAsiaTheme="minorHAnsi" w:hAnsiTheme="minorHAnsi" w:cstheme="minorHAnsi"/>
                <w:bCs/>
                <w:sz w:val="16"/>
                <w:szCs w:val="22"/>
                <w:lang w:eastAsia="en-US"/>
              </w:rPr>
            </w:pPr>
            <w:r w:rsidRPr="009B546D">
              <w:rPr>
                <w:rFonts w:asciiTheme="minorHAnsi" w:eastAsiaTheme="minorHAnsi" w:hAnsiTheme="minorHAnsi" w:cstheme="minorHAnsi"/>
                <w:bCs/>
                <w:sz w:val="16"/>
                <w:szCs w:val="22"/>
                <w:lang w:eastAsia="en-US"/>
              </w:rPr>
              <w:t>Risks related to the management of data</w:t>
            </w:r>
          </w:p>
          <w:p w14:paraId="530BF43F" w14:textId="74D086DC" w:rsidR="000A2A33" w:rsidRPr="009B546D" w:rsidRDefault="000A2A33" w:rsidP="00F432B9">
            <w:pPr>
              <w:pStyle w:val="NormalWeb"/>
              <w:numPr>
                <w:ilvl w:val="0"/>
                <w:numId w:val="51"/>
              </w:numPr>
              <w:spacing w:before="240" w:beforeAutospacing="0" w:after="0" w:afterAutospacing="0"/>
              <w:jc w:val="both"/>
              <w:rPr>
                <w:rFonts w:asciiTheme="minorHAnsi" w:eastAsiaTheme="minorHAnsi" w:hAnsiTheme="minorHAnsi" w:cstheme="minorHAnsi"/>
                <w:bCs/>
                <w:sz w:val="16"/>
                <w:szCs w:val="22"/>
                <w:lang w:eastAsia="en-US"/>
              </w:rPr>
            </w:pPr>
            <w:r w:rsidRPr="009B546D">
              <w:rPr>
                <w:rFonts w:asciiTheme="minorHAnsi" w:eastAsiaTheme="minorHAnsi" w:hAnsiTheme="minorHAnsi" w:cstheme="minorHAnsi"/>
                <w:bCs/>
                <w:sz w:val="16"/>
                <w:szCs w:val="22"/>
                <w:lang w:eastAsia="en-US"/>
              </w:rPr>
              <w:t>If sensitive information about OCTAPLUS users is disclosed, or if Alchemist Codes or Alchemist Codes third-party providers are subject to cyberattacks, users may curtail use of OCTAPLUS, Alchemist Codes may be exposed to liability and Alchemist Code</w:t>
            </w:r>
            <w:r w:rsidR="00C93CFB" w:rsidRPr="009B546D">
              <w:rPr>
                <w:rFonts w:asciiTheme="minorHAnsi" w:eastAsiaTheme="minorHAnsi" w:hAnsiTheme="minorHAnsi" w:cstheme="minorHAnsi"/>
                <w:bCs/>
                <w:sz w:val="16"/>
                <w:szCs w:val="22"/>
                <w:lang w:eastAsia="en-US"/>
              </w:rPr>
              <w:t>’</w:t>
            </w:r>
            <w:r w:rsidRPr="009B546D">
              <w:rPr>
                <w:rFonts w:asciiTheme="minorHAnsi" w:eastAsiaTheme="minorHAnsi" w:hAnsiTheme="minorHAnsi" w:cstheme="minorHAnsi"/>
                <w:bCs/>
                <w:sz w:val="16"/>
                <w:szCs w:val="22"/>
                <w:lang w:eastAsia="en-US"/>
              </w:rPr>
              <w:t>s reputation would suffer.</w:t>
            </w:r>
          </w:p>
          <w:p w14:paraId="016CF510" w14:textId="7FD469D1" w:rsidR="00203B9A" w:rsidRPr="009B546D" w:rsidRDefault="00203B9A" w:rsidP="00F432B9">
            <w:pPr>
              <w:pStyle w:val="NormalWeb"/>
              <w:numPr>
                <w:ilvl w:val="0"/>
                <w:numId w:val="51"/>
              </w:numPr>
              <w:spacing w:before="240" w:beforeAutospacing="0" w:after="0" w:afterAutospacing="0"/>
              <w:jc w:val="both"/>
              <w:rPr>
                <w:rFonts w:asciiTheme="minorHAnsi" w:eastAsiaTheme="minorHAnsi" w:hAnsiTheme="minorHAnsi" w:cstheme="minorHAnsi"/>
                <w:bCs/>
                <w:sz w:val="16"/>
                <w:szCs w:val="22"/>
                <w:lang w:eastAsia="en-US"/>
              </w:rPr>
            </w:pPr>
            <w:r w:rsidRPr="009B546D">
              <w:rPr>
                <w:rFonts w:asciiTheme="minorHAnsi" w:eastAsiaTheme="minorHAnsi" w:hAnsiTheme="minorHAnsi" w:cstheme="minorHAnsi"/>
                <w:bCs/>
                <w:sz w:val="16"/>
                <w:szCs w:val="22"/>
                <w:lang w:eastAsia="en-US"/>
              </w:rPr>
              <w:t>System interruptions that impair user access to OCTAPLUS or other performance failures in Alchemist Codes technology infrastructure could damage Alchemist Codes business, reputation and brand and substantially harm the business and results of operations.</w:t>
            </w:r>
          </w:p>
          <w:p w14:paraId="5BB893D3" w14:textId="51559A90" w:rsidR="000A2A33" w:rsidRPr="009B546D" w:rsidRDefault="00600B15" w:rsidP="00F432B9">
            <w:pPr>
              <w:pStyle w:val="NormalWeb"/>
              <w:numPr>
                <w:ilvl w:val="0"/>
                <w:numId w:val="51"/>
              </w:numPr>
              <w:spacing w:before="240" w:beforeAutospacing="0" w:after="0" w:afterAutospacing="0"/>
              <w:jc w:val="both"/>
              <w:rPr>
                <w:rFonts w:asciiTheme="minorHAnsi" w:eastAsiaTheme="minorHAnsi" w:hAnsiTheme="minorHAnsi" w:cstheme="minorHAnsi"/>
                <w:bCs/>
                <w:sz w:val="16"/>
                <w:szCs w:val="22"/>
                <w:lang w:eastAsia="en-US"/>
              </w:rPr>
            </w:pPr>
            <w:r w:rsidRPr="009B546D">
              <w:rPr>
                <w:rFonts w:asciiTheme="minorHAnsi" w:eastAsiaTheme="minorHAnsi" w:hAnsiTheme="minorHAnsi" w:cstheme="minorHAnsi"/>
                <w:bCs/>
                <w:sz w:val="16"/>
                <w:szCs w:val="22"/>
                <w:lang w:eastAsia="en-US"/>
              </w:rPr>
              <w:t>Failure to comply with state and international laws and regulations and Alchemist Codes’ contractual obligations relating to privacy, data protection and consumer protection, or the expansion of current or the enactment of new laws or regulations relating to privacy, data protection and consumer protection, could adversely affect Alchemist Codes’ business and Alchemist Codes’ financial condition.</w:t>
            </w:r>
          </w:p>
          <w:p w14:paraId="21F24E19" w14:textId="349EC3E6" w:rsidR="00693083" w:rsidRPr="009B546D" w:rsidRDefault="00693083" w:rsidP="00F432B9">
            <w:pPr>
              <w:pStyle w:val="NormalWeb"/>
              <w:spacing w:before="240" w:beforeAutospacing="0" w:after="0" w:afterAutospacing="0"/>
              <w:jc w:val="both"/>
              <w:rPr>
                <w:rFonts w:asciiTheme="minorHAnsi" w:eastAsiaTheme="minorHAnsi" w:hAnsiTheme="minorHAnsi" w:cstheme="minorHAnsi"/>
                <w:bCs/>
                <w:sz w:val="16"/>
                <w:szCs w:val="22"/>
                <w:lang w:eastAsia="en-US"/>
              </w:rPr>
            </w:pPr>
            <w:r w:rsidRPr="009B546D">
              <w:rPr>
                <w:rFonts w:asciiTheme="minorHAnsi" w:eastAsiaTheme="minorHAnsi" w:hAnsiTheme="minorHAnsi" w:cstheme="minorHAnsi"/>
                <w:bCs/>
                <w:sz w:val="16"/>
                <w:szCs w:val="22"/>
                <w:lang w:eastAsia="en-US"/>
              </w:rPr>
              <w:t>Risks relating to the Enlarged Group and its business operations</w:t>
            </w:r>
          </w:p>
          <w:p w14:paraId="055DB774" w14:textId="5B55D547" w:rsidR="00C95BF6" w:rsidRPr="009B546D" w:rsidRDefault="00C95BF6" w:rsidP="00F432B9">
            <w:pPr>
              <w:pStyle w:val="NormalWeb"/>
              <w:numPr>
                <w:ilvl w:val="0"/>
                <w:numId w:val="51"/>
              </w:numPr>
              <w:spacing w:before="240" w:beforeAutospacing="0" w:after="0" w:afterAutospacing="0"/>
              <w:jc w:val="both"/>
              <w:rPr>
                <w:rFonts w:asciiTheme="minorHAnsi" w:eastAsiaTheme="minorHAnsi" w:hAnsiTheme="minorHAnsi" w:cstheme="minorHAnsi"/>
                <w:bCs/>
                <w:sz w:val="16"/>
                <w:szCs w:val="22"/>
                <w:lang w:eastAsia="en-US"/>
              </w:rPr>
            </w:pPr>
            <w:r w:rsidRPr="009B546D">
              <w:rPr>
                <w:rFonts w:asciiTheme="minorHAnsi" w:eastAsiaTheme="minorHAnsi" w:hAnsiTheme="minorHAnsi" w:cstheme="minorHAnsi"/>
                <w:bCs/>
                <w:sz w:val="16"/>
                <w:szCs w:val="22"/>
                <w:lang w:eastAsia="en-US"/>
              </w:rPr>
              <w:t>Operating as a public company will require substantial costs and will require substantial management attention. In addition, Alchemist Codes executive team have limited experience managing a public company.</w:t>
            </w:r>
          </w:p>
          <w:p w14:paraId="6FBB34B1" w14:textId="0833F815" w:rsidR="00C95BF6" w:rsidRPr="009B546D" w:rsidRDefault="00C95BF6" w:rsidP="00F432B9">
            <w:pPr>
              <w:pStyle w:val="NormalWeb"/>
              <w:numPr>
                <w:ilvl w:val="0"/>
                <w:numId w:val="51"/>
              </w:numPr>
              <w:spacing w:before="240" w:beforeAutospacing="0" w:after="0" w:afterAutospacing="0"/>
              <w:jc w:val="both"/>
              <w:rPr>
                <w:rFonts w:asciiTheme="minorHAnsi" w:eastAsiaTheme="minorHAnsi" w:hAnsiTheme="minorHAnsi" w:cstheme="minorHAnsi"/>
                <w:bCs/>
                <w:sz w:val="16"/>
                <w:szCs w:val="22"/>
                <w:lang w:eastAsia="en-US"/>
              </w:rPr>
            </w:pPr>
            <w:r w:rsidRPr="009B546D">
              <w:rPr>
                <w:rFonts w:asciiTheme="minorHAnsi" w:eastAsiaTheme="minorHAnsi" w:hAnsiTheme="minorHAnsi" w:cstheme="minorHAnsi"/>
                <w:bCs/>
                <w:sz w:val="16"/>
                <w:szCs w:val="22"/>
                <w:lang w:eastAsia="en-US"/>
              </w:rPr>
              <w:t>If Alchemist Codes fail to attract and retain key personnel, or effectively manage succession, Alchemist Code</w:t>
            </w:r>
            <w:r w:rsidR="00C93CFB" w:rsidRPr="009B546D">
              <w:rPr>
                <w:rFonts w:asciiTheme="minorHAnsi" w:eastAsiaTheme="minorHAnsi" w:hAnsiTheme="minorHAnsi" w:cstheme="minorHAnsi"/>
                <w:bCs/>
                <w:sz w:val="16"/>
                <w:szCs w:val="22"/>
                <w:lang w:eastAsia="en-US"/>
              </w:rPr>
              <w:t>’</w:t>
            </w:r>
            <w:r w:rsidRPr="009B546D">
              <w:rPr>
                <w:rFonts w:asciiTheme="minorHAnsi" w:eastAsiaTheme="minorHAnsi" w:hAnsiTheme="minorHAnsi" w:cstheme="minorHAnsi"/>
                <w:bCs/>
                <w:sz w:val="16"/>
                <w:szCs w:val="22"/>
                <w:lang w:eastAsia="en-US"/>
              </w:rPr>
              <w:t>s business, financial condition and operating results could be adversely affected.</w:t>
            </w:r>
          </w:p>
          <w:p w14:paraId="0B9CA866" w14:textId="77777777" w:rsidR="00FE5454" w:rsidRPr="009B546D" w:rsidRDefault="00FE5454" w:rsidP="00F432B9">
            <w:pPr>
              <w:pStyle w:val="NoSpacing"/>
              <w:jc w:val="both"/>
              <w:rPr>
                <w:rFonts w:cstheme="minorHAnsi"/>
                <w:bCs/>
                <w:sz w:val="16"/>
              </w:rPr>
            </w:pPr>
          </w:p>
        </w:tc>
      </w:tr>
    </w:tbl>
    <w:p w14:paraId="26C0B15E" w14:textId="77777777" w:rsidR="00FE5454" w:rsidRPr="009B546D" w:rsidRDefault="00FE5454" w:rsidP="00F432B9">
      <w:pPr>
        <w:widowControl w:val="0"/>
        <w:spacing w:after="0" w:line="240" w:lineRule="auto"/>
        <w:rPr>
          <w:rFonts w:cstheme="minorHAnsi"/>
          <w:szCs w:val="20"/>
        </w:rPr>
      </w:pPr>
    </w:p>
    <w:tbl>
      <w:tblPr>
        <w:tblW w:w="88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1185"/>
        <w:gridCol w:w="6989"/>
      </w:tblGrid>
      <w:tr w:rsidR="00AC3D14" w:rsidRPr="009B546D" w14:paraId="44EA1DA2" w14:textId="77777777" w:rsidTr="009F49CA">
        <w:trPr>
          <w:trHeight w:val="423"/>
        </w:trPr>
        <w:tc>
          <w:tcPr>
            <w:tcW w:w="8818" w:type="dxa"/>
            <w:gridSpan w:val="3"/>
            <w:shd w:val="clear" w:color="auto" w:fill="B3B3B3"/>
            <w:vAlign w:val="center"/>
          </w:tcPr>
          <w:p w14:paraId="089E8893" w14:textId="77777777" w:rsidR="00AC3D14" w:rsidRPr="009B546D" w:rsidRDefault="00AC3D14" w:rsidP="00F432B9">
            <w:pPr>
              <w:spacing w:after="0" w:line="240" w:lineRule="auto"/>
              <w:ind w:left="202" w:hanging="202"/>
              <w:rPr>
                <w:rFonts w:cstheme="minorHAnsi"/>
                <w:b/>
                <w:sz w:val="16"/>
              </w:rPr>
            </w:pPr>
            <w:r w:rsidRPr="009B546D">
              <w:rPr>
                <w:rFonts w:cstheme="minorHAnsi"/>
                <w:b/>
                <w:sz w:val="18"/>
              </w:rPr>
              <w:t>Section 7 – Key Information on the Securities</w:t>
            </w:r>
          </w:p>
        </w:tc>
      </w:tr>
      <w:tr w:rsidR="00AC3D14" w:rsidRPr="009B546D" w14:paraId="0A4C7737" w14:textId="77777777" w:rsidTr="009F49CA">
        <w:tc>
          <w:tcPr>
            <w:tcW w:w="644" w:type="dxa"/>
            <w:shd w:val="clear" w:color="auto" w:fill="auto"/>
          </w:tcPr>
          <w:p w14:paraId="647FAC76" w14:textId="77777777" w:rsidR="00AC3D14" w:rsidRPr="009B546D" w:rsidRDefault="00AC3D14" w:rsidP="00F432B9">
            <w:pPr>
              <w:spacing w:after="0" w:line="240" w:lineRule="auto"/>
              <w:rPr>
                <w:rFonts w:cstheme="minorHAnsi"/>
                <w:b/>
                <w:sz w:val="16"/>
              </w:rPr>
            </w:pPr>
            <w:r w:rsidRPr="009B546D">
              <w:rPr>
                <w:rFonts w:cstheme="minorHAnsi"/>
                <w:b/>
                <w:sz w:val="16"/>
              </w:rPr>
              <w:t>7 (a)</w:t>
            </w:r>
            <w:r w:rsidRPr="009B546D">
              <w:rPr>
                <w:rFonts w:cstheme="minorHAnsi"/>
                <w:noProof/>
                <w:sz w:val="14"/>
                <w:szCs w:val="14"/>
                <w:lang w:eastAsia="en-GB"/>
              </w:rPr>
              <w:t xml:space="preserve"> </w:t>
            </w:r>
          </w:p>
        </w:tc>
        <w:tc>
          <w:tcPr>
            <w:tcW w:w="1185" w:type="dxa"/>
            <w:shd w:val="clear" w:color="auto" w:fill="auto"/>
          </w:tcPr>
          <w:p w14:paraId="11081831" w14:textId="4EB4CD53" w:rsidR="00AC3D14" w:rsidRPr="009B546D" w:rsidRDefault="00AC3D14" w:rsidP="00F432B9">
            <w:pPr>
              <w:spacing w:after="0" w:line="240" w:lineRule="auto"/>
              <w:rPr>
                <w:rFonts w:cstheme="minorHAnsi"/>
                <w:b/>
                <w:sz w:val="16"/>
              </w:rPr>
            </w:pPr>
            <w:r w:rsidRPr="009B546D">
              <w:rPr>
                <w:rFonts w:cstheme="minorHAnsi"/>
                <w:b/>
                <w:sz w:val="16"/>
              </w:rPr>
              <w:t>What are the main features of the securities?</w:t>
            </w:r>
          </w:p>
        </w:tc>
        <w:tc>
          <w:tcPr>
            <w:tcW w:w="6989" w:type="dxa"/>
            <w:shd w:val="clear" w:color="auto" w:fill="auto"/>
          </w:tcPr>
          <w:p w14:paraId="7E94C3CC" w14:textId="7E19A945" w:rsidR="00AC3D14" w:rsidRPr="009B546D" w:rsidRDefault="00AC3D14" w:rsidP="00D4158A">
            <w:pPr>
              <w:spacing w:after="120" w:line="240" w:lineRule="auto"/>
              <w:rPr>
                <w:rFonts w:cstheme="minorHAnsi"/>
                <w:sz w:val="16"/>
              </w:rPr>
            </w:pPr>
            <w:r w:rsidRPr="009B546D">
              <w:rPr>
                <w:rFonts w:cstheme="minorHAnsi"/>
                <w:sz w:val="16"/>
              </w:rPr>
              <w:t xml:space="preserve">The securities being admitted to trading are the Ordinary Shares with a par value of </w:t>
            </w:r>
            <w:r w:rsidR="005B2DC6" w:rsidRPr="009B546D">
              <w:rPr>
                <w:rFonts w:cstheme="minorHAnsi"/>
                <w:sz w:val="16"/>
              </w:rPr>
              <w:t>1</w:t>
            </w:r>
            <w:r w:rsidRPr="009B546D">
              <w:rPr>
                <w:rFonts w:cstheme="minorHAnsi"/>
                <w:sz w:val="16"/>
              </w:rPr>
              <w:t xml:space="preserve">p. When admitted to trading the Ordinary Shares will have an ISIN </w:t>
            </w:r>
            <w:r w:rsidR="00E4179F" w:rsidRPr="009B546D">
              <w:rPr>
                <w:rFonts w:cstheme="minorHAnsi"/>
                <w:sz w:val="16"/>
              </w:rPr>
              <w:t>KYG0180A1022</w:t>
            </w:r>
            <w:r w:rsidR="005237C3" w:rsidRPr="009B546D">
              <w:rPr>
                <w:rFonts w:cstheme="minorHAnsi"/>
                <w:sz w:val="16"/>
              </w:rPr>
              <w:t xml:space="preserve"> </w:t>
            </w:r>
            <w:r w:rsidRPr="009B546D">
              <w:rPr>
                <w:rFonts w:cstheme="minorHAnsi"/>
                <w:sz w:val="16"/>
              </w:rPr>
              <w:t xml:space="preserve">and SEDOL </w:t>
            </w:r>
            <w:r w:rsidR="00E4179F" w:rsidRPr="009B546D">
              <w:rPr>
                <w:rFonts w:cstheme="minorHAnsi"/>
                <w:sz w:val="16"/>
              </w:rPr>
              <w:t>BF5R710</w:t>
            </w:r>
            <w:r w:rsidR="005237C3" w:rsidRPr="009B546D">
              <w:rPr>
                <w:rFonts w:cstheme="minorHAnsi"/>
                <w:sz w:val="16"/>
              </w:rPr>
              <w:t>.</w:t>
            </w:r>
          </w:p>
          <w:p w14:paraId="2C286B90" w14:textId="77777777" w:rsidR="00AC3D14" w:rsidRPr="009B546D" w:rsidRDefault="00AC3D14" w:rsidP="00F432B9">
            <w:pPr>
              <w:spacing w:after="0" w:line="240" w:lineRule="auto"/>
              <w:rPr>
                <w:rFonts w:cstheme="minorHAnsi"/>
                <w:sz w:val="16"/>
              </w:rPr>
            </w:pPr>
            <w:r w:rsidRPr="009B546D">
              <w:rPr>
                <w:rFonts w:cstheme="minorHAnsi"/>
                <w:sz w:val="16"/>
              </w:rPr>
              <w:t>The Ordinary Shares are denominated in GBP.</w:t>
            </w:r>
          </w:p>
          <w:p w14:paraId="69349AB4" w14:textId="77777777" w:rsidR="00AC3D14" w:rsidRPr="009B546D" w:rsidRDefault="00AC3D14" w:rsidP="00F432B9">
            <w:pPr>
              <w:spacing w:after="0" w:line="240" w:lineRule="auto"/>
              <w:ind w:right="76"/>
              <w:rPr>
                <w:rFonts w:cstheme="minorHAnsi"/>
                <w:sz w:val="16"/>
              </w:rPr>
            </w:pPr>
          </w:p>
          <w:p w14:paraId="74800C79" w14:textId="0036D1DF" w:rsidR="00AC3D14" w:rsidRPr="009B546D" w:rsidRDefault="00AC3D14" w:rsidP="00496B89">
            <w:pPr>
              <w:pStyle w:val="NoSpacing"/>
              <w:spacing w:after="120"/>
              <w:ind w:right="76"/>
              <w:jc w:val="both"/>
              <w:rPr>
                <w:rFonts w:cstheme="minorHAnsi"/>
              </w:rPr>
            </w:pPr>
            <w:r w:rsidRPr="009B546D">
              <w:rPr>
                <w:rFonts w:cstheme="minorHAnsi"/>
                <w:sz w:val="16"/>
              </w:rPr>
              <w:t xml:space="preserve">The Company has </w:t>
            </w:r>
            <w:r w:rsidR="00F55B81" w:rsidRPr="009B546D">
              <w:rPr>
                <w:rFonts w:eastAsia="Times New Roman" w:cstheme="minorHAnsi"/>
                <w:color w:val="000000"/>
                <w:sz w:val="16"/>
                <w:szCs w:val="16"/>
                <w:lang w:eastAsia="en-GB"/>
              </w:rPr>
              <w:t xml:space="preserve">51,839,375 </w:t>
            </w:r>
            <w:r w:rsidRPr="009B546D">
              <w:rPr>
                <w:rFonts w:cstheme="minorHAnsi"/>
                <w:sz w:val="16"/>
              </w:rPr>
              <w:t xml:space="preserve">Ordinary Shares in issue at the date of this </w:t>
            </w:r>
            <w:r w:rsidR="00404377" w:rsidRPr="009B546D">
              <w:rPr>
                <w:rFonts w:cstheme="minorHAnsi"/>
                <w:sz w:val="16"/>
              </w:rPr>
              <w:t>Prospectus</w:t>
            </w:r>
            <w:r w:rsidR="00812CCC">
              <w:rPr>
                <w:rFonts w:cstheme="minorHAnsi"/>
                <w:sz w:val="16"/>
              </w:rPr>
              <w:t>,</w:t>
            </w:r>
            <w:r w:rsidR="00A84DD1">
              <w:rPr>
                <w:rFonts w:cstheme="minorHAnsi"/>
                <w:sz w:val="16"/>
              </w:rPr>
              <w:t xml:space="preserve"> on Re-Admission,</w:t>
            </w:r>
            <w:r w:rsidR="00812CCC">
              <w:rPr>
                <w:rFonts w:cstheme="minorHAnsi"/>
                <w:sz w:val="16"/>
              </w:rPr>
              <w:t xml:space="preserve"> the</w:t>
            </w:r>
            <w:r w:rsidR="00A84DD1">
              <w:rPr>
                <w:rFonts w:cstheme="minorHAnsi"/>
                <w:sz w:val="16"/>
              </w:rPr>
              <w:t xml:space="preserve"> </w:t>
            </w:r>
            <w:r w:rsidR="009357AD">
              <w:rPr>
                <w:rFonts w:cstheme="minorHAnsi"/>
                <w:sz w:val="16"/>
              </w:rPr>
              <w:t xml:space="preserve">Enlarged </w:t>
            </w:r>
            <w:r w:rsidR="00A84DD1">
              <w:rPr>
                <w:rFonts w:cstheme="minorHAnsi"/>
                <w:sz w:val="16"/>
              </w:rPr>
              <w:t xml:space="preserve">Group </w:t>
            </w:r>
            <w:r w:rsidR="009357AD">
              <w:rPr>
                <w:rFonts w:cstheme="minorHAnsi"/>
                <w:sz w:val="16"/>
              </w:rPr>
              <w:t>Share Capital</w:t>
            </w:r>
            <w:r w:rsidR="00A84DD1">
              <w:rPr>
                <w:rFonts w:cstheme="minorHAnsi"/>
                <w:sz w:val="16"/>
              </w:rPr>
              <w:t xml:space="preserve"> will total 64,760,721.</w:t>
            </w:r>
            <w:r w:rsidR="009357AD">
              <w:rPr>
                <w:rFonts w:cstheme="minorHAnsi"/>
                <w:sz w:val="16"/>
              </w:rPr>
              <w:t xml:space="preserve"> </w:t>
            </w:r>
            <w:r w:rsidRPr="009B546D">
              <w:rPr>
                <w:rFonts w:cstheme="minorHAnsi"/>
                <w:sz w:val="16"/>
              </w:rPr>
              <w:t>All the Ordinary Shares are freely transferable and there are no restrictions on transfer.</w:t>
            </w:r>
          </w:p>
          <w:p w14:paraId="6F6B814E" w14:textId="52A90C47" w:rsidR="00AC3D14" w:rsidRPr="009B546D" w:rsidRDefault="00685383" w:rsidP="00F432B9">
            <w:pPr>
              <w:widowControl w:val="0"/>
              <w:spacing w:after="120" w:line="240" w:lineRule="auto"/>
              <w:rPr>
                <w:rFonts w:cstheme="minorHAnsi"/>
                <w:sz w:val="16"/>
                <w:highlight w:val="yellow"/>
              </w:rPr>
            </w:pPr>
            <w:r w:rsidRPr="009B546D">
              <w:rPr>
                <w:rFonts w:cstheme="minorHAnsi"/>
                <w:sz w:val="16"/>
              </w:rPr>
              <w:t>Following the</w:t>
            </w:r>
            <w:r w:rsidR="00311CE2" w:rsidRPr="009B546D">
              <w:rPr>
                <w:rFonts w:cstheme="minorHAnsi"/>
                <w:sz w:val="16"/>
              </w:rPr>
              <w:t xml:space="preserve"> Proposed</w:t>
            </w:r>
            <w:r w:rsidRPr="009B546D">
              <w:rPr>
                <w:rFonts w:cstheme="minorHAnsi"/>
                <w:sz w:val="16"/>
              </w:rPr>
              <w:t xml:space="preserve"> Acquisition, the Company has no current plans to pay dividends. This policy may be reviewed in the short term. The Directors recognise the importance of dividends to investors and, as the Company’s business develops will keep under review the desirability of paying dividends.</w:t>
            </w:r>
          </w:p>
        </w:tc>
      </w:tr>
      <w:tr w:rsidR="00AC3D14" w:rsidRPr="009B546D" w14:paraId="1B8F4B04" w14:textId="77777777" w:rsidTr="00F850F4">
        <w:tc>
          <w:tcPr>
            <w:tcW w:w="644" w:type="dxa"/>
            <w:shd w:val="clear" w:color="auto" w:fill="auto"/>
          </w:tcPr>
          <w:p w14:paraId="32861F6B" w14:textId="77777777" w:rsidR="00AC3D14" w:rsidRPr="009B546D" w:rsidRDefault="00AC3D14" w:rsidP="00F432B9">
            <w:pPr>
              <w:spacing w:after="0" w:line="240" w:lineRule="auto"/>
              <w:ind w:left="202" w:hanging="202"/>
              <w:rPr>
                <w:rFonts w:cstheme="minorHAnsi"/>
                <w:b/>
                <w:sz w:val="16"/>
              </w:rPr>
            </w:pPr>
            <w:r w:rsidRPr="009B546D">
              <w:rPr>
                <w:rFonts w:cstheme="minorHAnsi"/>
                <w:b/>
                <w:sz w:val="16"/>
              </w:rPr>
              <w:lastRenderedPageBreak/>
              <w:t>7 (b)</w:t>
            </w:r>
            <w:r w:rsidRPr="009B546D">
              <w:rPr>
                <w:rFonts w:cstheme="minorHAnsi"/>
                <w:noProof/>
                <w:sz w:val="14"/>
                <w:szCs w:val="14"/>
                <w:lang w:eastAsia="en-GB"/>
              </w:rPr>
              <w:t xml:space="preserve"> </w:t>
            </w:r>
          </w:p>
        </w:tc>
        <w:tc>
          <w:tcPr>
            <w:tcW w:w="1185" w:type="dxa"/>
            <w:tcBorders>
              <w:bottom w:val="single" w:sz="4" w:space="0" w:color="000000"/>
            </w:tcBorders>
            <w:shd w:val="clear" w:color="auto" w:fill="auto"/>
          </w:tcPr>
          <w:p w14:paraId="5E702CAD" w14:textId="77777777" w:rsidR="00AC3D14" w:rsidRPr="009B546D" w:rsidRDefault="00AC3D14" w:rsidP="00F432B9">
            <w:pPr>
              <w:spacing w:after="0" w:line="240" w:lineRule="auto"/>
              <w:rPr>
                <w:rFonts w:cstheme="minorHAnsi"/>
                <w:b/>
                <w:sz w:val="16"/>
              </w:rPr>
            </w:pPr>
            <w:r w:rsidRPr="009B546D">
              <w:rPr>
                <w:rFonts w:cstheme="minorHAnsi"/>
                <w:b/>
                <w:sz w:val="16"/>
              </w:rPr>
              <w:t>Where will the securities be traded?</w:t>
            </w:r>
          </w:p>
        </w:tc>
        <w:tc>
          <w:tcPr>
            <w:tcW w:w="6989" w:type="dxa"/>
            <w:tcBorders>
              <w:bottom w:val="single" w:sz="4" w:space="0" w:color="000000"/>
            </w:tcBorders>
            <w:shd w:val="clear" w:color="auto" w:fill="auto"/>
          </w:tcPr>
          <w:p w14:paraId="106EDCC4" w14:textId="098A09C1" w:rsidR="00AC3D14" w:rsidRPr="009B546D" w:rsidRDefault="00AC3D14" w:rsidP="00F432B9">
            <w:pPr>
              <w:spacing w:after="0" w:line="240" w:lineRule="auto"/>
              <w:rPr>
                <w:rFonts w:cstheme="minorHAnsi"/>
                <w:sz w:val="16"/>
              </w:rPr>
            </w:pPr>
            <w:r w:rsidRPr="009B546D">
              <w:rPr>
                <w:rFonts w:cstheme="minorHAnsi"/>
                <w:sz w:val="16"/>
              </w:rPr>
              <w:t xml:space="preserve">Application has been made to the </w:t>
            </w:r>
            <w:r w:rsidR="00536E7F" w:rsidRPr="009B546D">
              <w:rPr>
                <w:rFonts w:cstheme="minorHAnsi"/>
                <w:sz w:val="16"/>
              </w:rPr>
              <w:t xml:space="preserve">FCA </w:t>
            </w:r>
            <w:r w:rsidRPr="009B546D">
              <w:rPr>
                <w:rFonts w:cstheme="minorHAnsi"/>
                <w:sz w:val="16"/>
              </w:rPr>
              <w:t>and the London Stock Exchange for all of the Ordinary Shares to be admitted to the standard segment of the Official List and to trading on the Main Market respectively.</w:t>
            </w:r>
          </w:p>
          <w:p w14:paraId="13726992" w14:textId="77777777" w:rsidR="00935FC7" w:rsidRPr="009B546D" w:rsidRDefault="00935FC7" w:rsidP="00F432B9">
            <w:pPr>
              <w:spacing w:after="0" w:line="240" w:lineRule="auto"/>
              <w:rPr>
                <w:rFonts w:cstheme="minorHAnsi"/>
                <w:sz w:val="16"/>
              </w:rPr>
            </w:pPr>
          </w:p>
          <w:p w14:paraId="0817FE9C" w14:textId="77777777" w:rsidR="00AC3D14" w:rsidRPr="009B546D" w:rsidRDefault="00AC3D14" w:rsidP="00F432B9">
            <w:pPr>
              <w:spacing w:after="0" w:line="240" w:lineRule="auto"/>
              <w:rPr>
                <w:rFonts w:cstheme="minorHAnsi"/>
                <w:sz w:val="16"/>
              </w:rPr>
            </w:pPr>
            <w:r w:rsidRPr="009B546D">
              <w:rPr>
                <w:rFonts w:cstheme="minorHAnsi"/>
                <w:sz w:val="16"/>
              </w:rPr>
              <w:t>No application has been made or is currently intended to be made for the Ordinary Shares to be admitted to trading on any other exchange.</w:t>
            </w:r>
          </w:p>
        </w:tc>
      </w:tr>
      <w:tr w:rsidR="00AC3D14" w:rsidRPr="009B546D" w14:paraId="4825DA22" w14:textId="77777777" w:rsidTr="00F850F4">
        <w:tc>
          <w:tcPr>
            <w:tcW w:w="644" w:type="dxa"/>
            <w:shd w:val="clear" w:color="auto" w:fill="auto"/>
          </w:tcPr>
          <w:p w14:paraId="633D8F99" w14:textId="6046EE54" w:rsidR="00AC3D14" w:rsidRPr="009B546D" w:rsidDel="009910A3" w:rsidRDefault="00AC3D14" w:rsidP="00F432B9">
            <w:pPr>
              <w:spacing w:after="0" w:line="240" w:lineRule="auto"/>
              <w:ind w:left="202" w:hanging="202"/>
              <w:rPr>
                <w:rFonts w:cstheme="minorHAnsi"/>
                <w:b/>
                <w:sz w:val="16"/>
              </w:rPr>
            </w:pPr>
            <w:r w:rsidRPr="00384557">
              <w:rPr>
                <w:rFonts w:cstheme="minorHAnsi"/>
                <w:b/>
                <w:sz w:val="16"/>
              </w:rPr>
              <w:t>7 (d)</w:t>
            </w:r>
            <w:r w:rsidRPr="009B546D">
              <w:rPr>
                <w:rFonts w:cstheme="minorHAnsi"/>
                <w:noProof/>
                <w:sz w:val="14"/>
                <w:szCs w:val="14"/>
                <w:lang w:eastAsia="en-GB"/>
              </w:rPr>
              <w:t xml:space="preserve"> </w:t>
            </w:r>
          </w:p>
        </w:tc>
        <w:tc>
          <w:tcPr>
            <w:tcW w:w="1185" w:type="dxa"/>
            <w:tcBorders>
              <w:bottom w:val="single" w:sz="4" w:space="0" w:color="auto"/>
            </w:tcBorders>
            <w:shd w:val="clear" w:color="auto" w:fill="auto"/>
          </w:tcPr>
          <w:p w14:paraId="4BBAD4CC" w14:textId="77777777" w:rsidR="00AC3D14" w:rsidRPr="009B546D" w:rsidRDefault="00AC3D14" w:rsidP="00F432B9">
            <w:pPr>
              <w:spacing w:after="0" w:line="240" w:lineRule="auto"/>
              <w:rPr>
                <w:rFonts w:cstheme="minorHAnsi"/>
                <w:b/>
                <w:sz w:val="16"/>
              </w:rPr>
            </w:pPr>
            <w:r w:rsidRPr="009B546D">
              <w:rPr>
                <w:rFonts w:cstheme="minorHAnsi"/>
                <w:b/>
                <w:sz w:val="16"/>
              </w:rPr>
              <w:t>What are the key risks that are specific to the securities?</w:t>
            </w:r>
          </w:p>
        </w:tc>
        <w:tc>
          <w:tcPr>
            <w:tcW w:w="6989" w:type="dxa"/>
            <w:tcBorders>
              <w:bottom w:val="single" w:sz="4" w:space="0" w:color="auto"/>
            </w:tcBorders>
            <w:shd w:val="clear" w:color="auto" w:fill="auto"/>
          </w:tcPr>
          <w:p w14:paraId="59826562" w14:textId="4546B67E" w:rsidR="00AC3D14" w:rsidRPr="009B546D" w:rsidRDefault="00536E7F" w:rsidP="00496B89">
            <w:pPr>
              <w:pStyle w:val="ListParagraph"/>
              <w:widowControl/>
              <w:numPr>
                <w:ilvl w:val="0"/>
                <w:numId w:val="2"/>
              </w:numPr>
              <w:autoSpaceDE w:val="0"/>
              <w:autoSpaceDN w:val="0"/>
              <w:adjustRightInd w:val="0"/>
              <w:ind w:left="360"/>
              <w:jc w:val="left"/>
              <w:rPr>
                <w:rFonts w:asciiTheme="minorHAnsi" w:hAnsiTheme="minorHAnsi" w:cstheme="minorHAnsi"/>
                <w:color w:val="0D080D"/>
                <w:sz w:val="16"/>
              </w:rPr>
            </w:pPr>
            <w:r w:rsidRPr="009B546D">
              <w:rPr>
                <w:rFonts w:asciiTheme="minorHAnsi" w:hAnsiTheme="minorHAnsi" w:cstheme="minorHAnsi"/>
                <w:color w:val="0D080D"/>
                <w:sz w:val="16"/>
              </w:rPr>
              <w:t xml:space="preserve">A </w:t>
            </w:r>
            <w:r w:rsidR="00AC3D14" w:rsidRPr="009B546D">
              <w:rPr>
                <w:rFonts w:asciiTheme="minorHAnsi" w:hAnsiTheme="minorHAnsi" w:cstheme="minorHAnsi"/>
                <w:color w:val="0D080D"/>
                <w:sz w:val="16"/>
              </w:rPr>
              <w:t xml:space="preserve">Standard Listing will </w:t>
            </w:r>
            <w:r w:rsidR="00AC3D14" w:rsidRPr="009B546D">
              <w:rPr>
                <w:rFonts w:asciiTheme="minorHAnsi" w:hAnsiTheme="minorHAnsi" w:cstheme="minorHAnsi"/>
                <w:color w:val="0D080D"/>
                <w:sz w:val="16"/>
                <w:szCs w:val="16"/>
              </w:rPr>
              <w:t xml:space="preserve">afford investors in the Enlarged Group </w:t>
            </w:r>
            <w:r w:rsidR="00AC3D14" w:rsidRPr="009B546D">
              <w:rPr>
                <w:rFonts w:asciiTheme="minorHAnsi" w:hAnsiTheme="minorHAnsi" w:cstheme="minorHAnsi"/>
                <w:color w:val="0D080D"/>
                <w:sz w:val="16"/>
              </w:rPr>
              <w:t xml:space="preserve">a lower level of regulatory protection than afforded to investors </w:t>
            </w:r>
            <w:r w:rsidR="00AC3D14" w:rsidRPr="009B546D">
              <w:rPr>
                <w:rFonts w:asciiTheme="minorHAnsi" w:hAnsiTheme="minorHAnsi" w:cstheme="minorHAnsi"/>
                <w:color w:val="0D080D"/>
                <w:sz w:val="16"/>
                <w:szCs w:val="16"/>
              </w:rPr>
              <w:t>in</w:t>
            </w:r>
            <w:r w:rsidR="00AC3D14" w:rsidRPr="009B546D">
              <w:rPr>
                <w:rFonts w:asciiTheme="minorHAnsi" w:hAnsiTheme="minorHAnsi" w:cstheme="minorHAnsi"/>
                <w:color w:val="0D080D"/>
                <w:sz w:val="16"/>
              </w:rPr>
              <w:t xml:space="preserve"> a company with a Premium Listing</w:t>
            </w:r>
            <w:r w:rsidR="00AC3D14" w:rsidRPr="009B546D">
              <w:rPr>
                <w:rFonts w:asciiTheme="minorHAnsi" w:hAnsiTheme="minorHAnsi" w:cstheme="minorHAnsi"/>
                <w:color w:val="0D080D"/>
                <w:sz w:val="16"/>
                <w:szCs w:val="16"/>
              </w:rPr>
              <w:t>;</w:t>
            </w:r>
          </w:p>
          <w:p w14:paraId="7A78412E" w14:textId="0FA4B9CF" w:rsidR="00AC3D14" w:rsidRPr="009B546D" w:rsidRDefault="00AC3D14" w:rsidP="00F432B9">
            <w:pPr>
              <w:pStyle w:val="ListParagraph"/>
              <w:widowControl/>
              <w:numPr>
                <w:ilvl w:val="0"/>
                <w:numId w:val="2"/>
              </w:numPr>
              <w:autoSpaceDE w:val="0"/>
              <w:autoSpaceDN w:val="0"/>
              <w:adjustRightInd w:val="0"/>
              <w:ind w:left="360"/>
              <w:jc w:val="left"/>
              <w:rPr>
                <w:rFonts w:asciiTheme="minorHAnsi" w:hAnsiTheme="minorHAnsi" w:cstheme="minorHAnsi"/>
                <w:color w:val="0D080D"/>
                <w:sz w:val="16"/>
                <w:szCs w:val="16"/>
              </w:rPr>
            </w:pPr>
            <w:r w:rsidRPr="009B546D">
              <w:rPr>
                <w:rFonts w:asciiTheme="minorHAnsi" w:hAnsiTheme="minorHAnsi" w:cstheme="minorHAnsi"/>
                <w:color w:val="0D080D"/>
                <w:sz w:val="16"/>
                <w:szCs w:val="16"/>
              </w:rPr>
              <w:t>There is currently no UK market for the shares of the Enlarged Group. An active UK trading market may not develop or be sustained in the future, which would adversely affect the liquidity and price</w:t>
            </w:r>
            <w:r w:rsidR="00B6610A">
              <w:rPr>
                <w:rFonts w:asciiTheme="minorHAnsi" w:hAnsiTheme="minorHAnsi" w:cstheme="minorHAnsi"/>
                <w:color w:val="0D080D"/>
                <w:sz w:val="16"/>
                <w:szCs w:val="16"/>
              </w:rPr>
              <w:t>;</w:t>
            </w:r>
          </w:p>
          <w:p w14:paraId="72698715" w14:textId="3D78F671" w:rsidR="00AC3D14" w:rsidRPr="009B546D" w:rsidRDefault="00AC3D14" w:rsidP="00F432B9">
            <w:pPr>
              <w:pStyle w:val="ListParagraph"/>
              <w:widowControl/>
              <w:numPr>
                <w:ilvl w:val="0"/>
                <w:numId w:val="2"/>
              </w:numPr>
              <w:autoSpaceDE w:val="0"/>
              <w:autoSpaceDN w:val="0"/>
              <w:adjustRightInd w:val="0"/>
              <w:ind w:left="360"/>
              <w:jc w:val="left"/>
              <w:rPr>
                <w:rFonts w:asciiTheme="minorHAnsi" w:hAnsiTheme="minorHAnsi" w:cstheme="minorHAnsi"/>
                <w:color w:val="0D080D"/>
                <w:sz w:val="16"/>
                <w:szCs w:val="16"/>
              </w:rPr>
            </w:pPr>
            <w:r w:rsidRPr="009B546D">
              <w:rPr>
                <w:rFonts w:asciiTheme="minorHAnsi" w:hAnsiTheme="minorHAnsi" w:cstheme="minorHAnsi"/>
                <w:color w:val="0D080D"/>
                <w:sz w:val="16"/>
                <w:szCs w:val="16"/>
              </w:rPr>
              <w:t>The market price of the shares in the Enlarged Group could be negatively affected by sales or an additional offering of substantial numbers of shares in the Enlarged Group in the public market, or the perception or any announcement that such sales or an additional offering could occur</w:t>
            </w:r>
            <w:r w:rsidR="00B6610A">
              <w:rPr>
                <w:rFonts w:asciiTheme="minorHAnsi" w:hAnsiTheme="minorHAnsi" w:cstheme="minorHAnsi"/>
                <w:color w:val="0D080D"/>
                <w:sz w:val="16"/>
                <w:szCs w:val="16"/>
              </w:rPr>
              <w:t>;</w:t>
            </w:r>
          </w:p>
          <w:p w14:paraId="30816882" w14:textId="77777777" w:rsidR="00AC3D14" w:rsidRPr="00A84DD1" w:rsidRDefault="00AC3D14" w:rsidP="00F432B9">
            <w:pPr>
              <w:pStyle w:val="ListParagraph"/>
              <w:widowControl/>
              <w:numPr>
                <w:ilvl w:val="0"/>
                <w:numId w:val="2"/>
              </w:numPr>
              <w:autoSpaceDE w:val="0"/>
              <w:autoSpaceDN w:val="0"/>
              <w:adjustRightInd w:val="0"/>
              <w:ind w:left="360"/>
              <w:jc w:val="left"/>
              <w:rPr>
                <w:rFonts w:asciiTheme="minorHAnsi" w:hAnsiTheme="minorHAnsi" w:cstheme="minorHAnsi"/>
                <w:color w:val="0D080D"/>
                <w:sz w:val="16"/>
              </w:rPr>
            </w:pPr>
            <w:r w:rsidRPr="009B546D">
              <w:rPr>
                <w:rFonts w:asciiTheme="minorHAnsi" w:hAnsiTheme="minorHAnsi" w:cstheme="minorHAnsi"/>
                <w:color w:val="0D080D"/>
                <w:sz w:val="16"/>
                <w:szCs w:val="16"/>
              </w:rPr>
              <w:t>Substantial future sales of shares in the Enlarged Group, or the perception that such sales might occur, or additional offerings of shares in the Enlarged Group</w:t>
            </w:r>
            <w:r w:rsidR="00471157" w:rsidRPr="009B546D">
              <w:rPr>
                <w:rFonts w:asciiTheme="minorHAnsi" w:hAnsiTheme="minorHAnsi" w:cstheme="minorHAnsi"/>
                <w:color w:val="0D080D"/>
                <w:sz w:val="16"/>
                <w:szCs w:val="16"/>
              </w:rPr>
              <w:t>,</w:t>
            </w:r>
            <w:r w:rsidRPr="009B546D">
              <w:rPr>
                <w:rFonts w:asciiTheme="minorHAnsi" w:hAnsiTheme="minorHAnsi" w:cstheme="minorHAnsi"/>
                <w:color w:val="0D080D"/>
                <w:sz w:val="16"/>
                <w:szCs w:val="16"/>
              </w:rPr>
              <w:t xml:space="preserve"> could depress the market price.</w:t>
            </w:r>
          </w:p>
          <w:p w14:paraId="557016C1" w14:textId="6D74AF99" w:rsidR="00A84DD1" w:rsidRPr="009B546D" w:rsidRDefault="00A84DD1" w:rsidP="00EA2BB6">
            <w:pPr>
              <w:pStyle w:val="ListParagraph"/>
              <w:widowControl/>
              <w:autoSpaceDE w:val="0"/>
              <w:autoSpaceDN w:val="0"/>
              <w:adjustRightInd w:val="0"/>
              <w:ind w:left="360"/>
              <w:jc w:val="left"/>
              <w:rPr>
                <w:rFonts w:asciiTheme="minorHAnsi" w:hAnsiTheme="minorHAnsi" w:cstheme="minorHAnsi"/>
                <w:color w:val="0D080D"/>
                <w:sz w:val="16"/>
              </w:rPr>
            </w:pPr>
          </w:p>
        </w:tc>
      </w:tr>
    </w:tbl>
    <w:p w14:paraId="155B26FC" w14:textId="789586B0" w:rsidR="006E6E54" w:rsidRPr="009B546D" w:rsidRDefault="006E6E54" w:rsidP="00F432B9">
      <w:pPr>
        <w:spacing w:after="0" w:line="240" w:lineRule="auto"/>
        <w:rPr>
          <w:rFonts w:cstheme="minorHAnsi"/>
        </w:rPr>
      </w:pPr>
    </w:p>
    <w:tbl>
      <w:tblPr>
        <w:tblW w:w="88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1213"/>
        <w:gridCol w:w="6946"/>
      </w:tblGrid>
      <w:tr w:rsidR="00DB1763" w:rsidRPr="009B546D" w14:paraId="6D914C97" w14:textId="77777777" w:rsidTr="009F49CA">
        <w:trPr>
          <w:trHeight w:val="438"/>
        </w:trPr>
        <w:tc>
          <w:tcPr>
            <w:tcW w:w="8818" w:type="dxa"/>
            <w:gridSpan w:val="3"/>
            <w:shd w:val="clear" w:color="auto" w:fill="B3B3B3"/>
            <w:vAlign w:val="center"/>
          </w:tcPr>
          <w:p w14:paraId="5C02AC1A" w14:textId="77777777" w:rsidR="00DB1763" w:rsidRPr="009B546D" w:rsidRDefault="00DB1763" w:rsidP="00F432B9">
            <w:pPr>
              <w:spacing w:after="0" w:line="240" w:lineRule="auto"/>
              <w:ind w:left="202" w:hanging="202"/>
              <w:rPr>
                <w:rFonts w:cstheme="minorHAnsi"/>
                <w:b/>
                <w:sz w:val="16"/>
              </w:rPr>
            </w:pPr>
            <w:r w:rsidRPr="009B546D">
              <w:rPr>
                <w:rFonts w:cstheme="minorHAnsi"/>
                <w:b/>
                <w:sz w:val="16"/>
              </w:rPr>
              <w:t>Section 8 – Key information on the offer of securities to the public and/or the admission to trading on a regulated market</w:t>
            </w:r>
          </w:p>
        </w:tc>
      </w:tr>
      <w:tr w:rsidR="00DB1763" w:rsidRPr="009B546D" w14:paraId="3BDB33CF" w14:textId="77777777" w:rsidTr="005C151F">
        <w:tc>
          <w:tcPr>
            <w:tcW w:w="659" w:type="dxa"/>
            <w:shd w:val="clear" w:color="auto" w:fill="auto"/>
          </w:tcPr>
          <w:p w14:paraId="7A343350" w14:textId="77777777" w:rsidR="00DB1763" w:rsidRPr="009B546D" w:rsidRDefault="00DB1763" w:rsidP="00F432B9">
            <w:pPr>
              <w:spacing w:after="0" w:line="240" w:lineRule="auto"/>
              <w:ind w:left="1600" w:hanging="1600"/>
              <w:rPr>
                <w:rFonts w:cstheme="minorHAnsi"/>
                <w:b/>
                <w:sz w:val="16"/>
              </w:rPr>
            </w:pPr>
            <w:r w:rsidRPr="009B546D">
              <w:rPr>
                <w:rFonts w:cstheme="minorHAnsi"/>
                <w:b/>
                <w:sz w:val="16"/>
              </w:rPr>
              <w:t>8 (a)</w:t>
            </w:r>
            <w:r w:rsidRPr="009B546D">
              <w:rPr>
                <w:rFonts w:cstheme="minorHAnsi"/>
                <w:noProof/>
                <w:sz w:val="14"/>
                <w:szCs w:val="14"/>
                <w:lang w:eastAsia="en-GB"/>
              </w:rPr>
              <w:t xml:space="preserve"> </w:t>
            </w:r>
          </w:p>
        </w:tc>
        <w:tc>
          <w:tcPr>
            <w:tcW w:w="1213" w:type="dxa"/>
            <w:shd w:val="clear" w:color="auto" w:fill="auto"/>
          </w:tcPr>
          <w:p w14:paraId="3FA18B02" w14:textId="77777777" w:rsidR="00DB1763" w:rsidRPr="009B546D" w:rsidRDefault="00DB1763" w:rsidP="00F432B9">
            <w:pPr>
              <w:spacing w:after="0" w:line="240" w:lineRule="auto"/>
              <w:ind w:left="16"/>
              <w:jc w:val="left"/>
              <w:rPr>
                <w:rFonts w:cstheme="minorHAnsi"/>
                <w:b/>
                <w:sz w:val="16"/>
              </w:rPr>
            </w:pPr>
            <w:r w:rsidRPr="009B546D">
              <w:rPr>
                <w:rFonts w:cstheme="minorHAnsi"/>
                <w:b/>
                <w:sz w:val="16"/>
              </w:rPr>
              <w:t>Under which conditions and timetable can I invest in this security?</w:t>
            </w:r>
          </w:p>
        </w:tc>
        <w:tc>
          <w:tcPr>
            <w:tcW w:w="6946" w:type="dxa"/>
            <w:shd w:val="clear" w:color="auto" w:fill="auto"/>
          </w:tcPr>
          <w:p w14:paraId="07D1B4E9" w14:textId="64932863" w:rsidR="00DB1763" w:rsidRPr="009B546D" w:rsidRDefault="00DB1763" w:rsidP="00F432B9">
            <w:pPr>
              <w:spacing w:after="120" w:line="240" w:lineRule="auto"/>
              <w:rPr>
                <w:rFonts w:cstheme="minorHAnsi"/>
                <w:sz w:val="16"/>
              </w:rPr>
            </w:pPr>
            <w:r w:rsidRPr="009B546D">
              <w:rPr>
                <w:rFonts w:cstheme="minorHAnsi"/>
                <w:sz w:val="16"/>
              </w:rPr>
              <w:t xml:space="preserve">Admission is expected to take place and unconditional dealings in the Ordinary Shares are expected to commence on the London Stock Exchange at 8.00 a.m. on </w:t>
            </w:r>
            <w:r w:rsidR="005E1404">
              <w:rPr>
                <w:rFonts w:cstheme="minorHAnsi"/>
                <w:sz w:val="16"/>
              </w:rPr>
              <w:t>26</w:t>
            </w:r>
            <w:r w:rsidR="005E1404" w:rsidRPr="009B546D">
              <w:rPr>
                <w:rFonts w:cstheme="minorHAnsi"/>
                <w:sz w:val="16"/>
              </w:rPr>
              <w:t xml:space="preserve"> </w:t>
            </w:r>
            <w:r w:rsidR="00917515" w:rsidRPr="009B546D">
              <w:rPr>
                <w:rFonts w:cstheme="minorHAnsi"/>
                <w:sz w:val="16"/>
              </w:rPr>
              <w:t xml:space="preserve">March </w:t>
            </w:r>
            <w:r w:rsidRPr="009B546D">
              <w:rPr>
                <w:rFonts w:cstheme="minorHAnsi"/>
                <w:sz w:val="16"/>
              </w:rPr>
              <w:t>20</w:t>
            </w:r>
            <w:r w:rsidR="00D52B96" w:rsidRPr="009B546D">
              <w:rPr>
                <w:rFonts w:cstheme="minorHAnsi"/>
                <w:sz w:val="16"/>
              </w:rPr>
              <w:t>20</w:t>
            </w:r>
            <w:r w:rsidRPr="009B546D">
              <w:rPr>
                <w:rFonts w:cstheme="minorHAnsi"/>
                <w:sz w:val="16"/>
              </w:rPr>
              <w:t>. All dealings between the commencement of conditional dealings and the commencement of unconditional dealings will be on a “when issued basis”.</w:t>
            </w:r>
          </w:p>
          <w:p w14:paraId="4E9B6E16" w14:textId="06B0AFB5" w:rsidR="00DB1763" w:rsidRPr="009B546D" w:rsidRDefault="00DB1763" w:rsidP="00F432B9">
            <w:pPr>
              <w:spacing w:after="120" w:line="240" w:lineRule="auto"/>
              <w:rPr>
                <w:rFonts w:cstheme="minorHAnsi"/>
                <w:sz w:val="16"/>
              </w:rPr>
            </w:pPr>
            <w:r w:rsidRPr="009B546D">
              <w:rPr>
                <w:rFonts w:cstheme="minorHAnsi"/>
                <w:sz w:val="16"/>
              </w:rPr>
              <w:t xml:space="preserve">Where applicable, definitive share certificates in respect of the Ordinary Shares are expected to be despatched, by post at the risk of the recipients, to the relevant holders, by not later than </w:t>
            </w:r>
            <w:r w:rsidR="00AB3E7C">
              <w:rPr>
                <w:rFonts w:cstheme="minorHAnsi"/>
                <w:sz w:val="16"/>
              </w:rPr>
              <w:t xml:space="preserve">1 </w:t>
            </w:r>
            <w:r w:rsidR="007C2AAA" w:rsidRPr="009B546D">
              <w:rPr>
                <w:rFonts w:cstheme="minorHAnsi"/>
                <w:sz w:val="16"/>
              </w:rPr>
              <w:t>April 2020</w:t>
            </w:r>
            <w:r w:rsidRPr="009B546D">
              <w:rPr>
                <w:rFonts w:cstheme="minorHAnsi"/>
                <w:sz w:val="16"/>
              </w:rPr>
              <w:t>. The Ordinary Shares are in registered form and can also be held in uncertificated form. Prior to the despatch of definitive share certificates in respect of any Ordinary Shares which are held in certificated form, transfers of Ordinary Shares will be certified against the register of members of the Company. No temporary documents of title will be issued.</w:t>
            </w:r>
          </w:p>
        </w:tc>
      </w:tr>
      <w:tr w:rsidR="00DB1763" w:rsidRPr="009B546D" w14:paraId="5247FBCF" w14:textId="77777777" w:rsidTr="005C151F">
        <w:trPr>
          <w:trHeight w:val="714"/>
        </w:trPr>
        <w:tc>
          <w:tcPr>
            <w:tcW w:w="659" w:type="dxa"/>
            <w:shd w:val="clear" w:color="auto" w:fill="auto"/>
          </w:tcPr>
          <w:p w14:paraId="635F62AA" w14:textId="77777777" w:rsidR="00DB1763" w:rsidRPr="009B546D" w:rsidRDefault="00DB1763" w:rsidP="00F432B9">
            <w:pPr>
              <w:spacing w:after="0" w:line="240" w:lineRule="auto"/>
              <w:rPr>
                <w:rFonts w:cstheme="minorHAnsi"/>
                <w:b/>
                <w:sz w:val="16"/>
              </w:rPr>
            </w:pPr>
            <w:r w:rsidRPr="009B546D">
              <w:rPr>
                <w:rFonts w:cstheme="minorHAnsi"/>
                <w:b/>
                <w:sz w:val="16"/>
              </w:rPr>
              <w:t>8 (c)</w:t>
            </w:r>
            <w:r w:rsidRPr="009B546D">
              <w:rPr>
                <w:rFonts w:cstheme="minorHAnsi"/>
                <w:noProof/>
                <w:sz w:val="14"/>
                <w:szCs w:val="14"/>
                <w:lang w:eastAsia="en-GB"/>
              </w:rPr>
              <w:t xml:space="preserve"> </w:t>
            </w:r>
          </w:p>
        </w:tc>
        <w:tc>
          <w:tcPr>
            <w:tcW w:w="1213" w:type="dxa"/>
            <w:shd w:val="clear" w:color="auto" w:fill="auto"/>
          </w:tcPr>
          <w:p w14:paraId="5D59051F" w14:textId="77777777" w:rsidR="00DB1763" w:rsidRPr="009B546D" w:rsidRDefault="00DB1763" w:rsidP="00F432B9">
            <w:pPr>
              <w:spacing w:after="0" w:line="240" w:lineRule="auto"/>
              <w:ind w:left="16"/>
              <w:jc w:val="left"/>
              <w:rPr>
                <w:rFonts w:cstheme="minorHAnsi"/>
                <w:b/>
                <w:sz w:val="16"/>
              </w:rPr>
            </w:pPr>
            <w:r w:rsidRPr="009B546D">
              <w:rPr>
                <w:rFonts w:cstheme="minorHAnsi"/>
                <w:b/>
                <w:sz w:val="16"/>
              </w:rPr>
              <w:t>Why is this prospectus being produced?</w:t>
            </w:r>
          </w:p>
        </w:tc>
        <w:tc>
          <w:tcPr>
            <w:tcW w:w="6946" w:type="dxa"/>
            <w:shd w:val="clear" w:color="auto" w:fill="auto"/>
          </w:tcPr>
          <w:p w14:paraId="3B266FA5" w14:textId="10C56C1C" w:rsidR="00DB1763" w:rsidRPr="009B546D" w:rsidRDefault="00DB1763" w:rsidP="00F432B9">
            <w:pPr>
              <w:spacing w:after="120" w:line="240" w:lineRule="auto"/>
              <w:rPr>
                <w:rFonts w:cstheme="minorHAnsi"/>
                <w:sz w:val="16"/>
              </w:rPr>
            </w:pPr>
            <w:r w:rsidRPr="009B546D">
              <w:rPr>
                <w:rFonts w:cstheme="minorHAnsi"/>
                <w:sz w:val="16"/>
              </w:rPr>
              <w:t xml:space="preserve">The Company is seeking admission of the Ordinary Shares to the Official List (by way of a Standard Listing under Chapter 14 of the Listing Rules) and to the London Stock Exchange for the Ordinary Shares to be admitted to trading on the Main Market. </w:t>
            </w:r>
          </w:p>
          <w:p w14:paraId="4C95F0AC" w14:textId="77777777" w:rsidR="00DB1763" w:rsidRPr="009B546D" w:rsidRDefault="00DB1763" w:rsidP="00F432B9">
            <w:pPr>
              <w:spacing w:after="120" w:line="240" w:lineRule="auto"/>
              <w:rPr>
                <w:rFonts w:cstheme="minorHAnsi"/>
                <w:sz w:val="16"/>
              </w:rPr>
            </w:pPr>
            <w:r w:rsidRPr="009B546D">
              <w:rPr>
                <w:rFonts w:cstheme="minorHAnsi"/>
                <w:sz w:val="16"/>
              </w:rPr>
              <w:t>In accordance with Listing Rule 14.3, at Admission at least 25 per cent. of the Ordinary Shares will be in public hands (as defined in the Listing Rules).</w:t>
            </w:r>
          </w:p>
          <w:p w14:paraId="166F017A" w14:textId="132A67CE" w:rsidR="00DB1763" w:rsidRPr="009B546D" w:rsidRDefault="00DB1763" w:rsidP="00F432B9">
            <w:pPr>
              <w:spacing w:after="120" w:line="240" w:lineRule="auto"/>
              <w:rPr>
                <w:rFonts w:cstheme="minorHAnsi"/>
                <w:sz w:val="16"/>
              </w:rPr>
            </w:pPr>
            <w:r w:rsidRPr="009B546D">
              <w:rPr>
                <w:rFonts w:cstheme="minorHAnsi"/>
                <w:sz w:val="16"/>
              </w:rPr>
              <w:t xml:space="preserve">No person or entity is offering to sell the Ordinary Shares and </w:t>
            </w:r>
            <w:r w:rsidR="00737973" w:rsidRPr="009B546D">
              <w:rPr>
                <w:rFonts w:cstheme="minorHAnsi"/>
                <w:sz w:val="16"/>
              </w:rPr>
              <w:t>o</w:t>
            </w:r>
            <w:r w:rsidR="00DE74C8" w:rsidRPr="009B546D">
              <w:rPr>
                <w:rFonts w:cstheme="minorHAnsi"/>
                <w:sz w:val="16"/>
              </w:rPr>
              <w:t xml:space="preserve">n </w:t>
            </w:r>
            <w:r w:rsidR="00716FEE">
              <w:rPr>
                <w:rFonts w:cstheme="minorHAnsi"/>
                <w:sz w:val="16"/>
              </w:rPr>
              <w:t>20</w:t>
            </w:r>
            <w:r w:rsidR="001B4F30" w:rsidRPr="009B546D">
              <w:rPr>
                <w:rFonts w:cstheme="minorHAnsi"/>
                <w:sz w:val="16"/>
              </w:rPr>
              <w:t xml:space="preserve"> </w:t>
            </w:r>
            <w:r w:rsidR="00AC4951" w:rsidRPr="009B546D">
              <w:rPr>
                <w:rFonts w:cstheme="minorHAnsi"/>
                <w:sz w:val="16"/>
              </w:rPr>
              <w:t xml:space="preserve">March </w:t>
            </w:r>
            <w:r w:rsidR="00DE74C8" w:rsidRPr="009B546D">
              <w:rPr>
                <w:rFonts w:cstheme="minorHAnsi"/>
                <w:sz w:val="16"/>
              </w:rPr>
              <w:t>20</w:t>
            </w:r>
            <w:r w:rsidR="007F7524" w:rsidRPr="009B546D">
              <w:rPr>
                <w:rFonts w:cstheme="minorHAnsi"/>
                <w:sz w:val="16"/>
              </w:rPr>
              <w:t>20</w:t>
            </w:r>
            <w:r w:rsidR="00DE74C8" w:rsidRPr="009B546D">
              <w:rPr>
                <w:rFonts w:cstheme="minorHAnsi"/>
                <w:sz w:val="16"/>
              </w:rPr>
              <w:t xml:space="preserve">, the Company, </w:t>
            </w:r>
            <w:r w:rsidR="001B4F30" w:rsidRPr="009B546D">
              <w:rPr>
                <w:rFonts w:cstheme="minorHAnsi"/>
                <w:sz w:val="16"/>
              </w:rPr>
              <w:t>VSA and each of Song Beng Gee, Lee Chong Liang, So</w:t>
            </w:r>
            <w:r w:rsidR="001F7270" w:rsidRPr="009B546D">
              <w:rPr>
                <w:rFonts w:cstheme="minorHAnsi"/>
                <w:sz w:val="16"/>
              </w:rPr>
              <w:t>ct</w:t>
            </w:r>
            <w:r w:rsidR="001B4F30" w:rsidRPr="009B546D">
              <w:rPr>
                <w:rFonts w:cstheme="minorHAnsi"/>
                <w:sz w:val="16"/>
              </w:rPr>
              <w:t xml:space="preserve">ech </w:t>
            </w:r>
            <w:r w:rsidR="001F7270" w:rsidRPr="009B546D">
              <w:rPr>
                <w:rFonts w:cstheme="minorHAnsi"/>
                <w:sz w:val="16"/>
              </w:rPr>
              <w:t>Capital Fund</w:t>
            </w:r>
            <w:r w:rsidR="001B4F30" w:rsidRPr="009B546D">
              <w:rPr>
                <w:rFonts w:cstheme="minorHAnsi"/>
                <w:sz w:val="16"/>
              </w:rPr>
              <w:t xml:space="preserve">, Teong Tiek Wah, Charles Yong Kai Yee and Chau Hut </w:t>
            </w:r>
            <w:r w:rsidR="00B6610A" w:rsidRPr="009B546D">
              <w:rPr>
                <w:rFonts w:cstheme="minorHAnsi"/>
                <w:sz w:val="16"/>
              </w:rPr>
              <w:t>Lim have</w:t>
            </w:r>
            <w:r w:rsidR="00F26EE3" w:rsidRPr="009B546D">
              <w:rPr>
                <w:rFonts w:cstheme="minorHAnsi"/>
                <w:sz w:val="16"/>
              </w:rPr>
              <w:t xml:space="preserve"> </w:t>
            </w:r>
            <w:r w:rsidR="00DE74C8" w:rsidRPr="009B546D">
              <w:rPr>
                <w:rFonts w:cstheme="minorHAnsi"/>
                <w:sz w:val="16"/>
              </w:rPr>
              <w:t>entered into a lock-in agree</w:t>
            </w:r>
            <w:bookmarkStart w:id="1" w:name="_GoBack"/>
            <w:bookmarkEnd w:id="1"/>
            <w:r w:rsidR="00DE74C8" w:rsidRPr="009B546D">
              <w:rPr>
                <w:rFonts w:cstheme="minorHAnsi"/>
                <w:sz w:val="16"/>
              </w:rPr>
              <w:t>ment.</w:t>
            </w:r>
          </w:p>
          <w:p w14:paraId="3B985846" w14:textId="3911B05C" w:rsidR="00DB1763" w:rsidRPr="009B546D" w:rsidRDefault="00DB1763" w:rsidP="00F432B9">
            <w:pPr>
              <w:spacing w:after="120" w:line="240" w:lineRule="auto"/>
              <w:rPr>
                <w:rFonts w:cstheme="minorHAnsi"/>
                <w:sz w:val="16"/>
              </w:rPr>
            </w:pPr>
            <w:r w:rsidRPr="009B546D">
              <w:rPr>
                <w:rFonts w:cstheme="minorHAnsi"/>
                <w:sz w:val="16"/>
              </w:rPr>
              <w:t>The Offer is not subject to an underwriting agreement on a firm commitment basis.</w:t>
            </w:r>
          </w:p>
          <w:p w14:paraId="5E7F3CAF" w14:textId="00D13219" w:rsidR="00DB1763" w:rsidRPr="009B546D" w:rsidRDefault="009F623E" w:rsidP="00F432B9">
            <w:pPr>
              <w:spacing w:after="120" w:line="240" w:lineRule="auto"/>
              <w:rPr>
                <w:rFonts w:cstheme="minorHAnsi"/>
                <w:sz w:val="16"/>
              </w:rPr>
            </w:pPr>
            <w:r w:rsidRPr="009B546D">
              <w:rPr>
                <w:rFonts w:cstheme="minorHAnsi"/>
                <w:sz w:val="16"/>
              </w:rPr>
              <w:t xml:space="preserve">The existing shareholders of AIQ will be diluted by </w:t>
            </w:r>
            <w:r w:rsidR="00737506" w:rsidRPr="009B546D">
              <w:rPr>
                <w:rFonts w:cstheme="minorHAnsi"/>
                <w:sz w:val="16"/>
              </w:rPr>
              <w:t>20</w:t>
            </w:r>
            <w:r w:rsidRPr="009B546D">
              <w:rPr>
                <w:rFonts w:cstheme="minorHAnsi"/>
                <w:sz w:val="16"/>
              </w:rPr>
              <w:t xml:space="preserve"> per cent. by the Proposed Acquisition.</w:t>
            </w:r>
          </w:p>
        </w:tc>
      </w:tr>
    </w:tbl>
    <w:p w14:paraId="1B5D0E84" w14:textId="77777777" w:rsidR="00DB1763" w:rsidRPr="009B546D" w:rsidRDefault="00DB1763" w:rsidP="00F432B9">
      <w:pPr>
        <w:spacing w:line="240" w:lineRule="auto"/>
        <w:rPr>
          <w:rFonts w:cstheme="minorHAnsi"/>
        </w:rPr>
      </w:pPr>
    </w:p>
    <w:p w14:paraId="65D0D026" w14:textId="77777777" w:rsidR="006E6E54" w:rsidRPr="009B546D" w:rsidRDefault="006E6E54" w:rsidP="00F432B9">
      <w:pPr>
        <w:spacing w:line="240" w:lineRule="auto"/>
        <w:jc w:val="left"/>
        <w:rPr>
          <w:rFonts w:eastAsiaTheme="majorEastAsia" w:cstheme="minorHAnsi"/>
          <w:b/>
          <w:color w:val="000000" w:themeColor="text1"/>
          <w:szCs w:val="20"/>
        </w:rPr>
      </w:pPr>
      <w:r w:rsidRPr="009B546D">
        <w:rPr>
          <w:rFonts w:cstheme="minorHAnsi"/>
          <w:szCs w:val="20"/>
        </w:rPr>
        <w:br w:type="page"/>
      </w:r>
    </w:p>
    <w:p w14:paraId="270163E9" w14:textId="0BAA0D30" w:rsidR="00D90E1F" w:rsidRPr="004712BD" w:rsidRDefault="00D90E1F" w:rsidP="00EA2BB6">
      <w:pPr>
        <w:pStyle w:val="Heading1"/>
        <w:keepNext w:val="0"/>
        <w:widowControl w:val="0"/>
        <w:spacing w:after="120" w:line="240" w:lineRule="auto"/>
        <w:jc w:val="center"/>
        <w:rPr>
          <w:rFonts w:asciiTheme="minorHAnsi" w:hAnsiTheme="minorHAnsi" w:cstheme="minorHAnsi"/>
          <w:sz w:val="20"/>
          <w:szCs w:val="20"/>
        </w:rPr>
      </w:pPr>
      <w:bookmarkStart w:id="2" w:name="_Toc35456731"/>
      <w:r w:rsidRPr="00384557">
        <w:rPr>
          <w:rFonts w:asciiTheme="minorHAnsi" w:hAnsiTheme="minorHAnsi" w:cstheme="minorHAnsi"/>
          <w:sz w:val="20"/>
          <w:szCs w:val="20"/>
        </w:rPr>
        <w:lastRenderedPageBreak/>
        <w:t>Part II</w:t>
      </w:r>
      <w:r w:rsidRPr="00384557">
        <w:rPr>
          <w:rFonts w:asciiTheme="minorHAnsi" w:hAnsiTheme="minorHAnsi" w:cstheme="minorHAnsi"/>
          <w:sz w:val="20"/>
          <w:szCs w:val="20"/>
        </w:rPr>
        <w:br/>
      </w:r>
      <w:r w:rsidRPr="004712BD">
        <w:rPr>
          <w:rFonts w:asciiTheme="minorHAnsi" w:hAnsiTheme="minorHAnsi" w:cstheme="minorHAnsi"/>
          <w:sz w:val="20"/>
          <w:szCs w:val="20"/>
        </w:rPr>
        <w:t>Risk Factors</w:t>
      </w:r>
      <w:bookmarkEnd w:id="2"/>
    </w:p>
    <w:p w14:paraId="7B6296C4" w14:textId="77777777" w:rsidR="00D90E1F" w:rsidRPr="00EA2BB6" w:rsidRDefault="00D90E1F" w:rsidP="00EA2BB6">
      <w:pPr>
        <w:widowControl w:val="0"/>
        <w:spacing w:after="120" w:line="240" w:lineRule="auto"/>
        <w:rPr>
          <w:rFonts w:cstheme="minorHAnsi"/>
          <w:b/>
          <w:sz w:val="16"/>
          <w:szCs w:val="16"/>
        </w:rPr>
      </w:pPr>
      <w:r w:rsidRPr="00EA2BB6">
        <w:rPr>
          <w:rFonts w:cstheme="minorHAnsi"/>
          <w:b/>
          <w:sz w:val="16"/>
          <w:szCs w:val="16"/>
        </w:rPr>
        <w:t>Investment in the Company and the Ordinary Shares carries a significant degree of risk, including risks in relation to the Company’s business strategy, risks relating to taxation and risks relating to the Ordinary Shares.</w:t>
      </w:r>
    </w:p>
    <w:p w14:paraId="103ED517" w14:textId="3F6E9955" w:rsidR="00D90E1F" w:rsidRPr="00EA2BB6" w:rsidRDefault="00D90E1F" w:rsidP="00F432B9">
      <w:pPr>
        <w:widowControl w:val="0"/>
        <w:spacing w:line="240" w:lineRule="auto"/>
        <w:rPr>
          <w:rFonts w:cstheme="minorHAnsi"/>
          <w:b/>
          <w:sz w:val="16"/>
          <w:szCs w:val="16"/>
        </w:rPr>
      </w:pPr>
      <w:r w:rsidRPr="00EA2BB6">
        <w:rPr>
          <w:rFonts w:cstheme="minorHAnsi"/>
          <w:b/>
          <w:sz w:val="16"/>
          <w:szCs w:val="16"/>
        </w:rPr>
        <w:t xml:space="preserve">Prospective investors should note that the risks relating to the Company, its industry and the Ordinary Shares summarised in </w:t>
      </w:r>
      <w:r w:rsidRPr="00EA2BB6">
        <w:rPr>
          <w:rFonts w:cstheme="minorHAnsi"/>
          <w:b/>
          <w:i/>
          <w:iCs/>
          <w:sz w:val="16"/>
          <w:szCs w:val="16"/>
        </w:rPr>
        <w:t>Part I – Summary</w:t>
      </w:r>
      <w:r w:rsidRPr="00EA2BB6">
        <w:rPr>
          <w:rFonts w:cstheme="minorHAnsi"/>
          <w:b/>
          <w:sz w:val="16"/>
          <w:szCs w:val="16"/>
        </w:rPr>
        <w:t xml:space="preserve"> of this </w:t>
      </w:r>
      <w:r w:rsidR="0077279D" w:rsidRPr="00EA2BB6">
        <w:rPr>
          <w:rFonts w:cstheme="minorHAnsi"/>
          <w:b/>
          <w:sz w:val="16"/>
          <w:szCs w:val="16"/>
        </w:rPr>
        <w:t>Prospectus</w:t>
      </w:r>
      <w:r w:rsidRPr="00EA2BB6">
        <w:rPr>
          <w:rFonts w:cstheme="minorHAnsi"/>
          <w:b/>
          <w:sz w:val="16"/>
          <w:szCs w:val="16"/>
        </w:rPr>
        <w:t xml:space="preserve"> are the risks that the Directors believe to be the most essential to an assessment by a prospective investor of whether to consider an investment in the Ordinary Shares. However, as the risks which the Company faces relate to events and depend on circumstances that may or may not occur in the future, prospective investors should consider not only the information </w:t>
      </w:r>
      <w:r w:rsidR="00734261" w:rsidRPr="00EA2BB6">
        <w:rPr>
          <w:rFonts w:cstheme="minorHAnsi"/>
          <w:b/>
          <w:sz w:val="16"/>
          <w:szCs w:val="16"/>
        </w:rPr>
        <w:t>i</w:t>
      </w:r>
      <w:r w:rsidRPr="00EA2BB6">
        <w:rPr>
          <w:rFonts w:cstheme="minorHAnsi"/>
          <w:b/>
          <w:sz w:val="16"/>
          <w:szCs w:val="16"/>
        </w:rPr>
        <w:t xml:space="preserve">n the key risks summarised in </w:t>
      </w:r>
      <w:r w:rsidRPr="00EA2BB6">
        <w:rPr>
          <w:rFonts w:cstheme="minorHAnsi"/>
          <w:b/>
          <w:i/>
          <w:iCs/>
          <w:sz w:val="16"/>
          <w:szCs w:val="16"/>
        </w:rPr>
        <w:t xml:space="preserve">Part I – Summary </w:t>
      </w:r>
      <w:r w:rsidRPr="00EA2BB6">
        <w:rPr>
          <w:rFonts w:cstheme="minorHAnsi"/>
          <w:b/>
          <w:sz w:val="16"/>
          <w:szCs w:val="16"/>
        </w:rPr>
        <w:t xml:space="preserve">of this </w:t>
      </w:r>
      <w:r w:rsidR="0077279D" w:rsidRPr="00EA2BB6">
        <w:rPr>
          <w:rFonts w:cstheme="minorHAnsi"/>
          <w:b/>
          <w:sz w:val="16"/>
          <w:szCs w:val="16"/>
        </w:rPr>
        <w:t>Prospectus</w:t>
      </w:r>
      <w:r w:rsidRPr="00EA2BB6">
        <w:rPr>
          <w:rFonts w:cstheme="minorHAnsi"/>
          <w:b/>
          <w:sz w:val="16"/>
          <w:szCs w:val="16"/>
        </w:rPr>
        <w:t xml:space="preserve"> but also, </w:t>
      </w:r>
      <w:r w:rsidRPr="00EA2BB6">
        <w:rPr>
          <w:rFonts w:cstheme="minorHAnsi"/>
          <w:b/>
          <w:i/>
          <w:iCs/>
          <w:sz w:val="16"/>
          <w:szCs w:val="16"/>
        </w:rPr>
        <w:t>inter alia</w:t>
      </w:r>
      <w:r w:rsidRPr="00EA2BB6">
        <w:rPr>
          <w:rFonts w:cstheme="minorHAnsi"/>
          <w:b/>
          <w:sz w:val="16"/>
          <w:szCs w:val="16"/>
        </w:rPr>
        <w:t>, the risks and uncertainties described below.</w:t>
      </w:r>
    </w:p>
    <w:p w14:paraId="55819ECF" w14:textId="06784470" w:rsidR="00D90E1F" w:rsidRPr="00EA2BB6" w:rsidRDefault="00D90E1F" w:rsidP="00F432B9">
      <w:pPr>
        <w:widowControl w:val="0"/>
        <w:spacing w:line="240" w:lineRule="auto"/>
        <w:rPr>
          <w:rFonts w:cstheme="minorHAnsi"/>
          <w:b/>
          <w:sz w:val="16"/>
          <w:szCs w:val="16"/>
        </w:rPr>
      </w:pPr>
      <w:r w:rsidRPr="00EA2BB6">
        <w:rPr>
          <w:rFonts w:cstheme="minorHAnsi"/>
          <w:b/>
          <w:sz w:val="16"/>
          <w:szCs w:val="16"/>
        </w:rPr>
        <w:t xml:space="preserve">The risks referred to below are those risks the Company and the Directors consider to be the material risks relating to the Company. However, there may be additional risks that the Company and the Directors do not currently consider to be material or of which the Company and the Directors are not currently aware that may adversely affect the Company’s business, financial condition, results of operations or prospects. Investors should review this </w:t>
      </w:r>
      <w:r w:rsidR="00281407" w:rsidRPr="00EA2BB6">
        <w:rPr>
          <w:rFonts w:cstheme="minorHAnsi"/>
          <w:b/>
          <w:sz w:val="16"/>
          <w:szCs w:val="16"/>
        </w:rPr>
        <w:t>P</w:t>
      </w:r>
      <w:r w:rsidRPr="00EA2BB6">
        <w:rPr>
          <w:rFonts w:cstheme="minorHAnsi"/>
          <w:b/>
          <w:sz w:val="16"/>
          <w:szCs w:val="16"/>
        </w:rPr>
        <w:t xml:space="preserve">rospectus carefully </w:t>
      </w:r>
      <w:r w:rsidR="0082065E" w:rsidRPr="00EA2BB6">
        <w:rPr>
          <w:rFonts w:cstheme="minorHAnsi"/>
          <w:b/>
          <w:sz w:val="16"/>
          <w:szCs w:val="16"/>
        </w:rPr>
        <w:t>and, in its entirety,</w:t>
      </w:r>
      <w:r w:rsidRPr="00EA2BB6">
        <w:rPr>
          <w:rFonts w:cstheme="minorHAnsi"/>
          <w:b/>
          <w:sz w:val="16"/>
          <w:szCs w:val="16"/>
        </w:rPr>
        <w:t xml:space="preserve"> and consult with their professional advisers before acquiring any Ordinary Shares. If any of the risks referred to in this </w:t>
      </w:r>
      <w:r w:rsidR="00281407" w:rsidRPr="00EA2BB6">
        <w:rPr>
          <w:rFonts w:cstheme="minorHAnsi"/>
          <w:b/>
          <w:sz w:val="16"/>
          <w:szCs w:val="16"/>
        </w:rPr>
        <w:t>P</w:t>
      </w:r>
      <w:r w:rsidRPr="00EA2BB6">
        <w:rPr>
          <w:rFonts w:cstheme="minorHAnsi"/>
          <w:b/>
          <w:sz w:val="16"/>
          <w:szCs w:val="16"/>
        </w:rPr>
        <w:t>rospectus were to occur, the results of operations, financial condition and prospects of the Company could be materially adversely affected. If that were to be the case, the trading price of the Ordinary Shares and/or the level of dividends or distributions (if any) received from the Ordinary Shares could decline significantly. Further, investors could lose all or part of their investment.</w:t>
      </w:r>
    </w:p>
    <w:p w14:paraId="68B641AA" w14:textId="1CE1831A" w:rsidR="00D90E1F" w:rsidRPr="009B546D" w:rsidRDefault="00D90E1F" w:rsidP="00F432B9">
      <w:pPr>
        <w:pStyle w:val="Heading2"/>
        <w:keepNext w:val="0"/>
        <w:widowControl w:val="0"/>
        <w:spacing w:line="240" w:lineRule="auto"/>
        <w:rPr>
          <w:rFonts w:asciiTheme="minorHAnsi" w:hAnsiTheme="minorHAnsi" w:cstheme="minorHAnsi"/>
          <w:sz w:val="22"/>
          <w:szCs w:val="22"/>
        </w:rPr>
      </w:pPr>
      <w:r w:rsidRPr="009B546D">
        <w:rPr>
          <w:rFonts w:asciiTheme="minorHAnsi" w:hAnsiTheme="minorHAnsi" w:cstheme="minorHAnsi"/>
          <w:sz w:val="22"/>
          <w:szCs w:val="22"/>
        </w:rPr>
        <w:t>Risks relating to the Enlarged Group and its business strategy</w:t>
      </w:r>
    </w:p>
    <w:p w14:paraId="2F896ABF" w14:textId="77777777" w:rsidR="00FB2DEF" w:rsidRPr="009B546D" w:rsidRDefault="00FB2DEF" w:rsidP="00496B89">
      <w:pPr>
        <w:spacing w:before="240" w:after="0" w:line="240" w:lineRule="auto"/>
        <w:rPr>
          <w:rFonts w:eastAsia="Times New Roman" w:cstheme="minorHAnsi"/>
          <w:b/>
          <w:bCs/>
          <w:color w:val="000000"/>
          <w:szCs w:val="20"/>
          <w:lang w:eastAsia="en-GB"/>
        </w:rPr>
      </w:pPr>
      <w:r w:rsidRPr="009B546D">
        <w:rPr>
          <w:rFonts w:eastAsia="Times New Roman" w:cstheme="minorHAnsi"/>
          <w:b/>
          <w:bCs/>
          <w:color w:val="000000"/>
          <w:szCs w:val="20"/>
          <w:lang w:eastAsia="en-GB"/>
        </w:rPr>
        <w:t>The recent growth rates may not be sustainable or indicative of future growth.</w:t>
      </w:r>
    </w:p>
    <w:p w14:paraId="45D1009F" w14:textId="77777777" w:rsidR="00FB2DEF" w:rsidRPr="009B546D" w:rsidRDefault="00FB2DEF" w:rsidP="00F432B9">
      <w:pPr>
        <w:spacing w:before="240" w:after="0" w:line="240" w:lineRule="auto"/>
        <w:rPr>
          <w:rFonts w:eastAsia="Times New Roman" w:cstheme="minorHAnsi"/>
          <w:color w:val="000000"/>
          <w:szCs w:val="20"/>
          <w:lang w:eastAsia="en-GB"/>
        </w:rPr>
      </w:pPr>
      <w:r w:rsidRPr="009B546D">
        <w:rPr>
          <w:rFonts w:eastAsia="Times New Roman" w:cstheme="minorHAnsi"/>
          <w:color w:val="000000"/>
          <w:szCs w:val="20"/>
          <w:lang w:eastAsia="en-GB"/>
        </w:rPr>
        <w:t>The short operating history of Alchemist Codes should not be considered as indicative of future performance. Alchemist Codes may not be successful in executing its growth strategy, and even if the strategic plan is achieved, profitability may not be sustained. In future periods, revenue could decline or grow more slowly than expected.</w:t>
      </w:r>
    </w:p>
    <w:p w14:paraId="7E11A86D" w14:textId="77777777" w:rsidR="00FB2DEF" w:rsidRPr="009B546D" w:rsidRDefault="00FB2DEF" w:rsidP="00F432B9">
      <w:pPr>
        <w:spacing w:before="240" w:after="0" w:line="240" w:lineRule="auto"/>
        <w:rPr>
          <w:rFonts w:eastAsia="Times New Roman" w:cstheme="minorHAnsi"/>
          <w:color w:val="000000"/>
          <w:szCs w:val="20"/>
          <w:lang w:eastAsia="en-GB"/>
        </w:rPr>
      </w:pPr>
      <w:bookmarkStart w:id="3" w:name="_AEIOULastRenderedPageBreakAEIOU24"/>
      <w:bookmarkEnd w:id="3"/>
      <w:r w:rsidRPr="009B546D">
        <w:rPr>
          <w:rFonts w:eastAsia="Times New Roman" w:cstheme="minorHAnsi"/>
          <w:color w:val="000000"/>
          <w:szCs w:val="20"/>
          <w:lang w:eastAsia="en-GB"/>
        </w:rPr>
        <w:t>The Directors believe that continued revenue growth will depend upon, among other factors, the ability to:</w:t>
      </w:r>
    </w:p>
    <w:tbl>
      <w:tblPr>
        <w:tblW w:w="5000" w:type="pct"/>
        <w:tblCellMar>
          <w:left w:w="0" w:type="dxa"/>
          <w:right w:w="0" w:type="dxa"/>
        </w:tblCellMar>
        <w:tblLook w:val="04A0" w:firstRow="1" w:lastRow="0" w:firstColumn="1" w:lastColumn="0" w:noHBand="0" w:noVBand="1"/>
      </w:tblPr>
      <w:tblGrid>
        <w:gridCol w:w="455"/>
        <w:gridCol w:w="334"/>
        <w:gridCol w:w="8237"/>
      </w:tblGrid>
      <w:tr w:rsidR="00FB2DEF" w:rsidRPr="009B546D" w14:paraId="3EC85CDB" w14:textId="77777777" w:rsidTr="007B5E1A">
        <w:tc>
          <w:tcPr>
            <w:tcW w:w="252" w:type="pct"/>
            <w:noWrap/>
            <w:hideMark/>
          </w:tcPr>
          <w:p w14:paraId="0677678B"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 </w:t>
            </w:r>
          </w:p>
        </w:tc>
        <w:tc>
          <w:tcPr>
            <w:tcW w:w="185" w:type="pct"/>
            <w:noWrap/>
            <w:hideMark/>
          </w:tcPr>
          <w:p w14:paraId="2DCC0269"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w:t>
            </w:r>
          </w:p>
        </w:tc>
        <w:tc>
          <w:tcPr>
            <w:tcW w:w="0" w:type="auto"/>
            <w:hideMark/>
          </w:tcPr>
          <w:p w14:paraId="0685317E"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 xml:space="preserve">identify new and emerging affiliates and maintain relationships with emerging and established affiliates; </w:t>
            </w:r>
          </w:p>
        </w:tc>
      </w:tr>
    </w:tbl>
    <w:p w14:paraId="279F0C3C" w14:textId="77777777" w:rsidR="00FB2DEF" w:rsidRPr="009B546D" w:rsidRDefault="00FB2DEF" w:rsidP="00496B89">
      <w:pPr>
        <w:spacing w:after="0" w:line="240" w:lineRule="auto"/>
        <w:rPr>
          <w:rFonts w:eastAsia="Times New Roman" w:cstheme="minorHAnsi"/>
          <w:vanish/>
          <w:color w:val="000000"/>
          <w:szCs w:val="20"/>
          <w:lang w:eastAsia="en-GB"/>
        </w:rPr>
      </w:pPr>
    </w:p>
    <w:tbl>
      <w:tblPr>
        <w:tblW w:w="5000" w:type="pct"/>
        <w:tblCellMar>
          <w:left w:w="0" w:type="dxa"/>
          <w:right w:w="0" w:type="dxa"/>
        </w:tblCellMar>
        <w:tblLook w:val="04A0" w:firstRow="1" w:lastRow="0" w:firstColumn="1" w:lastColumn="0" w:noHBand="0" w:noVBand="1"/>
      </w:tblPr>
      <w:tblGrid>
        <w:gridCol w:w="455"/>
        <w:gridCol w:w="334"/>
        <w:gridCol w:w="8237"/>
      </w:tblGrid>
      <w:tr w:rsidR="00FB2DEF" w:rsidRPr="009B546D" w14:paraId="4FC318FE" w14:textId="77777777" w:rsidTr="007B5E1A">
        <w:tc>
          <w:tcPr>
            <w:tcW w:w="252" w:type="pct"/>
            <w:noWrap/>
            <w:hideMark/>
          </w:tcPr>
          <w:p w14:paraId="1BA52900"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 </w:t>
            </w:r>
          </w:p>
        </w:tc>
        <w:tc>
          <w:tcPr>
            <w:tcW w:w="185" w:type="pct"/>
            <w:noWrap/>
            <w:hideMark/>
          </w:tcPr>
          <w:p w14:paraId="2A229841"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w:t>
            </w:r>
          </w:p>
        </w:tc>
        <w:tc>
          <w:tcPr>
            <w:tcW w:w="0" w:type="auto"/>
            <w:hideMark/>
          </w:tcPr>
          <w:p w14:paraId="0C37B262"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acquire new users and retain existing users;</w:t>
            </w:r>
          </w:p>
        </w:tc>
      </w:tr>
    </w:tbl>
    <w:p w14:paraId="0AA29561" w14:textId="77777777" w:rsidR="00FB2DEF" w:rsidRPr="009B546D" w:rsidRDefault="00FB2DEF" w:rsidP="00496B89">
      <w:pPr>
        <w:spacing w:after="0" w:line="240" w:lineRule="auto"/>
        <w:rPr>
          <w:rFonts w:eastAsia="Times New Roman" w:cstheme="minorHAnsi"/>
          <w:vanish/>
          <w:color w:val="000000"/>
          <w:szCs w:val="20"/>
          <w:lang w:eastAsia="en-GB"/>
        </w:rPr>
      </w:pPr>
    </w:p>
    <w:tbl>
      <w:tblPr>
        <w:tblW w:w="5000" w:type="pct"/>
        <w:tblCellMar>
          <w:left w:w="0" w:type="dxa"/>
          <w:right w:w="0" w:type="dxa"/>
        </w:tblCellMar>
        <w:tblLook w:val="04A0" w:firstRow="1" w:lastRow="0" w:firstColumn="1" w:lastColumn="0" w:noHBand="0" w:noVBand="1"/>
      </w:tblPr>
      <w:tblGrid>
        <w:gridCol w:w="455"/>
        <w:gridCol w:w="334"/>
        <w:gridCol w:w="8237"/>
      </w:tblGrid>
      <w:tr w:rsidR="00FB2DEF" w:rsidRPr="009B546D" w14:paraId="61A54EA5" w14:textId="77777777" w:rsidTr="007B5E1A">
        <w:tc>
          <w:tcPr>
            <w:tcW w:w="252" w:type="pct"/>
            <w:noWrap/>
            <w:hideMark/>
          </w:tcPr>
          <w:p w14:paraId="1A495A32"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 </w:t>
            </w:r>
          </w:p>
        </w:tc>
        <w:tc>
          <w:tcPr>
            <w:tcW w:w="185" w:type="pct"/>
            <w:noWrap/>
            <w:hideMark/>
          </w:tcPr>
          <w:p w14:paraId="0B15ED3C"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w:t>
            </w:r>
          </w:p>
        </w:tc>
        <w:tc>
          <w:tcPr>
            <w:tcW w:w="0" w:type="auto"/>
            <w:hideMark/>
          </w:tcPr>
          <w:p w14:paraId="633ACBB2"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develop new features to enhance the consumer experience on OCTAPLUS;</w:t>
            </w:r>
          </w:p>
        </w:tc>
      </w:tr>
    </w:tbl>
    <w:p w14:paraId="1DC6E7C3" w14:textId="77777777" w:rsidR="00FB2DEF" w:rsidRPr="009B546D" w:rsidRDefault="00FB2DEF" w:rsidP="00496B89">
      <w:pPr>
        <w:spacing w:after="0" w:line="240" w:lineRule="auto"/>
        <w:rPr>
          <w:rFonts w:eastAsia="Times New Roman" w:cstheme="minorHAnsi"/>
          <w:vanish/>
          <w:color w:val="000000"/>
          <w:szCs w:val="20"/>
          <w:lang w:eastAsia="en-GB"/>
        </w:rPr>
      </w:pPr>
    </w:p>
    <w:tbl>
      <w:tblPr>
        <w:tblW w:w="5000" w:type="pct"/>
        <w:tblCellMar>
          <w:left w:w="0" w:type="dxa"/>
          <w:right w:w="0" w:type="dxa"/>
        </w:tblCellMar>
        <w:tblLook w:val="04A0" w:firstRow="1" w:lastRow="0" w:firstColumn="1" w:lastColumn="0" w:noHBand="0" w:noVBand="1"/>
      </w:tblPr>
      <w:tblGrid>
        <w:gridCol w:w="455"/>
        <w:gridCol w:w="334"/>
        <w:gridCol w:w="8237"/>
      </w:tblGrid>
      <w:tr w:rsidR="00FB2DEF" w:rsidRPr="009B546D" w14:paraId="21D7ABC2" w14:textId="77777777" w:rsidTr="007B5E1A">
        <w:tc>
          <w:tcPr>
            <w:tcW w:w="252" w:type="pct"/>
            <w:noWrap/>
            <w:hideMark/>
          </w:tcPr>
          <w:p w14:paraId="72B5D2D1"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 </w:t>
            </w:r>
          </w:p>
        </w:tc>
        <w:tc>
          <w:tcPr>
            <w:tcW w:w="185" w:type="pct"/>
            <w:noWrap/>
            <w:hideMark/>
          </w:tcPr>
          <w:p w14:paraId="446597DB"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w:t>
            </w:r>
          </w:p>
        </w:tc>
        <w:tc>
          <w:tcPr>
            <w:tcW w:w="0" w:type="auto"/>
            <w:hideMark/>
          </w:tcPr>
          <w:p w14:paraId="087F972F"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increase the frequency with which new and repeat users purchase products through OCTAPLUS via concerted advertising, data analytics and technology;</w:t>
            </w:r>
          </w:p>
        </w:tc>
      </w:tr>
    </w:tbl>
    <w:p w14:paraId="69E50877" w14:textId="77777777" w:rsidR="00FB2DEF" w:rsidRPr="009B546D" w:rsidRDefault="00FB2DEF" w:rsidP="00496B89">
      <w:pPr>
        <w:spacing w:after="0" w:line="240" w:lineRule="auto"/>
        <w:rPr>
          <w:rFonts w:eastAsia="Times New Roman" w:cstheme="minorHAnsi"/>
          <w:vanish/>
          <w:color w:val="000000"/>
          <w:szCs w:val="20"/>
          <w:lang w:eastAsia="en-GB"/>
        </w:rPr>
      </w:pPr>
    </w:p>
    <w:p w14:paraId="1282B904" w14:textId="77777777" w:rsidR="00FB2DEF" w:rsidRPr="009B546D" w:rsidRDefault="00FB2DEF" w:rsidP="00F432B9">
      <w:pPr>
        <w:spacing w:after="0" w:line="240" w:lineRule="auto"/>
        <w:rPr>
          <w:rFonts w:eastAsia="Times New Roman" w:cstheme="minorHAnsi"/>
          <w:vanish/>
          <w:color w:val="000000"/>
          <w:szCs w:val="20"/>
          <w:lang w:eastAsia="en-GB"/>
        </w:rPr>
      </w:pPr>
    </w:p>
    <w:tbl>
      <w:tblPr>
        <w:tblW w:w="5000" w:type="pct"/>
        <w:tblCellMar>
          <w:left w:w="0" w:type="dxa"/>
          <w:right w:w="0" w:type="dxa"/>
        </w:tblCellMar>
        <w:tblLook w:val="04A0" w:firstRow="1" w:lastRow="0" w:firstColumn="1" w:lastColumn="0" w:noHBand="0" w:noVBand="1"/>
      </w:tblPr>
      <w:tblGrid>
        <w:gridCol w:w="455"/>
        <w:gridCol w:w="334"/>
        <w:gridCol w:w="8237"/>
      </w:tblGrid>
      <w:tr w:rsidR="00FB2DEF" w:rsidRPr="009B546D" w14:paraId="1D96FCA0" w14:textId="77777777" w:rsidTr="007B5E1A">
        <w:tc>
          <w:tcPr>
            <w:tcW w:w="252" w:type="pct"/>
            <w:noWrap/>
            <w:hideMark/>
          </w:tcPr>
          <w:p w14:paraId="3C0084A0"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 </w:t>
            </w:r>
          </w:p>
        </w:tc>
        <w:tc>
          <w:tcPr>
            <w:tcW w:w="185" w:type="pct"/>
            <w:noWrap/>
            <w:hideMark/>
          </w:tcPr>
          <w:p w14:paraId="7AECD479"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w:t>
            </w:r>
          </w:p>
        </w:tc>
        <w:tc>
          <w:tcPr>
            <w:tcW w:w="0" w:type="auto"/>
            <w:hideMark/>
          </w:tcPr>
          <w:p w14:paraId="6AA02ACD"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enhance and scale the systems that users use to interact with OCTAPLUS and invest in the infrastructure platform;</w:t>
            </w:r>
          </w:p>
        </w:tc>
      </w:tr>
    </w:tbl>
    <w:p w14:paraId="44664D28" w14:textId="77777777" w:rsidR="00FB2DEF" w:rsidRPr="009B546D" w:rsidRDefault="00FB2DEF" w:rsidP="00496B89">
      <w:pPr>
        <w:spacing w:after="0" w:line="240" w:lineRule="auto"/>
        <w:rPr>
          <w:rFonts w:eastAsia="Times New Roman" w:cstheme="minorHAnsi"/>
          <w:vanish/>
          <w:color w:val="000000"/>
          <w:szCs w:val="20"/>
          <w:lang w:eastAsia="en-GB"/>
        </w:rPr>
      </w:pPr>
    </w:p>
    <w:tbl>
      <w:tblPr>
        <w:tblW w:w="5000" w:type="pct"/>
        <w:tblCellMar>
          <w:left w:w="0" w:type="dxa"/>
          <w:right w:w="0" w:type="dxa"/>
        </w:tblCellMar>
        <w:tblLook w:val="04A0" w:firstRow="1" w:lastRow="0" w:firstColumn="1" w:lastColumn="0" w:noHBand="0" w:noVBand="1"/>
      </w:tblPr>
      <w:tblGrid>
        <w:gridCol w:w="455"/>
        <w:gridCol w:w="334"/>
        <w:gridCol w:w="8237"/>
      </w:tblGrid>
      <w:tr w:rsidR="00FB2DEF" w:rsidRPr="009B546D" w14:paraId="4B31DECF" w14:textId="77777777" w:rsidTr="007B5E1A">
        <w:tc>
          <w:tcPr>
            <w:tcW w:w="252" w:type="pct"/>
            <w:noWrap/>
            <w:hideMark/>
          </w:tcPr>
          <w:p w14:paraId="23AAD8DD"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 </w:t>
            </w:r>
          </w:p>
        </w:tc>
        <w:tc>
          <w:tcPr>
            <w:tcW w:w="185" w:type="pct"/>
            <w:noWrap/>
            <w:hideMark/>
          </w:tcPr>
          <w:p w14:paraId="6C4E6E40"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w:t>
            </w:r>
          </w:p>
        </w:tc>
        <w:tc>
          <w:tcPr>
            <w:tcW w:w="0" w:type="auto"/>
            <w:hideMark/>
          </w:tcPr>
          <w:p w14:paraId="17E87088" w14:textId="42201078"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target additional sectors beyond initial target sectors of retail fashion and beauty products;</w:t>
            </w:r>
          </w:p>
        </w:tc>
      </w:tr>
    </w:tbl>
    <w:p w14:paraId="533D7707" w14:textId="77777777" w:rsidR="00FB2DEF" w:rsidRPr="009B546D" w:rsidRDefault="00FB2DEF" w:rsidP="00496B89">
      <w:pPr>
        <w:spacing w:after="0" w:line="240" w:lineRule="auto"/>
        <w:rPr>
          <w:rFonts w:eastAsia="Times New Roman" w:cstheme="minorHAnsi"/>
          <w:vanish/>
          <w:color w:val="000000"/>
          <w:szCs w:val="20"/>
          <w:lang w:eastAsia="en-GB"/>
        </w:rPr>
      </w:pPr>
    </w:p>
    <w:tbl>
      <w:tblPr>
        <w:tblW w:w="5000" w:type="pct"/>
        <w:tblCellMar>
          <w:left w:w="0" w:type="dxa"/>
          <w:right w:w="0" w:type="dxa"/>
        </w:tblCellMar>
        <w:tblLook w:val="04A0" w:firstRow="1" w:lastRow="0" w:firstColumn="1" w:lastColumn="0" w:noHBand="0" w:noVBand="1"/>
      </w:tblPr>
      <w:tblGrid>
        <w:gridCol w:w="455"/>
        <w:gridCol w:w="334"/>
        <w:gridCol w:w="8237"/>
      </w:tblGrid>
      <w:tr w:rsidR="00FB2DEF" w:rsidRPr="009B546D" w14:paraId="14DD5F9B" w14:textId="77777777" w:rsidTr="007B5E1A">
        <w:tc>
          <w:tcPr>
            <w:tcW w:w="252" w:type="pct"/>
            <w:noWrap/>
            <w:hideMark/>
          </w:tcPr>
          <w:p w14:paraId="780C1A7C"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 </w:t>
            </w:r>
          </w:p>
        </w:tc>
        <w:tc>
          <w:tcPr>
            <w:tcW w:w="185" w:type="pct"/>
            <w:noWrap/>
            <w:hideMark/>
          </w:tcPr>
          <w:p w14:paraId="03610A2D"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w:t>
            </w:r>
          </w:p>
        </w:tc>
        <w:tc>
          <w:tcPr>
            <w:tcW w:w="0" w:type="auto"/>
            <w:hideMark/>
          </w:tcPr>
          <w:p w14:paraId="3CD00F07"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expand internationally; and</w:t>
            </w:r>
          </w:p>
        </w:tc>
      </w:tr>
    </w:tbl>
    <w:p w14:paraId="0BA96B8B" w14:textId="77777777" w:rsidR="00FB2DEF" w:rsidRPr="009B546D" w:rsidRDefault="00FB2DEF" w:rsidP="00496B89">
      <w:pPr>
        <w:spacing w:after="0" w:line="240" w:lineRule="auto"/>
        <w:rPr>
          <w:rFonts w:eastAsia="Times New Roman" w:cstheme="minorHAnsi"/>
          <w:vanish/>
          <w:color w:val="000000"/>
          <w:szCs w:val="20"/>
          <w:lang w:eastAsia="en-GB"/>
        </w:rPr>
      </w:pPr>
    </w:p>
    <w:tbl>
      <w:tblPr>
        <w:tblW w:w="5000" w:type="pct"/>
        <w:tblCellMar>
          <w:left w:w="0" w:type="dxa"/>
          <w:right w:w="0" w:type="dxa"/>
        </w:tblCellMar>
        <w:tblLook w:val="04A0" w:firstRow="1" w:lastRow="0" w:firstColumn="1" w:lastColumn="0" w:noHBand="0" w:noVBand="1"/>
      </w:tblPr>
      <w:tblGrid>
        <w:gridCol w:w="455"/>
        <w:gridCol w:w="334"/>
        <w:gridCol w:w="8237"/>
      </w:tblGrid>
      <w:tr w:rsidR="00FB2DEF" w:rsidRPr="009B546D" w14:paraId="57B23DD6" w14:textId="77777777" w:rsidTr="007B5E1A">
        <w:tc>
          <w:tcPr>
            <w:tcW w:w="252" w:type="pct"/>
            <w:noWrap/>
            <w:hideMark/>
          </w:tcPr>
          <w:p w14:paraId="7D8F69BE"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 </w:t>
            </w:r>
          </w:p>
        </w:tc>
        <w:tc>
          <w:tcPr>
            <w:tcW w:w="185" w:type="pct"/>
            <w:noWrap/>
            <w:hideMark/>
          </w:tcPr>
          <w:p w14:paraId="01D88B59"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w:t>
            </w:r>
          </w:p>
        </w:tc>
        <w:tc>
          <w:tcPr>
            <w:tcW w:w="0" w:type="auto"/>
            <w:hideMark/>
          </w:tcPr>
          <w:p w14:paraId="6B668968" w14:textId="77777777" w:rsidR="00FB2DEF" w:rsidRPr="009B546D" w:rsidRDefault="00FB2DEF" w:rsidP="00F432B9">
            <w:pPr>
              <w:spacing w:after="0" w:line="240" w:lineRule="auto"/>
              <w:rPr>
                <w:rFonts w:eastAsia="Times New Roman" w:cstheme="minorHAnsi"/>
                <w:szCs w:val="20"/>
                <w:lang w:eastAsia="en-GB"/>
              </w:rPr>
            </w:pPr>
            <w:r w:rsidRPr="009B546D">
              <w:rPr>
                <w:rFonts w:eastAsia="Times New Roman" w:cstheme="minorHAnsi"/>
                <w:szCs w:val="20"/>
                <w:lang w:eastAsia="en-GB"/>
              </w:rPr>
              <w:t>pursue strategic acquisitions.</w:t>
            </w:r>
          </w:p>
        </w:tc>
      </w:tr>
    </w:tbl>
    <w:p w14:paraId="056D8062" w14:textId="0C27499B" w:rsidR="001C44BE" w:rsidRDefault="00FB2DEF" w:rsidP="00496B89">
      <w:pPr>
        <w:spacing w:before="240" w:after="0" w:line="240" w:lineRule="auto"/>
        <w:rPr>
          <w:rFonts w:eastAsia="Times New Roman" w:cstheme="minorHAnsi"/>
          <w:color w:val="000000"/>
          <w:szCs w:val="20"/>
          <w:lang w:eastAsia="en-GB"/>
        </w:rPr>
      </w:pPr>
      <w:r w:rsidRPr="009B546D">
        <w:rPr>
          <w:rFonts w:eastAsia="Times New Roman" w:cstheme="minorHAnsi"/>
          <w:color w:val="000000"/>
          <w:szCs w:val="20"/>
          <w:lang w:eastAsia="en-GB"/>
        </w:rPr>
        <w:t>It cannot be assured that any of the foregoing will be achieved. Alchemist Codes</w:t>
      </w:r>
      <w:r w:rsidR="004B08DD"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user base may not grow or may decline as a result of increased competition. Failure to continue revenue growth rates could have a material adverse effect on financial condition and operating results. The historical rate of revenue growth cannot be relied upon as an indication of Alchemist Codes future performance or the rate of growth Alchemist Codes may experience in any new business category or internationally. </w:t>
      </w:r>
    </w:p>
    <w:p w14:paraId="1C0C8446" w14:textId="77777777" w:rsidR="001C44BE" w:rsidRPr="009B546D" w:rsidRDefault="001C44BE" w:rsidP="00F432B9">
      <w:pPr>
        <w:spacing w:before="240" w:after="0" w:line="240" w:lineRule="auto"/>
        <w:rPr>
          <w:rFonts w:eastAsia="Times New Roman" w:cstheme="minorHAnsi"/>
          <w:b/>
          <w:bCs/>
          <w:color w:val="000000"/>
          <w:szCs w:val="20"/>
          <w:lang w:eastAsia="en-GB"/>
        </w:rPr>
      </w:pPr>
      <w:r w:rsidRPr="009B546D">
        <w:rPr>
          <w:rFonts w:eastAsia="Times New Roman" w:cstheme="minorHAnsi"/>
          <w:b/>
          <w:bCs/>
          <w:color w:val="000000"/>
          <w:szCs w:val="20"/>
          <w:lang w:eastAsia="en-GB"/>
        </w:rPr>
        <w:t>Alchemist Codes must successfully maintain, scale and upgrade its information technology systems, and failure to do so could have a material adverse effect on the business, financial condition and results of operations.</w:t>
      </w:r>
    </w:p>
    <w:p w14:paraId="20C0B5D6" w14:textId="10FD29A0" w:rsidR="001C44BE" w:rsidRPr="009B546D" w:rsidRDefault="001C44BE" w:rsidP="00F432B9">
      <w:pPr>
        <w:spacing w:before="240" w:after="0" w:line="240" w:lineRule="auto"/>
        <w:rPr>
          <w:rFonts w:eastAsia="Times New Roman" w:cstheme="minorHAnsi"/>
          <w:color w:val="000000"/>
          <w:szCs w:val="20"/>
          <w:lang w:eastAsia="en-GB"/>
        </w:rPr>
      </w:pPr>
      <w:bookmarkStart w:id="4" w:name="_AEIOULastRenderedPageBreakAEIOU37"/>
      <w:bookmarkEnd w:id="4"/>
      <w:r w:rsidRPr="009B546D">
        <w:rPr>
          <w:rFonts w:eastAsia="Times New Roman" w:cstheme="minorHAnsi"/>
          <w:color w:val="000000"/>
          <w:szCs w:val="20"/>
          <w:lang w:eastAsia="en-GB"/>
        </w:rPr>
        <w:t>Alchemist Codes have identified the need to significantly expand, scale and improve Alchemist Codes</w:t>
      </w:r>
      <w:r w:rsidR="004B08DD"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information technology systems and personnel to support recent and expected future growth. As such, Alchemist Codes </w:t>
      </w:r>
      <w:r w:rsidR="004B08DD" w:rsidRPr="009B546D">
        <w:rPr>
          <w:rFonts w:eastAsia="Times New Roman" w:cstheme="minorHAnsi"/>
          <w:color w:val="000000"/>
          <w:szCs w:val="20"/>
          <w:lang w:eastAsia="en-GB"/>
        </w:rPr>
        <w:t>is</w:t>
      </w:r>
      <w:r w:rsidRPr="009B546D">
        <w:rPr>
          <w:rFonts w:eastAsia="Times New Roman" w:cstheme="minorHAnsi"/>
          <w:color w:val="000000"/>
          <w:szCs w:val="20"/>
          <w:lang w:eastAsia="en-GB"/>
        </w:rPr>
        <w:t xml:space="preserve"> in process of implementing, and will continue to invest in and implement, significant modifications and upgrades to its information technology systems and procedures, including replacing legacy systems with successor systems, making changes to legacy systems or acquiring new systems with new functionality, hiring employees with information technology expertise and building new policies, procedures, training programs and monitoring tools. These types of activities subject us to inherent costs and risks associated with replacing and changing these systems, including impairment of Alchemist Codes</w:t>
      </w:r>
      <w:r w:rsidR="004B08DD"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ability to leverage e-commerce channels, potential disruption of Alchemist Codes</w:t>
      </w:r>
      <w:r w:rsidR="004B08DD"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internal control structure, substantial capital </w:t>
      </w:r>
      <w:r w:rsidRPr="009B546D">
        <w:rPr>
          <w:rFonts w:eastAsia="Times New Roman" w:cstheme="minorHAnsi"/>
          <w:color w:val="000000"/>
          <w:szCs w:val="20"/>
          <w:lang w:eastAsia="en-GB"/>
        </w:rPr>
        <w:lastRenderedPageBreak/>
        <w:t>expenditures, additional administration and operating expenses, acquisition and retention of sufficiently skilled personnel to implement and operate the new systems, demands on management time, the introduction of errors or vulnerabilities and other risks and</w:t>
      </w:r>
      <w:r w:rsidR="007D7B13" w:rsidRPr="009B546D">
        <w:rPr>
          <w:rFonts w:eastAsia="Times New Roman" w:cstheme="minorHAnsi"/>
          <w:color w:val="000000"/>
          <w:szCs w:val="20"/>
          <w:lang w:eastAsia="en-GB"/>
        </w:rPr>
        <w:t xml:space="preserve"> </w:t>
      </w:r>
      <w:r w:rsidRPr="009B546D">
        <w:rPr>
          <w:rFonts w:eastAsia="Times New Roman" w:cstheme="minorHAnsi"/>
          <w:color w:val="000000"/>
          <w:szCs w:val="20"/>
          <w:lang w:eastAsia="en-GB"/>
        </w:rPr>
        <w:t>costs of delays or difficulties in transitioning to or integrating new systems into Alchemist Codes</w:t>
      </w:r>
      <w:r w:rsidR="004B08DD"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current systems. These implementations, modifications and upgrades may not result in productivity improvements at a level that outweighs the costs of implementation, or at all. Additionally, difficulties with implementing new technology systems, delays in Alchemist Codes</w:t>
      </w:r>
      <w:r w:rsidR="004B08DD"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timeline for planned improvements, significant system failures, or Alchemist Codes</w:t>
      </w:r>
      <w:r w:rsidR="00632D0F"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inability to successfully modify Alchemist Codes</w:t>
      </w:r>
      <w:r w:rsidR="00632D0F"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information systems to respond to changes in Alchemist Codes</w:t>
      </w:r>
      <w:r w:rsidR="004B746F"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business needs may cause disruptions in Alchemist Codes</w:t>
      </w:r>
      <w:r w:rsidR="00632D0F"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business operations and have a material adverse effect on Alchemist Codes</w:t>
      </w:r>
      <w:r w:rsidR="004B746F"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business, financial condition and results of operations.</w:t>
      </w:r>
    </w:p>
    <w:p w14:paraId="45980097" w14:textId="54E2ED91" w:rsidR="00E71C16" w:rsidRPr="009B546D" w:rsidRDefault="00E71C16" w:rsidP="00F432B9">
      <w:pPr>
        <w:pStyle w:val="NormalWeb"/>
        <w:spacing w:before="240" w:beforeAutospacing="0" w:after="0" w:afterAutospacing="0"/>
        <w:jc w:val="both"/>
        <w:rPr>
          <w:rFonts w:asciiTheme="minorHAnsi" w:hAnsiTheme="minorHAnsi" w:cstheme="minorHAnsi"/>
          <w:b/>
          <w:bCs/>
          <w:color w:val="000000"/>
          <w:sz w:val="20"/>
          <w:szCs w:val="20"/>
        </w:rPr>
      </w:pPr>
      <w:r w:rsidRPr="009B546D">
        <w:rPr>
          <w:rFonts w:asciiTheme="minorHAnsi" w:hAnsiTheme="minorHAnsi" w:cstheme="minorHAnsi"/>
          <w:b/>
          <w:bCs/>
          <w:color w:val="000000"/>
          <w:sz w:val="20"/>
          <w:szCs w:val="20"/>
        </w:rPr>
        <w:t xml:space="preserve">If </w:t>
      </w:r>
      <w:r w:rsidR="00AF0C4A" w:rsidRPr="009B546D">
        <w:rPr>
          <w:rFonts w:asciiTheme="minorHAnsi" w:hAnsiTheme="minorHAnsi" w:cstheme="minorHAnsi"/>
          <w:b/>
          <w:bCs/>
          <w:color w:val="000000"/>
          <w:sz w:val="20"/>
          <w:szCs w:val="20"/>
        </w:rPr>
        <w:t>Alchemist Codes</w:t>
      </w:r>
      <w:r w:rsidRPr="009B546D">
        <w:rPr>
          <w:rFonts w:asciiTheme="minorHAnsi" w:hAnsiTheme="minorHAnsi" w:cstheme="minorHAnsi"/>
          <w:b/>
          <w:bCs/>
          <w:color w:val="000000"/>
          <w:sz w:val="20"/>
          <w:szCs w:val="20"/>
        </w:rPr>
        <w:t xml:space="preserve"> fails to effectively manage its growth of its business, financial condition and operating results could be harmed.</w:t>
      </w:r>
    </w:p>
    <w:p w14:paraId="020BBCD6" w14:textId="5B328723" w:rsidR="005A5510" w:rsidRPr="009B546D" w:rsidRDefault="00E71C16"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 xml:space="preserve">To effectively manage its growth, </w:t>
      </w:r>
      <w:r w:rsidR="004B746F"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must continue to implement its operational plans and strategies, improve and expand its infrastructure of people and information systems, and expand, train and manage its employee base.</w:t>
      </w:r>
      <w:r w:rsidR="00A27CF2" w:rsidRPr="009B546D">
        <w:rPr>
          <w:rFonts w:asciiTheme="minorHAnsi" w:hAnsiTheme="minorHAnsi" w:cstheme="minorHAnsi"/>
          <w:color w:val="000000"/>
          <w:sz w:val="20"/>
          <w:szCs w:val="20"/>
        </w:rPr>
        <w:t xml:space="preserve"> </w:t>
      </w:r>
      <w:r w:rsidRPr="009B546D">
        <w:rPr>
          <w:rFonts w:asciiTheme="minorHAnsi" w:hAnsiTheme="minorHAnsi" w:cstheme="minorHAnsi"/>
          <w:color w:val="000000"/>
          <w:sz w:val="20"/>
          <w:szCs w:val="20"/>
        </w:rPr>
        <w:t xml:space="preserve">Further growth of operations, </w:t>
      </w:r>
      <w:r w:rsidR="0042490B" w:rsidRPr="009B546D">
        <w:rPr>
          <w:rFonts w:asciiTheme="minorHAnsi" w:hAnsiTheme="minorHAnsi" w:cstheme="minorHAnsi"/>
          <w:color w:val="000000"/>
          <w:sz w:val="20"/>
          <w:szCs w:val="20"/>
        </w:rPr>
        <w:t>affiliates, retailers, users</w:t>
      </w:r>
      <w:r w:rsidRPr="009B546D">
        <w:rPr>
          <w:rFonts w:asciiTheme="minorHAnsi" w:hAnsiTheme="minorHAnsi" w:cstheme="minorHAnsi"/>
          <w:color w:val="000000"/>
          <w:sz w:val="20"/>
          <w:szCs w:val="20"/>
        </w:rPr>
        <w:t xml:space="preserve">, information technology systems or internal controls and procedures may not be adequate to support the business operations. If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is unable to manage the growth of its organisation effectively, the business, financial condition and operating results may be adversely affected.</w:t>
      </w:r>
      <w:bookmarkStart w:id="5" w:name="_AEIOULastRenderedPageBreakAEIOU22"/>
      <w:bookmarkEnd w:id="5"/>
    </w:p>
    <w:p w14:paraId="139F0FC5" w14:textId="1E7A07E1" w:rsidR="00E71C16" w:rsidRPr="009B546D" w:rsidRDefault="00AF0C4A" w:rsidP="00F432B9">
      <w:pPr>
        <w:pStyle w:val="NormalWeb"/>
        <w:spacing w:before="360" w:beforeAutospacing="0" w:after="0" w:afterAutospacing="0"/>
        <w:rPr>
          <w:rFonts w:asciiTheme="minorHAnsi" w:hAnsiTheme="minorHAnsi" w:cstheme="minorHAnsi"/>
          <w:color w:val="000000"/>
          <w:sz w:val="20"/>
          <w:szCs w:val="20"/>
        </w:rPr>
      </w:pPr>
      <w:r w:rsidRPr="009B546D">
        <w:rPr>
          <w:rFonts w:asciiTheme="minorHAnsi" w:hAnsiTheme="minorHAnsi" w:cstheme="minorHAnsi"/>
          <w:b/>
          <w:bCs/>
          <w:color w:val="000000"/>
          <w:sz w:val="20"/>
          <w:szCs w:val="20"/>
        </w:rPr>
        <w:t>Alchemist Codes</w:t>
      </w:r>
      <w:r w:rsidR="00E71C16" w:rsidRPr="009B546D">
        <w:rPr>
          <w:rFonts w:asciiTheme="minorHAnsi" w:hAnsiTheme="minorHAnsi" w:cstheme="minorHAnsi"/>
          <w:b/>
          <w:bCs/>
          <w:color w:val="000000"/>
          <w:sz w:val="20"/>
          <w:szCs w:val="20"/>
        </w:rPr>
        <w:t xml:space="preserve"> faces competition, which may intensify. </w:t>
      </w:r>
    </w:p>
    <w:p w14:paraId="582CC046" w14:textId="4F08D630" w:rsidR="00E71C16" w:rsidRPr="009B546D" w:rsidRDefault="00E71C16" w:rsidP="00F432B9">
      <w:pPr>
        <w:pStyle w:val="NormalWeb"/>
        <w:spacing w:before="12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 xml:space="preserve">As the </w:t>
      </w:r>
      <w:r w:rsidR="00760CDF" w:rsidRPr="009B546D">
        <w:rPr>
          <w:rFonts w:asciiTheme="minorHAnsi" w:hAnsiTheme="minorHAnsi" w:cstheme="minorHAnsi"/>
          <w:color w:val="000000"/>
          <w:sz w:val="20"/>
          <w:szCs w:val="20"/>
        </w:rPr>
        <w:t>OCTAPLUS</w:t>
      </w:r>
      <w:r w:rsidRPr="009B546D">
        <w:rPr>
          <w:rFonts w:asciiTheme="minorHAnsi" w:hAnsiTheme="minorHAnsi" w:cstheme="minorHAnsi"/>
          <w:color w:val="000000"/>
          <w:sz w:val="20"/>
          <w:szCs w:val="20"/>
        </w:rPr>
        <w:t xml:space="preserve"> business model is relatively new in the markets in Malaysia, competition for market share may intensify significantly. Competitors may seek to intensify their investments and also expand their businesses in new markets which may dissipate the first move advantage of </w:t>
      </w:r>
      <w:r w:rsidR="00760CDF" w:rsidRPr="009B546D">
        <w:rPr>
          <w:rFonts w:asciiTheme="minorHAnsi" w:hAnsiTheme="minorHAnsi" w:cstheme="minorHAnsi"/>
          <w:color w:val="000000"/>
          <w:sz w:val="20"/>
          <w:szCs w:val="20"/>
        </w:rPr>
        <w:t>OCTAPLUS</w:t>
      </w:r>
      <w:r w:rsidRPr="009B546D">
        <w:rPr>
          <w:rFonts w:asciiTheme="minorHAnsi" w:hAnsiTheme="minorHAnsi" w:cstheme="minorHAnsi"/>
          <w:color w:val="000000"/>
          <w:sz w:val="20"/>
          <w:szCs w:val="20"/>
        </w:rPr>
        <w:t xml:space="preserve">. Competitors may copy </w:t>
      </w:r>
      <w:r w:rsidR="00AF0C4A" w:rsidRPr="009B546D">
        <w:rPr>
          <w:rFonts w:asciiTheme="minorHAnsi" w:hAnsiTheme="minorHAnsi" w:cstheme="minorHAnsi"/>
          <w:color w:val="000000"/>
          <w:sz w:val="20"/>
          <w:szCs w:val="20"/>
        </w:rPr>
        <w:t>Alchemist Codes</w:t>
      </w:r>
      <w:r w:rsidR="007619D9"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marketing campaigns, and such competitors may undertake more far reaching marketing events or adopt more aggressive pricing policies, all of which could adversely impact </w:t>
      </w:r>
      <w:r w:rsidR="00AF0C4A" w:rsidRPr="009B546D">
        <w:rPr>
          <w:rFonts w:asciiTheme="minorHAnsi" w:hAnsiTheme="minorHAnsi" w:cstheme="minorHAnsi"/>
          <w:color w:val="000000"/>
          <w:sz w:val="20"/>
          <w:szCs w:val="20"/>
        </w:rPr>
        <w:t>Alchemist Codes</w:t>
      </w:r>
      <w:r w:rsidR="00BC1211"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competitive position. In addition, new competitors may have greater access to financial, technological and marketing resources than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w:t>
      </w:r>
    </w:p>
    <w:p w14:paraId="47D910C0" w14:textId="4E688319" w:rsidR="00E71C16" w:rsidRDefault="00E71C16"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 xml:space="preserve">Competitive pressure from future competitors and </w:t>
      </w:r>
      <w:r w:rsidR="00AF0C4A" w:rsidRPr="009B546D">
        <w:rPr>
          <w:rFonts w:asciiTheme="minorHAnsi" w:hAnsiTheme="minorHAnsi" w:cstheme="minorHAnsi"/>
          <w:color w:val="000000"/>
          <w:sz w:val="20"/>
          <w:szCs w:val="20"/>
        </w:rPr>
        <w:t>Alchemist Codes</w:t>
      </w:r>
      <w:r w:rsidR="00BC1211"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failure to quickly and effectively adapt to a changing competitive landscape could adversely affect demand for </w:t>
      </w:r>
      <w:r w:rsidR="00760CDF" w:rsidRPr="009B546D">
        <w:rPr>
          <w:rFonts w:asciiTheme="minorHAnsi" w:hAnsiTheme="minorHAnsi" w:cstheme="minorHAnsi"/>
          <w:color w:val="000000"/>
          <w:sz w:val="20"/>
          <w:szCs w:val="20"/>
        </w:rPr>
        <w:t>OCTAPLUS</w:t>
      </w:r>
      <w:r w:rsidRPr="009B546D">
        <w:rPr>
          <w:rFonts w:asciiTheme="minorHAnsi" w:hAnsiTheme="minorHAnsi" w:cstheme="minorHAnsi"/>
          <w:color w:val="000000"/>
          <w:sz w:val="20"/>
          <w:szCs w:val="20"/>
        </w:rPr>
        <w:t xml:space="preserve"> and could thereby adversely affect growth. Given the early stage of the e-commerce industry in Malaysia, the share of goods sold and purchased via e-commerce may be small and loyalty of </w:t>
      </w:r>
      <w:r w:rsidR="0042490B" w:rsidRPr="009B546D">
        <w:rPr>
          <w:rFonts w:asciiTheme="minorHAnsi" w:hAnsiTheme="minorHAnsi" w:cstheme="minorHAnsi"/>
          <w:color w:val="000000"/>
          <w:sz w:val="20"/>
          <w:szCs w:val="20"/>
        </w:rPr>
        <w:t>affiliates, retailers and users</w:t>
      </w:r>
      <w:r w:rsidRPr="009B546D">
        <w:rPr>
          <w:rFonts w:asciiTheme="minorHAnsi" w:hAnsiTheme="minorHAnsi" w:cstheme="minorHAnsi"/>
          <w:color w:val="000000"/>
          <w:sz w:val="20"/>
          <w:szCs w:val="20"/>
        </w:rPr>
        <w:t xml:space="preserve"> may therefore be low. Future competitors may offer lower commissions to </w:t>
      </w:r>
      <w:r w:rsidR="0042490B" w:rsidRPr="009B546D">
        <w:rPr>
          <w:rFonts w:asciiTheme="minorHAnsi" w:hAnsiTheme="minorHAnsi" w:cstheme="minorHAnsi"/>
          <w:color w:val="000000"/>
          <w:sz w:val="20"/>
          <w:szCs w:val="20"/>
        </w:rPr>
        <w:t xml:space="preserve">affiliates and retailers </w:t>
      </w:r>
      <w:r w:rsidRPr="009B546D">
        <w:rPr>
          <w:rFonts w:asciiTheme="minorHAnsi" w:hAnsiTheme="minorHAnsi" w:cstheme="minorHAnsi"/>
          <w:color w:val="000000"/>
          <w:sz w:val="20"/>
          <w:szCs w:val="20"/>
        </w:rPr>
        <w:t xml:space="preserve">than </w:t>
      </w:r>
      <w:r w:rsidR="00760CDF" w:rsidRPr="009B546D">
        <w:rPr>
          <w:rFonts w:asciiTheme="minorHAnsi" w:hAnsiTheme="minorHAnsi" w:cstheme="minorHAnsi"/>
          <w:color w:val="000000"/>
          <w:sz w:val="20"/>
          <w:szCs w:val="20"/>
        </w:rPr>
        <w:t>OCTAPLUS</w:t>
      </w:r>
      <w:r w:rsidRPr="009B546D">
        <w:rPr>
          <w:rFonts w:asciiTheme="minorHAnsi" w:hAnsiTheme="minorHAnsi" w:cstheme="minorHAnsi"/>
          <w:color w:val="000000"/>
          <w:sz w:val="20"/>
          <w:szCs w:val="20"/>
        </w:rPr>
        <w:t xml:space="preserve"> does, and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may be forced to lower commissions in order to maintain market share. If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fails to compete effectively, it may lead to loss of </w:t>
      </w:r>
      <w:r w:rsidR="0042490B" w:rsidRPr="009B546D">
        <w:rPr>
          <w:rFonts w:asciiTheme="minorHAnsi" w:hAnsiTheme="minorHAnsi" w:cstheme="minorHAnsi"/>
          <w:color w:val="000000"/>
          <w:sz w:val="20"/>
          <w:szCs w:val="20"/>
        </w:rPr>
        <w:t xml:space="preserve">affiliates, retailers and users </w:t>
      </w:r>
      <w:r w:rsidRPr="009B546D">
        <w:rPr>
          <w:rFonts w:asciiTheme="minorHAnsi" w:hAnsiTheme="minorHAnsi" w:cstheme="minorHAnsi"/>
          <w:color w:val="000000"/>
          <w:sz w:val="20"/>
          <w:szCs w:val="20"/>
        </w:rPr>
        <w:t>and fail</w:t>
      </w:r>
      <w:r w:rsidR="004B746F" w:rsidRPr="009B546D">
        <w:rPr>
          <w:rFonts w:asciiTheme="minorHAnsi" w:hAnsiTheme="minorHAnsi" w:cstheme="minorHAnsi"/>
          <w:color w:val="000000"/>
          <w:sz w:val="20"/>
          <w:szCs w:val="20"/>
        </w:rPr>
        <w:t>ure</w:t>
      </w:r>
      <w:r w:rsidRPr="009B546D">
        <w:rPr>
          <w:rFonts w:asciiTheme="minorHAnsi" w:hAnsiTheme="minorHAnsi" w:cstheme="minorHAnsi"/>
          <w:color w:val="000000"/>
          <w:sz w:val="20"/>
          <w:szCs w:val="20"/>
        </w:rPr>
        <w:t xml:space="preserve"> to attract new </w:t>
      </w:r>
      <w:r w:rsidR="0042490B" w:rsidRPr="009B546D">
        <w:rPr>
          <w:rFonts w:asciiTheme="minorHAnsi" w:hAnsiTheme="minorHAnsi" w:cstheme="minorHAnsi"/>
          <w:color w:val="000000"/>
          <w:sz w:val="20"/>
          <w:szCs w:val="20"/>
        </w:rPr>
        <w:t xml:space="preserve">affiliates, retailers and users </w:t>
      </w:r>
      <w:r w:rsidRPr="009B546D">
        <w:rPr>
          <w:rFonts w:asciiTheme="minorHAnsi" w:hAnsiTheme="minorHAnsi" w:cstheme="minorHAnsi"/>
          <w:color w:val="000000"/>
          <w:sz w:val="20"/>
          <w:szCs w:val="20"/>
        </w:rPr>
        <w:t>which could have a material adverse effect on the business, financial condition, results of operations and prospects.</w:t>
      </w:r>
    </w:p>
    <w:p w14:paraId="108CDED9" w14:textId="77777777" w:rsidR="0016413B" w:rsidRPr="009B546D" w:rsidRDefault="0016413B" w:rsidP="00F432B9">
      <w:pPr>
        <w:spacing w:before="240" w:after="0" w:line="240" w:lineRule="auto"/>
        <w:rPr>
          <w:rFonts w:eastAsia="Times New Roman" w:cstheme="minorHAnsi"/>
          <w:b/>
          <w:bCs/>
          <w:color w:val="000000"/>
          <w:szCs w:val="20"/>
          <w:lang w:eastAsia="en-GB"/>
        </w:rPr>
      </w:pPr>
      <w:r w:rsidRPr="009B546D">
        <w:rPr>
          <w:rFonts w:eastAsia="Times New Roman" w:cstheme="minorHAnsi"/>
          <w:b/>
          <w:bCs/>
          <w:color w:val="000000"/>
          <w:szCs w:val="20"/>
          <w:lang w:eastAsia="en-GB"/>
        </w:rPr>
        <w:t>Alchemist Codes does not have the history with Artificial Intelligence or Data Mining solutions or models in the context of e-commerce necessary to accurately predict its success in attracting new affiliates, retailers and users.</w:t>
      </w:r>
    </w:p>
    <w:p w14:paraId="4894D3C4" w14:textId="3C772368" w:rsidR="0016413B" w:rsidRPr="009B546D" w:rsidRDefault="0016413B" w:rsidP="00F432B9">
      <w:pPr>
        <w:pStyle w:val="NormalWeb"/>
        <w:spacing w:before="12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Alchemist Codes ha</w:t>
      </w:r>
      <w:r w:rsidR="004B746F" w:rsidRPr="009B546D">
        <w:rPr>
          <w:rFonts w:asciiTheme="minorHAnsi" w:hAnsiTheme="minorHAnsi" w:cstheme="minorHAnsi"/>
          <w:color w:val="000000"/>
          <w:sz w:val="20"/>
          <w:szCs w:val="20"/>
        </w:rPr>
        <w:t>s</w:t>
      </w:r>
      <w:r w:rsidRPr="009B546D">
        <w:rPr>
          <w:rFonts w:asciiTheme="minorHAnsi" w:hAnsiTheme="minorHAnsi" w:cstheme="minorHAnsi"/>
          <w:color w:val="000000"/>
          <w:sz w:val="20"/>
          <w:szCs w:val="20"/>
        </w:rPr>
        <w:t xml:space="preserve"> limited experience in mobilising Artificial Intelligence and Data Mining solutions or models in an e-commerce context. Given the limited experience with successfully implementing Artificial Intelligence and Data Mining solutions or models, the rollout of OCTAPLUS may result in the business not being profitable or not gaining market share or</w:t>
      </w:r>
      <w:r w:rsidR="004B746F" w:rsidRPr="009B546D">
        <w:rPr>
          <w:rFonts w:asciiTheme="minorHAnsi" w:hAnsiTheme="minorHAnsi" w:cstheme="minorHAnsi"/>
          <w:color w:val="000000"/>
          <w:sz w:val="20"/>
          <w:szCs w:val="20"/>
        </w:rPr>
        <w:t xml:space="preserve"> being</w:t>
      </w:r>
      <w:r w:rsidRPr="009B546D">
        <w:rPr>
          <w:rFonts w:asciiTheme="minorHAnsi" w:hAnsiTheme="minorHAnsi" w:cstheme="minorHAnsi"/>
          <w:color w:val="000000"/>
          <w:sz w:val="20"/>
          <w:szCs w:val="20"/>
        </w:rPr>
        <w:t xml:space="preserve"> unable to be scaled with its growth strategy. As competitors introduce new solutions that compete, Alchemist Codes may face significant competition, and </w:t>
      </w:r>
      <w:r w:rsidR="004B746F" w:rsidRPr="009B546D">
        <w:rPr>
          <w:rFonts w:asciiTheme="minorHAnsi" w:hAnsiTheme="minorHAnsi" w:cstheme="minorHAnsi"/>
          <w:color w:val="000000"/>
          <w:sz w:val="20"/>
          <w:szCs w:val="20"/>
        </w:rPr>
        <w:t xml:space="preserve">be </w:t>
      </w:r>
      <w:r w:rsidRPr="009B546D">
        <w:rPr>
          <w:rFonts w:asciiTheme="minorHAnsi" w:hAnsiTheme="minorHAnsi" w:cstheme="minorHAnsi"/>
          <w:color w:val="000000"/>
          <w:sz w:val="20"/>
          <w:szCs w:val="20"/>
        </w:rPr>
        <w:t xml:space="preserve">unable to attract new affiliates, retailers or users at the same price or based on the same solutions or models. As a result, in the future we may be required to reduce prices, which could adversely affect revenue, gross profit, profitability, financial position and cash flows. </w:t>
      </w:r>
    </w:p>
    <w:p w14:paraId="4D2040E1" w14:textId="77777777" w:rsidR="004712BD" w:rsidRDefault="004712BD" w:rsidP="00F432B9">
      <w:pPr>
        <w:spacing w:before="360" w:after="0" w:line="240" w:lineRule="auto"/>
        <w:rPr>
          <w:rFonts w:eastAsia="Times New Roman" w:cstheme="minorHAnsi"/>
          <w:b/>
          <w:bCs/>
          <w:color w:val="000000"/>
          <w:szCs w:val="20"/>
          <w:lang w:eastAsia="en-GB"/>
        </w:rPr>
      </w:pPr>
    </w:p>
    <w:p w14:paraId="5470DE9F" w14:textId="4D623F39" w:rsidR="00DE7643" w:rsidRPr="009B546D" w:rsidRDefault="00DE7643" w:rsidP="00F432B9">
      <w:pPr>
        <w:spacing w:before="360" w:after="0" w:line="240" w:lineRule="auto"/>
        <w:rPr>
          <w:rFonts w:eastAsia="Times New Roman" w:cstheme="minorHAnsi"/>
          <w:color w:val="000000"/>
          <w:szCs w:val="20"/>
          <w:lang w:eastAsia="en-GB"/>
        </w:rPr>
      </w:pPr>
      <w:r w:rsidRPr="009B546D">
        <w:rPr>
          <w:rFonts w:eastAsia="Times New Roman" w:cstheme="minorHAnsi"/>
          <w:b/>
          <w:bCs/>
          <w:color w:val="000000"/>
          <w:szCs w:val="20"/>
          <w:lang w:eastAsia="en-GB"/>
        </w:rPr>
        <w:lastRenderedPageBreak/>
        <w:t>Alchemist Codes’ business model depends on the continued growth of e-commerce in Malaysia</w:t>
      </w:r>
      <w:r w:rsidR="00B0049E" w:rsidRPr="009B546D">
        <w:rPr>
          <w:rFonts w:eastAsia="Times New Roman" w:cstheme="minorHAnsi"/>
          <w:b/>
          <w:bCs/>
          <w:color w:val="000000"/>
          <w:szCs w:val="20"/>
          <w:lang w:eastAsia="en-GB"/>
        </w:rPr>
        <w:t xml:space="preserve"> </w:t>
      </w:r>
      <w:r w:rsidRPr="009B546D">
        <w:rPr>
          <w:rFonts w:eastAsia="Times New Roman" w:cstheme="minorHAnsi"/>
          <w:b/>
          <w:bCs/>
          <w:color w:val="000000"/>
          <w:szCs w:val="20"/>
          <w:lang w:eastAsia="en-GB"/>
        </w:rPr>
        <w:t>and Alchemist Codes’ ability to capture market share</w:t>
      </w:r>
    </w:p>
    <w:p w14:paraId="09196A02" w14:textId="626D90E7" w:rsidR="00DE7643" w:rsidRPr="009B546D" w:rsidRDefault="00DE7643" w:rsidP="00F432B9">
      <w:pPr>
        <w:spacing w:before="120" w:after="0" w:line="240" w:lineRule="auto"/>
        <w:rPr>
          <w:rFonts w:eastAsia="Times New Roman" w:cstheme="minorHAnsi"/>
          <w:color w:val="000000"/>
          <w:szCs w:val="20"/>
          <w:lang w:eastAsia="en-GB"/>
        </w:rPr>
      </w:pPr>
      <w:r w:rsidRPr="009B546D">
        <w:rPr>
          <w:rFonts w:eastAsia="Times New Roman" w:cstheme="minorHAnsi"/>
          <w:color w:val="000000"/>
          <w:szCs w:val="20"/>
          <w:lang w:eastAsia="en-GB"/>
        </w:rPr>
        <w:t>Alchemist Codes</w:t>
      </w:r>
      <w:r w:rsidR="00B0049E"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business model relies on the continued growth of the internet as a platform for online consumer transactions in Malaysia and the markets in which it intends to expand into in the future. Rapid growth in the use of and interest in the internet, particularly as a way to conduct commerce, is a recent phenomenon, and there can be no assurance that this acceptance and use will continue to exist or develop. To grow its user base successfully, consumers who have historically used traditional means of commerce to purchase goods and services must accept and use new ways of conducting business and exchanging information and funds online. </w:t>
      </w:r>
    </w:p>
    <w:p w14:paraId="5B793847" w14:textId="19B7752F" w:rsidR="00DE7643" w:rsidRPr="009B546D" w:rsidRDefault="00DE7643" w:rsidP="00F432B9">
      <w:pPr>
        <w:spacing w:before="240" w:after="0" w:line="240" w:lineRule="auto"/>
        <w:rPr>
          <w:rFonts w:eastAsia="Times New Roman" w:cstheme="minorHAnsi"/>
          <w:color w:val="000000"/>
          <w:szCs w:val="20"/>
          <w:lang w:eastAsia="en-GB"/>
        </w:rPr>
      </w:pPr>
      <w:r w:rsidRPr="009B546D">
        <w:rPr>
          <w:rFonts w:eastAsia="Times New Roman" w:cstheme="minorHAnsi"/>
          <w:color w:val="000000"/>
          <w:szCs w:val="20"/>
          <w:lang w:eastAsia="en-GB"/>
        </w:rPr>
        <w:t>The continued growth of e-commerce will depend on a number of factors, some of which are beyond Alchemist Codes</w:t>
      </w:r>
      <w:r w:rsidR="00B0049E"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control, including the establishment and extension of high speed broadband access at consumer friendly cost, the popularity of smartphones and other mobile devices, the cost of internet access and mobile data, the trust and confidence level of e-commerce sellers and consumers, and changes in demographics and consumer tastes and preferences. Even if internet penetration rates increase, physical retail or face-to-face transactions may remain the predominant form of commerce in Malaysia and the markets in which Alchemist Codes intends to expand into due to, among other factors, a lack of trust and confidence in e-commerce offerings. There is no guarantee that consumers will adapt to the use of the internet for consumer transactions on the scale that Alchemist Codes anticipates. There is also no guarantee that Alchemist Codes and the OCTAPLUS application can capture the market share of existing or future e-commerce market. A failure of e-commerce to continue to grow in Malaysia and the markets in which Alchemist Codes intends to expand into could have a material adverse effect on our business, financial condition, results of operations and prospects. </w:t>
      </w:r>
    </w:p>
    <w:p w14:paraId="0B59DAEC" w14:textId="3CB71630" w:rsidR="00585568" w:rsidRPr="009B546D" w:rsidRDefault="00585568" w:rsidP="00F432B9">
      <w:pPr>
        <w:pStyle w:val="NormalWeb"/>
        <w:spacing w:before="240" w:beforeAutospacing="0" w:after="0" w:afterAutospacing="0"/>
        <w:jc w:val="both"/>
        <w:rPr>
          <w:rFonts w:asciiTheme="minorHAnsi" w:hAnsiTheme="minorHAnsi" w:cstheme="minorHAnsi"/>
          <w:b/>
          <w:bCs/>
          <w:color w:val="000000"/>
          <w:sz w:val="22"/>
          <w:szCs w:val="22"/>
        </w:rPr>
      </w:pPr>
      <w:r w:rsidRPr="009B546D">
        <w:rPr>
          <w:rFonts w:asciiTheme="minorHAnsi" w:hAnsiTheme="minorHAnsi" w:cstheme="minorHAnsi"/>
          <w:b/>
          <w:bCs/>
          <w:color w:val="000000"/>
          <w:sz w:val="22"/>
          <w:szCs w:val="22"/>
        </w:rPr>
        <w:t xml:space="preserve">Risks relating to the </w:t>
      </w:r>
      <w:r w:rsidR="00F6272F" w:rsidRPr="009B546D">
        <w:rPr>
          <w:rFonts w:asciiTheme="minorHAnsi" w:hAnsiTheme="minorHAnsi" w:cstheme="minorHAnsi"/>
          <w:b/>
          <w:bCs/>
          <w:color w:val="000000"/>
          <w:sz w:val="22"/>
          <w:szCs w:val="22"/>
        </w:rPr>
        <w:t>Enlarged Group and its business operations</w:t>
      </w:r>
    </w:p>
    <w:p w14:paraId="54407739" w14:textId="0BD92E0C" w:rsidR="00585568" w:rsidRPr="009B546D" w:rsidRDefault="00585568" w:rsidP="00F432B9">
      <w:pPr>
        <w:pStyle w:val="NormalWeb"/>
        <w:spacing w:before="240" w:beforeAutospacing="0" w:after="0" w:afterAutospacing="0"/>
        <w:jc w:val="both"/>
        <w:rPr>
          <w:rFonts w:asciiTheme="minorHAnsi" w:hAnsiTheme="minorHAnsi" w:cstheme="minorHAnsi"/>
          <w:b/>
          <w:bCs/>
          <w:color w:val="000000"/>
          <w:sz w:val="20"/>
          <w:szCs w:val="20"/>
        </w:rPr>
      </w:pPr>
      <w:r w:rsidRPr="009B546D">
        <w:rPr>
          <w:rFonts w:asciiTheme="minorHAnsi" w:hAnsiTheme="minorHAnsi" w:cstheme="minorHAnsi"/>
          <w:b/>
          <w:bCs/>
          <w:color w:val="000000"/>
          <w:sz w:val="20"/>
          <w:szCs w:val="20"/>
        </w:rPr>
        <w:t>If Alchemist Codes fail</w:t>
      </w:r>
      <w:r w:rsidR="00AC6E53" w:rsidRPr="009B546D">
        <w:rPr>
          <w:rFonts w:asciiTheme="minorHAnsi" w:hAnsiTheme="minorHAnsi" w:cstheme="minorHAnsi"/>
          <w:b/>
          <w:bCs/>
          <w:color w:val="000000"/>
          <w:sz w:val="20"/>
          <w:szCs w:val="20"/>
        </w:rPr>
        <w:t>s</w:t>
      </w:r>
      <w:r w:rsidRPr="009B546D">
        <w:rPr>
          <w:rFonts w:asciiTheme="minorHAnsi" w:hAnsiTheme="minorHAnsi" w:cstheme="minorHAnsi"/>
          <w:b/>
          <w:bCs/>
          <w:color w:val="000000"/>
          <w:sz w:val="20"/>
          <w:szCs w:val="20"/>
        </w:rPr>
        <w:t xml:space="preserve"> to attract and retain key personnel, or effectively manage succession, Alchemist Codes</w:t>
      </w:r>
      <w:r w:rsidR="00AC6E53" w:rsidRPr="009B546D">
        <w:rPr>
          <w:rFonts w:asciiTheme="minorHAnsi" w:hAnsiTheme="minorHAnsi" w:cstheme="minorHAnsi"/>
          <w:b/>
          <w:bCs/>
          <w:color w:val="000000"/>
          <w:sz w:val="20"/>
          <w:szCs w:val="20"/>
        </w:rPr>
        <w:t>’</w:t>
      </w:r>
      <w:r w:rsidRPr="009B546D">
        <w:rPr>
          <w:rFonts w:asciiTheme="minorHAnsi" w:hAnsiTheme="minorHAnsi" w:cstheme="minorHAnsi"/>
          <w:b/>
          <w:bCs/>
          <w:color w:val="000000"/>
          <w:sz w:val="20"/>
          <w:szCs w:val="20"/>
        </w:rPr>
        <w:t xml:space="preserve"> business, financial condition and operating results could be adversely affected.</w:t>
      </w:r>
    </w:p>
    <w:p w14:paraId="00F864D2" w14:textId="0AF560CF" w:rsidR="00585568" w:rsidRPr="009B546D" w:rsidRDefault="00585568"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Alchemist Codes</w:t>
      </w:r>
      <w:r w:rsidR="00AC6E53"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success to date, including its build out of proprietary technologies, has been dependent on Alchemist Codes</w:t>
      </w:r>
      <w:r w:rsidR="0073573A"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executive team of founders and their knowledge on e-commerce, data science, software engineering, marketing, software design and so on. Competition for staff with technical expertise in Malaysia is strong, and Alchemist Codes cannot be sure that it will be able to attract and retain a sufficient number of qualified personnel in the future, or that the compensation costs of doing so will not adversely affect Alchemist Codes</w:t>
      </w:r>
      <w:r w:rsidR="0073573A"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operating results. If Alchemist Codes </w:t>
      </w:r>
      <w:r w:rsidR="0073573A" w:rsidRPr="009B546D">
        <w:rPr>
          <w:rFonts w:asciiTheme="minorHAnsi" w:hAnsiTheme="minorHAnsi" w:cstheme="minorHAnsi"/>
          <w:color w:val="000000"/>
          <w:sz w:val="20"/>
          <w:szCs w:val="20"/>
        </w:rPr>
        <w:t>is</w:t>
      </w:r>
      <w:r w:rsidRPr="009B546D">
        <w:rPr>
          <w:rFonts w:asciiTheme="minorHAnsi" w:hAnsiTheme="minorHAnsi" w:cstheme="minorHAnsi"/>
          <w:color w:val="000000"/>
          <w:sz w:val="20"/>
          <w:szCs w:val="20"/>
        </w:rPr>
        <w:t xml:space="preserve"> unable to retain, attract and motivate talented employees with the appropriate technical skills at cost-effective compensation levels, or if changes to Alchemist Codes</w:t>
      </w:r>
      <w:r w:rsidR="0073573A"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business adversely affect morale or retention, Alchemist Codes may not achieve Alchemist Codes</w:t>
      </w:r>
      <w:r w:rsidR="0073573A"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objectives and Alchemist Codes</w:t>
      </w:r>
      <w:r w:rsidR="0073573A"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business and operating results could be adversely affected. In addition, the loss of one or more of Alchemist Codes</w:t>
      </w:r>
      <w:r w:rsidR="0073573A"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key personnel or the inability to promptly identify a suitable successor to a key role could have an adverse effect on business. In particular, Alchemist Codes</w:t>
      </w:r>
      <w:r w:rsidR="00BC535F"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executive team of founders ha</w:t>
      </w:r>
      <w:r w:rsidR="00BC535F" w:rsidRPr="009B546D">
        <w:rPr>
          <w:rFonts w:asciiTheme="minorHAnsi" w:hAnsiTheme="minorHAnsi" w:cstheme="minorHAnsi"/>
          <w:color w:val="000000"/>
          <w:sz w:val="20"/>
          <w:szCs w:val="20"/>
        </w:rPr>
        <w:t>s</w:t>
      </w:r>
      <w:r w:rsidRPr="009B546D">
        <w:rPr>
          <w:rFonts w:asciiTheme="minorHAnsi" w:hAnsiTheme="minorHAnsi" w:cstheme="minorHAnsi"/>
          <w:color w:val="000000"/>
          <w:sz w:val="20"/>
          <w:szCs w:val="20"/>
        </w:rPr>
        <w:t xml:space="preserve"> a unique and valuable experience leading Alchemist Codes from its inception through</w:t>
      </w:r>
      <w:r w:rsidR="00426EC1" w:rsidRPr="009B546D">
        <w:rPr>
          <w:rFonts w:asciiTheme="minorHAnsi" w:hAnsiTheme="minorHAnsi" w:cstheme="minorHAnsi"/>
          <w:color w:val="000000"/>
          <w:sz w:val="20"/>
          <w:szCs w:val="20"/>
        </w:rPr>
        <w:t xml:space="preserve"> to</w:t>
      </w:r>
      <w:r w:rsidRPr="009B546D">
        <w:rPr>
          <w:rFonts w:asciiTheme="minorHAnsi" w:hAnsiTheme="minorHAnsi" w:cstheme="minorHAnsi"/>
          <w:color w:val="000000"/>
          <w:sz w:val="20"/>
          <w:szCs w:val="20"/>
        </w:rPr>
        <w:t xml:space="preserve"> today. If any of them were to depart or otherwise reduce their focus on Alchemist Codes</w:t>
      </w:r>
      <w:r w:rsidR="00426EC1"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company, Alchemist Codes</w:t>
      </w:r>
      <w:r w:rsidR="00426EC1"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business may be disrupted.</w:t>
      </w:r>
    </w:p>
    <w:p w14:paraId="2D0174AB" w14:textId="2E1739EF" w:rsidR="00AD2416" w:rsidRPr="009B546D" w:rsidRDefault="00AD2416" w:rsidP="00F432B9">
      <w:pPr>
        <w:pStyle w:val="NormalWeb"/>
        <w:spacing w:before="240" w:beforeAutospacing="0" w:after="0" w:afterAutospacing="0"/>
        <w:jc w:val="both"/>
        <w:rPr>
          <w:rFonts w:asciiTheme="minorHAnsi" w:hAnsiTheme="minorHAnsi" w:cstheme="minorHAnsi"/>
          <w:b/>
          <w:bCs/>
          <w:color w:val="000000"/>
          <w:sz w:val="20"/>
          <w:szCs w:val="20"/>
        </w:rPr>
      </w:pPr>
      <w:r w:rsidRPr="009B546D">
        <w:rPr>
          <w:rFonts w:asciiTheme="minorHAnsi" w:hAnsiTheme="minorHAnsi" w:cstheme="minorHAnsi"/>
          <w:b/>
          <w:bCs/>
          <w:color w:val="000000"/>
          <w:sz w:val="20"/>
          <w:szCs w:val="20"/>
        </w:rPr>
        <w:t>Operating as a public company will require substantial costs and will require substantial management attention. In addition, Alchemist Codes</w:t>
      </w:r>
      <w:r w:rsidR="00E2529D" w:rsidRPr="009B546D">
        <w:rPr>
          <w:rFonts w:asciiTheme="minorHAnsi" w:hAnsiTheme="minorHAnsi" w:cstheme="minorHAnsi"/>
          <w:b/>
          <w:bCs/>
          <w:color w:val="000000"/>
          <w:sz w:val="20"/>
          <w:szCs w:val="20"/>
        </w:rPr>
        <w:t>’</w:t>
      </w:r>
      <w:r w:rsidRPr="009B546D">
        <w:rPr>
          <w:rFonts w:asciiTheme="minorHAnsi" w:hAnsiTheme="minorHAnsi" w:cstheme="minorHAnsi"/>
          <w:b/>
          <w:bCs/>
          <w:color w:val="000000"/>
          <w:sz w:val="20"/>
          <w:szCs w:val="20"/>
        </w:rPr>
        <w:t xml:space="preserve"> executive team have limited experience managing a public company.</w:t>
      </w:r>
    </w:p>
    <w:p w14:paraId="2BE594AC" w14:textId="77777777" w:rsidR="00AD2416" w:rsidRPr="009B546D" w:rsidRDefault="00AD2416"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As a public company, Alchemist Codes will incur substantial legal, accounting and other expenses that Alchemist Codes has not incurred as a private company. For example, Alchemist Codes will be subject to the rules, regulations and reporting requirements of the FCA and LSE and the applicable requirements of the UK Corporate Governance Code. Alchemist Codes will need to establish and maintain effective disclosure and financial controls and make changes to Alchemist Codes’ corporate governance practices. Alchemist Codes expects that compliance with these requirements will increase legal and financial compliance costs and will make some activities more time-consuming.</w:t>
      </w:r>
    </w:p>
    <w:p w14:paraId="767621F4" w14:textId="677FA38A" w:rsidR="00AD2416" w:rsidRPr="009B546D" w:rsidRDefault="00AD2416"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Most of Alchemist Codes’ management and other personnel have little experience managing a public company and preparing public filings. In addition, Alchemist Codes expect</w:t>
      </w:r>
      <w:r w:rsidR="00A06C52" w:rsidRPr="009B546D">
        <w:rPr>
          <w:rFonts w:asciiTheme="minorHAnsi" w:hAnsiTheme="minorHAnsi" w:cstheme="minorHAnsi"/>
          <w:color w:val="000000"/>
          <w:sz w:val="20"/>
          <w:szCs w:val="20"/>
        </w:rPr>
        <w:t>s</w:t>
      </w:r>
      <w:r w:rsidRPr="009B546D">
        <w:rPr>
          <w:rFonts w:asciiTheme="minorHAnsi" w:hAnsiTheme="minorHAnsi" w:cstheme="minorHAnsi"/>
          <w:color w:val="000000"/>
          <w:sz w:val="20"/>
          <w:szCs w:val="20"/>
        </w:rPr>
        <w:t xml:space="preserve"> that management and other personnel will need to divert attention from other business matters to devote substantial time to the reporting and other requirements of being a public company. In particular, Alchemist Codes expects to incur significant expense and </w:t>
      </w:r>
      <w:r w:rsidRPr="009B546D">
        <w:rPr>
          <w:rFonts w:asciiTheme="minorHAnsi" w:hAnsiTheme="minorHAnsi" w:cstheme="minorHAnsi"/>
          <w:color w:val="000000"/>
          <w:sz w:val="20"/>
          <w:szCs w:val="20"/>
        </w:rPr>
        <w:lastRenderedPageBreak/>
        <w:t>devote substantial management effort. Alchemist Codes may need to hire additional accounting and financial staff with appropriate public company experience and technical accounting knowledge.</w:t>
      </w:r>
    </w:p>
    <w:p w14:paraId="1C432F53" w14:textId="028F9049" w:rsidR="00AB1054" w:rsidRPr="009B546D" w:rsidRDefault="00AB1054" w:rsidP="00F432B9">
      <w:pPr>
        <w:spacing w:before="240" w:after="0" w:line="240" w:lineRule="auto"/>
        <w:rPr>
          <w:rFonts w:eastAsia="Times New Roman" w:cstheme="minorHAnsi"/>
          <w:b/>
          <w:bCs/>
          <w:color w:val="000000"/>
          <w:szCs w:val="20"/>
          <w:lang w:eastAsia="en-GB"/>
        </w:rPr>
      </w:pPr>
      <w:r w:rsidRPr="009B546D">
        <w:rPr>
          <w:rFonts w:eastAsia="Times New Roman" w:cstheme="minorHAnsi"/>
          <w:b/>
          <w:bCs/>
          <w:color w:val="000000"/>
          <w:szCs w:val="20"/>
          <w:lang w:eastAsia="en-GB"/>
        </w:rPr>
        <w:t>Alchemist Codes</w:t>
      </w:r>
      <w:r w:rsidR="00A06C52" w:rsidRPr="009B546D">
        <w:rPr>
          <w:rFonts w:eastAsia="Times New Roman" w:cstheme="minorHAnsi"/>
          <w:b/>
          <w:bCs/>
          <w:color w:val="000000"/>
          <w:szCs w:val="20"/>
          <w:lang w:eastAsia="en-GB"/>
        </w:rPr>
        <w:t>’</w:t>
      </w:r>
      <w:r w:rsidRPr="009B546D">
        <w:rPr>
          <w:rFonts w:eastAsia="Times New Roman" w:cstheme="minorHAnsi"/>
          <w:b/>
          <w:bCs/>
          <w:color w:val="000000"/>
          <w:szCs w:val="20"/>
          <w:lang w:eastAsia="en-GB"/>
        </w:rPr>
        <w:t xml:space="preserve"> business may be adversely affected if Alchemist Codes </w:t>
      </w:r>
      <w:r w:rsidR="00A06C52" w:rsidRPr="009B546D">
        <w:rPr>
          <w:rFonts w:eastAsia="Times New Roman" w:cstheme="minorHAnsi"/>
          <w:b/>
          <w:bCs/>
          <w:color w:val="000000"/>
          <w:szCs w:val="20"/>
          <w:lang w:eastAsia="en-GB"/>
        </w:rPr>
        <w:t>is</w:t>
      </w:r>
      <w:r w:rsidRPr="009B546D">
        <w:rPr>
          <w:rFonts w:eastAsia="Times New Roman" w:cstheme="minorHAnsi"/>
          <w:b/>
          <w:bCs/>
          <w:color w:val="000000"/>
          <w:szCs w:val="20"/>
          <w:lang w:eastAsia="en-GB"/>
        </w:rPr>
        <w:t xml:space="preserve"> unable to provide users </w:t>
      </w:r>
      <w:r w:rsidR="00A06C52" w:rsidRPr="009B546D">
        <w:rPr>
          <w:rFonts w:eastAsia="Times New Roman" w:cstheme="minorHAnsi"/>
          <w:b/>
          <w:bCs/>
          <w:color w:val="000000"/>
          <w:szCs w:val="20"/>
          <w:lang w:eastAsia="en-GB"/>
        </w:rPr>
        <w:t xml:space="preserve">with </w:t>
      </w:r>
      <w:r w:rsidRPr="009B546D">
        <w:rPr>
          <w:rFonts w:eastAsia="Times New Roman" w:cstheme="minorHAnsi"/>
          <w:b/>
          <w:bCs/>
          <w:color w:val="000000"/>
          <w:szCs w:val="20"/>
          <w:lang w:eastAsia="en-GB"/>
        </w:rPr>
        <w:t>a cost-effective platform that is able to respond and adapt to rapid changes in technology.</w:t>
      </w:r>
    </w:p>
    <w:p w14:paraId="587B4E4E" w14:textId="77777777" w:rsidR="00AB1054" w:rsidRPr="009B546D" w:rsidRDefault="00AB1054" w:rsidP="00F432B9">
      <w:pPr>
        <w:spacing w:before="240" w:after="0" w:line="240" w:lineRule="auto"/>
        <w:rPr>
          <w:rFonts w:eastAsia="Times New Roman" w:cstheme="minorHAnsi"/>
          <w:color w:val="000000"/>
          <w:szCs w:val="20"/>
          <w:lang w:eastAsia="en-GB"/>
        </w:rPr>
      </w:pPr>
      <w:r w:rsidRPr="009B546D">
        <w:rPr>
          <w:rFonts w:eastAsia="Times New Roman" w:cstheme="minorHAnsi"/>
          <w:color w:val="000000"/>
          <w:szCs w:val="20"/>
          <w:lang w:eastAsia="en-GB"/>
        </w:rPr>
        <w:t>The number of people who access the Internet through devices other than personal computers, including mobile phones, smartphones, handheld computers such as notebooks and tablets, video game consoles, and television set-top devices, has increased dramatically in the past few years. The smaller screen size, functionality, and memory associated with some alternative devices may make the use of OCTAPLUS and purchasing products more difficult. The versions of OCTAPLUS developed for these devices may not be compelling to users. In addition, it is time consuming and costly to keep pace with rapidly changing and continuously evolving technology. Alchemist Codes cannot be certain that OCTAPLUS mobile applications or OCTAPLUS mobile-optimized sites will be successful in the future.</w:t>
      </w:r>
    </w:p>
    <w:p w14:paraId="0D77E74C" w14:textId="13765F46" w:rsidR="00AB1054" w:rsidRPr="009B546D" w:rsidRDefault="00AB1054" w:rsidP="00F432B9">
      <w:pPr>
        <w:spacing w:before="240" w:after="0" w:line="240" w:lineRule="auto"/>
        <w:rPr>
          <w:rFonts w:eastAsia="Times New Roman" w:cstheme="minorHAnsi"/>
          <w:color w:val="000000"/>
          <w:szCs w:val="20"/>
          <w:lang w:eastAsia="en-GB"/>
        </w:rPr>
      </w:pPr>
      <w:r w:rsidRPr="009B546D">
        <w:rPr>
          <w:rFonts w:eastAsia="Times New Roman" w:cstheme="minorHAnsi"/>
          <w:color w:val="000000"/>
          <w:szCs w:val="20"/>
          <w:lang w:eastAsia="en-GB"/>
        </w:rPr>
        <w:t xml:space="preserve">As existing mobile devices and platforms evolve and new mobile devices and platforms are released, it is difficult to predict the problems Alchemist Codes may encounter in adjusting and developing applications for changed and alternative devices and platforms, and Alchemist Codes may need to devote significant resources to the creation, support and maintenance of such applications. If Alchemist Codes </w:t>
      </w:r>
      <w:r w:rsidR="00A06C52" w:rsidRPr="009B546D">
        <w:rPr>
          <w:rFonts w:eastAsia="Times New Roman" w:cstheme="minorHAnsi"/>
          <w:color w:val="000000"/>
          <w:szCs w:val="20"/>
          <w:lang w:eastAsia="en-GB"/>
        </w:rPr>
        <w:t xml:space="preserve">is </w:t>
      </w:r>
      <w:r w:rsidRPr="009B546D">
        <w:rPr>
          <w:rFonts w:eastAsia="Times New Roman" w:cstheme="minorHAnsi"/>
          <w:color w:val="000000"/>
          <w:szCs w:val="20"/>
          <w:lang w:eastAsia="en-GB"/>
        </w:rPr>
        <w:t>unable to attract users</w:t>
      </w:r>
      <w:r w:rsidR="00A06C52" w:rsidRPr="009B546D">
        <w:rPr>
          <w:rFonts w:eastAsia="Times New Roman" w:cstheme="minorHAnsi"/>
          <w:color w:val="000000"/>
          <w:szCs w:val="20"/>
          <w:lang w:eastAsia="en-GB"/>
        </w:rPr>
        <w:t xml:space="preserve"> of</w:t>
      </w:r>
      <w:r w:rsidRPr="009B546D">
        <w:rPr>
          <w:rFonts w:eastAsia="Times New Roman" w:cstheme="minorHAnsi"/>
          <w:color w:val="000000"/>
          <w:szCs w:val="20"/>
          <w:lang w:eastAsia="en-GB"/>
        </w:rPr>
        <w:t xml:space="preserve"> OCTAPLUS through these devices or </w:t>
      </w:r>
      <w:r w:rsidR="00A06C52" w:rsidRPr="009B546D">
        <w:rPr>
          <w:rFonts w:eastAsia="Times New Roman" w:cstheme="minorHAnsi"/>
          <w:color w:val="000000"/>
          <w:szCs w:val="20"/>
          <w:lang w:eastAsia="en-GB"/>
        </w:rPr>
        <w:t>is</w:t>
      </w:r>
      <w:r w:rsidRPr="009B546D">
        <w:rPr>
          <w:rFonts w:eastAsia="Times New Roman" w:cstheme="minorHAnsi"/>
          <w:color w:val="000000"/>
          <w:szCs w:val="20"/>
          <w:lang w:eastAsia="en-GB"/>
        </w:rPr>
        <w:t xml:space="preserve"> slow to develop a version of OCTAPLUS that is more compatible with alternative devices or a mobile application, Alchemist Codes may fail to capture a significant share of users in the fashion retail market, which could materially and adversely affect Alchemist Codes</w:t>
      </w:r>
      <w:r w:rsidR="00A06C52"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business.</w:t>
      </w:r>
    </w:p>
    <w:p w14:paraId="4BF103BC" w14:textId="1C392395" w:rsidR="00AB1054" w:rsidRPr="009B546D" w:rsidRDefault="00AB1054" w:rsidP="00F432B9">
      <w:pPr>
        <w:spacing w:before="240" w:after="0" w:line="240" w:lineRule="auto"/>
        <w:rPr>
          <w:rFonts w:eastAsia="Times New Roman" w:cstheme="minorHAnsi"/>
          <w:color w:val="000000"/>
          <w:szCs w:val="20"/>
          <w:lang w:eastAsia="en-GB"/>
        </w:rPr>
      </w:pPr>
      <w:r w:rsidRPr="009B546D">
        <w:rPr>
          <w:rFonts w:eastAsia="Times New Roman" w:cstheme="minorHAnsi"/>
          <w:color w:val="000000"/>
          <w:szCs w:val="20"/>
          <w:lang w:eastAsia="en-GB"/>
        </w:rPr>
        <w:t>Further, Alchemist Codes intends to continually upgrade existing technologies and business applications, and Alchemist Codes may be required to implement new technologies or business applications in the future. The implementation of upgrades and changes requires significant investments. Alchemist Codes</w:t>
      </w:r>
      <w:r w:rsidR="00A06C52"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results of operations may be affected by the timing, effectiveness and costs associated with the successful implementation of any upgrades or changes to Alchemist Codes</w:t>
      </w:r>
      <w:r w:rsidR="00A06C52"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systems and infrastructure. In the event that it is more difficult for users to buy products on their mobile devices, or if users choose not to buy products on their mobile devices or to use mobile products that do not offer access to OCTAPLUS, user growth could be harmed and the business, financial condition and operating results may be materially adversely affected.</w:t>
      </w:r>
    </w:p>
    <w:p w14:paraId="628CE6A7" w14:textId="4D3146CE" w:rsidR="00F6272F" w:rsidRPr="009B546D" w:rsidRDefault="00F6272F" w:rsidP="00F432B9">
      <w:pPr>
        <w:pStyle w:val="NormalWeb"/>
        <w:spacing w:before="240" w:beforeAutospacing="0" w:after="0" w:afterAutospacing="0"/>
        <w:jc w:val="both"/>
        <w:rPr>
          <w:rFonts w:asciiTheme="minorHAnsi" w:hAnsiTheme="minorHAnsi" w:cstheme="minorHAnsi"/>
          <w:b/>
          <w:bCs/>
          <w:color w:val="000000"/>
          <w:sz w:val="20"/>
          <w:szCs w:val="20"/>
        </w:rPr>
      </w:pPr>
      <w:r w:rsidRPr="009B546D">
        <w:rPr>
          <w:rFonts w:asciiTheme="minorHAnsi" w:hAnsiTheme="minorHAnsi" w:cstheme="minorHAnsi"/>
          <w:b/>
          <w:bCs/>
          <w:color w:val="000000"/>
          <w:sz w:val="20"/>
          <w:szCs w:val="20"/>
        </w:rPr>
        <w:t>Increases in labour costs, including wages, could adversely affect Alchemist Codes’ business, financial condition and results of operations.</w:t>
      </w:r>
    </w:p>
    <w:p w14:paraId="71FADBAA" w14:textId="35578F39" w:rsidR="00EB5352" w:rsidRPr="009B546D" w:rsidRDefault="00F6272F"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 xml:space="preserve">Labour is a significant portion of Alchemist Codes’ cost structure and is subject to many external factors, including unemployment levels, prevailing wage rates, minimum wage laws, health insurance costs and other insurance costs and changes in employment and labour legislation or other workplace regulation. Increases in labour costs could force Alchemist Codes to increase prices, which could adversely impact Alchemist Codes’ sales. If competitive pressures or other factors prevent Alchemist Codes from offsetting increased labour costs by increases in prices, Alchemist Codes’ profitability may decline and could have a material adverse effect on the business, financial condition and results of operations. In particular, the technological job market in Malaysia, where Alchemist Codes’ principal offices </w:t>
      </w:r>
      <w:r w:rsidR="00BD7C02" w:rsidRPr="009B546D">
        <w:rPr>
          <w:rFonts w:asciiTheme="minorHAnsi" w:hAnsiTheme="minorHAnsi" w:cstheme="minorHAnsi"/>
          <w:color w:val="000000"/>
          <w:sz w:val="20"/>
          <w:szCs w:val="20"/>
        </w:rPr>
        <w:t xml:space="preserve">are as </w:t>
      </w:r>
      <w:r w:rsidRPr="009B546D">
        <w:rPr>
          <w:rFonts w:asciiTheme="minorHAnsi" w:hAnsiTheme="minorHAnsi" w:cstheme="minorHAnsi"/>
          <w:color w:val="000000"/>
          <w:sz w:val="20"/>
          <w:szCs w:val="20"/>
        </w:rPr>
        <w:t>well as the majority of Alchemist Codes</w:t>
      </w:r>
      <w:r w:rsidR="00A06C52"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employees are located, is highly competitive due to the lack of supply of workers with adequate technical skills and relevant job experience in the Information Technology sector.</w:t>
      </w:r>
    </w:p>
    <w:p w14:paraId="60C0A56F" w14:textId="3E71ED47" w:rsidR="00B1713A" w:rsidRPr="009B546D" w:rsidRDefault="00B1713A" w:rsidP="00F432B9">
      <w:pPr>
        <w:pStyle w:val="NormalWeb"/>
        <w:spacing w:before="240" w:beforeAutospacing="0" w:after="0" w:afterAutospacing="0"/>
        <w:jc w:val="both"/>
        <w:rPr>
          <w:rFonts w:asciiTheme="minorHAnsi" w:hAnsiTheme="minorHAnsi" w:cstheme="minorHAnsi"/>
          <w:b/>
          <w:bCs/>
          <w:color w:val="000000"/>
          <w:sz w:val="22"/>
          <w:szCs w:val="22"/>
        </w:rPr>
      </w:pPr>
      <w:r w:rsidRPr="009B546D">
        <w:rPr>
          <w:rFonts w:asciiTheme="minorHAnsi" w:hAnsiTheme="minorHAnsi" w:cstheme="minorHAnsi"/>
          <w:b/>
          <w:bCs/>
          <w:color w:val="000000"/>
          <w:sz w:val="22"/>
          <w:szCs w:val="22"/>
        </w:rPr>
        <w:t xml:space="preserve">Risks relating to the development </w:t>
      </w:r>
      <w:r w:rsidR="006E6E54" w:rsidRPr="009B546D">
        <w:rPr>
          <w:rFonts w:asciiTheme="minorHAnsi" w:hAnsiTheme="minorHAnsi" w:cstheme="minorHAnsi"/>
          <w:b/>
          <w:bCs/>
          <w:color w:val="000000"/>
          <w:sz w:val="22"/>
          <w:szCs w:val="22"/>
        </w:rPr>
        <w:t xml:space="preserve">and the use of the </w:t>
      </w:r>
      <w:r w:rsidRPr="009B546D">
        <w:rPr>
          <w:rFonts w:asciiTheme="minorHAnsi" w:hAnsiTheme="minorHAnsi" w:cstheme="minorHAnsi"/>
          <w:b/>
          <w:bCs/>
          <w:color w:val="000000"/>
          <w:sz w:val="22"/>
          <w:szCs w:val="22"/>
        </w:rPr>
        <w:t>OCTAPLUS</w:t>
      </w:r>
      <w:r w:rsidR="006E6E54" w:rsidRPr="009B546D">
        <w:rPr>
          <w:rFonts w:asciiTheme="minorHAnsi" w:hAnsiTheme="minorHAnsi" w:cstheme="minorHAnsi"/>
          <w:b/>
          <w:bCs/>
          <w:color w:val="000000"/>
          <w:sz w:val="22"/>
          <w:szCs w:val="22"/>
        </w:rPr>
        <w:t xml:space="preserve"> application</w:t>
      </w:r>
    </w:p>
    <w:p w14:paraId="22885676" w14:textId="3F31CDE8" w:rsidR="00E71C16" w:rsidRPr="009B546D" w:rsidRDefault="00E71C16" w:rsidP="00F432B9">
      <w:pPr>
        <w:pStyle w:val="NormalWeb"/>
        <w:spacing w:before="240" w:beforeAutospacing="0" w:after="0" w:afterAutospacing="0"/>
        <w:jc w:val="both"/>
        <w:rPr>
          <w:rFonts w:asciiTheme="minorHAnsi" w:hAnsiTheme="minorHAnsi" w:cstheme="minorHAnsi"/>
          <w:b/>
          <w:bCs/>
          <w:color w:val="000000"/>
          <w:sz w:val="20"/>
          <w:szCs w:val="20"/>
        </w:rPr>
      </w:pPr>
      <w:r w:rsidRPr="009B546D">
        <w:rPr>
          <w:rFonts w:asciiTheme="minorHAnsi" w:hAnsiTheme="minorHAnsi" w:cstheme="minorHAnsi"/>
          <w:b/>
          <w:bCs/>
          <w:color w:val="000000"/>
          <w:sz w:val="20"/>
          <w:szCs w:val="20"/>
        </w:rPr>
        <w:t xml:space="preserve">The </w:t>
      </w:r>
      <w:r w:rsidR="00760CDF" w:rsidRPr="009B546D">
        <w:rPr>
          <w:rFonts w:asciiTheme="minorHAnsi" w:hAnsiTheme="minorHAnsi" w:cstheme="minorHAnsi"/>
          <w:b/>
          <w:bCs/>
          <w:color w:val="000000"/>
          <w:sz w:val="20"/>
          <w:szCs w:val="20"/>
        </w:rPr>
        <w:t>OCTAPLUS</w:t>
      </w:r>
      <w:r w:rsidRPr="009B546D">
        <w:rPr>
          <w:rFonts w:asciiTheme="minorHAnsi" w:hAnsiTheme="minorHAnsi" w:cstheme="minorHAnsi"/>
          <w:b/>
          <w:bCs/>
          <w:color w:val="000000"/>
          <w:sz w:val="20"/>
          <w:szCs w:val="20"/>
        </w:rPr>
        <w:t xml:space="preserve"> </w:t>
      </w:r>
      <w:r w:rsidR="00D55F24" w:rsidRPr="009B546D">
        <w:rPr>
          <w:rFonts w:asciiTheme="minorHAnsi" w:hAnsiTheme="minorHAnsi" w:cstheme="minorHAnsi"/>
          <w:b/>
          <w:bCs/>
          <w:color w:val="000000"/>
          <w:sz w:val="20"/>
          <w:szCs w:val="20"/>
        </w:rPr>
        <w:t>application</w:t>
      </w:r>
      <w:r w:rsidRPr="009B546D">
        <w:rPr>
          <w:rFonts w:asciiTheme="minorHAnsi" w:hAnsiTheme="minorHAnsi" w:cstheme="minorHAnsi"/>
          <w:b/>
          <w:bCs/>
          <w:color w:val="000000"/>
          <w:sz w:val="20"/>
          <w:szCs w:val="20"/>
        </w:rPr>
        <w:t xml:space="preserve"> depends on its ability to build a strong community of </w:t>
      </w:r>
      <w:r w:rsidR="0042490B" w:rsidRPr="009B546D">
        <w:rPr>
          <w:rFonts w:asciiTheme="minorHAnsi" w:hAnsiTheme="minorHAnsi" w:cstheme="minorHAnsi"/>
          <w:b/>
          <w:bCs/>
          <w:color w:val="000000"/>
          <w:sz w:val="20"/>
          <w:szCs w:val="20"/>
        </w:rPr>
        <w:t>affiliates, retailers</w:t>
      </w:r>
      <w:r w:rsidRPr="009B546D">
        <w:rPr>
          <w:rFonts w:asciiTheme="minorHAnsi" w:hAnsiTheme="minorHAnsi" w:cstheme="minorHAnsi"/>
          <w:b/>
          <w:bCs/>
          <w:color w:val="000000"/>
          <w:sz w:val="20"/>
          <w:szCs w:val="20"/>
        </w:rPr>
        <w:t xml:space="preserve">, engaged users and influencers. </w:t>
      </w:r>
      <w:r w:rsidR="00AF0C4A" w:rsidRPr="009B546D">
        <w:rPr>
          <w:rFonts w:asciiTheme="minorHAnsi" w:hAnsiTheme="minorHAnsi" w:cstheme="minorHAnsi"/>
          <w:b/>
          <w:bCs/>
          <w:color w:val="000000"/>
          <w:sz w:val="20"/>
          <w:szCs w:val="20"/>
        </w:rPr>
        <w:t>Alchemist Codes</w:t>
      </w:r>
      <w:r w:rsidRPr="009B546D">
        <w:rPr>
          <w:rFonts w:asciiTheme="minorHAnsi" w:hAnsiTheme="minorHAnsi" w:cstheme="minorHAnsi"/>
          <w:b/>
          <w:bCs/>
          <w:color w:val="000000"/>
          <w:sz w:val="20"/>
          <w:szCs w:val="20"/>
        </w:rPr>
        <w:t xml:space="preserve"> may not be able to build</w:t>
      </w:r>
      <w:r w:rsidR="00897B16" w:rsidRPr="009B546D">
        <w:rPr>
          <w:rFonts w:asciiTheme="minorHAnsi" w:hAnsiTheme="minorHAnsi" w:cstheme="minorHAnsi"/>
          <w:b/>
          <w:bCs/>
          <w:color w:val="000000"/>
          <w:sz w:val="20"/>
          <w:szCs w:val="20"/>
        </w:rPr>
        <w:t xml:space="preserve"> an</w:t>
      </w:r>
      <w:r w:rsidRPr="009B546D">
        <w:rPr>
          <w:rFonts w:asciiTheme="minorHAnsi" w:hAnsiTheme="minorHAnsi" w:cstheme="minorHAnsi"/>
          <w:b/>
          <w:bCs/>
          <w:color w:val="000000"/>
          <w:sz w:val="20"/>
          <w:szCs w:val="20"/>
        </w:rPr>
        <w:t xml:space="preserve"> </w:t>
      </w:r>
      <w:r w:rsidR="00423F79" w:rsidRPr="009B546D">
        <w:rPr>
          <w:rFonts w:asciiTheme="minorHAnsi" w:hAnsiTheme="minorHAnsi" w:cstheme="minorHAnsi"/>
          <w:b/>
          <w:bCs/>
          <w:color w:val="000000"/>
          <w:sz w:val="20"/>
          <w:szCs w:val="20"/>
        </w:rPr>
        <w:t>affiliate, retailer, and user</w:t>
      </w:r>
      <w:r w:rsidRPr="009B546D">
        <w:rPr>
          <w:rFonts w:asciiTheme="minorHAnsi" w:hAnsiTheme="minorHAnsi" w:cstheme="minorHAnsi"/>
          <w:b/>
          <w:bCs/>
          <w:color w:val="000000"/>
          <w:sz w:val="20"/>
          <w:szCs w:val="20"/>
        </w:rPr>
        <w:t xml:space="preserve"> community if it receives user complaints, negative publicity or otherwise fail</w:t>
      </w:r>
      <w:r w:rsidR="00F111E3" w:rsidRPr="009B546D">
        <w:rPr>
          <w:rFonts w:asciiTheme="minorHAnsi" w:hAnsiTheme="minorHAnsi" w:cstheme="minorHAnsi"/>
          <w:b/>
          <w:bCs/>
          <w:color w:val="000000"/>
          <w:sz w:val="20"/>
          <w:szCs w:val="20"/>
        </w:rPr>
        <w:t>s</w:t>
      </w:r>
      <w:r w:rsidRPr="009B546D">
        <w:rPr>
          <w:rFonts w:asciiTheme="minorHAnsi" w:hAnsiTheme="minorHAnsi" w:cstheme="minorHAnsi"/>
          <w:b/>
          <w:bCs/>
          <w:color w:val="000000"/>
          <w:sz w:val="20"/>
          <w:szCs w:val="20"/>
        </w:rPr>
        <w:t xml:space="preserve"> to live up to users' expectations, which could materially adversely affect </w:t>
      </w:r>
      <w:r w:rsidR="001D6C1D" w:rsidRPr="009B546D">
        <w:rPr>
          <w:rFonts w:asciiTheme="minorHAnsi" w:hAnsiTheme="minorHAnsi" w:cstheme="minorHAnsi"/>
          <w:b/>
          <w:bCs/>
          <w:color w:val="000000"/>
          <w:sz w:val="20"/>
          <w:szCs w:val="20"/>
        </w:rPr>
        <w:t>its</w:t>
      </w:r>
      <w:r w:rsidRPr="009B546D">
        <w:rPr>
          <w:rFonts w:asciiTheme="minorHAnsi" w:hAnsiTheme="minorHAnsi" w:cstheme="minorHAnsi"/>
          <w:b/>
          <w:bCs/>
          <w:color w:val="000000"/>
          <w:sz w:val="20"/>
          <w:szCs w:val="20"/>
        </w:rPr>
        <w:t xml:space="preserve"> business, operating results and growth prospects.</w:t>
      </w:r>
    </w:p>
    <w:p w14:paraId="63699FAB" w14:textId="79B35032" w:rsidR="00E71C16" w:rsidRPr="009B546D" w:rsidRDefault="00AF0C4A"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Alchemist Codes</w:t>
      </w:r>
      <w:r w:rsidR="00F111E3" w:rsidRPr="009B546D">
        <w:rPr>
          <w:rFonts w:asciiTheme="minorHAnsi" w:hAnsiTheme="minorHAnsi" w:cstheme="minorHAnsi"/>
          <w:color w:val="000000"/>
          <w:sz w:val="20"/>
          <w:szCs w:val="20"/>
        </w:rPr>
        <w:t>’</w:t>
      </w:r>
      <w:r w:rsidR="00E71C16" w:rsidRPr="009B546D">
        <w:rPr>
          <w:rFonts w:asciiTheme="minorHAnsi" w:hAnsiTheme="minorHAnsi" w:cstheme="minorHAnsi"/>
          <w:color w:val="000000"/>
          <w:sz w:val="20"/>
          <w:szCs w:val="20"/>
        </w:rPr>
        <w:t xml:space="preserve"> ability to identify new brands and maintain and enhance relationships with them will be critical to expanding its base of users. A significant portion of its users' experience within </w:t>
      </w:r>
      <w:r w:rsidR="00760CDF" w:rsidRPr="009B546D">
        <w:rPr>
          <w:rFonts w:asciiTheme="minorHAnsi" w:hAnsiTheme="minorHAnsi" w:cstheme="minorHAnsi"/>
          <w:color w:val="000000"/>
          <w:sz w:val="20"/>
          <w:szCs w:val="20"/>
        </w:rPr>
        <w:t>OCTAPLUS</w:t>
      </w:r>
      <w:r w:rsidR="00E71C16" w:rsidRPr="009B546D">
        <w:rPr>
          <w:rFonts w:asciiTheme="minorHAnsi" w:hAnsiTheme="minorHAnsi" w:cstheme="minorHAnsi"/>
          <w:color w:val="000000"/>
          <w:sz w:val="20"/>
          <w:szCs w:val="20"/>
        </w:rPr>
        <w:t xml:space="preserve"> will depend on third parties outside of its control, including </w:t>
      </w:r>
      <w:r w:rsidR="002A4FC8" w:rsidRPr="009B546D">
        <w:rPr>
          <w:rFonts w:asciiTheme="minorHAnsi" w:hAnsiTheme="minorHAnsi" w:cstheme="minorHAnsi"/>
          <w:color w:val="000000"/>
          <w:sz w:val="20"/>
          <w:szCs w:val="20"/>
        </w:rPr>
        <w:t>retailers</w:t>
      </w:r>
      <w:r w:rsidR="00E71C16" w:rsidRPr="009B546D">
        <w:rPr>
          <w:rFonts w:asciiTheme="minorHAnsi" w:hAnsiTheme="minorHAnsi" w:cstheme="minorHAnsi"/>
          <w:color w:val="000000"/>
          <w:sz w:val="20"/>
          <w:szCs w:val="20"/>
        </w:rPr>
        <w:t xml:space="preserve"> and logistics </w:t>
      </w:r>
      <w:r w:rsidR="00D438DF" w:rsidRPr="009B546D">
        <w:rPr>
          <w:rFonts w:asciiTheme="minorHAnsi" w:hAnsiTheme="minorHAnsi" w:cstheme="minorHAnsi"/>
          <w:color w:val="000000"/>
          <w:sz w:val="20"/>
          <w:szCs w:val="20"/>
        </w:rPr>
        <w:t>providers. If</w:t>
      </w:r>
      <w:r w:rsidR="00C22941" w:rsidRPr="009B546D">
        <w:rPr>
          <w:rFonts w:asciiTheme="minorHAnsi" w:hAnsiTheme="minorHAnsi" w:cstheme="minorHAnsi"/>
          <w:color w:val="000000"/>
          <w:sz w:val="20"/>
          <w:szCs w:val="20"/>
        </w:rPr>
        <w:t xml:space="preserve"> these third-party </w:t>
      </w:r>
      <w:r w:rsidR="002A4FC8" w:rsidRPr="009B546D">
        <w:rPr>
          <w:rFonts w:asciiTheme="minorHAnsi" w:hAnsiTheme="minorHAnsi" w:cstheme="minorHAnsi"/>
          <w:color w:val="000000"/>
          <w:sz w:val="20"/>
          <w:szCs w:val="20"/>
        </w:rPr>
        <w:t>retailers</w:t>
      </w:r>
      <w:r w:rsidR="00C22941" w:rsidRPr="009B546D">
        <w:rPr>
          <w:rFonts w:asciiTheme="minorHAnsi" w:hAnsiTheme="minorHAnsi" w:cstheme="minorHAnsi"/>
          <w:color w:val="000000"/>
          <w:sz w:val="20"/>
          <w:szCs w:val="20"/>
        </w:rPr>
        <w:t xml:space="preserve"> do not meet</w:t>
      </w:r>
      <w:r w:rsidR="003531E7" w:rsidRPr="009B546D">
        <w:rPr>
          <w:rFonts w:asciiTheme="minorHAnsi" w:hAnsiTheme="minorHAnsi" w:cstheme="minorHAnsi"/>
          <w:color w:val="000000"/>
          <w:sz w:val="20"/>
          <w:szCs w:val="20"/>
        </w:rPr>
        <w:t xml:space="preserve"> its users’ expectations, this could have a detrimental effect on the reputation of </w:t>
      </w:r>
      <w:r w:rsidR="00F943BF" w:rsidRPr="009B546D">
        <w:rPr>
          <w:rFonts w:asciiTheme="minorHAnsi" w:hAnsiTheme="minorHAnsi" w:cstheme="minorHAnsi"/>
          <w:color w:val="000000"/>
          <w:sz w:val="20"/>
          <w:szCs w:val="20"/>
        </w:rPr>
        <w:t>Alchemist Codes.</w:t>
      </w:r>
      <w:r w:rsidR="000265F2" w:rsidRPr="009B546D">
        <w:rPr>
          <w:rFonts w:asciiTheme="minorHAnsi" w:hAnsiTheme="minorHAnsi" w:cstheme="minorHAnsi"/>
          <w:color w:val="000000"/>
          <w:sz w:val="20"/>
          <w:szCs w:val="20"/>
        </w:rPr>
        <w:t xml:space="preserve"> </w:t>
      </w:r>
      <w:r w:rsidR="00E71C16" w:rsidRPr="009B546D">
        <w:rPr>
          <w:rFonts w:asciiTheme="minorHAnsi" w:hAnsiTheme="minorHAnsi" w:cstheme="minorHAnsi"/>
          <w:color w:val="000000"/>
          <w:sz w:val="20"/>
          <w:szCs w:val="20"/>
        </w:rPr>
        <w:t xml:space="preserve">In </w:t>
      </w:r>
      <w:r w:rsidR="00E71C16" w:rsidRPr="009B546D">
        <w:rPr>
          <w:rFonts w:asciiTheme="minorHAnsi" w:hAnsiTheme="minorHAnsi" w:cstheme="minorHAnsi"/>
          <w:color w:val="000000"/>
          <w:sz w:val="20"/>
          <w:szCs w:val="20"/>
        </w:rPr>
        <w:lastRenderedPageBreak/>
        <w:t xml:space="preserve">addition, maintaining and enhancing relationships with third-party </w:t>
      </w:r>
      <w:r w:rsidR="002A4FC8" w:rsidRPr="009B546D">
        <w:rPr>
          <w:rFonts w:asciiTheme="minorHAnsi" w:hAnsiTheme="minorHAnsi" w:cstheme="minorHAnsi"/>
          <w:color w:val="000000"/>
          <w:sz w:val="20"/>
          <w:szCs w:val="20"/>
        </w:rPr>
        <w:t>retailers</w:t>
      </w:r>
      <w:r w:rsidR="00E71C16" w:rsidRPr="009B546D">
        <w:rPr>
          <w:rFonts w:asciiTheme="minorHAnsi" w:hAnsiTheme="minorHAnsi" w:cstheme="minorHAnsi"/>
          <w:color w:val="000000"/>
          <w:sz w:val="20"/>
          <w:szCs w:val="20"/>
        </w:rPr>
        <w:t xml:space="preserve"> may require substantial investments in marketing efforts, and these investments may not be successful. Also, if </w:t>
      </w:r>
      <w:r w:rsidRPr="009B546D">
        <w:rPr>
          <w:rFonts w:asciiTheme="minorHAnsi" w:hAnsiTheme="minorHAnsi" w:cstheme="minorHAnsi"/>
          <w:color w:val="000000"/>
          <w:sz w:val="20"/>
          <w:szCs w:val="20"/>
        </w:rPr>
        <w:t>Alchemist Codes</w:t>
      </w:r>
      <w:r w:rsidR="00E71C16" w:rsidRPr="009B546D">
        <w:rPr>
          <w:rFonts w:asciiTheme="minorHAnsi" w:hAnsiTheme="minorHAnsi" w:cstheme="minorHAnsi"/>
          <w:color w:val="000000"/>
          <w:sz w:val="20"/>
          <w:szCs w:val="20"/>
        </w:rPr>
        <w:t xml:space="preserve"> fails to promote and maintain its own brand, the business, operating results and financial condition may be materially adversely affected. As the market becomes increasingly competitive, maintaining and enhancing the competitive position may become increasingly difficult and expensive. Maintaining and enhancing the competition position will depend largely on the ability to provide high quality services to users and a reliable, trustworthy and profitable sales channel to the </w:t>
      </w:r>
      <w:r w:rsidR="002A4FC8" w:rsidRPr="009B546D">
        <w:rPr>
          <w:rFonts w:asciiTheme="minorHAnsi" w:hAnsiTheme="minorHAnsi" w:cstheme="minorHAnsi"/>
          <w:color w:val="000000"/>
          <w:sz w:val="20"/>
          <w:szCs w:val="20"/>
        </w:rPr>
        <w:t>retailers</w:t>
      </w:r>
      <w:r w:rsidR="00E71C16" w:rsidRPr="009B546D">
        <w:rPr>
          <w:rFonts w:asciiTheme="minorHAnsi" w:hAnsiTheme="minorHAnsi" w:cstheme="minorHAnsi"/>
          <w:color w:val="000000"/>
          <w:sz w:val="20"/>
          <w:szCs w:val="20"/>
        </w:rPr>
        <w:t>, which may not be done successfully.</w:t>
      </w:r>
    </w:p>
    <w:p w14:paraId="5852B0F3" w14:textId="4C163F98" w:rsidR="00E71C16" w:rsidRPr="009B546D" w:rsidRDefault="00E71C16"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 xml:space="preserve">User complaints or negative publicity about </w:t>
      </w:r>
      <w:r w:rsidR="00760CDF" w:rsidRPr="009B546D">
        <w:rPr>
          <w:rFonts w:asciiTheme="minorHAnsi" w:hAnsiTheme="minorHAnsi" w:cstheme="minorHAnsi"/>
          <w:color w:val="000000"/>
          <w:sz w:val="20"/>
          <w:szCs w:val="20"/>
        </w:rPr>
        <w:t>OCTAPLUS</w:t>
      </w:r>
      <w:r w:rsidRPr="009B546D">
        <w:rPr>
          <w:rFonts w:asciiTheme="minorHAnsi" w:hAnsiTheme="minorHAnsi" w:cstheme="minorHAnsi"/>
          <w:color w:val="000000"/>
          <w:sz w:val="20"/>
          <w:szCs w:val="20"/>
        </w:rPr>
        <w:t xml:space="preserve">, products, product delivery times, user data handling and security practices or user support, especially on blogs, social media websites and social chats, could rapidly and severely diminish user usage of the </w:t>
      </w:r>
      <w:r w:rsidR="00D55F24" w:rsidRPr="009B546D">
        <w:rPr>
          <w:rFonts w:asciiTheme="minorHAnsi" w:hAnsiTheme="minorHAnsi" w:cstheme="minorHAnsi"/>
          <w:color w:val="000000"/>
          <w:sz w:val="20"/>
          <w:szCs w:val="20"/>
        </w:rPr>
        <w:t>applications</w:t>
      </w:r>
      <w:r w:rsidRPr="009B546D">
        <w:rPr>
          <w:rFonts w:asciiTheme="minorHAnsi" w:hAnsiTheme="minorHAnsi" w:cstheme="minorHAnsi"/>
          <w:color w:val="000000"/>
          <w:sz w:val="20"/>
          <w:szCs w:val="20"/>
        </w:rPr>
        <w:t xml:space="preserve"> and </w:t>
      </w:r>
      <w:r w:rsidR="00423F79" w:rsidRPr="009B546D">
        <w:rPr>
          <w:rFonts w:asciiTheme="minorHAnsi" w:hAnsiTheme="minorHAnsi" w:cstheme="minorHAnsi"/>
          <w:color w:val="000000"/>
          <w:sz w:val="20"/>
          <w:szCs w:val="20"/>
        </w:rPr>
        <w:t>affiliates</w:t>
      </w:r>
      <w:r w:rsidR="004C08B2" w:rsidRPr="009B546D">
        <w:rPr>
          <w:rFonts w:asciiTheme="minorHAnsi" w:hAnsiTheme="minorHAnsi" w:cstheme="minorHAnsi"/>
          <w:color w:val="000000"/>
          <w:sz w:val="20"/>
          <w:szCs w:val="20"/>
        </w:rPr>
        <w:t>’</w:t>
      </w:r>
      <w:r w:rsidR="00423F79" w:rsidRPr="009B546D">
        <w:rPr>
          <w:rFonts w:asciiTheme="minorHAnsi" w:hAnsiTheme="minorHAnsi" w:cstheme="minorHAnsi"/>
          <w:color w:val="000000"/>
          <w:sz w:val="20"/>
          <w:szCs w:val="20"/>
        </w:rPr>
        <w:t>, retailers</w:t>
      </w:r>
      <w:r w:rsidR="004C08B2" w:rsidRPr="009B546D">
        <w:rPr>
          <w:rFonts w:asciiTheme="minorHAnsi" w:hAnsiTheme="minorHAnsi" w:cstheme="minorHAnsi"/>
          <w:color w:val="000000"/>
          <w:sz w:val="20"/>
          <w:szCs w:val="20"/>
        </w:rPr>
        <w:t>’</w:t>
      </w:r>
      <w:r w:rsidR="00423F79" w:rsidRPr="009B546D">
        <w:rPr>
          <w:rFonts w:asciiTheme="minorHAnsi" w:hAnsiTheme="minorHAnsi" w:cstheme="minorHAnsi"/>
          <w:color w:val="000000"/>
          <w:sz w:val="20"/>
          <w:szCs w:val="20"/>
        </w:rPr>
        <w:t xml:space="preserve"> and users</w:t>
      </w:r>
      <w:r w:rsidR="004C08B2" w:rsidRPr="009B546D">
        <w:rPr>
          <w:rFonts w:asciiTheme="minorHAnsi" w:hAnsiTheme="minorHAnsi" w:cstheme="minorHAnsi"/>
          <w:color w:val="000000"/>
          <w:sz w:val="20"/>
          <w:szCs w:val="20"/>
        </w:rPr>
        <w:t>’</w:t>
      </w:r>
      <w:r w:rsidR="00423F79" w:rsidRPr="009B546D">
        <w:rPr>
          <w:rFonts w:asciiTheme="minorHAnsi" w:hAnsiTheme="minorHAnsi" w:cstheme="minorHAnsi"/>
          <w:color w:val="000000"/>
          <w:sz w:val="20"/>
          <w:szCs w:val="20"/>
        </w:rPr>
        <w:t xml:space="preserve"> </w:t>
      </w:r>
      <w:r w:rsidRPr="009B546D">
        <w:rPr>
          <w:rFonts w:asciiTheme="minorHAnsi" w:hAnsiTheme="minorHAnsi" w:cstheme="minorHAnsi"/>
          <w:color w:val="000000"/>
          <w:sz w:val="20"/>
          <w:szCs w:val="20"/>
        </w:rPr>
        <w:t xml:space="preserve">confidence in </w:t>
      </w:r>
      <w:r w:rsidR="00760CDF" w:rsidRPr="009B546D">
        <w:rPr>
          <w:rFonts w:asciiTheme="minorHAnsi" w:hAnsiTheme="minorHAnsi" w:cstheme="minorHAnsi"/>
          <w:color w:val="000000"/>
          <w:sz w:val="20"/>
          <w:szCs w:val="20"/>
        </w:rPr>
        <w:t>OCTAPLUS</w:t>
      </w:r>
      <w:r w:rsidRPr="009B546D">
        <w:rPr>
          <w:rFonts w:asciiTheme="minorHAnsi" w:hAnsiTheme="minorHAnsi" w:cstheme="minorHAnsi"/>
          <w:color w:val="000000"/>
          <w:sz w:val="20"/>
          <w:szCs w:val="20"/>
        </w:rPr>
        <w:t xml:space="preserve"> and result in harm to the brand.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believes that much of the growth in the user base originate from social media and influencer-driven marketing strategy. If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w:t>
      </w:r>
      <w:r w:rsidR="009666DE" w:rsidRPr="009B546D">
        <w:rPr>
          <w:rFonts w:asciiTheme="minorHAnsi" w:hAnsiTheme="minorHAnsi" w:cstheme="minorHAnsi"/>
          <w:color w:val="000000"/>
          <w:sz w:val="20"/>
          <w:szCs w:val="20"/>
        </w:rPr>
        <w:t>is</w:t>
      </w:r>
      <w:r w:rsidRPr="009B546D">
        <w:rPr>
          <w:rFonts w:asciiTheme="minorHAnsi" w:hAnsiTheme="minorHAnsi" w:cstheme="minorHAnsi"/>
          <w:color w:val="000000"/>
          <w:sz w:val="20"/>
          <w:szCs w:val="20"/>
        </w:rPr>
        <w:t xml:space="preserve"> not able to develop and maintain positive relationships with its network of influencers, its ability to promote and maintain awareness of its </w:t>
      </w:r>
      <w:r w:rsidR="00D55F24" w:rsidRPr="009B546D">
        <w:rPr>
          <w:rFonts w:asciiTheme="minorHAnsi" w:hAnsiTheme="minorHAnsi" w:cstheme="minorHAnsi"/>
          <w:color w:val="000000"/>
          <w:sz w:val="20"/>
          <w:szCs w:val="20"/>
        </w:rPr>
        <w:t>applications</w:t>
      </w:r>
      <w:r w:rsidRPr="009B546D">
        <w:rPr>
          <w:rFonts w:asciiTheme="minorHAnsi" w:hAnsiTheme="minorHAnsi" w:cstheme="minorHAnsi"/>
          <w:color w:val="000000"/>
          <w:sz w:val="20"/>
          <w:szCs w:val="20"/>
        </w:rPr>
        <w:t xml:space="preserve"> and leverage social media platforms to drive visits to its </w:t>
      </w:r>
      <w:r w:rsidR="00D55F24" w:rsidRPr="009B546D">
        <w:rPr>
          <w:rFonts w:asciiTheme="minorHAnsi" w:hAnsiTheme="minorHAnsi" w:cstheme="minorHAnsi"/>
          <w:color w:val="000000"/>
          <w:sz w:val="20"/>
          <w:szCs w:val="20"/>
        </w:rPr>
        <w:t>applications</w:t>
      </w:r>
      <w:r w:rsidRPr="009B546D">
        <w:rPr>
          <w:rFonts w:asciiTheme="minorHAnsi" w:hAnsiTheme="minorHAnsi" w:cstheme="minorHAnsi"/>
          <w:color w:val="000000"/>
          <w:sz w:val="20"/>
          <w:szCs w:val="20"/>
        </w:rPr>
        <w:t xml:space="preserve"> may be adversely affected. </w:t>
      </w:r>
    </w:p>
    <w:p w14:paraId="775B4B7E" w14:textId="4F6BCF6F" w:rsidR="00E71C16" w:rsidRPr="009B546D" w:rsidRDefault="00E71C16" w:rsidP="00F432B9">
      <w:pPr>
        <w:spacing w:before="240" w:after="0" w:line="240" w:lineRule="auto"/>
        <w:rPr>
          <w:rFonts w:eastAsia="Times New Roman" w:cstheme="minorHAnsi"/>
          <w:b/>
          <w:bCs/>
          <w:color w:val="000000"/>
          <w:szCs w:val="20"/>
          <w:lang w:eastAsia="en-GB"/>
        </w:rPr>
      </w:pPr>
      <w:r w:rsidRPr="009B546D">
        <w:rPr>
          <w:rFonts w:eastAsia="Times New Roman" w:cstheme="minorHAnsi"/>
          <w:b/>
          <w:bCs/>
          <w:color w:val="000000"/>
          <w:szCs w:val="20"/>
          <w:lang w:eastAsia="en-GB"/>
        </w:rPr>
        <w:t xml:space="preserve">The use of social media and influencers may materially and adversely affect the reputation of </w:t>
      </w:r>
      <w:r w:rsidR="00AF0C4A" w:rsidRPr="009B546D">
        <w:rPr>
          <w:rFonts w:eastAsia="Times New Roman" w:cstheme="minorHAnsi"/>
          <w:b/>
          <w:bCs/>
          <w:color w:val="000000"/>
          <w:szCs w:val="20"/>
          <w:lang w:eastAsia="en-GB"/>
        </w:rPr>
        <w:t>Alchemist Codes</w:t>
      </w:r>
      <w:r w:rsidRPr="009B546D">
        <w:rPr>
          <w:rFonts w:eastAsia="Times New Roman" w:cstheme="minorHAnsi"/>
          <w:b/>
          <w:bCs/>
          <w:color w:val="000000"/>
          <w:szCs w:val="20"/>
          <w:lang w:eastAsia="en-GB"/>
        </w:rPr>
        <w:t xml:space="preserve"> or subject </w:t>
      </w:r>
      <w:r w:rsidR="00AF0C4A" w:rsidRPr="009B546D">
        <w:rPr>
          <w:rFonts w:eastAsia="Times New Roman" w:cstheme="minorHAnsi"/>
          <w:b/>
          <w:bCs/>
          <w:color w:val="000000"/>
          <w:szCs w:val="20"/>
          <w:lang w:eastAsia="en-GB"/>
        </w:rPr>
        <w:t>Alchemist Codes</w:t>
      </w:r>
      <w:r w:rsidRPr="009B546D">
        <w:rPr>
          <w:rFonts w:eastAsia="Times New Roman" w:cstheme="minorHAnsi"/>
          <w:b/>
          <w:bCs/>
          <w:color w:val="000000"/>
          <w:szCs w:val="20"/>
          <w:lang w:eastAsia="en-GB"/>
        </w:rPr>
        <w:t xml:space="preserve"> to fines or other penalties.</w:t>
      </w:r>
    </w:p>
    <w:p w14:paraId="046C0C39" w14:textId="0C9285C9" w:rsidR="00E71C16" w:rsidRPr="009B546D" w:rsidRDefault="00AF0C4A" w:rsidP="00F432B9">
      <w:pPr>
        <w:spacing w:before="240" w:after="0" w:line="240" w:lineRule="auto"/>
        <w:rPr>
          <w:rFonts w:eastAsia="Times New Roman" w:cstheme="minorHAnsi"/>
          <w:color w:val="000000"/>
          <w:szCs w:val="20"/>
          <w:lang w:eastAsia="en-GB"/>
        </w:rPr>
      </w:pP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intends to use third-party social media platforms as, among other things, marketing tools. For example,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will maintain </w:t>
      </w:r>
      <w:r w:rsidR="00AB0FF6" w:rsidRPr="009B546D">
        <w:rPr>
          <w:rFonts w:eastAsia="Times New Roman" w:cstheme="minorHAnsi"/>
          <w:color w:val="000000"/>
          <w:szCs w:val="20"/>
          <w:lang w:eastAsia="en-GB"/>
        </w:rPr>
        <w:t>Facebook</w:t>
      </w:r>
      <w:r w:rsidR="00E71C16" w:rsidRPr="009B546D">
        <w:rPr>
          <w:rFonts w:eastAsia="Times New Roman" w:cstheme="minorHAnsi"/>
          <w:color w:val="000000"/>
          <w:szCs w:val="20"/>
          <w:lang w:eastAsia="en-GB"/>
        </w:rPr>
        <w:t xml:space="preserve">, </w:t>
      </w:r>
      <w:r w:rsidR="00AB0FF6" w:rsidRPr="009B546D">
        <w:rPr>
          <w:rFonts w:eastAsia="Times New Roman" w:cstheme="minorHAnsi"/>
          <w:color w:val="000000"/>
          <w:szCs w:val="20"/>
          <w:lang w:eastAsia="en-GB"/>
        </w:rPr>
        <w:t xml:space="preserve">Instagram </w:t>
      </w:r>
      <w:r w:rsidR="00E71C16" w:rsidRPr="009B546D">
        <w:rPr>
          <w:rFonts w:eastAsia="Times New Roman" w:cstheme="minorHAnsi"/>
          <w:color w:val="000000"/>
          <w:szCs w:val="20"/>
          <w:lang w:eastAsia="en-GB"/>
        </w:rPr>
        <w:t xml:space="preserve">and </w:t>
      </w:r>
      <w:r w:rsidR="003F1161" w:rsidRPr="009B546D">
        <w:rPr>
          <w:rFonts w:eastAsia="Times New Roman" w:cstheme="minorHAnsi"/>
          <w:color w:val="000000"/>
          <w:szCs w:val="20"/>
          <w:lang w:eastAsia="en-GB"/>
        </w:rPr>
        <w:t>Trello</w:t>
      </w:r>
      <w:r w:rsidR="00E71C16" w:rsidRPr="009B546D">
        <w:rPr>
          <w:rFonts w:eastAsia="Times New Roman" w:cstheme="minorHAnsi"/>
          <w:color w:val="000000"/>
          <w:szCs w:val="20"/>
          <w:lang w:eastAsia="en-GB"/>
        </w:rPr>
        <w:t xml:space="preserve"> accounts.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intends to maintain relationships with social media influencers and engage in sponsorship initiatives. As existing </w:t>
      </w:r>
      <w:r w:rsidR="00CA0EBC" w:rsidRPr="009B546D">
        <w:rPr>
          <w:rFonts w:eastAsia="Times New Roman" w:cstheme="minorHAnsi"/>
          <w:color w:val="000000"/>
          <w:szCs w:val="20"/>
          <w:lang w:eastAsia="en-GB"/>
        </w:rPr>
        <w:t>e-commerce</w:t>
      </w:r>
      <w:r w:rsidR="00E71C16" w:rsidRPr="009B546D">
        <w:rPr>
          <w:rFonts w:eastAsia="Times New Roman" w:cstheme="minorHAnsi"/>
          <w:color w:val="000000"/>
          <w:szCs w:val="20"/>
          <w:lang w:eastAsia="en-GB"/>
        </w:rPr>
        <w:t xml:space="preserve"> and social media platforms continue to rapidly evolve and new platforms develop,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must continue to maintain a presence on these platforms and establish</w:t>
      </w:r>
      <w:r w:rsidR="009666DE" w:rsidRPr="009B546D">
        <w:rPr>
          <w:rFonts w:eastAsia="Times New Roman" w:cstheme="minorHAnsi"/>
          <w:color w:val="000000"/>
          <w:szCs w:val="20"/>
          <w:lang w:eastAsia="en-GB"/>
        </w:rPr>
        <w:t xml:space="preserve"> a</w:t>
      </w:r>
      <w:r w:rsidR="00E71C16" w:rsidRPr="009B546D">
        <w:rPr>
          <w:rFonts w:eastAsia="Times New Roman" w:cstheme="minorHAnsi"/>
          <w:color w:val="000000"/>
          <w:szCs w:val="20"/>
          <w:lang w:eastAsia="en-GB"/>
        </w:rPr>
        <w:t xml:space="preserve"> presence on new or emerging popular social media platforms. If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is unable to cost-effectively use social media platforms as marketing tools or if the social media platforms used do not evolve quickly enough for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to fully optimize such platforms, </w:t>
      </w:r>
      <w:r w:rsidR="00B36067" w:rsidRPr="009B546D">
        <w:rPr>
          <w:rFonts w:eastAsia="Times New Roman" w:cstheme="minorHAnsi"/>
          <w:color w:val="000000"/>
          <w:szCs w:val="20"/>
          <w:lang w:eastAsia="en-GB"/>
        </w:rPr>
        <w:t xml:space="preserve">its </w:t>
      </w:r>
      <w:r w:rsidR="00E71C16" w:rsidRPr="009B546D">
        <w:rPr>
          <w:rFonts w:eastAsia="Times New Roman" w:cstheme="minorHAnsi"/>
          <w:color w:val="000000"/>
          <w:szCs w:val="20"/>
          <w:lang w:eastAsia="en-GB"/>
        </w:rPr>
        <w:t xml:space="preserve">ability to acquire new users and financial condition may suffer. Furthermore, as laws and regulations rapidly evolve to govern the use of these platforms and devices, the failure by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its employees, its network of social media influencers, its sponsors or third parties acting at its direction to abide by applicable laws and regulations in the use of these platforms and devices or otherwise could subject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to regulatory investigations, class action lawsuits, liability, fines or other penalties and have a material adverse effect on the business, financial condition and operating results.</w:t>
      </w:r>
    </w:p>
    <w:p w14:paraId="401DAC77" w14:textId="4686C51D" w:rsidR="00E71C16" w:rsidRPr="009B546D" w:rsidRDefault="00E71C16" w:rsidP="00F432B9">
      <w:pPr>
        <w:spacing w:before="240" w:after="0" w:line="240" w:lineRule="auto"/>
        <w:rPr>
          <w:rFonts w:eastAsia="Times New Roman" w:cstheme="minorHAnsi"/>
          <w:color w:val="000000"/>
          <w:szCs w:val="20"/>
          <w:lang w:eastAsia="en-GB"/>
        </w:rPr>
      </w:pPr>
      <w:r w:rsidRPr="009B546D">
        <w:rPr>
          <w:rFonts w:eastAsia="Times New Roman" w:cstheme="minorHAnsi"/>
          <w:color w:val="000000"/>
          <w:szCs w:val="20"/>
          <w:lang w:eastAsia="en-GB"/>
        </w:rPr>
        <w:t xml:space="preserve">In addition, an increase in the use of social media for product promotion and marketing may cause an increase in the burden to monitor compliance of such materials and increase the risk that such materials could contain problematic product or marketing claims in violation of applicable regulations. For example, in some cases, regulators have sought enforcement action where an endorsement has failed to clearly and conspicuously disclose a financial relationship between an influencer and an advertiser. In the event that there is failure to regularly monitor or prescribe what influencers post, and if </w:t>
      </w:r>
      <w:r w:rsidR="00AF0C4A" w:rsidRPr="009B546D">
        <w:rPr>
          <w:rFonts w:eastAsia="Times New Roman" w:cstheme="minorHAnsi"/>
          <w:color w:val="000000"/>
          <w:szCs w:val="20"/>
          <w:lang w:eastAsia="en-GB"/>
        </w:rPr>
        <w:t>Alchemist Codes</w:t>
      </w:r>
      <w:r w:rsidRPr="009B546D">
        <w:rPr>
          <w:rFonts w:eastAsia="Times New Roman" w:cstheme="minorHAnsi"/>
          <w:color w:val="000000"/>
          <w:szCs w:val="20"/>
          <w:lang w:eastAsia="en-GB"/>
        </w:rPr>
        <w:t xml:space="preserve"> were to be held responsible for the content of their posts, </w:t>
      </w:r>
      <w:r w:rsidR="00AF0C4A" w:rsidRPr="009B546D">
        <w:rPr>
          <w:rFonts w:eastAsia="Times New Roman" w:cstheme="minorHAnsi"/>
          <w:color w:val="000000"/>
          <w:szCs w:val="20"/>
          <w:lang w:eastAsia="en-GB"/>
        </w:rPr>
        <w:t>Alchemist Codes</w:t>
      </w:r>
      <w:r w:rsidRPr="009B546D">
        <w:rPr>
          <w:rFonts w:eastAsia="Times New Roman" w:cstheme="minorHAnsi"/>
          <w:color w:val="000000"/>
          <w:szCs w:val="20"/>
          <w:lang w:eastAsia="en-GB"/>
        </w:rPr>
        <w:t xml:space="preserve"> could be forced to alter its practices, which could have an adverse impact on the business. </w:t>
      </w:r>
    </w:p>
    <w:p w14:paraId="1FF56905" w14:textId="52569E94" w:rsidR="00DE7643" w:rsidRPr="009B546D" w:rsidRDefault="00E71C16" w:rsidP="00F432B9">
      <w:pPr>
        <w:spacing w:before="240" w:after="0" w:line="240" w:lineRule="auto"/>
        <w:rPr>
          <w:rFonts w:eastAsia="Times New Roman" w:cstheme="minorHAnsi"/>
          <w:color w:val="000000"/>
          <w:szCs w:val="20"/>
          <w:lang w:eastAsia="en-GB"/>
        </w:rPr>
      </w:pPr>
      <w:bookmarkStart w:id="6" w:name="_AEIOULastRenderedPageBreakAEIOU25"/>
      <w:bookmarkEnd w:id="6"/>
      <w:r w:rsidRPr="009B546D">
        <w:rPr>
          <w:rFonts w:eastAsia="Times New Roman" w:cstheme="minorHAnsi"/>
          <w:color w:val="000000"/>
          <w:szCs w:val="20"/>
          <w:lang w:eastAsia="en-GB"/>
        </w:rPr>
        <w:t xml:space="preserve">Negative commentary regarding </w:t>
      </w:r>
      <w:r w:rsidR="00AF0C4A" w:rsidRPr="009B546D">
        <w:rPr>
          <w:rFonts w:eastAsia="Times New Roman" w:cstheme="minorHAnsi"/>
          <w:color w:val="000000"/>
          <w:szCs w:val="20"/>
          <w:lang w:eastAsia="en-GB"/>
        </w:rPr>
        <w:t>Alchemist Codes</w:t>
      </w:r>
      <w:r w:rsidRPr="009B546D">
        <w:rPr>
          <w:rFonts w:eastAsia="Times New Roman" w:cstheme="minorHAnsi"/>
          <w:color w:val="000000"/>
          <w:szCs w:val="20"/>
          <w:lang w:eastAsia="en-GB"/>
        </w:rPr>
        <w:t xml:space="preserve">, </w:t>
      </w:r>
      <w:r w:rsidR="00760CDF" w:rsidRPr="009B546D">
        <w:rPr>
          <w:rFonts w:eastAsia="Times New Roman" w:cstheme="minorHAnsi"/>
          <w:color w:val="000000"/>
          <w:szCs w:val="20"/>
          <w:lang w:eastAsia="en-GB"/>
        </w:rPr>
        <w:t>OCTAPLUS</w:t>
      </w:r>
      <w:r w:rsidRPr="009B546D">
        <w:rPr>
          <w:rFonts w:eastAsia="Times New Roman" w:cstheme="minorHAnsi"/>
          <w:color w:val="000000"/>
          <w:szCs w:val="20"/>
          <w:lang w:eastAsia="en-GB"/>
        </w:rPr>
        <w:t xml:space="preserve"> or influencers and other third parties such as </w:t>
      </w:r>
      <w:r w:rsidR="00423F79" w:rsidRPr="009B546D">
        <w:rPr>
          <w:rFonts w:eastAsia="Times New Roman" w:cstheme="minorHAnsi"/>
          <w:color w:val="000000"/>
          <w:szCs w:val="20"/>
          <w:lang w:eastAsia="en-GB"/>
        </w:rPr>
        <w:t>affiliates and retailers</w:t>
      </w:r>
      <w:r w:rsidRPr="009B546D">
        <w:rPr>
          <w:rFonts w:eastAsia="Times New Roman" w:cstheme="minorHAnsi"/>
          <w:color w:val="000000"/>
          <w:szCs w:val="20"/>
          <w:lang w:eastAsia="en-GB"/>
        </w:rPr>
        <w:t xml:space="preserve"> who are affiliated may also be posted on social media platforms and may have </w:t>
      </w:r>
      <w:r w:rsidR="00E17BBB" w:rsidRPr="009B546D">
        <w:rPr>
          <w:rFonts w:eastAsia="Times New Roman" w:cstheme="minorHAnsi"/>
          <w:color w:val="000000"/>
          <w:szCs w:val="20"/>
          <w:lang w:eastAsia="en-GB"/>
        </w:rPr>
        <w:t xml:space="preserve">an </w:t>
      </w:r>
      <w:r w:rsidRPr="009B546D">
        <w:rPr>
          <w:rFonts w:eastAsia="Times New Roman" w:cstheme="minorHAnsi"/>
          <w:color w:val="000000"/>
          <w:szCs w:val="20"/>
          <w:lang w:eastAsia="en-GB"/>
        </w:rPr>
        <w:t xml:space="preserve">adverse effect on </w:t>
      </w:r>
      <w:r w:rsidR="00AF0C4A" w:rsidRPr="009B546D">
        <w:rPr>
          <w:rFonts w:eastAsia="Times New Roman" w:cstheme="minorHAnsi"/>
          <w:color w:val="000000"/>
          <w:szCs w:val="20"/>
          <w:lang w:eastAsia="en-GB"/>
        </w:rPr>
        <w:t>Alchemist Codes</w:t>
      </w:r>
      <w:r w:rsidR="00CD32AD"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reputation or business. Influencers with whom </w:t>
      </w:r>
      <w:r w:rsidR="00AF0C4A" w:rsidRPr="009B546D">
        <w:rPr>
          <w:rFonts w:eastAsia="Times New Roman" w:cstheme="minorHAnsi"/>
          <w:color w:val="000000"/>
          <w:szCs w:val="20"/>
          <w:lang w:eastAsia="en-GB"/>
        </w:rPr>
        <w:t>Alchemist Codes</w:t>
      </w:r>
      <w:r w:rsidRPr="009B546D">
        <w:rPr>
          <w:rFonts w:eastAsia="Times New Roman" w:cstheme="minorHAnsi"/>
          <w:color w:val="000000"/>
          <w:szCs w:val="20"/>
          <w:lang w:eastAsia="en-GB"/>
        </w:rPr>
        <w:t xml:space="preserve"> seeks to build relationships could engage in behaviour or use their platforms to communicate directly with users in a manner that reflects poorly on </w:t>
      </w:r>
      <w:r w:rsidR="00AF0C4A" w:rsidRPr="009B546D">
        <w:rPr>
          <w:rFonts w:eastAsia="Times New Roman" w:cstheme="minorHAnsi"/>
          <w:color w:val="000000"/>
          <w:szCs w:val="20"/>
          <w:lang w:eastAsia="en-GB"/>
        </w:rPr>
        <w:t>Alchemist Codes</w:t>
      </w:r>
      <w:r w:rsidRPr="009B546D">
        <w:rPr>
          <w:rFonts w:eastAsia="Times New Roman" w:cstheme="minorHAnsi"/>
          <w:color w:val="000000"/>
          <w:szCs w:val="20"/>
          <w:lang w:eastAsia="en-GB"/>
        </w:rPr>
        <w:t xml:space="preserve"> and may be attributed to </w:t>
      </w:r>
      <w:r w:rsidR="00AF0C4A" w:rsidRPr="009B546D">
        <w:rPr>
          <w:rFonts w:eastAsia="Times New Roman" w:cstheme="minorHAnsi"/>
          <w:color w:val="000000"/>
          <w:szCs w:val="20"/>
          <w:lang w:eastAsia="en-GB"/>
        </w:rPr>
        <w:t>Alchemist Codes</w:t>
      </w:r>
      <w:r w:rsidRPr="009B546D">
        <w:rPr>
          <w:rFonts w:eastAsia="Times New Roman" w:cstheme="minorHAnsi"/>
          <w:color w:val="000000"/>
          <w:szCs w:val="20"/>
          <w:lang w:eastAsia="en-GB"/>
        </w:rPr>
        <w:t xml:space="preserve"> or otherwise adversely affect </w:t>
      </w:r>
      <w:r w:rsidR="00AF0C4A" w:rsidRPr="009B546D">
        <w:rPr>
          <w:rFonts w:eastAsia="Times New Roman" w:cstheme="minorHAnsi"/>
          <w:color w:val="000000"/>
          <w:szCs w:val="20"/>
          <w:lang w:eastAsia="en-GB"/>
        </w:rPr>
        <w:t>Alchemist Codes</w:t>
      </w:r>
      <w:r w:rsidRPr="009B546D">
        <w:rPr>
          <w:rFonts w:eastAsia="Times New Roman" w:cstheme="minorHAnsi"/>
          <w:color w:val="000000"/>
          <w:szCs w:val="20"/>
          <w:lang w:eastAsia="en-GB"/>
        </w:rPr>
        <w:t>. It is not possible to prevent such behaviour, and the precautions taken to detect this activity may not be effective in all cases. The target users often value readily available information and often act on such information without further investigation and without regard to its accuracy. The harm may be immediate, without affording an opportunity for redress</w:t>
      </w:r>
      <w:r w:rsidR="00BB5A16" w:rsidRPr="009B546D">
        <w:rPr>
          <w:rFonts w:eastAsia="Times New Roman" w:cstheme="minorHAnsi"/>
          <w:color w:val="000000"/>
          <w:szCs w:val="20"/>
          <w:lang w:eastAsia="en-GB"/>
        </w:rPr>
        <w:t xml:space="preserve"> or correction</w:t>
      </w:r>
      <w:r w:rsidRPr="009B546D">
        <w:rPr>
          <w:rFonts w:eastAsia="Times New Roman" w:cstheme="minorHAnsi"/>
          <w:color w:val="000000"/>
          <w:szCs w:val="20"/>
          <w:lang w:eastAsia="en-GB"/>
        </w:rPr>
        <w:t>.</w:t>
      </w:r>
    </w:p>
    <w:p w14:paraId="24AF67FF" w14:textId="506E6BB7" w:rsidR="00E71C16" w:rsidRPr="009B546D" w:rsidRDefault="00E71C16" w:rsidP="00F432B9">
      <w:pPr>
        <w:pStyle w:val="NormalWeb"/>
        <w:spacing w:before="240" w:beforeAutospacing="0" w:after="0" w:afterAutospacing="0"/>
        <w:jc w:val="both"/>
        <w:rPr>
          <w:rFonts w:asciiTheme="minorHAnsi" w:hAnsiTheme="minorHAnsi" w:cstheme="minorHAnsi"/>
          <w:b/>
          <w:bCs/>
          <w:color w:val="000000"/>
          <w:sz w:val="20"/>
          <w:szCs w:val="20"/>
        </w:rPr>
      </w:pPr>
      <w:bookmarkStart w:id="7" w:name="_AEIOULastRenderedPageBreakAEIOU26"/>
      <w:bookmarkEnd w:id="7"/>
      <w:r w:rsidRPr="009B546D">
        <w:rPr>
          <w:rFonts w:asciiTheme="minorHAnsi" w:hAnsiTheme="minorHAnsi" w:cstheme="minorHAnsi"/>
          <w:b/>
          <w:bCs/>
          <w:color w:val="000000"/>
          <w:sz w:val="20"/>
          <w:szCs w:val="20"/>
        </w:rPr>
        <w:t xml:space="preserve">If </w:t>
      </w:r>
      <w:r w:rsidR="00760CDF" w:rsidRPr="009B546D">
        <w:rPr>
          <w:rFonts w:asciiTheme="minorHAnsi" w:hAnsiTheme="minorHAnsi" w:cstheme="minorHAnsi"/>
          <w:b/>
          <w:bCs/>
          <w:color w:val="000000"/>
          <w:sz w:val="20"/>
          <w:szCs w:val="20"/>
        </w:rPr>
        <w:t>OCTAPLUS</w:t>
      </w:r>
      <w:r w:rsidRPr="009B546D">
        <w:rPr>
          <w:rFonts w:asciiTheme="minorHAnsi" w:hAnsiTheme="minorHAnsi" w:cstheme="minorHAnsi"/>
          <w:b/>
          <w:bCs/>
          <w:color w:val="000000"/>
          <w:sz w:val="20"/>
          <w:szCs w:val="20"/>
        </w:rPr>
        <w:t xml:space="preserve"> fails to acquire new users, or fail</w:t>
      </w:r>
      <w:r w:rsidR="00AB1054" w:rsidRPr="009B546D">
        <w:rPr>
          <w:rFonts w:asciiTheme="minorHAnsi" w:hAnsiTheme="minorHAnsi" w:cstheme="minorHAnsi"/>
          <w:b/>
          <w:bCs/>
          <w:color w:val="000000"/>
          <w:sz w:val="20"/>
          <w:szCs w:val="20"/>
        </w:rPr>
        <w:t>s</w:t>
      </w:r>
      <w:r w:rsidR="009666DE" w:rsidRPr="009B546D">
        <w:rPr>
          <w:rFonts w:asciiTheme="minorHAnsi" w:hAnsiTheme="minorHAnsi" w:cstheme="minorHAnsi"/>
          <w:b/>
          <w:bCs/>
          <w:color w:val="000000"/>
          <w:sz w:val="20"/>
          <w:szCs w:val="20"/>
        </w:rPr>
        <w:t xml:space="preserve"> </w:t>
      </w:r>
      <w:r w:rsidRPr="009B546D">
        <w:rPr>
          <w:rFonts w:asciiTheme="minorHAnsi" w:hAnsiTheme="minorHAnsi" w:cstheme="minorHAnsi"/>
          <w:b/>
          <w:bCs/>
          <w:color w:val="000000"/>
          <w:sz w:val="20"/>
          <w:szCs w:val="20"/>
        </w:rPr>
        <w:t xml:space="preserve">to do so in a cost-effective manner, </w:t>
      </w:r>
      <w:r w:rsidR="00AF0C4A" w:rsidRPr="009B546D">
        <w:rPr>
          <w:rFonts w:asciiTheme="minorHAnsi" w:hAnsiTheme="minorHAnsi" w:cstheme="minorHAnsi"/>
          <w:b/>
          <w:bCs/>
          <w:color w:val="000000"/>
          <w:sz w:val="20"/>
          <w:szCs w:val="20"/>
        </w:rPr>
        <w:t>Alchemist Codes</w:t>
      </w:r>
      <w:r w:rsidRPr="009B546D">
        <w:rPr>
          <w:rFonts w:asciiTheme="minorHAnsi" w:hAnsiTheme="minorHAnsi" w:cstheme="minorHAnsi"/>
          <w:b/>
          <w:bCs/>
          <w:color w:val="000000"/>
          <w:sz w:val="20"/>
          <w:szCs w:val="20"/>
        </w:rPr>
        <w:t xml:space="preserve"> may not be able to increase revenue or maintain profitability.</w:t>
      </w:r>
    </w:p>
    <w:p w14:paraId="78355E1A" w14:textId="1D9B8E64" w:rsidR="00E71C16" w:rsidRPr="009B546D" w:rsidRDefault="00E71C16"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 xml:space="preserve">The success of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depends on its ability to acquire users in a cost-effective manner. In order to expand </w:t>
      </w:r>
      <w:r w:rsidR="00AF0C4A" w:rsidRPr="009B546D">
        <w:rPr>
          <w:rFonts w:asciiTheme="minorHAnsi" w:hAnsiTheme="minorHAnsi" w:cstheme="minorHAnsi"/>
          <w:color w:val="000000"/>
          <w:sz w:val="20"/>
          <w:szCs w:val="20"/>
        </w:rPr>
        <w:t>Alchemist Codes</w:t>
      </w:r>
      <w:r w:rsidR="00BB5A16"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user base,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must appeal to and acquire users who have historically </w:t>
      </w:r>
      <w:r w:rsidRPr="009B546D">
        <w:rPr>
          <w:rFonts w:asciiTheme="minorHAnsi" w:hAnsiTheme="minorHAnsi" w:cstheme="minorHAnsi"/>
          <w:color w:val="000000"/>
          <w:sz w:val="20"/>
          <w:szCs w:val="20"/>
        </w:rPr>
        <w:lastRenderedPageBreak/>
        <w:t xml:space="preserve">used other means of commerce in shopping and may prefer alternatives to </w:t>
      </w:r>
      <w:r w:rsidR="00AF0C4A" w:rsidRPr="009B546D">
        <w:rPr>
          <w:rFonts w:asciiTheme="minorHAnsi" w:hAnsiTheme="minorHAnsi" w:cstheme="minorHAnsi"/>
          <w:color w:val="000000"/>
          <w:sz w:val="20"/>
          <w:szCs w:val="20"/>
        </w:rPr>
        <w:t>Alchemist Codes</w:t>
      </w:r>
      <w:r w:rsidR="00BB5A16"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offerings, such as traditional brick-and-mortar retailers and the websites of </w:t>
      </w:r>
      <w:r w:rsidR="00AF0C4A" w:rsidRPr="009B546D">
        <w:rPr>
          <w:rFonts w:asciiTheme="minorHAnsi" w:hAnsiTheme="minorHAnsi" w:cstheme="minorHAnsi"/>
          <w:color w:val="000000"/>
          <w:sz w:val="20"/>
          <w:szCs w:val="20"/>
        </w:rPr>
        <w:t>Alchemist Codes</w:t>
      </w:r>
      <w:r w:rsidR="00BB5A16"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competitors.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expects to make significant investments related to user acquisition and expects to continue to spend significant amounts to acquire additional users. For example,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expects to engage in social media marketing campaigns and maintain relationships with social media and celebrity influencers. Such campaigns are expensive and may not result in the cost-effective acquisition of users.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cannot </w:t>
      </w:r>
      <w:r w:rsidR="00890426" w:rsidRPr="009B546D">
        <w:rPr>
          <w:rFonts w:asciiTheme="minorHAnsi" w:hAnsiTheme="minorHAnsi" w:cstheme="minorHAnsi"/>
          <w:color w:val="000000"/>
          <w:sz w:val="20"/>
          <w:szCs w:val="20"/>
        </w:rPr>
        <w:t>be certain</w:t>
      </w:r>
      <w:r w:rsidRPr="009B546D">
        <w:rPr>
          <w:rFonts w:asciiTheme="minorHAnsi" w:hAnsiTheme="minorHAnsi" w:cstheme="minorHAnsi"/>
          <w:color w:val="000000"/>
          <w:sz w:val="20"/>
          <w:szCs w:val="20"/>
        </w:rPr>
        <w:t xml:space="preserve"> that the net profit from new users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acquires will ultimately exceed the cost of acquiring those users. If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fail</w:t>
      </w:r>
      <w:r w:rsidR="009666DE" w:rsidRPr="009B546D">
        <w:rPr>
          <w:rFonts w:asciiTheme="minorHAnsi" w:hAnsiTheme="minorHAnsi" w:cstheme="minorHAnsi"/>
          <w:color w:val="000000"/>
          <w:sz w:val="20"/>
          <w:szCs w:val="20"/>
        </w:rPr>
        <w:t>s</w:t>
      </w:r>
      <w:r w:rsidRPr="009B546D">
        <w:rPr>
          <w:rFonts w:asciiTheme="minorHAnsi" w:hAnsiTheme="minorHAnsi" w:cstheme="minorHAnsi"/>
          <w:color w:val="000000"/>
          <w:sz w:val="20"/>
          <w:szCs w:val="20"/>
        </w:rPr>
        <w:t xml:space="preserve"> to deliver a quality shopping experience, or if users do not perceive the products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offer</w:t>
      </w:r>
      <w:r w:rsidR="007B020F" w:rsidRPr="009B546D">
        <w:rPr>
          <w:rFonts w:asciiTheme="minorHAnsi" w:hAnsiTheme="minorHAnsi" w:cstheme="minorHAnsi"/>
          <w:color w:val="000000"/>
          <w:sz w:val="20"/>
          <w:szCs w:val="20"/>
        </w:rPr>
        <w:t>s</w:t>
      </w:r>
      <w:r w:rsidRPr="009B546D">
        <w:rPr>
          <w:rFonts w:asciiTheme="minorHAnsi" w:hAnsiTheme="minorHAnsi" w:cstheme="minorHAnsi"/>
          <w:color w:val="000000"/>
          <w:sz w:val="20"/>
          <w:szCs w:val="20"/>
        </w:rPr>
        <w:t xml:space="preserve"> to be of high value and quality,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may not be able to acquire new users. If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w:t>
      </w:r>
      <w:r w:rsidR="007B020F" w:rsidRPr="009B546D">
        <w:rPr>
          <w:rFonts w:asciiTheme="minorHAnsi" w:hAnsiTheme="minorHAnsi" w:cstheme="minorHAnsi"/>
          <w:color w:val="000000"/>
          <w:sz w:val="20"/>
          <w:szCs w:val="20"/>
        </w:rPr>
        <w:t xml:space="preserve">is </w:t>
      </w:r>
      <w:r w:rsidRPr="009B546D">
        <w:rPr>
          <w:rFonts w:asciiTheme="minorHAnsi" w:hAnsiTheme="minorHAnsi" w:cstheme="minorHAnsi"/>
          <w:color w:val="000000"/>
          <w:sz w:val="20"/>
          <w:szCs w:val="20"/>
        </w:rPr>
        <w:t xml:space="preserve">unable to acquire new users who purchase products in numbers sufficient to grow </w:t>
      </w:r>
      <w:r w:rsidR="00AF0C4A" w:rsidRPr="009B546D">
        <w:rPr>
          <w:rFonts w:asciiTheme="minorHAnsi" w:hAnsiTheme="minorHAnsi" w:cstheme="minorHAnsi"/>
          <w:color w:val="000000"/>
          <w:sz w:val="20"/>
          <w:szCs w:val="20"/>
        </w:rPr>
        <w:t>Alchemist Codes</w:t>
      </w:r>
      <w:r w:rsidR="007B020F"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business,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may not be able to generate the scale necessary to drive beneficial network effects with </w:t>
      </w:r>
      <w:r w:rsidR="00423F79" w:rsidRPr="009B546D">
        <w:rPr>
          <w:rFonts w:asciiTheme="minorHAnsi" w:hAnsiTheme="minorHAnsi" w:cstheme="minorHAnsi"/>
          <w:color w:val="000000"/>
          <w:sz w:val="20"/>
          <w:szCs w:val="20"/>
        </w:rPr>
        <w:t>affiliates, retailers and users</w:t>
      </w:r>
      <w:r w:rsidR="0040369E"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w:t>
      </w:r>
      <w:r w:rsidR="00AF0C4A" w:rsidRPr="009B546D">
        <w:rPr>
          <w:rFonts w:asciiTheme="minorHAnsi" w:hAnsiTheme="minorHAnsi" w:cstheme="minorHAnsi"/>
          <w:color w:val="000000"/>
          <w:sz w:val="20"/>
          <w:szCs w:val="20"/>
        </w:rPr>
        <w:t>Alchemist Codes</w:t>
      </w:r>
      <w:r w:rsidR="009666DE"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revenue may decrease, and the business, financial condition and operating results may be materially adversely affected. </w:t>
      </w:r>
    </w:p>
    <w:p w14:paraId="3267FBB0" w14:textId="571CA3B5" w:rsidR="00E71C16" w:rsidRPr="009B546D" w:rsidRDefault="00E71C16"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 xml:space="preserve">Marketing initiatives may become increasingly expensive as competition increases and generating a meaningful return on those initiatives may be difficult. </w:t>
      </w:r>
      <w:r w:rsidRPr="009B546D">
        <w:rPr>
          <w:rFonts w:asciiTheme="minorHAnsi" w:hAnsiTheme="minorHAnsi" w:cstheme="minorHAnsi"/>
          <w:color w:val="000000"/>
          <w:sz w:val="20"/>
          <w:szCs w:val="20"/>
          <w:shd w:val="clear" w:color="auto" w:fill="FFFFFF"/>
        </w:rPr>
        <w:t xml:space="preserve">If </w:t>
      </w:r>
      <w:r w:rsidR="00AF0C4A" w:rsidRPr="009B546D">
        <w:rPr>
          <w:rFonts w:asciiTheme="minorHAnsi" w:hAnsiTheme="minorHAnsi" w:cstheme="minorHAnsi"/>
          <w:color w:val="000000"/>
          <w:sz w:val="20"/>
          <w:szCs w:val="20"/>
          <w:shd w:val="clear" w:color="auto" w:fill="FFFFFF"/>
        </w:rPr>
        <w:t>Alchemist Codes</w:t>
      </w:r>
      <w:r w:rsidR="003F6658" w:rsidRPr="009B546D">
        <w:rPr>
          <w:rFonts w:asciiTheme="minorHAnsi" w:hAnsiTheme="minorHAnsi" w:cstheme="minorHAnsi"/>
          <w:color w:val="000000"/>
          <w:sz w:val="20"/>
          <w:szCs w:val="20"/>
          <w:shd w:val="clear" w:color="auto" w:fill="FFFFFF"/>
        </w:rPr>
        <w:t>’</w:t>
      </w:r>
      <w:r w:rsidRPr="009B546D">
        <w:rPr>
          <w:rFonts w:asciiTheme="minorHAnsi" w:hAnsiTheme="minorHAnsi" w:cstheme="minorHAnsi"/>
          <w:color w:val="000000"/>
          <w:sz w:val="20"/>
          <w:szCs w:val="20"/>
          <w:shd w:val="clear" w:color="auto" w:fill="FFFFFF"/>
        </w:rPr>
        <w:t xml:space="preserve"> marketing efforts are not successful in promoting awareness of </w:t>
      </w:r>
      <w:r w:rsidR="00AF0C4A" w:rsidRPr="009B546D">
        <w:rPr>
          <w:rFonts w:asciiTheme="minorHAnsi" w:hAnsiTheme="minorHAnsi" w:cstheme="minorHAnsi"/>
          <w:color w:val="000000"/>
          <w:sz w:val="20"/>
          <w:szCs w:val="20"/>
          <w:shd w:val="clear" w:color="auto" w:fill="FFFFFF"/>
        </w:rPr>
        <w:t>Alchemist Codes</w:t>
      </w:r>
      <w:r w:rsidRPr="009B546D">
        <w:rPr>
          <w:rFonts w:asciiTheme="minorHAnsi" w:hAnsiTheme="minorHAnsi" w:cstheme="minorHAnsi"/>
          <w:color w:val="000000"/>
          <w:sz w:val="20"/>
          <w:szCs w:val="20"/>
          <w:shd w:val="clear" w:color="auto" w:fill="FFFFFF"/>
        </w:rPr>
        <w:t xml:space="preserve"> services and </w:t>
      </w:r>
      <w:r w:rsidR="00760CDF" w:rsidRPr="009B546D">
        <w:rPr>
          <w:rFonts w:asciiTheme="minorHAnsi" w:hAnsiTheme="minorHAnsi" w:cstheme="minorHAnsi"/>
          <w:color w:val="000000"/>
          <w:sz w:val="20"/>
          <w:szCs w:val="20"/>
          <w:shd w:val="clear" w:color="auto" w:fill="FFFFFF"/>
        </w:rPr>
        <w:t>OCTAPLUS</w:t>
      </w:r>
      <w:r w:rsidRPr="009B546D">
        <w:rPr>
          <w:rFonts w:asciiTheme="minorHAnsi" w:hAnsiTheme="minorHAnsi" w:cstheme="minorHAnsi"/>
          <w:color w:val="000000"/>
          <w:sz w:val="20"/>
          <w:szCs w:val="20"/>
          <w:shd w:val="clear" w:color="auto" w:fill="FFFFFF"/>
        </w:rPr>
        <w:t xml:space="preserve">, driving user engagement or attracting new users, or if </w:t>
      </w:r>
      <w:r w:rsidR="00AF0C4A" w:rsidRPr="009B546D">
        <w:rPr>
          <w:rFonts w:asciiTheme="minorHAnsi" w:hAnsiTheme="minorHAnsi" w:cstheme="minorHAnsi"/>
          <w:color w:val="000000"/>
          <w:sz w:val="20"/>
          <w:szCs w:val="20"/>
          <w:shd w:val="clear" w:color="auto" w:fill="FFFFFF"/>
        </w:rPr>
        <w:t>Alchemist Codes</w:t>
      </w:r>
      <w:r w:rsidRPr="009B546D">
        <w:rPr>
          <w:rFonts w:asciiTheme="minorHAnsi" w:hAnsiTheme="minorHAnsi" w:cstheme="minorHAnsi"/>
          <w:color w:val="000000"/>
          <w:sz w:val="20"/>
          <w:szCs w:val="20"/>
          <w:shd w:val="clear" w:color="auto" w:fill="FFFFFF"/>
        </w:rPr>
        <w:t xml:space="preserve"> </w:t>
      </w:r>
      <w:r w:rsidR="003F6658" w:rsidRPr="009B546D">
        <w:rPr>
          <w:rFonts w:asciiTheme="minorHAnsi" w:hAnsiTheme="minorHAnsi" w:cstheme="minorHAnsi"/>
          <w:color w:val="000000"/>
          <w:sz w:val="20"/>
          <w:szCs w:val="20"/>
          <w:shd w:val="clear" w:color="auto" w:fill="FFFFFF"/>
        </w:rPr>
        <w:t xml:space="preserve">is </w:t>
      </w:r>
      <w:r w:rsidRPr="009B546D">
        <w:rPr>
          <w:rFonts w:asciiTheme="minorHAnsi" w:hAnsiTheme="minorHAnsi" w:cstheme="minorHAnsi"/>
          <w:color w:val="000000"/>
          <w:sz w:val="20"/>
          <w:szCs w:val="20"/>
          <w:shd w:val="clear" w:color="auto" w:fill="FFFFFF"/>
        </w:rPr>
        <w:t xml:space="preserve">not able to cost-effectively manage marketing expenses, </w:t>
      </w:r>
      <w:r w:rsidR="00AF0C4A" w:rsidRPr="009B546D">
        <w:rPr>
          <w:rFonts w:asciiTheme="minorHAnsi" w:hAnsiTheme="minorHAnsi" w:cstheme="minorHAnsi"/>
          <w:color w:val="000000"/>
          <w:sz w:val="20"/>
          <w:szCs w:val="20"/>
          <w:shd w:val="clear" w:color="auto" w:fill="FFFFFF"/>
        </w:rPr>
        <w:t>Alchemist Codes</w:t>
      </w:r>
      <w:r w:rsidR="009666DE" w:rsidRPr="009B546D">
        <w:rPr>
          <w:rFonts w:asciiTheme="minorHAnsi" w:hAnsiTheme="minorHAnsi" w:cstheme="minorHAnsi"/>
          <w:color w:val="000000"/>
          <w:sz w:val="20"/>
          <w:szCs w:val="20"/>
          <w:shd w:val="clear" w:color="auto" w:fill="FFFFFF"/>
        </w:rPr>
        <w:t>’</w:t>
      </w:r>
      <w:r w:rsidRPr="009B546D">
        <w:rPr>
          <w:rFonts w:asciiTheme="minorHAnsi" w:hAnsiTheme="minorHAnsi" w:cstheme="minorHAnsi"/>
          <w:color w:val="000000"/>
          <w:sz w:val="20"/>
          <w:szCs w:val="20"/>
          <w:shd w:val="clear" w:color="auto" w:fill="FFFFFF"/>
        </w:rPr>
        <w:t xml:space="preserve"> operating results may be adversely affected.</w:t>
      </w:r>
    </w:p>
    <w:p w14:paraId="6868E53D" w14:textId="075BB57F" w:rsidR="00E71C16" w:rsidRPr="009B546D" w:rsidRDefault="00E71C16"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 xml:space="preserve">It is expected that </w:t>
      </w:r>
      <w:r w:rsidR="00760CDF" w:rsidRPr="009B546D">
        <w:rPr>
          <w:rFonts w:asciiTheme="minorHAnsi" w:hAnsiTheme="minorHAnsi" w:cstheme="minorHAnsi"/>
          <w:color w:val="000000"/>
          <w:sz w:val="20"/>
          <w:szCs w:val="20"/>
        </w:rPr>
        <w:t>OCTAPLUS</w:t>
      </w:r>
      <w:r w:rsidRPr="009B546D">
        <w:rPr>
          <w:rFonts w:asciiTheme="minorHAnsi" w:hAnsiTheme="minorHAnsi" w:cstheme="minorHAnsi"/>
          <w:color w:val="000000"/>
          <w:sz w:val="20"/>
          <w:szCs w:val="20"/>
        </w:rPr>
        <w:t xml:space="preserve"> will obtain a significant amount of traffic via social networking websites or other channels used by prospective users. As </w:t>
      </w:r>
      <w:r w:rsidR="00CA0EBC" w:rsidRPr="009B546D">
        <w:rPr>
          <w:rFonts w:asciiTheme="minorHAnsi" w:hAnsiTheme="minorHAnsi" w:cstheme="minorHAnsi"/>
          <w:color w:val="000000"/>
          <w:sz w:val="20"/>
          <w:szCs w:val="20"/>
        </w:rPr>
        <w:t>e-commerce</w:t>
      </w:r>
      <w:r w:rsidRPr="009B546D">
        <w:rPr>
          <w:rFonts w:asciiTheme="minorHAnsi" w:hAnsiTheme="minorHAnsi" w:cstheme="minorHAnsi"/>
          <w:color w:val="000000"/>
          <w:sz w:val="20"/>
          <w:szCs w:val="20"/>
        </w:rPr>
        <w:t xml:space="preserve"> and social networking continue to rapidly evolve,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must continue to establish relationships with these channels and may be unable to develop or maintain these relationships on acceptable terms.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expects to use paid and non-paid advertising. If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w:t>
      </w:r>
      <w:r w:rsidR="003F6658" w:rsidRPr="009B546D">
        <w:rPr>
          <w:rFonts w:asciiTheme="minorHAnsi" w:hAnsiTheme="minorHAnsi" w:cstheme="minorHAnsi"/>
          <w:color w:val="000000"/>
          <w:sz w:val="20"/>
          <w:szCs w:val="20"/>
        </w:rPr>
        <w:t>is</w:t>
      </w:r>
      <w:r w:rsidRPr="009B546D">
        <w:rPr>
          <w:rFonts w:asciiTheme="minorHAnsi" w:hAnsiTheme="minorHAnsi" w:cstheme="minorHAnsi"/>
          <w:color w:val="000000"/>
          <w:sz w:val="20"/>
          <w:szCs w:val="20"/>
        </w:rPr>
        <w:t xml:space="preserve"> unable to cost-effectively drive traffic to the </w:t>
      </w:r>
      <w:r w:rsidR="00760CDF" w:rsidRPr="009B546D">
        <w:rPr>
          <w:rFonts w:asciiTheme="minorHAnsi" w:hAnsiTheme="minorHAnsi" w:cstheme="minorHAnsi"/>
          <w:color w:val="000000"/>
          <w:sz w:val="20"/>
          <w:szCs w:val="20"/>
        </w:rPr>
        <w:t>OCTAPLUS</w:t>
      </w:r>
      <w:r w:rsidRPr="009B546D">
        <w:rPr>
          <w:rFonts w:asciiTheme="minorHAnsi" w:hAnsiTheme="minorHAnsi" w:cstheme="minorHAnsi"/>
          <w:color w:val="000000"/>
          <w:sz w:val="20"/>
          <w:szCs w:val="20"/>
        </w:rPr>
        <w:t xml:space="preserve"> </w:t>
      </w:r>
      <w:r w:rsidR="00D55F24" w:rsidRPr="009B546D">
        <w:rPr>
          <w:rFonts w:asciiTheme="minorHAnsi" w:hAnsiTheme="minorHAnsi" w:cstheme="minorHAnsi"/>
          <w:color w:val="000000"/>
          <w:sz w:val="20"/>
          <w:szCs w:val="20"/>
        </w:rPr>
        <w:t>application</w:t>
      </w:r>
      <w:r w:rsidRPr="009B546D">
        <w:rPr>
          <w:rFonts w:asciiTheme="minorHAnsi" w:hAnsiTheme="minorHAnsi" w:cstheme="minorHAnsi"/>
          <w:color w:val="000000"/>
          <w:sz w:val="20"/>
          <w:szCs w:val="20"/>
        </w:rPr>
        <w:t xml:space="preserve">, the ability to acquire new users and </w:t>
      </w:r>
      <w:r w:rsidR="00AF0C4A" w:rsidRPr="009B546D">
        <w:rPr>
          <w:rFonts w:asciiTheme="minorHAnsi" w:hAnsiTheme="minorHAnsi" w:cstheme="minorHAnsi"/>
          <w:color w:val="000000"/>
          <w:sz w:val="20"/>
          <w:szCs w:val="20"/>
        </w:rPr>
        <w:t>Alchemist Codes</w:t>
      </w:r>
      <w:r w:rsidR="00FA7DE6"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financial condition would suffer.</w:t>
      </w:r>
    </w:p>
    <w:p w14:paraId="1B2F3E70" w14:textId="22D75FE3" w:rsidR="00E71C16" w:rsidRPr="009B546D" w:rsidRDefault="00760CDF" w:rsidP="00F432B9">
      <w:pPr>
        <w:pStyle w:val="NormalWeb"/>
        <w:spacing w:before="240" w:beforeAutospacing="0" w:after="0" w:afterAutospacing="0"/>
        <w:jc w:val="both"/>
        <w:rPr>
          <w:rFonts w:asciiTheme="minorHAnsi" w:hAnsiTheme="minorHAnsi" w:cstheme="minorHAnsi"/>
          <w:b/>
          <w:bCs/>
          <w:color w:val="000000"/>
          <w:sz w:val="20"/>
          <w:szCs w:val="20"/>
        </w:rPr>
      </w:pPr>
      <w:r w:rsidRPr="009B546D">
        <w:rPr>
          <w:rFonts w:asciiTheme="minorHAnsi" w:hAnsiTheme="minorHAnsi" w:cstheme="minorHAnsi"/>
          <w:b/>
          <w:bCs/>
          <w:color w:val="000000"/>
          <w:sz w:val="20"/>
          <w:szCs w:val="20"/>
        </w:rPr>
        <w:t>OCTAPLUS</w:t>
      </w:r>
      <w:r w:rsidR="00E71C16" w:rsidRPr="009B546D">
        <w:rPr>
          <w:rFonts w:asciiTheme="minorHAnsi" w:hAnsiTheme="minorHAnsi" w:cstheme="minorHAnsi"/>
          <w:b/>
          <w:bCs/>
          <w:color w:val="000000"/>
          <w:sz w:val="20"/>
          <w:szCs w:val="20"/>
        </w:rPr>
        <w:t xml:space="preserve"> relies on consumer discretionary spending, which may be adversely affected by economic downturns and other macroeconomic conditions or trends.</w:t>
      </w:r>
    </w:p>
    <w:p w14:paraId="7E7B0A07" w14:textId="5F14AA3F" w:rsidR="00E71C16" w:rsidRPr="009B546D" w:rsidRDefault="00E71C16"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 xml:space="preserve">The business and operating results of </w:t>
      </w:r>
      <w:r w:rsidR="00760CDF" w:rsidRPr="009B546D">
        <w:rPr>
          <w:rFonts w:asciiTheme="minorHAnsi" w:hAnsiTheme="minorHAnsi" w:cstheme="minorHAnsi"/>
          <w:color w:val="000000"/>
          <w:sz w:val="20"/>
          <w:szCs w:val="20"/>
        </w:rPr>
        <w:t>OCTAPLUS</w:t>
      </w:r>
      <w:r w:rsidRPr="009B546D">
        <w:rPr>
          <w:rFonts w:asciiTheme="minorHAnsi" w:hAnsiTheme="minorHAnsi" w:cstheme="minorHAnsi"/>
          <w:color w:val="000000"/>
          <w:sz w:val="20"/>
          <w:szCs w:val="20"/>
        </w:rPr>
        <w:t xml:space="preserve"> are subject to global economic conditions and their impact on consumer discretionary spending. Some of the factors that may negatively influence consumer spending include high levels of unemployment, higher consumer debt levels, reductions in net worth, declines in asset values and related market uncertainty, home foreclosures and reductions in home values, fluctuating interest rates and credit availability, fluctuating fuel and other energy costs, fluctuating commodity prices and general uncertainty regarding the overall future political and economic environment. Economic conditions in certain regions may also be affected by natural disasters, such as earthquakes, hurricanes, tropical storms and wildfires. Consumer purchases of discretionary items, including the services that </w:t>
      </w:r>
      <w:r w:rsidR="00760CDF" w:rsidRPr="009B546D">
        <w:rPr>
          <w:rFonts w:asciiTheme="minorHAnsi" w:hAnsiTheme="minorHAnsi" w:cstheme="minorHAnsi"/>
          <w:color w:val="000000"/>
          <w:sz w:val="20"/>
          <w:szCs w:val="20"/>
        </w:rPr>
        <w:t>OCTAPLUS</w:t>
      </w:r>
      <w:r w:rsidRPr="009B546D">
        <w:rPr>
          <w:rFonts w:asciiTheme="minorHAnsi" w:hAnsiTheme="minorHAnsi" w:cstheme="minorHAnsi"/>
          <w:color w:val="000000"/>
          <w:sz w:val="20"/>
          <w:szCs w:val="20"/>
        </w:rPr>
        <w:t xml:space="preserve"> offers, generally decline during periods of economic uncertainty, when disposable income is reduced or when there is a reduction in consumer confidence. </w:t>
      </w:r>
    </w:p>
    <w:p w14:paraId="513CA95A" w14:textId="5C84E782" w:rsidR="00E71C16" w:rsidRPr="009B546D" w:rsidRDefault="00E71C16"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 xml:space="preserve">Adverse economic changes could reduce consumer confidence, and thereby could negatively affect </w:t>
      </w:r>
      <w:r w:rsidR="00AF0C4A" w:rsidRPr="009B546D">
        <w:rPr>
          <w:rFonts w:asciiTheme="minorHAnsi" w:hAnsiTheme="minorHAnsi" w:cstheme="minorHAnsi"/>
          <w:color w:val="000000"/>
          <w:sz w:val="20"/>
          <w:szCs w:val="20"/>
        </w:rPr>
        <w:t>Alchemist Codes</w:t>
      </w:r>
      <w:r w:rsidR="00FA7DE6"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operating results. In challenging and uncertain economic environments,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cannot predict when macroeconomic uncertainty may arise, whether or when such circumstances may improve or worsen or what impact such circumstances could have on </w:t>
      </w:r>
      <w:r w:rsidR="00AF0C4A" w:rsidRPr="009B546D">
        <w:rPr>
          <w:rFonts w:asciiTheme="minorHAnsi" w:hAnsiTheme="minorHAnsi" w:cstheme="minorHAnsi"/>
          <w:color w:val="000000"/>
          <w:sz w:val="20"/>
          <w:szCs w:val="20"/>
        </w:rPr>
        <w:t>Alchemist Codes</w:t>
      </w:r>
      <w:r w:rsidR="009666DE"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business</w:t>
      </w:r>
      <w:r w:rsidR="009666DE" w:rsidRPr="009B546D">
        <w:rPr>
          <w:rFonts w:asciiTheme="minorHAnsi" w:hAnsiTheme="minorHAnsi" w:cstheme="minorHAnsi"/>
          <w:color w:val="000000"/>
          <w:sz w:val="20"/>
          <w:szCs w:val="20"/>
        </w:rPr>
        <w:t>.</w:t>
      </w:r>
    </w:p>
    <w:p w14:paraId="1F39B073" w14:textId="0F806600" w:rsidR="00E71C16" w:rsidRPr="009B546D" w:rsidRDefault="00E71C16" w:rsidP="00F432B9">
      <w:pPr>
        <w:pStyle w:val="NormalWeb"/>
        <w:spacing w:before="240" w:beforeAutospacing="0" w:after="0" w:afterAutospacing="0"/>
        <w:jc w:val="both"/>
        <w:rPr>
          <w:rFonts w:asciiTheme="minorHAnsi" w:hAnsiTheme="minorHAnsi" w:cstheme="minorHAnsi"/>
          <w:b/>
          <w:bCs/>
          <w:color w:val="000000"/>
          <w:sz w:val="20"/>
          <w:szCs w:val="20"/>
        </w:rPr>
      </w:pPr>
      <w:r w:rsidRPr="009B546D">
        <w:rPr>
          <w:rFonts w:asciiTheme="minorHAnsi" w:hAnsiTheme="minorHAnsi" w:cstheme="minorHAnsi"/>
          <w:b/>
          <w:bCs/>
          <w:color w:val="000000"/>
          <w:sz w:val="20"/>
          <w:szCs w:val="20"/>
        </w:rPr>
        <w:t xml:space="preserve">Any failure by </w:t>
      </w:r>
      <w:r w:rsidR="0040369E" w:rsidRPr="009B546D">
        <w:rPr>
          <w:rFonts w:asciiTheme="minorHAnsi" w:hAnsiTheme="minorHAnsi" w:cstheme="minorHAnsi"/>
          <w:b/>
          <w:bCs/>
          <w:color w:val="000000"/>
          <w:sz w:val="20"/>
          <w:szCs w:val="20"/>
        </w:rPr>
        <w:t>affiliates or retailers</w:t>
      </w:r>
      <w:r w:rsidRPr="009B546D">
        <w:rPr>
          <w:rFonts w:asciiTheme="minorHAnsi" w:hAnsiTheme="minorHAnsi" w:cstheme="minorHAnsi"/>
          <w:b/>
          <w:bCs/>
          <w:color w:val="000000"/>
          <w:sz w:val="20"/>
          <w:szCs w:val="20"/>
        </w:rPr>
        <w:t xml:space="preserve"> to comply with product safety, labour or other laws, or to provide safe conditions for their workers may damage </w:t>
      </w:r>
      <w:r w:rsidR="00AF0C4A" w:rsidRPr="009B546D">
        <w:rPr>
          <w:rFonts w:asciiTheme="minorHAnsi" w:hAnsiTheme="minorHAnsi" w:cstheme="minorHAnsi"/>
          <w:b/>
          <w:bCs/>
          <w:color w:val="000000"/>
          <w:sz w:val="20"/>
          <w:szCs w:val="20"/>
        </w:rPr>
        <w:t>Alchemist Codes</w:t>
      </w:r>
      <w:r w:rsidR="00E62F87" w:rsidRPr="009B546D">
        <w:rPr>
          <w:rFonts w:asciiTheme="minorHAnsi" w:hAnsiTheme="minorHAnsi" w:cstheme="minorHAnsi"/>
          <w:b/>
          <w:bCs/>
          <w:color w:val="000000"/>
          <w:sz w:val="20"/>
          <w:szCs w:val="20"/>
        </w:rPr>
        <w:t>’</w:t>
      </w:r>
      <w:r w:rsidRPr="009B546D">
        <w:rPr>
          <w:rFonts w:asciiTheme="minorHAnsi" w:hAnsiTheme="minorHAnsi" w:cstheme="minorHAnsi"/>
          <w:b/>
          <w:bCs/>
          <w:color w:val="000000"/>
          <w:sz w:val="20"/>
          <w:szCs w:val="20"/>
        </w:rPr>
        <w:t xml:space="preserve"> reputation and brand and harm </w:t>
      </w:r>
      <w:r w:rsidR="00AF0C4A" w:rsidRPr="009B546D">
        <w:rPr>
          <w:rFonts w:asciiTheme="minorHAnsi" w:hAnsiTheme="minorHAnsi" w:cstheme="minorHAnsi"/>
          <w:b/>
          <w:bCs/>
          <w:color w:val="000000"/>
          <w:sz w:val="20"/>
          <w:szCs w:val="20"/>
        </w:rPr>
        <w:t>Alchemist Codes</w:t>
      </w:r>
      <w:r w:rsidR="00BC33B0" w:rsidRPr="009B546D">
        <w:rPr>
          <w:rFonts w:asciiTheme="minorHAnsi" w:hAnsiTheme="minorHAnsi" w:cstheme="minorHAnsi"/>
          <w:b/>
          <w:bCs/>
          <w:color w:val="000000"/>
          <w:sz w:val="20"/>
          <w:szCs w:val="20"/>
        </w:rPr>
        <w:t>’</w:t>
      </w:r>
      <w:r w:rsidRPr="009B546D">
        <w:rPr>
          <w:rFonts w:asciiTheme="minorHAnsi" w:hAnsiTheme="minorHAnsi" w:cstheme="minorHAnsi"/>
          <w:b/>
          <w:bCs/>
          <w:color w:val="000000"/>
          <w:sz w:val="20"/>
          <w:szCs w:val="20"/>
        </w:rPr>
        <w:t xml:space="preserve"> business.</w:t>
      </w:r>
    </w:p>
    <w:p w14:paraId="0332DB96" w14:textId="644E7425" w:rsidR="00E71C16" w:rsidRPr="009B546D" w:rsidRDefault="00E71C16"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 xml:space="preserve">The products that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promotes to its users </w:t>
      </w:r>
      <w:r w:rsidR="00BC33B0" w:rsidRPr="009B546D">
        <w:rPr>
          <w:rFonts w:asciiTheme="minorHAnsi" w:hAnsiTheme="minorHAnsi" w:cstheme="minorHAnsi"/>
          <w:color w:val="000000"/>
          <w:sz w:val="20"/>
          <w:szCs w:val="20"/>
        </w:rPr>
        <w:t>are</w:t>
      </w:r>
      <w:r w:rsidRPr="009B546D">
        <w:rPr>
          <w:rFonts w:asciiTheme="minorHAnsi" w:hAnsiTheme="minorHAnsi" w:cstheme="minorHAnsi"/>
          <w:color w:val="000000"/>
          <w:sz w:val="20"/>
          <w:szCs w:val="20"/>
        </w:rPr>
        <w:t xml:space="preserve"> subject to regulation. As a result, such products could in the future</w:t>
      </w:r>
      <w:r w:rsidR="0009378E" w:rsidRPr="009B546D">
        <w:rPr>
          <w:rFonts w:asciiTheme="minorHAnsi" w:hAnsiTheme="minorHAnsi" w:cstheme="minorHAnsi"/>
          <w:color w:val="000000"/>
          <w:sz w:val="20"/>
          <w:szCs w:val="20"/>
        </w:rPr>
        <w:t xml:space="preserve"> be</w:t>
      </w:r>
      <w:r w:rsidRPr="009B546D">
        <w:rPr>
          <w:rFonts w:asciiTheme="minorHAnsi" w:hAnsiTheme="minorHAnsi" w:cstheme="minorHAnsi"/>
          <w:color w:val="000000"/>
          <w:sz w:val="20"/>
          <w:szCs w:val="20"/>
        </w:rPr>
        <w:t xml:space="preserve"> subject to recalls and other remedial actions. Product safety, labelling and licensing concerns may require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to voluntarily remove the product or </w:t>
      </w:r>
      <w:r w:rsidR="0040369E" w:rsidRPr="009B546D">
        <w:rPr>
          <w:rFonts w:asciiTheme="minorHAnsi" w:hAnsiTheme="minorHAnsi" w:cstheme="minorHAnsi"/>
          <w:color w:val="000000"/>
          <w:sz w:val="20"/>
          <w:szCs w:val="20"/>
        </w:rPr>
        <w:t>affiliates or retailers</w:t>
      </w:r>
      <w:r w:rsidRPr="009B546D">
        <w:rPr>
          <w:rFonts w:asciiTheme="minorHAnsi" w:hAnsiTheme="minorHAnsi" w:cstheme="minorHAnsi"/>
          <w:color w:val="000000"/>
          <w:sz w:val="20"/>
          <w:szCs w:val="20"/>
        </w:rPr>
        <w:t xml:space="preserve"> from its promotions. Such recalls or voluntary removal of products or </w:t>
      </w:r>
      <w:r w:rsidR="0040369E" w:rsidRPr="009B546D">
        <w:rPr>
          <w:rFonts w:asciiTheme="minorHAnsi" w:hAnsiTheme="minorHAnsi" w:cstheme="minorHAnsi"/>
          <w:color w:val="000000"/>
          <w:sz w:val="20"/>
          <w:szCs w:val="20"/>
        </w:rPr>
        <w:t>affiliates or retailers</w:t>
      </w:r>
      <w:r w:rsidRPr="009B546D">
        <w:rPr>
          <w:rFonts w:asciiTheme="minorHAnsi" w:hAnsiTheme="minorHAnsi" w:cstheme="minorHAnsi"/>
          <w:color w:val="000000"/>
          <w:sz w:val="20"/>
          <w:szCs w:val="20"/>
        </w:rPr>
        <w:t xml:space="preserve"> can result in, among other things, lost sales, diverted resources, potential harm to </w:t>
      </w:r>
      <w:r w:rsidR="00AF0C4A" w:rsidRPr="009B546D">
        <w:rPr>
          <w:rFonts w:asciiTheme="minorHAnsi" w:hAnsiTheme="minorHAnsi" w:cstheme="minorHAnsi"/>
          <w:color w:val="000000"/>
          <w:sz w:val="20"/>
          <w:szCs w:val="20"/>
        </w:rPr>
        <w:t>Alchemist Codes</w:t>
      </w:r>
      <w:r w:rsidR="00BC33B0"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reputation and increased user service costs and legal expenses, which could have a material adverse effect on operating results.</w:t>
      </w:r>
    </w:p>
    <w:p w14:paraId="19253A45" w14:textId="42257533" w:rsidR="001C424B" w:rsidRPr="009B546D" w:rsidRDefault="001C424B" w:rsidP="00F432B9">
      <w:pPr>
        <w:pStyle w:val="NormalWeb"/>
        <w:spacing w:before="240" w:beforeAutospacing="0" w:after="0" w:afterAutospacing="0"/>
        <w:jc w:val="both"/>
        <w:rPr>
          <w:rFonts w:asciiTheme="minorHAnsi" w:hAnsiTheme="minorHAnsi" w:cstheme="minorHAnsi"/>
          <w:b/>
          <w:bCs/>
          <w:color w:val="000000"/>
          <w:sz w:val="22"/>
          <w:szCs w:val="22"/>
        </w:rPr>
      </w:pPr>
      <w:r w:rsidRPr="009B546D">
        <w:rPr>
          <w:rFonts w:asciiTheme="minorHAnsi" w:hAnsiTheme="minorHAnsi" w:cstheme="minorHAnsi"/>
          <w:b/>
          <w:bCs/>
          <w:color w:val="000000"/>
          <w:sz w:val="22"/>
          <w:szCs w:val="22"/>
        </w:rPr>
        <w:lastRenderedPageBreak/>
        <w:t>Risks related to the management of data</w:t>
      </w:r>
    </w:p>
    <w:p w14:paraId="511EB89F" w14:textId="12B39BD4" w:rsidR="00E71C16" w:rsidRPr="009B546D" w:rsidRDefault="00E71C16" w:rsidP="00F432B9">
      <w:pPr>
        <w:pStyle w:val="NormalWeb"/>
        <w:spacing w:before="240" w:beforeAutospacing="0" w:after="0" w:afterAutospacing="0"/>
        <w:jc w:val="both"/>
        <w:rPr>
          <w:rFonts w:asciiTheme="minorHAnsi" w:hAnsiTheme="minorHAnsi" w:cstheme="minorHAnsi"/>
          <w:b/>
          <w:bCs/>
          <w:color w:val="000000"/>
          <w:sz w:val="20"/>
          <w:szCs w:val="20"/>
        </w:rPr>
      </w:pPr>
      <w:r w:rsidRPr="009B546D">
        <w:rPr>
          <w:rFonts w:asciiTheme="minorHAnsi" w:hAnsiTheme="minorHAnsi" w:cstheme="minorHAnsi"/>
          <w:b/>
          <w:bCs/>
          <w:color w:val="000000"/>
          <w:sz w:val="20"/>
          <w:szCs w:val="20"/>
        </w:rPr>
        <w:t xml:space="preserve">If sensitive information about </w:t>
      </w:r>
      <w:r w:rsidR="00760CDF" w:rsidRPr="009B546D">
        <w:rPr>
          <w:rFonts w:asciiTheme="minorHAnsi" w:hAnsiTheme="minorHAnsi" w:cstheme="minorHAnsi"/>
          <w:b/>
          <w:bCs/>
          <w:color w:val="000000"/>
          <w:sz w:val="20"/>
          <w:szCs w:val="20"/>
        </w:rPr>
        <w:t>OCTAPLUS</w:t>
      </w:r>
      <w:r w:rsidR="0009378E" w:rsidRPr="009B546D">
        <w:rPr>
          <w:rFonts w:asciiTheme="minorHAnsi" w:hAnsiTheme="minorHAnsi" w:cstheme="minorHAnsi"/>
          <w:b/>
          <w:bCs/>
          <w:color w:val="000000"/>
          <w:sz w:val="20"/>
          <w:szCs w:val="20"/>
        </w:rPr>
        <w:t>’</w:t>
      </w:r>
      <w:r w:rsidRPr="009B546D">
        <w:rPr>
          <w:rFonts w:asciiTheme="minorHAnsi" w:hAnsiTheme="minorHAnsi" w:cstheme="minorHAnsi"/>
          <w:b/>
          <w:bCs/>
          <w:color w:val="000000"/>
          <w:sz w:val="20"/>
          <w:szCs w:val="20"/>
        </w:rPr>
        <w:t xml:space="preserve"> users is disclosed, or if </w:t>
      </w:r>
      <w:r w:rsidR="00AF0C4A" w:rsidRPr="009B546D">
        <w:rPr>
          <w:rFonts w:asciiTheme="minorHAnsi" w:hAnsiTheme="minorHAnsi" w:cstheme="minorHAnsi"/>
          <w:b/>
          <w:bCs/>
          <w:color w:val="000000"/>
          <w:sz w:val="20"/>
          <w:szCs w:val="20"/>
        </w:rPr>
        <w:t>Alchemist Codes</w:t>
      </w:r>
      <w:r w:rsidRPr="009B546D">
        <w:rPr>
          <w:rFonts w:asciiTheme="minorHAnsi" w:hAnsiTheme="minorHAnsi" w:cstheme="minorHAnsi"/>
          <w:b/>
          <w:bCs/>
          <w:color w:val="000000"/>
          <w:sz w:val="20"/>
          <w:szCs w:val="20"/>
        </w:rPr>
        <w:t xml:space="preserve"> or </w:t>
      </w:r>
      <w:r w:rsidR="00AF0C4A" w:rsidRPr="009B546D">
        <w:rPr>
          <w:rFonts w:asciiTheme="minorHAnsi" w:hAnsiTheme="minorHAnsi" w:cstheme="minorHAnsi"/>
          <w:b/>
          <w:bCs/>
          <w:color w:val="000000"/>
          <w:sz w:val="20"/>
          <w:szCs w:val="20"/>
        </w:rPr>
        <w:t>Alchemist Codes</w:t>
      </w:r>
      <w:r w:rsidR="0009378E" w:rsidRPr="009B546D">
        <w:rPr>
          <w:rFonts w:asciiTheme="minorHAnsi" w:hAnsiTheme="minorHAnsi" w:cstheme="minorHAnsi"/>
          <w:b/>
          <w:bCs/>
          <w:color w:val="000000"/>
          <w:sz w:val="20"/>
          <w:szCs w:val="20"/>
        </w:rPr>
        <w:t>’</w:t>
      </w:r>
      <w:r w:rsidRPr="009B546D">
        <w:rPr>
          <w:rFonts w:asciiTheme="minorHAnsi" w:hAnsiTheme="minorHAnsi" w:cstheme="minorHAnsi"/>
          <w:b/>
          <w:bCs/>
          <w:color w:val="000000"/>
          <w:sz w:val="20"/>
          <w:szCs w:val="20"/>
        </w:rPr>
        <w:t xml:space="preserve"> third-party providers are subject to cyberattacks, users may curtail use of </w:t>
      </w:r>
      <w:r w:rsidR="00760CDF" w:rsidRPr="009B546D">
        <w:rPr>
          <w:rFonts w:asciiTheme="minorHAnsi" w:hAnsiTheme="minorHAnsi" w:cstheme="minorHAnsi"/>
          <w:b/>
          <w:bCs/>
          <w:color w:val="000000"/>
          <w:sz w:val="20"/>
          <w:szCs w:val="20"/>
        </w:rPr>
        <w:t>OCTAPLUS</w:t>
      </w:r>
      <w:r w:rsidRPr="009B546D">
        <w:rPr>
          <w:rFonts w:asciiTheme="minorHAnsi" w:hAnsiTheme="minorHAnsi" w:cstheme="minorHAnsi"/>
          <w:b/>
          <w:bCs/>
          <w:color w:val="000000"/>
          <w:sz w:val="20"/>
          <w:szCs w:val="20"/>
        </w:rPr>
        <w:t xml:space="preserve">, </w:t>
      </w:r>
      <w:r w:rsidR="00AF0C4A" w:rsidRPr="009B546D">
        <w:rPr>
          <w:rFonts w:asciiTheme="minorHAnsi" w:hAnsiTheme="minorHAnsi" w:cstheme="minorHAnsi"/>
          <w:b/>
          <w:bCs/>
          <w:color w:val="000000"/>
          <w:sz w:val="20"/>
          <w:szCs w:val="20"/>
        </w:rPr>
        <w:t>Alchemist Codes</w:t>
      </w:r>
      <w:r w:rsidRPr="009B546D">
        <w:rPr>
          <w:rFonts w:asciiTheme="minorHAnsi" w:hAnsiTheme="minorHAnsi" w:cstheme="minorHAnsi"/>
          <w:b/>
          <w:bCs/>
          <w:color w:val="000000"/>
          <w:sz w:val="20"/>
          <w:szCs w:val="20"/>
        </w:rPr>
        <w:t xml:space="preserve"> may be exposed to liability and </w:t>
      </w:r>
      <w:r w:rsidR="00AF0C4A" w:rsidRPr="009B546D">
        <w:rPr>
          <w:rFonts w:asciiTheme="minorHAnsi" w:hAnsiTheme="minorHAnsi" w:cstheme="minorHAnsi"/>
          <w:b/>
          <w:bCs/>
          <w:color w:val="000000"/>
          <w:sz w:val="20"/>
          <w:szCs w:val="20"/>
        </w:rPr>
        <w:t>Alchemist Codes</w:t>
      </w:r>
      <w:r w:rsidR="0009378E" w:rsidRPr="009B546D">
        <w:rPr>
          <w:rFonts w:asciiTheme="minorHAnsi" w:hAnsiTheme="minorHAnsi" w:cstheme="minorHAnsi"/>
          <w:b/>
          <w:bCs/>
          <w:color w:val="000000"/>
          <w:sz w:val="20"/>
          <w:szCs w:val="20"/>
        </w:rPr>
        <w:t>’</w:t>
      </w:r>
      <w:r w:rsidRPr="009B546D">
        <w:rPr>
          <w:rFonts w:asciiTheme="minorHAnsi" w:hAnsiTheme="minorHAnsi" w:cstheme="minorHAnsi"/>
          <w:b/>
          <w:bCs/>
          <w:color w:val="000000"/>
          <w:sz w:val="20"/>
          <w:szCs w:val="20"/>
        </w:rPr>
        <w:t xml:space="preserve"> reputation would suffer.</w:t>
      </w:r>
    </w:p>
    <w:p w14:paraId="229D8F45" w14:textId="267BB796" w:rsidR="00E71C16" w:rsidRPr="009B546D" w:rsidRDefault="00760CDF"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OCTAPLUS</w:t>
      </w:r>
      <w:r w:rsidR="00E71C16" w:rsidRPr="009B546D">
        <w:rPr>
          <w:rFonts w:asciiTheme="minorHAnsi" w:hAnsiTheme="minorHAnsi" w:cstheme="minorHAnsi"/>
          <w:color w:val="000000"/>
          <w:sz w:val="20"/>
          <w:szCs w:val="20"/>
        </w:rPr>
        <w:t xml:space="preserve"> collects, transmits and stores personal and financial information provided by its users, such as names, email addresses, the details of transactions and credit card and other financial information. In an effort to protect sensitive information, </w:t>
      </w:r>
      <w:r w:rsidR="00AF0C4A" w:rsidRPr="009B546D">
        <w:rPr>
          <w:rFonts w:asciiTheme="minorHAnsi" w:hAnsiTheme="minorHAnsi" w:cstheme="minorHAnsi"/>
          <w:color w:val="000000"/>
          <w:sz w:val="20"/>
          <w:szCs w:val="20"/>
        </w:rPr>
        <w:t>Alchemist Codes</w:t>
      </w:r>
      <w:r w:rsidR="00E71C16" w:rsidRPr="009B546D">
        <w:rPr>
          <w:rFonts w:asciiTheme="minorHAnsi" w:hAnsiTheme="minorHAnsi" w:cstheme="minorHAnsi"/>
          <w:color w:val="000000"/>
          <w:sz w:val="20"/>
          <w:szCs w:val="20"/>
        </w:rPr>
        <w:t xml:space="preserve"> relies on a variety of security measures, including encryption and authentication technology licensed from third parties. However, advances in computer capabilities, increasingly sophisticated tools and methods used by hackers and cyber terrorists, new discoveries in the field of cryptography or other developments may result in </w:t>
      </w:r>
      <w:r w:rsidR="00AF0C4A" w:rsidRPr="009B546D">
        <w:rPr>
          <w:rFonts w:asciiTheme="minorHAnsi" w:hAnsiTheme="minorHAnsi" w:cstheme="minorHAnsi"/>
          <w:color w:val="000000"/>
          <w:sz w:val="20"/>
          <w:szCs w:val="20"/>
        </w:rPr>
        <w:t>Alchemist Codes</w:t>
      </w:r>
      <w:r w:rsidR="0009378E" w:rsidRPr="009B546D">
        <w:rPr>
          <w:rFonts w:asciiTheme="minorHAnsi" w:hAnsiTheme="minorHAnsi" w:cstheme="minorHAnsi"/>
          <w:color w:val="000000"/>
          <w:sz w:val="20"/>
          <w:szCs w:val="20"/>
        </w:rPr>
        <w:t>’</w:t>
      </w:r>
      <w:r w:rsidR="00E71C16" w:rsidRPr="009B546D">
        <w:rPr>
          <w:rFonts w:asciiTheme="minorHAnsi" w:hAnsiTheme="minorHAnsi" w:cstheme="minorHAnsi"/>
          <w:color w:val="000000"/>
          <w:sz w:val="20"/>
          <w:szCs w:val="20"/>
        </w:rPr>
        <w:t xml:space="preserve"> failure or inability to adequately protect sensitive information. </w:t>
      </w:r>
    </w:p>
    <w:p w14:paraId="118E1CF1" w14:textId="365CF808" w:rsidR="00E71C16" w:rsidRPr="009B546D" w:rsidRDefault="00760CDF"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OCTAPLUS</w:t>
      </w:r>
      <w:r w:rsidR="00E71C16" w:rsidRPr="009B546D">
        <w:rPr>
          <w:rFonts w:asciiTheme="minorHAnsi" w:hAnsiTheme="minorHAnsi" w:cstheme="minorHAnsi"/>
          <w:color w:val="000000"/>
          <w:sz w:val="20"/>
          <w:szCs w:val="20"/>
        </w:rPr>
        <w:t xml:space="preserve"> like other online services </w:t>
      </w:r>
      <w:r w:rsidR="00BC33B0" w:rsidRPr="009B546D">
        <w:rPr>
          <w:rFonts w:asciiTheme="minorHAnsi" w:hAnsiTheme="minorHAnsi" w:cstheme="minorHAnsi"/>
          <w:color w:val="000000"/>
          <w:sz w:val="20"/>
          <w:szCs w:val="20"/>
        </w:rPr>
        <w:t xml:space="preserve">is also </w:t>
      </w:r>
      <w:r w:rsidR="00E71C16" w:rsidRPr="009B546D">
        <w:rPr>
          <w:rFonts w:asciiTheme="minorHAnsi" w:hAnsiTheme="minorHAnsi" w:cstheme="minorHAnsi"/>
          <w:color w:val="000000"/>
          <w:sz w:val="20"/>
          <w:szCs w:val="20"/>
        </w:rPr>
        <w:t>vulnerable to computer viruses, break-ins, phishing attacks, ransomware attacks, denial-of-service attacks and other cyberattacks. Any of these incidents could lead to interruptions or shutdowns of</w:t>
      </w:r>
      <w:r w:rsidR="00E35C93" w:rsidRPr="009B546D">
        <w:rPr>
          <w:rFonts w:asciiTheme="minorHAnsi" w:hAnsiTheme="minorHAnsi" w:cstheme="minorHAnsi"/>
          <w:color w:val="000000"/>
          <w:sz w:val="20"/>
          <w:szCs w:val="20"/>
        </w:rPr>
        <w:t xml:space="preserve"> the</w:t>
      </w:r>
      <w:r w:rsidR="00E71C16" w:rsidRPr="009B546D">
        <w:rPr>
          <w:rFonts w:asciiTheme="minorHAnsi" w:hAnsiTheme="minorHAnsi" w:cstheme="minorHAnsi"/>
          <w:color w:val="000000"/>
          <w:sz w:val="20"/>
          <w:szCs w:val="20"/>
        </w:rPr>
        <w:t xml:space="preserve"> </w:t>
      </w:r>
      <w:r w:rsidRPr="009B546D">
        <w:rPr>
          <w:rFonts w:asciiTheme="minorHAnsi" w:hAnsiTheme="minorHAnsi" w:cstheme="minorHAnsi"/>
          <w:color w:val="000000"/>
          <w:sz w:val="20"/>
          <w:szCs w:val="20"/>
        </w:rPr>
        <w:t>OCTAPLUS</w:t>
      </w:r>
      <w:r w:rsidR="00E71C16" w:rsidRPr="009B546D">
        <w:rPr>
          <w:rFonts w:asciiTheme="minorHAnsi" w:hAnsiTheme="minorHAnsi" w:cstheme="minorHAnsi"/>
          <w:color w:val="000000"/>
          <w:sz w:val="20"/>
          <w:szCs w:val="20"/>
        </w:rPr>
        <w:t xml:space="preserve"> </w:t>
      </w:r>
      <w:r w:rsidR="00E35C93" w:rsidRPr="009B546D">
        <w:rPr>
          <w:rFonts w:asciiTheme="minorHAnsi" w:hAnsiTheme="minorHAnsi" w:cstheme="minorHAnsi"/>
          <w:color w:val="000000"/>
          <w:sz w:val="20"/>
          <w:szCs w:val="20"/>
        </w:rPr>
        <w:t>application</w:t>
      </w:r>
      <w:r w:rsidR="00E71C16" w:rsidRPr="009B546D">
        <w:rPr>
          <w:rFonts w:asciiTheme="minorHAnsi" w:hAnsiTheme="minorHAnsi" w:cstheme="minorHAnsi"/>
          <w:color w:val="000000"/>
          <w:sz w:val="20"/>
          <w:szCs w:val="20"/>
        </w:rPr>
        <w:t xml:space="preserve">, loss or corruption of data, or unauthorized access to or disclosure of personal data or other sensitive information. Cyberattacks could also result in the theft of </w:t>
      </w:r>
      <w:r w:rsidR="00AF0C4A" w:rsidRPr="009B546D">
        <w:rPr>
          <w:rFonts w:asciiTheme="minorHAnsi" w:hAnsiTheme="minorHAnsi" w:cstheme="minorHAnsi"/>
          <w:color w:val="000000"/>
          <w:sz w:val="20"/>
          <w:szCs w:val="20"/>
        </w:rPr>
        <w:t>Alchemist Codes</w:t>
      </w:r>
      <w:r w:rsidR="00CE761E" w:rsidRPr="009B546D">
        <w:rPr>
          <w:rFonts w:asciiTheme="minorHAnsi" w:hAnsiTheme="minorHAnsi" w:cstheme="minorHAnsi"/>
          <w:color w:val="000000"/>
          <w:sz w:val="20"/>
          <w:szCs w:val="20"/>
        </w:rPr>
        <w:t>’</w:t>
      </w:r>
      <w:r w:rsidR="00E71C16" w:rsidRPr="009B546D">
        <w:rPr>
          <w:rFonts w:asciiTheme="minorHAnsi" w:hAnsiTheme="minorHAnsi" w:cstheme="minorHAnsi"/>
          <w:color w:val="000000"/>
          <w:sz w:val="20"/>
          <w:szCs w:val="20"/>
        </w:rPr>
        <w:t xml:space="preserve"> intellectual property. If </w:t>
      </w:r>
      <w:r w:rsidR="00AF0C4A" w:rsidRPr="009B546D">
        <w:rPr>
          <w:rFonts w:asciiTheme="minorHAnsi" w:hAnsiTheme="minorHAnsi" w:cstheme="minorHAnsi"/>
          <w:color w:val="000000"/>
          <w:sz w:val="20"/>
          <w:szCs w:val="20"/>
        </w:rPr>
        <w:t>Alchemist Codes</w:t>
      </w:r>
      <w:r w:rsidR="00E71C16" w:rsidRPr="009B546D">
        <w:rPr>
          <w:rFonts w:asciiTheme="minorHAnsi" w:hAnsiTheme="minorHAnsi" w:cstheme="minorHAnsi"/>
          <w:color w:val="000000"/>
          <w:sz w:val="20"/>
          <w:szCs w:val="20"/>
        </w:rPr>
        <w:t xml:space="preserve"> gain</w:t>
      </w:r>
      <w:r w:rsidR="00314B56" w:rsidRPr="009B546D">
        <w:rPr>
          <w:rFonts w:asciiTheme="minorHAnsi" w:hAnsiTheme="minorHAnsi" w:cstheme="minorHAnsi"/>
          <w:color w:val="000000"/>
          <w:sz w:val="20"/>
          <w:szCs w:val="20"/>
        </w:rPr>
        <w:t>s</w:t>
      </w:r>
      <w:r w:rsidR="00E71C16" w:rsidRPr="009B546D">
        <w:rPr>
          <w:rFonts w:asciiTheme="minorHAnsi" w:hAnsiTheme="minorHAnsi" w:cstheme="minorHAnsi"/>
          <w:color w:val="000000"/>
          <w:sz w:val="20"/>
          <w:szCs w:val="20"/>
        </w:rPr>
        <w:t xml:space="preserve"> greater visibility, </w:t>
      </w:r>
      <w:r w:rsidR="00AF0C4A" w:rsidRPr="009B546D">
        <w:rPr>
          <w:rFonts w:asciiTheme="minorHAnsi" w:hAnsiTheme="minorHAnsi" w:cstheme="minorHAnsi"/>
          <w:color w:val="000000"/>
          <w:sz w:val="20"/>
          <w:szCs w:val="20"/>
        </w:rPr>
        <w:t>Alchemist Codes</w:t>
      </w:r>
      <w:r w:rsidR="00E71C16" w:rsidRPr="009B546D">
        <w:rPr>
          <w:rFonts w:asciiTheme="minorHAnsi" w:hAnsiTheme="minorHAnsi" w:cstheme="minorHAnsi"/>
          <w:color w:val="000000"/>
          <w:sz w:val="20"/>
          <w:szCs w:val="20"/>
        </w:rPr>
        <w:t xml:space="preserve"> may face a higher risk of being targeted by cyberattacks. Advances in computer capabilities, new technological discoveries or other developments may result in cyberattacks becoming more sophisticated and more difficult to detect. </w:t>
      </w:r>
      <w:r w:rsidR="00AF0C4A" w:rsidRPr="009B546D">
        <w:rPr>
          <w:rFonts w:asciiTheme="minorHAnsi" w:hAnsiTheme="minorHAnsi" w:cstheme="minorHAnsi"/>
          <w:color w:val="000000"/>
          <w:sz w:val="20"/>
          <w:szCs w:val="20"/>
        </w:rPr>
        <w:t>Alchemist Codes</w:t>
      </w:r>
      <w:r w:rsidR="00E71C16" w:rsidRPr="009B546D">
        <w:rPr>
          <w:rFonts w:asciiTheme="minorHAnsi" w:hAnsiTheme="minorHAnsi" w:cstheme="minorHAnsi"/>
          <w:color w:val="000000"/>
          <w:sz w:val="20"/>
          <w:szCs w:val="20"/>
        </w:rPr>
        <w:t xml:space="preserve"> and </w:t>
      </w:r>
      <w:r w:rsidR="00AF0C4A" w:rsidRPr="009B546D">
        <w:rPr>
          <w:rFonts w:asciiTheme="minorHAnsi" w:hAnsiTheme="minorHAnsi" w:cstheme="minorHAnsi"/>
          <w:color w:val="000000"/>
          <w:sz w:val="20"/>
          <w:szCs w:val="20"/>
        </w:rPr>
        <w:t>Alchemist Codes</w:t>
      </w:r>
      <w:r w:rsidR="00B50B72" w:rsidRPr="009B546D">
        <w:rPr>
          <w:rFonts w:asciiTheme="minorHAnsi" w:hAnsiTheme="minorHAnsi" w:cstheme="minorHAnsi"/>
          <w:color w:val="000000"/>
          <w:sz w:val="20"/>
          <w:szCs w:val="20"/>
        </w:rPr>
        <w:t>’</w:t>
      </w:r>
      <w:r w:rsidR="00E71C16" w:rsidRPr="009B546D">
        <w:rPr>
          <w:rFonts w:asciiTheme="minorHAnsi" w:hAnsiTheme="minorHAnsi" w:cstheme="minorHAnsi"/>
          <w:color w:val="000000"/>
          <w:sz w:val="20"/>
          <w:szCs w:val="20"/>
        </w:rPr>
        <w:t xml:space="preserve"> third-party service providers may not have the resources or technical sophistication to anticipate or prevent all such cyberattacks. Moreover, techniques used to obtain unauthorized access to systems change frequently and may not be known until launched against </w:t>
      </w:r>
      <w:r w:rsidR="00AF0C4A" w:rsidRPr="009B546D">
        <w:rPr>
          <w:rFonts w:asciiTheme="minorHAnsi" w:hAnsiTheme="minorHAnsi" w:cstheme="minorHAnsi"/>
          <w:color w:val="000000"/>
          <w:sz w:val="20"/>
          <w:szCs w:val="20"/>
        </w:rPr>
        <w:t>Alchemist Codes</w:t>
      </w:r>
      <w:r w:rsidR="00E71C16" w:rsidRPr="009B546D">
        <w:rPr>
          <w:rFonts w:asciiTheme="minorHAnsi" w:hAnsiTheme="minorHAnsi" w:cstheme="minorHAnsi"/>
          <w:color w:val="000000"/>
          <w:sz w:val="20"/>
          <w:szCs w:val="20"/>
        </w:rPr>
        <w:t xml:space="preserve"> or </w:t>
      </w:r>
      <w:r w:rsidR="00AF0C4A" w:rsidRPr="009B546D">
        <w:rPr>
          <w:rFonts w:asciiTheme="minorHAnsi" w:hAnsiTheme="minorHAnsi" w:cstheme="minorHAnsi"/>
          <w:color w:val="000000"/>
          <w:sz w:val="20"/>
          <w:szCs w:val="20"/>
        </w:rPr>
        <w:t>Alchemist Codes</w:t>
      </w:r>
      <w:r w:rsidR="0009378E" w:rsidRPr="009B546D">
        <w:rPr>
          <w:rFonts w:asciiTheme="minorHAnsi" w:hAnsiTheme="minorHAnsi" w:cstheme="minorHAnsi"/>
          <w:color w:val="000000"/>
          <w:sz w:val="20"/>
          <w:szCs w:val="20"/>
        </w:rPr>
        <w:t>’</w:t>
      </w:r>
      <w:r w:rsidR="00E71C16" w:rsidRPr="009B546D">
        <w:rPr>
          <w:rFonts w:asciiTheme="minorHAnsi" w:hAnsiTheme="minorHAnsi" w:cstheme="minorHAnsi"/>
          <w:color w:val="000000"/>
          <w:sz w:val="20"/>
          <w:szCs w:val="20"/>
        </w:rPr>
        <w:t xml:space="preserve"> third-party service providers. Security breaches can also occur as a result of non-technical issues, including intentional or inadvertent breaches by </w:t>
      </w:r>
      <w:r w:rsidR="00AF0C4A" w:rsidRPr="009B546D">
        <w:rPr>
          <w:rFonts w:asciiTheme="minorHAnsi" w:hAnsiTheme="minorHAnsi" w:cstheme="minorHAnsi"/>
          <w:color w:val="000000"/>
          <w:sz w:val="20"/>
          <w:szCs w:val="20"/>
        </w:rPr>
        <w:t>Alchemist Codes</w:t>
      </w:r>
      <w:r w:rsidR="00B50B72" w:rsidRPr="009B546D">
        <w:rPr>
          <w:rFonts w:asciiTheme="minorHAnsi" w:hAnsiTheme="minorHAnsi" w:cstheme="minorHAnsi"/>
          <w:color w:val="000000"/>
          <w:sz w:val="20"/>
          <w:szCs w:val="20"/>
        </w:rPr>
        <w:t>’</w:t>
      </w:r>
      <w:r w:rsidR="00E71C16" w:rsidRPr="009B546D">
        <w:rPr>
          <w:rFonts w:asciiTheme="minorHAnsi" w:hAnsiTheme="minorHAnsi" w:cstheme="minorHAnsi"/>
          <w:color w:val="000000"/>
          <w:sz w:val="20"/>
          <w:szCs w:val="20"/>
        </w:rPr>
        <w:t xml:space="preserve"> employees, </w:t>
      </w:r>
      <w:r w:rsidR="00AF0C4A" w:rsidRPr="009B546D">
        <w:rPr>
          <w:rFonts w:asciiTheme="minorHAnsi" w:hAnsiTheme="minorHAnsi" w:cstheme="minorHAnsi"/>
          <w:color w:val="000000"/>
          <w:sz w:val="20"/>
          <w:szCs w:val="20"/>
        </w:rPr>
        <w:t>Alchemist Codes</w:t>
      </w:r>
      <w:r w:rsidR="00B50B72" w:rsidRPr="009B546D">
        <w:rPr>
          <w:rFonts w:asciiTheme="minorHAnsi" w:hAnsiTheme="minorHAnsi" w:cstheme="minorHAnsi"/>
          <w:color w:val="000000"/>
          <w:sz w:val="20"/>
          <w:szCs w:val="20"/>
        </w:rPr>
        <w:t>’</w:t>
      </w:r>
      <w:r w:rsidR="00E71C16" w:rsidRPr="009B546D">
        <w:rPr>
          <w:rFonts w:asciiTheme="minorHAnsi" w:hAnsiTheme="minorHAnsi" w:cstheme="minorHAnsi"/>
          <w:color w:val="000000"/>
          <w:sz w:val="20"/>
          <w:szCs w:val="20"/>
        </w:rPr>
        <w:t xml:space="preserve"> third-party service providers, or their personnel.</w:t>
      </w:r>
    </w:p>
    <w:p w14:paraId="13F8F8FC" w14:textId="30CA9352" w:rsidR="00E71C16" w:rsidRPr="009B546D" w:rsidRDefault="00E71C16"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 xml:space="preserve">If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or </w:t>
      </w:r>
      <w:r w:rsidR="00AF0C4A" w:rsidRPr="009B546D">
        <w:rPr>
          <w:rFonts w:asciiTheme="minorHAnsi" w:hAnsiTheme="minorHAnsi" w:cstheme="minorHAnsi"/>
          <w:color w:val="000000"/>
          <w:sz w:val="20"/>
          <w:szCs w:val="20"/>
        </w:rPr>
        <w:t>Alchemist Codes</w:t>
      </w:r>
      <w:r w:rsidR="00DF79D1"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third-party service providers experience, or are believed to have experienced, security breaches that result in marketplace performance or availability problems or the loss or corruption of, or unauthori</w:t>
      </w:r>
      <w:r w:rsidR="00700750" w:rsidRPr="009B546D">
        <w:rPr>
          <w:rFonts w:asciiTheme="minorHAnsi" w:hAnsiTheme="minorHAnsi" w:cstheme="minorHAnsi"/>
          <w:color w:val="000000"/>
          <w:sz w:val="20"/>
          <w:szCs w:val="20"/>
        </w:rPr>
        <w:t>s</w:t>
      </w:r>
      <w:r w:rsidRPr="009B546D">
        <w:rPr>
          <w:rFonts w:asciiTheme="minorHAnsi" w:hAnsiTheme="minorHAnsi" w:cstheme="minorHAnsi"/>
          <w:color w:val="000000"/>
          <w:sz w:val="20"/>
          <w:szCs w:val="20"/>
        </w:rPr>
        <w:t xml:space="preserve">ed access to or disclosure of, personal data or confidential information, new users may become unwilling to provide the information necessary </w:t>
      </w:r>
      <w:r w:rsidR="00700750" w:rsidRPr="009B546D">
        <w:rPr>
          <w:rFonts w:asciiTheme="minorHAnsi" w:hAnsiTheme="minorHAnsi" w:cstheme="minorHAnsi"/>
          <w:color w:val="000000"/>
          <w:sz w:val="20"/>
          <w:szCs w:val="20"/>
        </w:rPr>
        <w:t xml:space="preserve">to </w:t>
      </w:r>
      <w:r w:rsidRPr="009B546D">
        <w:rPr>
          <w:rFonts w:asciiTheme="minorHAnsi" w:hAnsiTheme="minorHAnsi" w:cstheme="minorHAnsi"/>
          <w:color w:val="000000"/>
          <w:sz w:val="20"/>
          <w:szCs w:val="20"/>
        </w:rPr>
        <w:t xml:space="preserve">make purchases on </w:t>
      </w:r>
      <w:r w:rsidR="00760CDF" w:rsidRPr="009B546D">
        <w:rPr>
          <w:rFonts w:asciiTheme="minorHAnsi" w:hAnsiTheme="minorHAnsi" w:cstheme="minorHAnsi"/>
          <w:color w:val="000000"/>
          <w:sz w:val="20"/>
          <w:szCs w:val="20"/>
        </w:rPr>
        <w:t>OCTAPLUS</w:t>
      </w:r>
      <w:r w:rsidRPr="009B546D">
        <w:rPr>
          <w:rFonts w:asciiTheme="minorHAnsi" w:hAnsiTheme="minorHAnsi" w:cstheme="minorHAnsi"/>
          <w:color w:val="000000"/>
          <w:sz w:val="20"/>
          <w:szCs w:val="20"/>
        </w:rPr>
        <w:t xml:space="preserve">. Existing users may also decrease their purchases or close their accounts altogether. </w:t>
      </w:r>
      <w:r w:rsidR="00AF0C4A" w:rsidRPr="009B546D">
        <w:rPr>
          <w:rFonts w:asciiTheme="minorHAnsi" w:hAnsiTheme="minorHAnsi" w:cstheme="minorHAnsi"/>
          <w:color w:val="000000"/>
          <w:sz w:val="20"/>
          <w:szCs w:val="20"/>
        </w:rPr>
        <w:t>Alchemist Codes</w:t>
      </w:r>
      <w:r w:rsidRPr="009B546D">
        <w:rPr>
          <w:rFonts w:asciiTheme="minorHAnsi" w:hAnsiTheme="minorHAnsi" w:cstheme="minorHAnsi"/>
          <w:color w:val="000000"/>
          <w:sz w:val="20"/>
          <w:szCs w:val="20"/>
        </w:rPr>
        <w:t xml:space="preserve"> could also face potential liability and litigation, which may not be adequately covered by insurance. Any of these results could harm growth prospects, the business and reputation</w:t>
      </w:r>
      <w:r w:rsidR="00B50B72" w:rsidRPr="009B546D">
        <w:rPr>
          <w:rFonts w:asciiTheme="minorHAnsi" w:hAnsiTheme="minorHAnsi" w:cstheme="minorHAnsi"/>
          <w:color w:val="000000"/>
          <w:sz w:val="20"/>
          <w:szCs w:val="20"/>
        </w:rPr>
        <w:t>.</w:t>
      </w:r>
    </w:p>
    <w:p w14:paraId="4DF1A590" w14:textId="09A47D2C" w:rsidR="00367D29" w:rsidRPr="009B546D" w:rsidRDefault="00367D29" w:rsidP="00F432B9">
      <w:pPr>
        <w:pStyle w:val="NormalWeb"/>
        <w:spacing w:before="240" w:beforeAutospacing="0" w:after="0" w:afterAutospacing="0"/>
        <w:jc w:val="both"/>
        <w:rPr>
          <w:rFonts w:asciiTheme="minorHAnsi" w:hAnsiTheme="minorHAnsi" w:cstheme="minorHAnsi"/>
          <w:b/>
          <w:bCs/>
          <w:color w:val="000000"/>
          <w:sz w:val="20"/>
          <w:szCs w:val="20"/>
        </w:rPr>
      </w:pPr>
      <w:r w:rsidRPr="009B546D">
        <w:rPr>
          <w:rFonts w:asciiTheme="minorHAnsi" w:hAnsiTheme="minorHAnsi" w:cstheme="minorHAnsi"/>
          <w:b/>
          <w:bCs/>
          <w:color w:val="000000"/>
          <w:sz w:val="20"/>
          <w:szCs w:val="20"/>
        </w:rPr>
        <w:t xml:space="preserve">Government regulation of the Internet and e-commerce is evolving, and </w:t>
      </w:r>
      <w:r w:rsidR="00D86265" w:rsidRPr="009B546D">
        <w:rPr>
          <w:rFonts w:asciiTheme="minorHAnsi" w:hAnsiTheme="minorHAnsi" w:cstheme="minorHAnsi"/>
          <w:b/>
          <w:bCs/>
          <w:color w:val="000000"/>
          <w:sz w:val="20"/>
          <w:szCs w:val="20"/>
        </w:rPr>
        <w:t>unfavourable</w:t>
      </w:r>
      <w:r w:rsidRPr="009B546D">
        <w:rPr>
          <w:rFonts w:asciiTheme="minorHAnsi" w:hAnsiTheme="minorHAnsi" w:cstheme="minorHAnsi"/>
          <w:b/>
          <w:bCs/>
          <w:color w:val="000000"/>
          <w:sz w:val="20"/>
          <w:szCs w:val="20"/>
        </w:rPr>
        <w:t xml:space="preserve"> changes or failure by Alchemist Codes to comply with these regulations could substantially harm Alchemist Codes</w:t>
      </w:r>
      <w:r w:rsidR="00700750" w:rsidRPr="009B546D">
        <w:rPr>
          <w:rFonts w:asciiTheme="minorHAnsi" w:hAnsiTheme="minorHAnsi" w:cstheme="minorHAnsi"/>
          <w:b/>
          <w:bCs/>
          <w:color w:val="000000"/>
          <w:sz w:val="20"/>
          <w:szCs w:val="20"/>
        </w:rPr>
        <w:t>’</w:t>
      </w:r>
      <w:r w:rsidRPr="009B546D">
        <w:rPr>
          <w:rFonts w:asciiTheme="minorHAnsi" w:hAnsiTheme="minorHAnsi" w:cstheme="minorHAnsi"/>
          <w:b/>
          <w:bCs/>
          <w:color w:val="000000"/>
          <w:sz w:val="20"/>
          <w:szCs w:val="20"/>
        </w:rPr>
        <w:t xml:space="preserve"> business and results of operations.</w:t>
      </w:r>
    </w:p>
    <w:p w14:paraId="490C0455" w14:textId="66828F7F" w:rsidR="00367D29" w:rsidRPr="009B546D" w:rsidRDefault="00367D29" w:rsidP="00F432B9">
      <w:pPr>
        <w:pStyle w:val="NormalWeb"/>
        <w:spacing w:before="240" w:beforeAutospacing="0" w:after="0" w:afterAutospacing="0"/>
        <w:jc w:val="both"/>
        <w:rPr>
          <w:rFonts w:asciiTheme="minorHAnsi" w:hAnsiTheme="minorHAnsi" w:cstheme="minorHAnsi"/>
          <w:color w:val="000000"/>
          <w:sz w:val="20"/>
          <w:szCs w:val="20"/>
        </w:rPr>
      </w:pPr>
      <w:r w:rsidRPr="009B546D">
        <w:rPr>
          <w:rFonts w:asciiTheme="minorHAnsi" w:hAnsiTheme="minorHAnsi" w:cstheme="minorHAnsi"/>
          <w:color w:val="000000"/>
          <w:sz w:val="20"/>
          <w:szCs w:val="20"/>
        </w:rPr>
        <w:t xml:space="preserve">Alchemist Codes </w:t>
      </w:r>
      <w:r w:rsidR="00700750" w:rsidRPr="009B546D">
        <w:rPr>
          <w:rFonts w:asciiTheme="minorHAnsi" w:hAnsiTheme="minorHAnsi" w:cstheme="minorHAnsi"/>
          <w:color w:val="000000"/>
          <w:sz w:val="20"/>
          <w:szCs w:val="20"/>
        </w:rPr>
        <w:t>is</w:t>
      </w:r>
      <w:r w:rsidRPr="009B546D">
        <w:rPr>
          <w:rFonts w:asciiTheme="minorHAnsi" w:hAnsiTheme="minorHAnsi" w:cstheme="minorHAnsi"/>
          <w:color w:val="000000"/>
          <w:sz w:val="20"/>
          <w:szCs w:val="20"/>
        </w:rPr>
        <w:t xml:space="preserve"> subject to general business regulations and laws as well as regulations and laws specifically governing the Internet and e-commerce. Existing and future regulations and laws could impede the growth of the Internet, e-commerce or mobile commerce. These regulations and laws may involve taxes, tariffs, privacy, data protection, data security, anti-spam, content protection, electronic contracts and communications, consumer protection, Internet neutrality and gift cards. It is not clear how existing laws governing issues such as property ownership, sales and other taxes and consumer privacy apply to the Internet as many of these laws were adopted prior to the advent of the Internet and do not contemplate or address the unique issues raised by the Internet or e-commerce. It is possible that general business regulations and laws, or those specifically governing the Internet or e-commerce, may be interpreted and applied in a manner that is inconsistent from one jurisdiction to another and may conflict with other rules or Alchemist Codes</w:t>
      </w:r>
      <w:r w:rsidR="00700750"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practices. Alchemist Codes cannot be sure that Alchemist Codes</w:t>
      </w:r>
      <w:r w:rsidR="00700750"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practices have complied, comply or will comply fully with all such laws and regulations. Any failure, or perceived failure, by us to comply with any of these laws or regulations could result in damage to Alchemist Codes</w:t>
      </w:r>
      <w:r w:rsidR="00700750"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reputation, a loss in business and proceedings or actions against us by governmental entities or others. Any such proceeding or action could hurt Alchemist Codes</w:t>
      </w:r>
      <w:r w:rsidR="00700750"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reputation, force Alchemist Codes to spend significant amounts in defence of these proceedings, distract management, increase costs of doing business, decrease the use of OCTAPLUS by affiliates, retailers and users and may result in the imposition of monetary liability. Alchemist Codes may also be contractually liable to indemnify and hold </w:t>
      </w:r>
      <w:r w:rsidRPr="009B546D">
        <w:rPr>
          <w:rFonts w:asciiTheme="minorHAnsi" w:hAnsiTheme="minorHAnsi" w:cstheme="minorHAnsi"/>
          <w:color w:val="000000"/>
          <w:sz w:val="20"/>
          <w:szCs w:val="20"/>
        </w:rPr>
        <w:lastRenderedPageBreak/>
        <w:t>harmless third parties from the costs or consequences of non-compliance with any such laws or regulations. In addition, it is possible that governments of one or more countries or territories may seek to censor content available on OCTAPLUS or may even attempt to completely block access to OCTAPLUS. Adverse legal or regulatory developments could substantially harm Alchemist Codes</w:t>
      </w:r>
      <w:r w:rsidR="00700750"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business. In particular, in the event that there are restrictions, in whole or in part, from operating in one or more countries or territories, Alchemist Codes</w:t>
      </w:r>
      <w:r w:rsidR="00700750" w:rsidRPr="009B546D">
        <w:rPr>
          <w:rFonts w:asciiTheme="minorHAnsi" w:hAnsiTheme="minorHAnsi" w:cstheme="minorHAnsi"/>
          <w:color w:val="000000"/>
          <w:sz w:val="20"/>
          <w:szCs w:val="20"/>
        </w:rPr>
        <w:t>’</w:t>
      </w:r>
      <w:r w:rsidRPr="009B546D">
        <w:rPr>
          <w:rFonts w:asciiTheme="minorHAnsi" w:hAnsiTheme="minorHAnsi" w:cstheme="minorHAnsi"/>
          <w:color w:val="000000"/>
          <w:sz w:val="20"/>
          <w:szCs w:val="20"/>
        </w:rPr>
        <w:t xml:space="preserve"> ability to retain or increase user base may be adversely affected, and Alchemist Codes may not be able to maintain or grow revenue and expand the business as anticipated.</w:t>
      </w:r>
    </w:p>
    <w:p w14:paraId="51748E33" w14:textId="37E85BEC" w:rsidR="00E71C16" w:rsidRPr="009B546D" w:rsidRDefault="00E71C16" w:rsidP="00F432B9">
      <w:pPr>
        <w:spacing w:before="240" w:after="0" w:line="240" w:lineRule="auto"/>
        <w:rPr>
          <w:rFonts w:eastAsia="Times New Roman" w:cstheme="minorHAnsi"/>
          <w:b/>
          <w:bCs/>
          <w:color w:val="000000"/>
          <w:szCs w:val="20"/>
          <w:lang w:eastAsia="en-GB"/>
        </w:rPr>
      </w:pPr>
      <w:bookmarkStart w:id="8" w:name="_AEIOULastRenderedPageBreakAEIOU34"/>
      <w:bookmarkEnd w:id="8"/>
      <w:r w:rsidRPr="009B546D">
        <w:rPr>
          <w:rFonts w:eastAsia="Times New Roman" w:cstheme="minorHAnsi"/>
          <w:b/>
          <w:bCs/>
          <w:color w:val="000000"/>
          <w:szCs w:val="20"/>
          <w:lang w:eastAsia="en-GB"/>
        </w:rPr>
        <w:t xml:space="preserve">Failure to comply with state and international laws and regulations and </w:t>
      </w:r>
      <w:r w:rsidR="00AF0C4A" w:rsidRPr="009B546D">
        <w:rPr>
          <w:rFonts w:eastAsia="Times New Roman" w:cstheme="minorHAnsi"/>
          <w:b/>
          <w:bCs/>
          <w:color w:val="000000"/>
          <w:szCs w:val="20"/>
          <w:lang w:eastAsia="en-GB"/>
        </w:rPr>
        <w:t>Alchemist Codes</w:t>
      </w:r>
      <w:r w:rsidR="00B50B72" w:rsidRPr="009B546D">
        <w:rPr>
          <w:rFonts w:eastAsia="Times New Roman" w:cstheme="minorHAnsi"/>
          <w:b/>
          <w:bCs/>
          <w:color w:val="000000"/>
          <w:szCs w:val="20"/>
          <w:lang w:eastAsia="en-GB"/>
        </w:rPr>
        <w:t>’</w:t>
      </w:r>
      <w:r w:rsidRPr="009B546D">
        <w:rPr>
          <w:rFonts w:eastAsia="Times New Roman" w:cstheme="minorHAnsi"/>
          <w:b/>
          <w:bCs/>
          <w:color w:val="000000"/>
          <w:szCs w:val="20"/>
          <w:lang w:eastAsia="en-GB"/>
        </w:rPr>
        <w:t xml:space="preserve"> contractual obligations relating to privacy, data protection and consumer protection, or the expansion of current or the enactment of new laws or regulations relating to privacy, data protection and consumer protection, could adversely affect </w:t>
      </w:r>
      <w:r w:rsidR="00AF0C4A" w:rsidRPr="009B546D">
        <w:rPr>
          <w:rFonts w:eastAsia="Times New Roman" w:cstheme="minorHAnsi"/>
          <w:b/>
          <w:bCs/>
          <w:color w:val="000000"/>
          <w:szCs w:val="20"/>
          <w:lang w:eastAsia="en-GB"/>
        </w:rPr>
        <w:t>Alchemist Code</w:t>
      </w:r>
      <w:r w:rsidR="00E477C9" w:rsidRPr="009B546D">
        <w:rPr>
          <w:rFonts w:eastAsia="Times New Roman" w:cstheme="minorHAnsi"/>
          <w:b/>
          <w:bCs/>
          <w:color w:val="000000"/>
          <w:szCs w:val="20"/>
          <w:lang w:eastAsia="en-GB"/>
        </w:rPr>
        <w:t>s</w:t>
      </w:r>
      <w:r w:rsidR="00B50B72" w:rsidRPr="009B546D">
        <w:rPr>
          <w:rFonts w:eastAsia="Times New Roman" w:cstheme="minorHAnsi"/>
          <w:b/>
          <w:bCs/>
          <w:color w:val="000000"/>
          <w:szCs w:val="20"/>
          <w:lang w:eastAsia="en-GB"/>
        </w:rPr>
        <w:t>’</w:t>
      </w:r>
      <w:r w:rsidRPr="009B546D">
        <w:rPr>
          <w:rFonts w:eastAsia="Times New Roman" w:cstheme="minorHAnsi"/>
          <w:b/>
          <w:bCs/>
          <w:color w:val="000000"/>
          <w:szCs w:val="20"/>
          <w:lang w:eastAsia="en-GB"/>
        </w:rPr>
        <w:t xml:space="preserve"> business and </w:t>
      </w:r>
      <w:r w:rsidR="00AF0C4A" w:rsidRPr="009B546D">
        <w:rPr>
          <w:rFonts w:eastAsia="Times New Roman" w:cstheme="minorHAnsi"/>
          <w:b/>
          <w:bCs/>
          <w:color w:val="000000"/>
          <w:szCs w:val="20"/>
          <w:lang w:eastAsia="en-GB"/>
        </w:rPr>
        <w:t>Alchemist Codes</w:t>
      </w:r>
      <w:r w:rsidR="00B50B72" w:rsidRPr="009B546D">
        <w:rPr>
          <w:rFonts w:eastAsia="Times New Roman" w:cstheme="minorHAnsi"/>
          <w:b/>
          <w:bCs/>
          <w:color w:val="000000"/>
          <w:szCs w:val="20"/>
          <w:lang w:eastAsia="en-GB"/>
        </w:rPr>
        <w:t>’</w:t>
      </w:r>
      <w:r w:rsidRPr="009B546D">
        <w:rPr>
          <w:rFonts w:eastAsia="Times New Roman" w:cstheme="minorHAnsi"/>
          <w:b/>
          <w:bCs/>
          <w:color w:val="000000"/>
          <w:szCs w:val="20"/>
          <w:lang w:eastAsia="en-GB"/>
        </w:rPr>
        <w:t xml:space="preserve"> financial condition.</w:t>
      </w:r>
    </w:p>
    <w:p w14:paraId="7F800C45" w14:textId="39C7EBC1" w:rsidR="00E71C16" w:rsidRPr="009B546D" w:rsidRDefault="00AF0C4A" w:rsidP="00F432B9">
      <w:pPr>
        <w:spacing w:before="240" w:after="0" w:line="240" w:lineRule="auto"/>
        <w:rPr>
          <w:rFonts w:eastAsia="Times New Roman" w:cstheme="minorHAnsi"/>
          <w:color w:val="000000"/>
          <w:szCs w:val="20"/>
          <w:lang w:eastAsia="en-GB"/>
        </w:rPr>
      </w:pP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collect</w:t>
      </w:r>
      <w:r w:rsidR="00E477C9" w:rsidRPr="009B546D">
        <w:rPr>
          <w:rFonts w:eastAsia="Times New Roman" w:cstheme="minorHAnsi"/>
          <w:color w:val="000000"/>
          <w:szCs w:val="20"/>
          <w:lang w:eastAsia="en-GB"/>
        </w:rPr>
        <w:t>s</w:t>
      </w:r>
      <w:r w:rsidR="00E71C16" w:rsidRPr="009B546D">
        <w:rPr>
          <w:rFonts w:eastAsia="Times New Roman" w:cstheme="minorHAnsi"/>
          <w:color w:val="000000"/>
          <w:szCs w:val="20"/>
          <w:lang w:eastAsia="en-GB"/>
        </w:rPr>
        <w:t xml:space="preserve"> and maintain</w:t>
      </w:r>
      <w:r w:rsidR="00E477C9" w:rsidRPr="009B546D">
        <w:rPr>
          <w:rFonts w:eastAsia="Times New Roman" w:cstheme="minorHAnsi"/>
          <w:color w:val="000000"/>
          <w:szCs w:val="20"/>
          <w:lang w:eastAsia="en-GB"/>
        </w:rPr>
        <w:t>s</w:t>
      </w:r>
      <w:r w:rsidR="00E71C16" w:rsidRPr="009B546D">
        <w:rPr>
          <w:rFonts w:eastAsia="Times New Roman" w:cstheme="minorHAnsi"/>
          <w:color w:val="000000"/>
          <w:szCs w:val="20"/>
          <w:lang w:eastAsia="en-GB"/>
        </w:rPr>
        <w:t xml:space="preserve"> significant amounts of personal data and other data relating to </w:t>
      </w:r>
      <w:r w:rsidRPr="009B546D">
        <w:rPr>
          <w:rFonts w:eastAsia="Times New Roman" w:cstheme="minorHAnsi"/>
          <w:color w:val="000000"/>
          <w:szCs w:val="20"/>
          <w:lang w:eastAsia="en-GB"/>
        </w:rPr>
        <w:t>Alchemist Codes</w:t>
      </w:r>
      <w:r w:rsidR="00700750"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users and employees. A variety of Malaysian and international laws and regulations, and certain industry standards, govern or apply to </w:t>
      </w:r>
      <w:r w:rsidRPr="009B546D">
        <w:rPr>
          <w:rFonts w:eastAsia="Times New Roman" w:cstheme="minorHAnsi"/>
          <w:color w:val="000000"/>
          <w:szCs w:val="20"/>
          <w:lang w:eastAsia="en-GB"/>
        </w:rPr>
        <w:t>Alchemist Codes</w:t>
      </w:r>
      <w:r w:rsidR="00700750"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collection, use, retention, sharing and security of consumer data.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w:t>
      </w:r>
      <w:r w:rsidR="00E477C9" w:rsidRPr="009B546D">
        <w:rPr>
          <w:rFonts w:eastAsia="Times New Roman" w:cstheme="minorHAnsi"/>
          <w:color w:val="000000"/>
          <w:szCs w:val="20"/>
          <w:lang w:eastAsia="en-GB"/>
        </w:rPr>
        <w:t>is</w:t>
      </w:r>
      <w:r w:rsidR="00E71C16" w:rsidRPr="009B546D">
        <w:rPr>
          <w:rFonts w:eastAsia="Times New Roman" w:cstheme="minorHAnsi"/>
          <w:color w:val="000000"/>
          <w:szCs w:val="20"/>
          <w:lang w:eastAsia="en-GB"/>
        </w:rPr>
        <w:t xml:space="preserve"> subject to certain laws, regulations, contractual obligations and industry standards relating to privacy, data protection, information security and consumer protection, which are evolving and subject to potentially differing interpretations. These requirements may be interpreted and applied in a manner that is inconsistent from one jurisdiction to another or may conflict with other rules or </w:t>
      </w:r>
      <w:r w:rsidRPr="009B546D">
        <w:rPr>
          <w:rFonts w:eastAsia="Times New Roman" w:cstheme="minorHAnsi"/>
          <w:color w:val="000000"/>
          <w:szCs w:val="20"/>
          <w:lang w:eastAsia="en-GB"/>
        </w:rPr>
        <w:t>Alchemist Codes</w:t>
      </w:r>
      <w:r w:rsidR="00E477C9"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practices. As a result, </w:t>
      </w:r>
      <w:r w:rsidRPr="009B546D">
        <w:rPr>
          <w:rFonts w:eastAsia="Times New Roman" w:cstheme="minorHAnsi"/>
          <w:color w:val="000000"/>
          <w:szCs w:val="20"/>
          <w:lang w:eastAsia="en-GB"/>
        </w:rPr>
        <w:t>Alchemist Codes</w:t>
      </w:r>
      <w:r w:rsidR="00E477C9"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practices likely have not complied or may not comply in the future with all such laws, regulations, requirements and obligations. Any failure, or perceived failure, by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to comply with privacy policies or with any Malaysian or international laws, regulations, industry self-regulatory principles, industry standards or codes of conduct, regulatory guidance, orders to which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may be subject or other legal or contractual obligations relating to privacy, data protection, information security or consumer protection could adversely affect </w:t>
      </w:r>
      <w:r w:rsidRPr="009B546D">
        <w:rPr>
          <w:rFonts w:eastAsia="Times New Roman" w:cstheme="minorHAnsi"/>
          <w:color w:val="000000"/>
          <w:szCs w:val="20"/>
          <w:lang w:eastAsia="en-GB"/>
        </w:rPr>
        <w:t>Alchemist Codes</w:t>
      </w:r>
      <w:r w:rsidR="009644E0"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reputation, brand and business, and may result in claims, proceedings or actions against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by governmental entities or others or other liabilities or requires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to change operations and/or cease or modify the use of certain data sets. Any such claim, proceeding or action could hurt </w:t>
      </w:r>
      <w:r w:rsidRPr="009B546D">
        <w:rPr>
          <w:rFonts w:eastAsia="Times New Roman" w:cstheme="minorHAnsi"/>
          <w:color w:val="000000"/>
          <w:szCs w:val="20"/>
          <w:lang w:eastAsia="en-GB"/>
        </w:rPr>
        <w:t>Alchemist Codes</w:t>
      </w:r>
      <w:r w:rsidR="00936A93"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reputation, brand and business, force it to incur significant expenses in defence of such proceedings, distract management, increase costs of doing business, result in a loss of </w:t>
      </w:r>
      <w:r w:rsidR="00A16BFA" w:rsidRPr="009B546D">
        <w:rPr>
          <w:rFonts w:eastAsia="Times New Roman" w:cstheme="minorHAnsi"/>
          <w:color w:val="000000"/>
          <w:szCs w:val="20"/>
          <w:lang w:eastAsia="en-GB"/>
        </w:rPr>
        <w:t>affiliates, retailers, or users</w:t>
      </w:r>
      <w:r w:rsidR="00E71C16" w:rsidRPr="009B546D">
        <w:rPr>
          <w:rFonts w:eastAsia="Times New Roman" w:cstheme="minorHAnsi"/>
          <w:color w:val="000000"/>
          <w:szCs w:val="20"/>
          <w:lang w:eastAsia="en-GB"/>
        </w:rPr>
        <w:t xml:space="preserve"> or an inability to process credit card payments and may result in the imposition of monetary penalties.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may also be contractually required to indemnify and hold harmless third parties from the costs or consequences of non-compliance with any laws, regulations or other legal obligations relating to privacy or consumer protection or any inadvertent or unauthori</w:t>
      </w:r>
      <w:r w:rsidR="00936A93" w:rsidRPr="009B546D">
        <w:rPr>
          <w:rFonts w:eastAsia="Times New Roman" w:cstheme="minorHAnsi"/>
          <w:color w:val="000000"/>
          <w:szCs w:val="20"/>
          <w:lang w:eastAsia="en-GB"/>
        </w:rPr>
        <w:t>s</w:t>
      </w:r>
      <w:r w:rsidR="00E71C16" w:rsidRPr="009B546D">
        <w:rPr>
          <w:rFonts w:eastAsia="Times New Roman" w:cstheme="minorHAnsi"/>
          <w:color w:val="000000"/>
          <w:szCs w:val="20"/>
          <w:lang w:eastAsia="en-GB"/>
        </w:rPr>
        <w:t xml:space="preserve">ed use or disclosure of data that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store or handle as part of operating its business.</w:t>
      </w:r>
    </w:p>
    <w:p w14:paraId="6E63B9C9" w14:textId="16272396" w:rsidR="00E71C16" w:rsidRPr="009B546D" w:rsidRDefault="00E71C16" w:rsidP="00F432B9">
      <w:pPr>
        <w:spacing w:before="240" w:after="0" w:line="240" w:lineRule="auto"/>
        <w:rPr>
          <w:rFonts w:eastAsia="Times New Roman" w:cstheme="minorHAnsi"/>
          <w:color w:val="000000"/>
          <w:szCs w:val="20"/>
          <w:lang w:eastAsia="en-GB"/>
        </w:rPr>
      </w:pPr>
      <w:r w:rsidRPr="009B546D">
        <w:rPr>
          <w:rFonts w:eastAsia="Times New Roman" w:cstheme="minorHAnsi"/>
          <w:color w:val="000000"/>
          <w:szCs w:val="20"/>
          <w:lang w:eastAsia="en-GB"/>
        </w:rPr>
        <w:t xml:space="preserve">Malaysian and international governmental authorities continue to evaluate the privacy implications inherent in the use of third-party "cookies" and other methods of online tracking for behavioural advertising and other purposes. Governments have enacted, have considered or are considering legislation or regulations that could significantly restrict the ability of companies and individuals to engage in these activities, such as by regulating the level of consumer notice and consent required before a company can employ cookies or other electronic tracking tools or the use of data gathered with such tools. Additionally, some providers of consumer devices and web browsers have implemented, or announced plans to implement, means to make it easier for Internet users to prevent the placement of cookies or to block other tracking technologies, which could if widely adopted result in the use of third-party cookies and other methods of online tracking becoming significantly less effective. Regulation of the use of these cookies and other online tracking and advertising practices, or a loss in </w:t>
      </w:r>
      <w:r w:rsidR="00AF0C4A" w:rsidRPr="009B546D">
        <w:rPr>
          <w:rFonts w:eastAsia="Times New Roman" w:cstheme="minorHAnsi"/>
          <w:color w:val="000000"/>
          <w:szCs w:val="20"/>
          <w:lang w:eastAsia="en-GB"/>
        </w:rPr>
        <w:t>Alchemist Codes</w:t>
      </w:r>
      <w:r w:rsidR="009644E0"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ability to make effective use of services that employ such technologies, could increase </w:t>
      </w:r>
      <w:r w:rsidR="00AF0C4A" w:rsidRPr="009B546D">
        <w:rPr>
          <w:rFonts w:eastAsia="Times New Roman" w:cstheme="minorHAnsi"/>
          <w:color w:val="000000"/>
          <w:szCs w:val="20"/>
          <w:lang w:eastAsia="en-GB"/>
        </w:rPr>
        <w:t>Alchemist Codes</w:t>
      </w:r>
      <w:r w:rsidR="009644E0"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costs of operations and limit </w:t>
      </w:r>
      <w:r w:rsidR="00AF0C4A" w:rsidRPr="009B546D">
        <w:rPr>
          <w:rFonts w:eastAsia="Times New Roman" w:cstheme="minorHAnsi"/>
          <w:color w:val="000000"/>
          <w:szCs w:val="20"/>
          <w:lang w:eastAsia="en-GB"/>
        </w:rPr>
        <w:t>Alchemist Codes</w:t>
      </w:r>
      <w:r w:rsidR="009644E0"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ability to track trends, optimi</w:t>
      </w:r>
      <w:r w:rsidR="009644E0" w:rsidRPr="009B546D">
        <w:rPr>
          <w:rFonts w:eastAsia="Times New Roman" w:cstheme="minorHAnsi"/>
          <w:color w:val="000000"/>
          <w:szCs w:val="20"/>
          <w:lang w:eastAsia="en-GB"/>
        </w:rPr>
        <w:t>s</w:t>
      </w:r>
      <w:r w:rsidRPr="009B546D">
        <w:rPr>
          <w:rFonts w:eastAsia="Times New Roman" w:cstheme="minorHAnsi"/>
          <w:color w:val="000000"/>
          <w:szCs w:val="20"/>
          <w:lang w:eastAsia="en-GB"/>
        </w:rPr>
        <w:t xml:space="preserve">e </w:t>
      </w:r>
      <w:r w:rsidR="00AF0C4A" w:rsidRPr="009B546D">
        <w:rPr>
          <w:rFonts w:eastAsia="Times New Roman" w:cstheme="minorHAnsi"/>
          <w:color w:val="000000"/>
          <w:szCs w:val="20"/>
          <w:lang w:eastAsia="en-GB"/>
        </w:rPr>
        <w:t>Alchemist Codes</w:t>
      </w:r>
      <w:r w:rsidR="009644E0"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product assortment or acquire new users on cost-effective terms and consequently, materially adversely affect </w:t>
      </w:r>
      <w:r w:rsidR="00AF0C4A" w:rsidRPr="009B546D">
        <w:rPr>
          <w:rFonts w:eastAsia="Times New Roman" w:cstheme="minorHAnsi"/>
          <w:color w:val="000000"/>
          <w:szCs w:val="20"/>
          <w:lang w:eastAsia="en-GB"/>
        </w:rPr>
        <w:t>Alchemist Codes</w:t>
      </w:r>
      <w:r w:rsidR="009644E0"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business, financial condition and operating results.</w:t>
      </w:r>
    </w:p>
    <w:p w14:paraId="02DB44A4" w14:textId="781B15EC" w:rsidR="00E71C16" w:rsidRPr="009B546D" w:rsidRDefault="00E71C16" w:rsidP="00F432B9">
      <w:pPr>
        <w:spacing w:before="240" w:after="0" w:line="240" w:lineRule="auto"/>
        <w:rPr>
          <w:rFonts w:eastAsia="Times New Roman" w:cstheme="minorHAnsi"/>
          <w:color w:val="000000"/>
          <w:szCs w:val="20"/>
          <w:lang w:eastAsia="en-GB"/>
        </w:rPr>
      </w:pPr>
      <w:bookmarkStart w:id="9" w:name="_AEIOULastRenderedPageBreakAEIOU35"/>
      <w:bookmarkEnd w:id="9"/>
      <w:r w:rsidRPr="009B546D">
        <w:rPr>
          <w:rFonts w:eastAsia="Times New Roman" w:cstheme="minorHAnsi"/>
          <w:color w:val="000000"/>
          <w:szCs w:val="20"/>
          <w:lang w:eastAsia="en-GB"/>
        </w:rPr>
        <w:t>Foreign laws and regulations relating to privacy, data protection, information security, and consumer protection often are more restrictive than those in Malaysia. The European Union, for example, traditionally has imposed stricter obligations under its laws and regulations relating to privacy, data protection and consumer protection than Malaysia. In May 2018</w:t>
      </w:r>
      <w:r w:rsidR="00210838"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the European Union's new regulation governing data practices and privacy called the General Data Protection Regulation, or GDPR, became effective and substantially replaced the data protection laws of the individual European Union member states</w:t>
      </w:r>
      <w:r w:rsidRPr="009B546D">
        <w:rPr>
          <w:rFonts w:eastAsia="Times New Roman" w:cstheme="minorHAnsi"/>
          <w:b/>
          <w:bCs/>
          <w:color w:val="000000"/>
          <w:szCs w:val="20"/>
          <w:lang w:eastAsia="en-GB"/>
        </w:rPr>
        <w:t xml:space="preserve">. </w:t>
      </w:r>
      <w:r w:rsidRPr="009B546D">
        <w:rPr>
          <w:rFonts w:eastAsia="Times New Roman" w:cstheme="minorHAnsi"/>
          <w:color w:val="000000"/>
          <w:szCs w:val="20"/>
          <w:lang w:eastAsia="en-GB"/>
        </w:rPr>
        <w:t xml:space="preserve">The law requires companies to meet more </w:t>
      </w:r>
      <w:r w:rsidRPr="009B546D">
        <w:rPr>
          <w:rFonts w:eastAsia="Times New Roman" w:cstheme="minorHAnsi"/>
          <w:color w:val="000000"/>
          <w:szCs w:val="20"/>
          <w:lang w:eastAsia="en-GB"/>
        </w:rPr>
        <w:lastRenderedPageBreak/>
        <w:t xml:space="preserve">stringent requirements regarding the handling of personal data of individuals in the EU than were required under predecessor EU requirements. In the United Kingdom, a Data Protection Bill that substantially implements the GDPR also became law in May 2018. The law also increases the penalties for non-compliance, which may result in monetary penalties of up to 20.0 million Euros or 4% of a company's worldwide turnover, whichever is higher. The GDPR and other similar regulations require companies to give specific types of notice and in some cases seek consent from users and other data subjects before collecting or using their data for certain purposes, including some marketing activities. </w:t>
      </w:r>
    </w:p>
    <w:p w14:paraId="7CD5312E" w14:textId="4224F220" w:rsidR="00DE7643" w:rsidRPr="009B546D" w:rsidRDefault="00E71C16" w:rsidP="00F432B9">
      <w:pPr>
        <w:spacing w:before="240" w:after="0" w:line="240" w:lineRule="auto"/>
        <w:rPr>
          <w:rFonts w:eastAsia="Times New Roman" w:cstheme="minorHAnsi"/>
          <w:color w:val="000000"/>
          <w:szCs w:val="20"/>
          <w:lang w:eastAsia="en-GB"/>
        </w:rPr>
      </w:pPr>
      <w:r w:rsidRPr="009B546D">
        <w:rPr>
          <w:rFonts w:eastAsia="Times New Roman" w:cstheme="minorHAnsi"/>
          <w:color w:val="000000"/>
          <w:szCs w:val="20"/>
          <w:lang w:eastAsia="en-GB"/>
        </w:rPr>
        <w:t xml:space="preserve">There is increasing regulatory scrutiny on information security, and consumer protection, and new countries and territories are adopting such legislation or other obligations with increasing frequency. Many of these laws may require consent from users for the use of data for various purposes, including marketing, which may reduce </w:t>
      </w:r>
      <w:r w:rsidR="00AF0C4A" w:rsidRPr="009B546D">
        <w:rPr>
          <w:rFonts w:eastAsia="Times New Roman" w:cstheme="minorHAnsi"/>
          <w:color w:val="000000"/>
          <w:szCs w:val="20"/>
          <w:lang w:eastAsia="en-GB"/>
        </w:rPr>
        <w:t>Alchemist Codes</w:t>
      </w:r>
      <w:r w:rsidR="00210838"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ability to market </w:t>
      </w:r>
      <w:r w:rsidR="00AF0C4A" w:rsidRPr="009B546D">
        <w:rPr>
          <w:rFonts w:eastAsia="Times New Roman" w:cstheme="minorHAnsi"/>
          <w:color w:val="000000"/>
          <w:szCs w:val="20"/>
          <w:lang w:eastAsia="en-GB"/>
        </w:rPr>
        <w:t>Alchemist Codes</w:t>
      </w:r>
      <w:r w:rsidR="00210838"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products. There is no harmoni</w:t>
      </w:r>
      <w:r w:rsidR="00210838" w:rsidRPr="009B546D">
        <w:rPr>
          <w:rFonts w:eastAsia="Times New Roman" w:cstheme="minorHAnsi"/>
          <w:color w:val="000000"/>
          <w:szCs w:val="20"/>
          <w:lang w:eastAsia="en-GB"/>
        </w:rPr>
        <w:t>s</w:t>
      </w:r>
      <w:r w:rsidRPr="009B546D">
        <w:rPr>
          <w:rFonts w:eastAsia="Times New Roman" w:cstheme="minorHAnsi"/>
          <w:color w:val="000000"/>
          <w:szCs w:val="20"/>
          <w:lang w:eastAsia="en-GB"/>
        </w:rPr>
        <w:t xml:space="preserve">ed approach to these laws and regulations globally. Consequently, international expansion by </w:t>
      </w:r>
      <w:r w:rsidR="00AF0C4A" w:rsidRPr="009B546D">
        <w:rPr>
          <w:rFonts w:eastAsia="Times New Roman" w:cstheme="minorHAnsi"/>
          <w:color w:val="000000"/>
          <w:szCs w:val="20"/>
          <w:lang w:eastAsia="en-GB"/>
        </w:rPr>
        <w:t>Alchemist Codes</w:t>
      </w:r>
      <w:r w:rsidRPr="009B546D">
        <w:rPr>
          <w:rFonts w:eastAsia="Times New Roman" w:cstheme="minorHAnsi"/>
          <w:color w:val="000000"/>
          <w:szCs w:val="20"/>
          <w:lang w:eastAsia="en-GB"/>
        </w:rPr>
        <w:t xml:space="preserve"> would increase </w:t>
      </w:r>
      <w:r w:rsidR="00AF0C4A" w:rsidRPr="009B546D">
        <w:rPr>
          <w:rFonts w:eastAsia="Times New Roman" w:cstheme="minorHAnsi"/>
          <w:color w:val="000000"/>
          <w:szCs w:val="20"/>
          <w:lang w:eastAsia="en-GB"/>
        </w:rPr>
        <w:t>Alchemist Codes</w:t>
      </w:r>
      <w:r w:rsidR="00936A93"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risk of non-compliance with applicable foreign data protection laws. </w:t>
      </w:r>
      <w:r w:rsidR="00AF0C4A" w:rsidRPr="009B546D">
        <w:rPr>
          <w:rFonts w:eastAsia="Times New Roman" w:cstheme="minorHAnsi"/>
          <w:color w:val="000000"/>
          <w:szCs w:val="20"/>
          <w:lang w:eastAsia="en-GB"/>
        </w:rPr>
        <w:t>Alchemist Codes</w:t>
      </w:r>
      <w:r w:rsidRPr="009B546D">
        <w:rPr>
          <w:rFonts w:eastAsia="Times New Roman" w:cstheme="minorHAnsi"/>
          <w:color w:val="000000"/>
          <w:szCs w:val="20"/>
          <w:lang w:eastAsia="en-GB"/>
        </w:rPr>
        <w:t xml:space="preserve"> may need to change and limit the way </w:t>
      </w:r>
      <w:r w:rsidR="00AF0C4A" w:rsidRPr="009B546D">
        <w:rPr>
          <w:rFonts w:eastAsia="Times New Roman" w:cstheme="minorHAnsi"/>
          <w:color w:val="000000"/>
          <w:szCs w:val="20"/>
          <w:lang w:eastAsia="en-GB"/>
        </w:rPr>
        <w:t>Alchemist Codes</w:t>
      </w:r>
      <w:r w:rsidRPr="009B546D">
        <w:rPr>
          <w:rFonts w:eastAsia="Times New Roman" w:cstheme="minorHAnsi"/>
          <w:color w:val="000000"/>
          <w:szCs w:val="20"/>
          <w:lang w:eastAsia="en-GB"/>
        </w:rPr>
        <w:t xml:space="preserve"> uses personal information in operating business and may have difficulty maintaining a single operating model that is compliant. In addition, Malaysian and foreign legislative and regulatory bodies, or self-regulatory organi</w:t>
      </w:r>
      <w:r w:rsidR="00936A93" w:rsidRPr="009B546D">
        <w:rPr>
          <w:rFonts w:eastAsia="Times New Roman" w:cstheme="minorHAnsi"/>
          <w:color w:val="000000"/>
          <w:szCs w:val="20"/>
          <w:lang w:eastAsia="en-GB"/>
        </w:rPr>
        <w:t>s</w:t>
      </w:r>
      <w:r w:rsidRPr="009B546D">
        <w:rPr>
          <w:rFonts w:eastAsia="Times New Roman" w:cstheme="minorHAnsi"/>
          <w:color w:val="000000"/>
          <w:szCs w:val="20"/>
          <w:lang w:eastAsia="en-GB"/>
        </w:rPr>
        <w:t>ations, may expand current laws or regulations, enact new laws or regulations or issue revised rules or guidance regarding privacy, data protection, information security and consumer protection. As a general matter, compliance with laws, regulations, and any applicable rules or guidance from self-regulatory organizations relating to privacy, data protection, information security and consumer protection, may result in substantial costs and may necessitate changes to business practices, which may compromise growth strategy, adversely affect ability to acquire users, and otherwise adversely affect the business, financial condition and operating results.</w:t>
      </w:r>
    </w:p>
    <w:p w14:paraId="1582BF6F" w14:textId="1A877586" w:rsidR="00E71C16" w:rsidRPr="009B546D" w:rsidRDefault="00E71C16" w:rsidP="00F432B9">
      <w:pPr>
        <w:spacing w:before="240" w:after="0" w:line="240" w:lineRule="auto"/>
        <w:rPr>
          <w:rFonts w:eastAsia="Times New Roman" w:cstheme="minorHAnsi"/>
          <w:b/>
          <w:bCs/>
          <w:color w:val="000000"/>
          <w:szCs w:val="20"/>
          <w:lang w:eastAsia="en-GB"/>
        </w:rPr>
      </w:pPr>
      <w:r w:rsidRPr="009B546D">
        <w:rPr>
          <w:rFonts w:eastAsia="Times New Roman" w:cstheme="minorHAnsi"/>
          <w:b/>
          <w:bCs/>
          <w:color w:val="000000"/>
          <w:szCs w:val="20"/>
          <w:lang w:eastAsia="en-GB"/>
        </w:rPr>
        <w:t xml:space="preserve">System interruptions that impair user access to </w:t>
      </w:r>
      <w:r w:rsidR="00760CDF" w:rsidRPr="009B546D">
        <w:rPr>
          <w:rFonts w:eastAsia="Times New Roman" w:cstheme="minorHAnsi"/>
          <w:b/>
          <w:bCs/>
          <w:color w:val="000000"/>
          <w:szCs w:val="20"/>
          <w:lang w:eastAsia="en-GB"/>
        </w:rPr>
        <w:t>OCTAPLUS</w:t>
      </w:r>
      <w:r w:rsidRPr="009B546D">
        <w:rPr>
          <w:rFonts w:eastAsia="Times New Roman" w:cstheme="minorHAnsi"/>
          <w:b/>
          <w:bCs/>
          <w:color w:val="000000"/>
          <w:szCs w:val="20"/>
          <w:lang w:eastAsia="en-GB"/>
        </w:rPr>
        <w:t xml:space="preserve"> or other performance failures in </w:t>
      </w:r>
      <w:r w:rsidR="00AF0C4A" w:rsidRPr="009B546D">
        <w:rPr>
          <w:rFonts w:eastAsia="Times New Roman" w:cstheme="minorHAnsi"/>
          <w:b/>
          <w:bCs/>
          <w:color w:val="000000"/>
          <w:szCs w:val="20"/>
          <w:lang w:eastAsia="en-GB"/>
        </w:rPr>
        <w:t>Alchemist Codes</w:t>
      </w:r>
      <w:r w:rsidR="00936A93" w:rsidRPr="009B546D">
        <w:rPr>
          <w:rFonts w:eastAsia="Times New Roman" w:cstheme="minorHAnsi"/>
          <w:b/>
          <w:bCs/>
          <w:color w:val="000000"/>
          <w:szCs w:val="20"/>
          <w:lang w:eastAsia="en-GB"/>
        </w:rPr>
        <w:t>’</w:t>
      </w:r>
      <w:r w:rsidRPr="009B546D">
        <w:rPr>
          <w:rFonts w:eastAsia="Times New Roman" w:cstheme="minorHAnsi"/>
          <w:b/>
          <w:bCs/>
          <w:color w:val="000000"/>
          <w:szCs w:val="20"/>
          <w:lang w:eastAsia="en-GB"/>
        </w:rPr>
        <w:t xml:space="preserve"> technology infrastructure could damage </w:t>
      </w:r>
      <w:r w:rsidR="00AF0C4A" w:rsidRPr="009B546D">
        <w:rPr>
          <w:rFonts w:eastAsia="Times New Roman" w:cstheme="minorHAnsi"/>
          <w:b/>
          <w:bCs/>
          <w:color w:val="000000"/>
          <w:szCs w:val="20"/>
          <w:lang w:eastAsia="en-GB"/>
        </w:rPr>
        <w:t>Alchemist Codes</w:t>
      </w:r>
      <w:r w:rsidR="00936A93" w:rsidRPr="009B546D">
        <w:rPr>
          <w:rFonts w:eastAsia="Times New Roman" w:cstheme="minorHAnsi"/>
          <w:b/>
          <w:bCs/>
          <w:color w:val="000000"/>
          <w:szCs w:val="20"/>
          <w:lang w:eastAsia="en-GB"/>
        </w:rPr>
        <w:t>’</w:t>
      </w:r>
      <w:r w:rsidRPr="009B546D">
        <w:rPr>
          <w:rFonts w:eastAsia="Times New Roman" w:cstheme="minorHAnsi"/>
          <w:b/>
          <w:bCs/>
          <w:color w:val="000000"/>
          <w:szCs w:val="20"/>
          <w:lang w:eastAsia="en-GB"/>
        </w:rPr>
        <w:t xml:space="preserve"> business, reputation and brand and substantially harm the business and results of operations.</w:t>
      </w:r>
    </w:p>
    <w:p w14:paraId="53F6CBFB" w14:textId="646DBC8E" w:rsidR="00E71C16" w:rsidRPr="009B546D" w:rsidRDefault="00E71C16" w:rsidP="00F432B9">
      <w:pPr>
        <w:spacing w:before="240" w:after="0" w:line="240" w:lineRule="auto"/>
        <w:rPr>
          <w:rFonts w:eastAsia="Times New Roman" w:cstheme="minorHAnsi"/>
          <w:color w:val="000000"/>
          <w:szCs w:val="20"/>
          <w:lang w:eastAsia="en-GB"/>
        </w:rPr>
      </w:pPr>
      <w:r w:rsidRPr="009B546D">
        <w:rPr>
          <w:rFonts w:eastAsia="Times New Roman" w:cstheme="minorHAnsi"/>
          <w:color w:val="000000"/>
          <w:szCs w:val="20"/>
          <w:lang w:eastAsia="en-GB"/>
        </w:rPr>
        <w:t xml:space="preserve">The satisfactory performance, reliability and availability of </w:t>
      </w:r>
      <w:r w:rsidR="00760CDF" w:rsidRPr="009B546D">
        <w:rPr>
          <w:rFonts w:eastAsia="Times New Roman" w:cstheme="minorHAnsi"/>
          <w:color w:val="000000"/>
          <w:szCs w:val="20"/>
          <w:lang w:eastAsia="en-GB"/>
        </w:rPr>
        <w:t>OCTAPLUS</w:t>
      </w:r>
      <w:r w:rsidRPr="009B546D">
        <w:rPr>
          <w:rFonts w:eastAsia="Times New Roman" w:cstheme="minorHAnsi"/>
          <w:color w:val="000000"/>
          <w:szCs w:val="20"/>
          <w:lang w:eastAsia="en-GB"/>
        </w:rPr>
        <w:t xml:space="preserve">, transaction-processing systems and technology infrastructure are critical to </w:t>
      </w:r>
      <w:r w:rsidR="00AF0C4A" w:rsidRPr="009B546D">
        <w:rPr>
          <w:rFonts w:eastAsia="Times New Roman" w:cstheme="minorHAnsi"/>
          <w:color w:val="000000"/>
          <w:szCs w:val="20"/>
          <w:lang w:eastAsia="en-GB"/>
        </w:rPr>
        <w:t>Alchemist Codes</w:t>
      </w:r>
      <w:r w:rsidR="00936A93"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reputation and </w:t>
      </w:r>
      <w:r w:rsidR="00AF0C4A" w:rsidRPr="009B546D">
        <w:rPr>
          <w:rFonts w:eastAsia="Times New Roman" w:cstheme="minorHAnsi"/>
          <w:color w:val="000000"/>
          <w:szCs w:val="20"/>
          <w:lang w:eastAsia="en-GB"/>
        </w:rPr>
        <w:t>Alchemist Codes</w:t>
      </w:r>
      <w:r w:rsidRPr="009B546D">
        <w:rPr>
          <w:rFonts w:eastAsia="Times New Roman" w:cstheme="minorHAnsi"/>
          <w:color w:val="000000"/>
          <w:szCs w:val="20"/>
          <w:lang w:eastAsia="en-GB"/>
        </w:rPr>
        <w:t xml:space="preserve"> ability to acquire and retain users, as well as maintain adequate user service levels.</w:t>
      </w:r>
    </w:p>
    <w:p w14:paraId="3DFC410A" w14:textId="60E7816E" w:rsidR="00E71C16" w:rsidRPr="009B546D" w:rsidRDefault="00E71C16" w:rsidP="00F432B9">
      <w:pPr>
        <w:spacing w:before="240" w:after="0" w:line="240" w:lineRule="auto"/>
        <w:rPr>
          <w:rFonts w:eastAsia="Times New Roman" w:cstheme="minorHAnsi"/>
          <w:color w:val="000000"/>
          <w:szCs w:val="20"/>
          <w:lang w:eastAsia="en-GB"/>
        </w:rPr>
      </w:pPr>
      <w:r w:rsidRPr="009B546D">
        <w:rPr>
          <w:rFonts w:eastAsia="Times New Roman" w:cstheme="minorHAnsi"/>
          <w:color w:val="000000"/>
          <w:szCs w:val="20"/>
          <w:lang w:eastAsia="en-GB"/>
        </w:rPr>
        <w:t xml:space="preserve">If the facilities where the computer and communications hardware are located fail, or if </w:t>
      </w:r>
      <w:r w:rsidR="00AF0C4A" w:rsidRPr="009B546D">
        <w:rPr>
          <w:rFonts w:eastAsia="Times New Roman" w:cstheme="minorHAnsi"/>
          <w:color w:val="000000"/>
          <w:szCs w:val="20"/>
          <w:lang w:eastAsia="en-GB"/>
        </w:rPr>
        <w:t>Alchemist Codes</w:t>
      </w:r>
      <w:r w:rsidRPr="009B546D">
        <w:rPr>
          <w:rFonts w:eastAsia="Times New Roman" w:cstheme="minorHAnsi"/>
          <w:color w:val="000000"/>
          <w:szCs w:val="20"/>
          <w:lang w:eastAsia="en-GB"/>
        </w:rPr>
        <w:t xml:space="preserve"> suffer</w:t>
      </w:r>
      <w:r w:rsidR="00B36067" w:rsidRPr="009B546D">
        <w:rPr>
          <w:rFonts w:eastAsia="Times New Roman" w:cstheme="minorHAnsi"/>
          <w:color w:val="000000"/>
          <w:szCs w:val="20"/>
          <w:lang w:eastAsia="en-GB"/>
        </w:rPr>
        <w:t>s</w:t>
      </w:r>
      <w:r w:rsidRPr="009B546D">
        <w:rPr>
          <w:rFonts w:eastAsia="Times New Roman" w:cstheme="minorHAnsi"/>
          <w:color w:val="000000"/>
          <w:szCs w:val="20"/>
          <w:lang w:eastAsia="en-GB"/>
        </w:rPr>
        <w:t xml:space="preserve"> an interruption or degradation of services at </w:t>
      </w:r>
      <w:r w:rsidR="00AF0C4A" w:rsidRPr="009B546D">
        <w:rPr>
          <w:rFonts w:eastAsia="Times New Roman" w:cstheme="minorHAnsi"/>
          <w:color w:val="000000"/>
          <w:szCs w:val="20"/>
          <w:lang w:eastAsia="en-GB"/>
        </w:rPr>
        <w:t>Alchemist Codes</w:t>
      </w:r>
      <w:r w:rsidR="00936A93"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main facility, </w:t>
      </w:r>
      <w:r w:rsidR="00AF0C4A" w:rsidRPr="009B546D">
        <w:rPr>
          <w:rFonts w:eastAsia="Times New Roman" w:cstheme="minorHAnsi"/>
          <w:color w:val="000000"/>
          <w:szCs w:val="20"/>
          <w:lang w:eastAsia="en-GB"/>
        </w:rPr>
        <w:t>Alchemist Codes</w:t>
      </w:r>
      <w:r w:rsidRPr="009B546D">
        <w:rPr>
          <w:rFonts w:eastAsia="Times New Roman" w:cstheme="minorHAnsi"/>
          <w:color w:val="000000"/>
          <w:szCs w:val="20"/>
          <w:lang w:eastAsia="en-GB"/>
        </w:rPr>
        <w:t xml:space="preserve"> could lose user data which could harm </w:t>
      </w:r>
      <w:r w:rsidR="00AF0C4A" w:rsidRPr="009B546D">
        <w:rPr>
          <w:rFonts w:eastAsia="Times New Roman" w:cstheme="minorHAnsi"/>
          <w:color w:val="000000"/>
          <w:szCs w:val="20"/>
          <w:lang w:eastAsia="en-GB"/>
        </w:rPr>
        <w:t>Alchemist Codes</w:t>
      </w:r>
      <w:r w:rsidR="00936A93"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business.</w:t>
      </w:r>
      <w:r w:rsidR="007D7B13" w:rsidRPr="009B546D">
        <w:rPr>
          <w:rFonts w:eastAsia="Times New Roman" w:cstheme="minorHAnsi"/>
          <w:color w:val="000000"/>
          <w:szCs w:val="20"/>
          <w:lang w:eastAsia="en-GB"/>
        </w:rPr>
        <w:t xml:space="preserve"> </w:t>
      </w:r>
      <w:r w:rsidRPr="009B546D">
        <w:rPr>
          <w:rFonts w:eastAsia="Times New Roman" w:cstheme="minorHAnsi"/>
          <w:color w:val="000000"/>
          <w:szCs w:val="20"/>
          <w:lang w:eastAsia="en-GB"/>
        </w:rPr>
        <w:t>The systems and operations are vulnerable to damage or interruption from fire, flood, power loss, telecommunications failure, terrorist attacks, cyberattacks, data loss, acts of war, break-ins, earthquake and similar events.</w:t>
      </w:r>
      <w:r w:rsidR="007D7B13" w:rsidRPr="009B546D">
        <w:rPr>
          <w:rFonts w:eastAsia="Times New Roman" w:cstheme="minorHAnsi"/>
          <w:color w:val="000000"/>
          <w:szCs w:val="20"/>
          <w:lang w:eastAsia="en-GB"/>
        </w:rPr>
        <w:t xml:space="preserve"> </w:t>
      </w:r>
    </w:p>
    <w:p w14:paraId="1157E2D8" w14:textId="3F9AB121" w:rsidR="00E71C16" w:rsidRPr="009B546D" w:rsidRDefault="00AF0C4A" w:rsidP="00F432B9">
      <w:pPr>
        <w:spacing w:before="240" w:after="0" w:line="240" w:lineRule="auto"/>
        <w:rPr>
          <w:rFonts w:eastAsia="Times New Roman" w:cstheme="minorHAnsi"/>
          <w:color w:val="000000"/>
          <w:szCs w:val="20"/>
          <w:lang w:eastAsia="en-GB"/>
        </w:rPr>
      </w:pPr>
      <w:bookmarkStart w:id="10" w:name="_AEIOULastRenderedPageBreakAEIOU36"/>
      <w:bookmarkEnd w:id="10"/>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uses complex custom-built proprietary software in </w:t>
      </w:r>
      <w:r w:rsidR="00760CDF" w:rsidRPr="009B546D">
        <w:rPr>
          <w:rFonts w:eastAsia="Times New Roman" w:cstheme="minorHAnsi"/>
          <w:color w:val="000000"/>
          <w:szCs w:val="20"/>
          <w:lang w:eastAsia="en-GB"/>
        </w:rPr>
        <w:t>OCTAPLUS</w:t>
      </w:r>
      <w:r w:rsidR="00936A93"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technology infrastructure, which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seek</w:t>
      </w:r>
      <w:r w:rsidR="00B36067" w:rsidRPr="009B546D">
        <w:rPr>
          <w:rFonts w:eastAsia="Times New Roman" w:cstheme="minorHAnsi"/>
          <w:color w:val="000000"/>
          <w:szCs w:val="20"/>
          <w:lang w:eastAsia="en-GB"/>
        </w:rPr>
        <w:t>s</w:t>
      </w:r>
      <w:r w:rsidR="00E71C16" w:rsidRPr="009B546D">
        <w:rPr>
          <w:rFonts w:eastAsia="Times New Roman" w:cstheme="minorHAnsi"/>
          <w:color w:val="000000"/>
          <w:szCs w:val="20"/>
          <w:lang w:eastAsia="en-GB"/>
        </w:rPr>
        <w:t xml:space="preserve"> to continually update and improve.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may not always be successful in executing these upgrades and improvements, and the operation of </w:t>
      </w:r>
      <w:r w:rsidRPr="009B546D">
        <w:rPr>
          <w:rFonts w:eastAsia="Times New Roman" w:cstheme="minorHAnsi"/>
          <w:color w:val="000000"/>
          <w:szCs w:val="20"/>
          <w:lang w:eastAsia="en-GB"/>
        </w:rPr>
        <w:t>Alchemist Codes</w:t>
      </w:r>
      <w:r w:rsidR="00936A93"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systems may be subject to failure. Additionally, if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expand</w:t>
      </w:r>
      <w:r w:rsidR="00B36067" w:rsidRPr="009B546D">
        <w:rPr>
          <w:rFonts w:eastAsia="Times New Roman" w:cstheme="minorHAnsi"/>
          <w:color w:val="000000"/>
          <w:szCs w:val="20"/>
          <w:lang w:eastAsia="en-GB"/>
        </w:rPr>
        <w:t>s</w:t>
      </w:r>
      <w:r w:rsidR="00E71C16" w:rsidRPr="009B546D">
        <w:rPr>
          <w:rFonts w:eastAsia="Times New Roman" w:cstheme="minorHAnsi"/>
          <w:color w:val="000000"/>
          <w:szCs w:val="20"/>
          <w:lang w:eastAsia="en-GB"/>
        </w:rPr>
        <w:t xml:space="preserve"> </w:t>
      </w:r>
      <w:r w:rsidR="00B36067" w:rsidRPr="009B546D">
        <w:rPr>
          <w:rFonts w:eastAsia="Times New Roman" w:cstheme="minorHAnsi"/>
          <w:color w:val="000000"/>
          <w:szCs w:val="20"/>
          <w:lang w:eastAsia="en-GB"/>
        </w:rPr>
        <w:t>its</w:t>
      </w:r>
      <w:r w:rsidR="00E71C16" w:rsidRPr="009B546D">
        <w:rPr>
          <w:rFonts w:eastAsia="Times New Roman" w:cstheme="minorHAnsi"/>
          <w:color w:val="000000"/>
          <w:szCs w:val="20"/>
          <w:lang w:eastAsia="en-GB"/>
        </w:rPr>
        <w:t xml:space="preserve"> use of third-party services, including cloud-based services, </w:t>
      </w:r>
      <w:r w:rsidRPr="009B546D">
        <w:rPr>
          <w:rFonts w:eastAsia="Times New Roman" w:cstheme="minorHAnsi"/>
          <w:color w:val="000000"/>
          <w:szCs w:val="20"/>
          <w:lang w:eastAsia="en-GB"/>
        </w:rPr>
        <w:t>Alchemist Codes</w:t>
      </w:r>
      <w:r w:rsidR="00936A93"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technology infrastructure may be subject to increased risk of slowdown or interruption as a result of integration with such services and/or failures by such third parties, which are out of </w:t>
      </w:r>
      <w:r w:rsidR="00B36067" w:rsidRPr="009B546D">
        <w:rPr>
          <w:rFonts w:eastAsia="Times New Roman" w:cstheme="minorHAnsi"/>
          <w:color w:val="000000"/>
          <w:szCs w:val="20"/>
          <w:lang w:eastAsia="en-GB"/>
        </w:rPr>
        <w:t>its</w:t>
      </w:r>
      <w:r w:rsidR="00E71C16" w:rsidRPr="009B546D">
        <w:rPr>
          <w:rFonts w:eastAsia="Times New Roman" w:cstheme="minorHAnsi"/>
          <w:color w:val="000000"/>
          <w:szCs w:val="20"/>
          <w:lang w:eastAsia="en-GB"/>
        </w:rPr>
        <w:t xml:space="preserve"> control. Revenue is dependent on the number of users who shop on </w:t>
      </w:r>
      <w:r w:rsidR="00760CDF" w:rsidRPr="009B546D">
        <w:rPr>
          <w:rFonts w:eastAsia="Times New Roman" w:cstheme="minorHAnsi"/>
          <w:color w:val="000000"/>
          <w:szCs w:val="20"/>
          <w:lang w:eastAsia="en-GB"/>
        </w:rPr>
        <w:t>OCTAPLUS</w:t>
      </w:r>
      <w:r w:rsidR="00E71C16" w:rsidRPr="009B546D">
        <w:rPr>
          <w:rFonts w:eastAsia="Times New Roman" w:cstheme="minorHAnsi"/>
          <w:color w:val="000000"/>
          <w:szCs w:val="20"/>
          <w:lang w:eastAsia="en-GB"/>
        </w:rPr>
        <w:t xml:space="preserve"> and the volume of orders </w:t>
      </w:r>
      <w:r w:rsidR="00760CDF" w:rsidRPr="009B546D">
        <w:rPr>
          <w:rFonts w:eastAsia="Times New Roman" w:cstheme="minorHAnsi"/>
          <w:color w:val="000000"/>
          <w:szCs w:val="20"/>
          <w:lang w:eastAsia="en-GB"/>
        </w:rPr>
        <w:t>OCTAPLUS</w:t>
      </w:r>
      <w:r w:rsidR="00E71C16" w:rsidRPr="009B546D">
        <w:rPr>
          <w:rFonts w:eastAsia="Times New Roman" w:cstheme="minorHAnsi"/>
          <w:color w:val="000000"/>
          <w:szCs w:val="20"/>
          <w:lang w:eastAsia="en-GB"/>
        </w:rPr>
        <w:t xml:space="preserve"> handles. Unavailability of </w:t>
      </w:r>
      <w:r w:rsidR="00760CDF" w:rsidRPr="009B546D">
        <w:rPr>
          <w:rFonts w:eastAsia="Times New Roman" w:cstheme="minorHAnsi"/>
          <w:color w:val="000000"/>
          <w:szCs w:val="20"/>
          <w:lang w:eastAsia="en-GB"/>
        </w:rPr>
        <w:t>OCTAPLUS</w:t>
      </w:r>
      <w:r w:rsidR="00E71C16" w:rsidRPr="009B546D">
        <w:rPr>
          <w:rFonts w:eastAsia="Times New Roman" w:cstheme="minorHAnsi"/>
          <w:color w:val="000000"/>
          <w:szCs w:val="20"/>
          <w:lang w:eastAsia="en-GB"/>
        </w:rPr>
        <w:t xml:space="preserve"> or reduced user participation would reduce the volume of goods sold and could also materially adversely affect consumer perception of </w:t>
      </w:r>
      <w:r w:rsidRPr="009B546D">
        <w:rPr>
          <w:rFonts w:eastAsia="Times New Roman" w:cstheme="minorHAnsi"/>
          <w:color w:val="000000"/>
          <w:szCs w:val="20"/>
          <w:lang w:eastAsia="en-GB"/>
        </w:rPr>
        <w:t>Alchemist Codes</w:t>
      </w:r>
      <w:r w:rsidR="009D7B47"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brand.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may experience periodic system interruptions from time to time. In addition, continued growth in transaction volume, as well as surges in online traffic and orders associated with promotional activities or seasonal trends in business, place additional demands on </w:t>
      </w:r>
      <w:r w:rsidR="00760CDF" w:rsidRPr="009B546D">
        <w:rPr>
          <w:rFonts w:eastAsia="Times New Roman" w:cstheme="minorHAnsi"/>
          <w:color w:val="000000"/>
          <w:szCs w:val="20"/>
          <w:lang w:eastAsia="en-GB"/>
        </w:rPr>
        <w:t>OCTAPLUS</w:t>
      </w:r>
      <w:r w:rsidR="009D7B47"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technology platform and could cause or exacerbate slowdowns or interruptions. If there is a substantial increase in the volume of traffic on </w:t>
      </w:r>
      <w:r w:rsidR="00760CDF" w:rsidRPr="009B546D">
        <w:rPr>
          <w:rFonts w:eastAsia="Times New Roman" w:cstheme="minorHAnsi"/>
          <w:color w:val="000000"/>
          <w:szCs w:val="20"/>
          <w:lang w:eastAsia="en-GB"/>
        </w:rPr>
        <w:t>OCTAPLUS</w:t>
      </w:r>
      <w:r w:rsidR="00E71C16" w:rsidRPr="009B546D">
        <w:rPr>
          <w:rFonts w:eastAsia="Times New Roman" w:cstheme="minorHAnsi"/>
          <w:color w:val="000000"/>
          <w:szCs w:val="20"/>
          <w:lang w:eastAsia="en-GB"/>
        </w:rPr>
        <w:t xml:space="preserve"> or the number of orders placed by users,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will be required to further expand, scale and upgrade the technology, transaction processing systems and network infrastructure. There can be no assurance that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will be able to accurately project the rate or timing of increases, if any, in the use of </w:t>
      </w:r>
      <w:r w:rsidR="00760CDF" w:rsidRPr="009B546D">
        <w:rPr>
          <w:rFonts w:eastAsia="Times New Roman" w:cstheme="minorHAnsi"/>
          <w:color w:val="000000"/>
          <w:szCs w:val="20"/>
          <w:lang w:eastAsia="en-GB"/>
        </w:rPr>
        <w:t>OCTAPLUS</w:t>
      </w:r>
      <w:r w:rsidR="00E71C16" w:rsidRPr="009B546D">
        <w:rPr>
          <w:rFonts w:eastAsia="Times New Roman" w:cstheme="minorHAnsi"/>
          <w:color w:val="000000"/>
          <w:szCs w:val="20"/>
          <w:lang w:eastAsia="en-GB"/>
        </w:rPr>
        <w:t xml:space="preserve"> or expand, scale and upgrade the technology, systems and infrastructure to accommodate such increases on a timely basis. In order to remain competitive,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must continue to enhance and improve the responsiveness, functionality and features of </w:t>
      </w:r>
      <w:r w:rsidRPr="009B546D">
        <w:rPr>
          <w:rFonts w:eastAsia="Times New Roman" w:cstheme="minorHAnsi"/>
          <w:color w:val="000000"/>
          <w:szCs w:val="20"/>
          <w:lang w:eastAsia="en-GB"/>
        </w:rPr>
        <w:t>Alchemist Codes</w:t>
      </w:r>
      <w:r w:rsidR="009D7B47"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sites, which is particularly challenging given the rapid rate at </w:t>
      </w:r>
      <w:r w:rsidR="00E71C16" w:rsidRPr="009B546D">
        <w:rPr>
          <w:rFonts w:eastAsia="Times New Roman" w:cstheme="minorHAnsi"/>
          <w:color w:val="000000"/>
          <w:szCs w:val="20"/>
          <w:lang w:eastAsia="en-GB"/>
        </w:rPr>
        <w:lastRenderedPageBreak/>
        <w:t xml:space="preserve">which new technologies, user preferences and expectations and industry standards and practices are evolving in the </w:t>
      </w:r>
      <w:r w:rsidR="00CA0EBC" w:rsidRPr="009B546D">
        <w:rPr>
          <w:rFonts w:eastAsia="Times New Roman" w:cstheme="minorHAnsi"/>
          <w:color w:val="000000"/>
          <w:szCs w:val="20"/>
          <w:lang w:eastAsia="en-GB"/>
        </w:rPr>
        <w:t>e-commerce</w:t>
      </w:r>
      <w:r w:rsidR="00E71C16" w:rsidRPr="009B546D">
        <w:rPr>
          <w:rFonts w:eastAsia="Times New Roman" w:cstheme="minorHAnsi"/>
          <w:color w:val="000000"/>
          <w:szCs w:val="20"/>
          <w:lang w:eastAsia="en-GB"/>
        </w:rPr>
        <w:t xml:space="preserve"> industry. Accordingly, if there is redesign and enhancement of various functions on </w:t>
      </w:r>
      <w:r w:rsidR="00760CDF" w:rsidRPr="009B546D">
        <w:rPr>
          <w:rFonts w:eastAsia="Times New Roman" w:cstheme="minorHAnsi"/>
          <w:color w:val="000000"/>
          <w:szCs w:val="20"/>
          <w:lang w:eastAsia="en-GB"/>
        </w:rPr>
        <w:t>OCTAPLUS</w:t>
      </w:r>
      <w:r w:rsidR="00E71C16" w:rsidRPr="009B546D">
        <w:rPr>
          <w:rFonts w:eastAsia="Times New Roman" w:cstheme="minorHAnsi"/>
          <w:color w:val="000000"/>
          <w:szCs w:val="20"/>
          <w:lang w:eastAsia="en-GB"/>
        </w:rPr>
        <w:t xml:space="preserve"> on a regular basis, </w:t>
      </w:r>
      <w:r w:rsidR="009D7B47" w:rsidRPr="009B546D">
        <w:rPr>
          <w:rFonts w:eastAsia="Times New Roman" w:cstheme="minorHAnsi"/>
          <w:color w:val="000000"/>
          <w:szCs w:val="20"/>
          <w:lang w:eastAsia="en-GB"/>
        </w:rPr>
        <w:t xml:space="preserve">then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may experience instability and performance issues as a result of these changes.</w:t>
      </w:r>
    </w:p>
    <w:p w14:paraId="1B3589FB" w14:textId="1026239F" w:rsidR="00E71C16" w:rsidRPr="009B546D" w:rsidRDefault="00E71C16" w:rsidP="00F432B9">
      <w:pPr>
        <w:spacing w:before="240" w:after="0" w:line="240" w:lineRule="auto"/>
        <w:rPr>
          <w:rFonts w:eastAsia="Times New Roman" w:cstheme="minorHAnsi"/>
          <w:color w:val="000000"/>
          <w:szCs w:val="20"/>
          <w:lang w:eastAsia="en-GB"/>
        </w:rPr>
      </w:pPr>
      <w:r w:rsidRPr="009B546D">
        <w:rPr>
          <w:rFonts w:eastAsia="Times New Roman" w:cstheme="minorHAnsi"/>
          <w:color w:val="000000"/>
          <w:szCs w:val="20"/>
          <w:lang w:eastAsia="en-GB"/>
        </w:rPr>
        <w:t xml:space="preserve">Any slowdown or failure of </w:t>
      </w:r>
      <w:r w:rsidR="00760CDF" w:rsidRPr="009B546D">
        <w:rPr>
          <w:rFonts w:eastAsia="Times New Roman" w:cstheme="minorHAnsi"/>
          <w:color w:val="000000"/>
          <w:szCs w:val="20"/>
          <w:lang w:eastAsia="en-GB"/>
        </w:rPr>
        <w:t>OCTAPLUS</w:t>
      </w:r>
      <w:r w:rsidRPr="009B546D">
        <w:rPr>
          <w:rFonts w:eastAsia="Times New Roman" w:cstheme="minorHAnsi"/>
          <w:color w:val="000000"/>
          <w:szCs w:val="20"/>
          <w:lang w:eastAsia="en-GB"/>
        </w:rPr>
        <w:t xml:space="preserve"> and the underlying technology infrastructure could harm </w:t>
      </w:r>
      <w:r w:rsidR="00AF0C4A" w:rsidRPr="009B546D">
        <w:rPr>
          <w:rFonts w:eastAsia="Times New Roman" w:cstheme="minorHAnsi"/>
          <w:color w:val="000000"/>
          <w:szCs w:val="20"/>
          <w:lang w:eastAsia="en-GB"/>
        </w:rPr>
        <w:t>Alchemist Codes</w:t>
      </w:r>
      <w:r w:rsidR="009D7B47"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business, reputation and ability to acquire, retain and serve users, which could materially adversely affect </w:t>
      </w:r>
      <w:r w:rsidR="00AF0C4A" w:rsidRPr="009B546D">
        <w:rPr>
          <w:rFonts w:eastAsia="Times New Roman" w:cstheme="minorHAnsi"/>
          <w:color w:val="000000"/>
          <w:szCs w:val="20"/>
          <w:lang w:eastAsia="en-GB"/>
        </w:rPr>
        <w:t>Alchemist Codes</w:t>
      </w:r>
      <w:r w:rsidR="009D7B47"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results of operations. </w:t>
      </w:r>
    </w:p>
    <w:p w14:paraId="41C5576F" w14:textId="1828DE70" w:rsidR="00E71C16" w:rsidRPr="009B546D" w:rsidRDefault="00E71C16" w:rsidP="00F432B9">
      <w:pPr>
        <w:spacing w:before="240" w:after="0" w:line="240" w:lineRule="auto"/>
        <w:rPr>
          <w:rFonts w:eastAsia="Times New Roman" w:cstheme="minorHAnsi"/>
          <w:b/>
          <w:bCs/>
          <w:color w:val="000000"/>
          <w:szCs w:val="20"/>
          <w:lang w:eastAsia="en-GB"/>
        </w:rPr>
      </w:pPr>
      <w:r w:rsidRPr="009B546D">
        <w:rPr>
          <w:rFonts w:eastAsia="Times New Roman" w:cstheme="minorHAnsi"/>
          <w:b/>
          <w:bCs/>
          <w:color w:val="000000"/>
          <w:szCs w:val="20"/>
          <w:lang w:eastAsia="en-GB"/>
        </w:rPr>
        <w:t xml:space="preserve">If </w:t>
      </w:r>
      <w:r w:rsidR="00AF0C4A" w:rsidRPr="009B546D">
        <w:rPr>
          <w:rFonts w:eastAsia="Times New Roman" w:cstheme="minorHAnsi"/>
          <w:b/>
          <w:bCs/>
          <w:color w:val="000000"/>
          <w:szCs w:val="20"/>
          <w:lang w:eastAsia="en-GB"/>
        </w:rPr>
        <w:t>Alchemist Codes</w:t>
      </w:r>
      <w:r w:rsidRPr="009B546D">
        <w:rPr>
          <w:rFonts w:eastAsia="Times New Roman" w:cstheme="minorHAnsi"/>
          <w:b/>
          <w:bCs/>
          <w:color w:val="000000"/>
          <w:szCs w:val="20"/>
          <w:lang w:eastAsia="en-GB"/>
        </w:rPr>
        <w:t xml:space="preserve"> cannot successfully protect intellectual property, the business would suffer.</w:t>
      </w:r>
    </w:p>
    <w:p w14:paraId="4AB815BD" w14:textId="58C4BDD5" w:rsidR="00E71C16" w:rsidRPr="009B546D" w:rsidRDefault="00AF0C4A" w:rsidP="00F432B9">
      <w:pPr>
        <w:spacing w:before="240" w:after="0" w:line="240" w:lineRule="auto"/>
        <w:rPr>
          <w:rFonts w:eastAsia="Times New Roman" w:cstheme="minorHAnsi"/>
          <w:color w:val="000000"/>
          <w:szCs w:val="20"/>
          <w:lang w:eastAsia="en-GB"/>
        </w:rPr>
      </w:pP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rel</w:t>
      </w:r>
      <w:r w:rsidR="009D7B47" w:rsidRPr="009B546D">
        <w:rPr>
          <w:rFonts w:eastAsia="Times New Roman" w:cstheme="minorHAnsi"/>
          <w:color w:val="000000"/>
          <w:szCs w:val="20"/>
          <w:lang w:eastAsia="en-GB"/>
        </w:rPr>
        <w:t>ies</w:t>
      </w:r>
      <w:r w:rsidR="00E71C16" w:rsidRPr="009B546D">
        <w:rPr>
          <w:rFonts w:eastAsia="Times New Roman" w:cstheme="minorHAnsi"/>
          <w:color w:val="000000"/>
          <w:szCs w:val="20"/>
          <w:lang w:eastAsia="en-GB"/>
        </w:rPr>
        <w:t xml:space="preserve"> on trademark, copyright, trade secrets, confidentiality agreements and other practices to protect its brand, designs, proprietary information, technologies and processes. The proprietary software and OCTAPLUS name are valuable assets that support </w:t>
      </w:r>
      <w:r w:rsidRPr="009B546D">
        <w:rPr>
          <w:rFonts w:eastAsia="Times New Roman" w:cstheme="minorHAnsi"/>
          <w:color w:val="000000"/>
          <w:szCs w:val="20"/>
          <w:lang w:eastAsia="en-GB"/>
        </w:rPr>
        <w:t>Alchemist Codes</w:t>
      </w:r>
      <w:r w:rsidR="009D7B47"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brand and users’ perception of </w:t>
      </w:r>
      <w:r w:rsidRPr="009B546D">
        <w:rPr>
          <w:rFonts w:eastAsia="Times New Roman" w:cstheme="minorHAnsi"/>
          <w:color w:val="000000"/>
          <w:szCs w:val="20"/>
          <w:lang w:eastAsia="en-GB"/>
        </w:rPr>
        <w:t>Alchemist Codes</w:t>
      </w:r>
      <w:r w:rsidR="009D7B47"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services. If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w:t>
      </w:r>
      <w:r w:rsidR="009D7B47" w:rsidRPr="009B546D">
        <w:rPr>
          <w:rFonts w:eastAsia="Times New Roman" w:cstheme="minorHAnsi"/>
          <w:color w:val="000000"/>
          <w:szCs w:val="20"/>
          <w:lang w:eastAsia="en-GB"/>
        </w:rPr>
        <w:t xml:space="preserve">is </w:t>
      </w:r>
      <w:r w:rsidR="00E71C16" w:rsidRPr="009B546D">
        <w:rPr>
          <w:rFonts w:eastAsia="Times New Roman" w:cstheme="minorHAnsi"/>
          <w:color w:val="000000"/>
          <w:szCs w:val="20"/>
          <w:lang w:eastAsia="en-GB"/>
        </w:rPr>
        <w:t xml:space="preserve">unable to protect its proprietary software or domain names in Malaysia or in other jurisdictions in which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may ultimately operate, </w:t>
      </w:r>
      <w:r w:rsidRPr="009B546D">
        <w:rPr>
          <w:rFonts w:eastAsia="Times New Roman" w:cstheme="minorHAnsi"/>
          <w:color w:val="000000"/>
          <w:szCs w:val="20"/>
          <w:lang w:eastAsia="en-GB"/>
        </w:rPr>
        <w:t>Alchemist Codes</w:t>
      </w:r>
      <w:r w:rsidR="00096735"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brand recognition and reputation would suffer,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would incur significant expense establishing new software and </w:t>
      </w:r>
      <w:r w:rsidRPr="009B546D">
        <w:rPr>
          <w:rFonts w:eastAsia="Times New Roman" w:cstheme="minorHAnsi"/>
          <w:color w:val="000000"/>
          <w:szCs w:val="20"/>
          <w:lang w:eastAsia="en-GB"/>
        </w:rPr>
        <w:t>Alchemist Codes</w:t>
      </w:r>
      <w:r w:rsidR="00096735"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operating results would be adversely impacted.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is expected to expend substantial resources in the development of new services and technologies but </w:t>
      </w:r>
      <w:r w:rsidR="00096735" w:rsidRPr="009B546D">
        <w:rPr>
          <w:rFonts w:eastAsia="Times New Roman" w:cstheme="minorHAnsi"/>
          <w:color w:val="000000"/>
          <w:szCs w:val="20"/>
          <w:lang w:eastAsia="en-GB"/>
        </w:rPr>
        <w:t>is</w:t>
      </w:r>
      <w:r w:rsidR="00E71C16" w:rsidRPr="009B546D">
        <w:rPr>
          <w:rFonts w:eastAsia="Times New Roman" w:cstheme="minorHAnsi"/>
          <w:color w:val="000000"/>
          <w:szCs w:val="20"/>
          <w:lang w:eastAsia="en-GB"/>
        </w:rPr>
        <w:t xml:space="preserve"> susceptible to counterfeiting, which may harm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reputation and force them to incur expenses in enforcing intellectual property rights. Counterfeiting may be difficult or costly to detect and any related claims or lawsuits to enforce </w:t>
      </w: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rights can be expensive to resolve, require management time and resources, and may not provide a satisfactory or timely result. Despite </w:t>
      </w:r>
      <w:r w:rsidRPr="009B546D">
        <w:rPr>
          <w:rFonts w:eastAsia="Times New Roman" w:cstheme="minorHAnsi"/>
          <w:color w:val="000000"/>
          <w:szCs w:val="20"/>
          <w:lang w:eastAsia="en-GB"/>
        </w:rPr>
        <w:t>Alchemist Codes</w:t>
      </w:r>
      <w:r w:rsidR="005D00B2"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efforts to enforce intellectual property rights, counterfeiters may continue to violate intellectual property rights by using </w:t>
      </w:r>
      <w:r w:rsidRPr="009B546D">
        <w:rPr>
          <w:rFonts w:eastAsia="Times New Roman" w:cstheme="minorHAnsi"/>
          <w:color w:val="000000"/>
          <w:szCs w:val="20"/>
          <w:lang w:eastAsia="en-GB"/>
        </w:rPr>
        <w:t>Alchemist Codes</w:t>
      </w:r>
      <w:r w:rsidR="005D00B2"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trademarks or imitating or copying </w:t>
      </w:r>
      <w:r w:rsidR="00760CDF" w:rsidRPr="009B546D">
        <w:rPr>
          <w:rFonts w:eastAsia="Times New Roman" w:cstheme="minorHAnsi"/>
          <w:color w:val="000000"/>
          <w:szCs w:val="20"/>
          <w:lang w:eastAsia="en-GB"/>
        </w:rPr>
        <w:t>OCTAPLUS</w:t>
      </w:r>
      <w:r w:rsidR="00E71C16" w:rsidRPr="009B546D">
        <w:rPr>
          <w:rFonts w:eastAsia="Times New Roman" w:cstheme="minorHAnsi"/>
          <w:color w:val="000000"/>
          <w:szCs w:val="20"/>
          <w:lang w:eastAsia="en-GB"/>
        </w:rPr>
        <w:t xml:space="preserve">, which could harm </w:t>
      </w:r>
      <w:r w:rsidRPr="009B546D">
        <w:rPr>
          <w:rFonts w:eastAsia="Times New Roman" w:cstheme="minorHAnsi"/>
          <w:color w:val="000000"/>
          <w:szCs w:val="20"/>
          <w:lang w:eastAsia="en-GB"/>
        </w:rPr>
        <w:t>Alchemist Codes</w:t>
      </w:r>
      <w:r w:rsidR="005D00B2" w:rsidRPr="009B546D">
        <w:rPr>
          <w:rFonts w:eastAsia="Times New Roman" w:cstheme="minorHAnsi"/>
          <w:color w:val="000000"/>
          <w:szCs w:val="20"/>
          <w:lang w:eastAsia="en-GB"/>
        </w:rPr>
        <w:t>’</w:t>
      </w:r>
      <w:r w:rsidR="00E71C16" w:rsidRPr="009B546D">
        <w:rPr>
          <w:rFonts w:eastAsia="Times New Roman" w:cstheme="minorHAnsi"/>
          <w:color w:val="000000"/>
          <w:szCs w:val="20"/>
          <w:lang w:eastAsia="en-GB"/>
        </w:rPr>
        <w:t xml:space="preserve"> brand, reputation and financial condition. </w:t>
      </w:r>
    </w:p>
    <w:p w14:paraId="1326DA64" w14:textId="34219FF1" w:rsidR="00E71C16" w:rsidRPr="009B546D" w:rsidRDefault="00E71C16" w:rsidP="00F432B9">
      <w:pPr>
        <w:spacing w:before="240" w:after="0" w:line="240" w:lineRule="auto"/>
        <w:rPr>
          <w:rFonts w:eastAsia="Times New Roman" w:cstheme="minorHAnsi"/>
          <w:color w:val="000000"/>
          <w:szCs w:val="20"/>
          <w:lang w:eastAsia="en-GB"/>
        </w:rPr>
      </w:pPr>
      <w:bookmarkStart w:id="11" w:name="_AEIOULastRenderedPageBreakAEIOU39"/>
      <w:bookmarkEnd w:id="11"/>
      <w:r w:rsidRPr="009B546D">
        <w:rPr>
          <w:rFonts w:eastAsia="Times New Roman" w:cstheme="minorHAnsi"/>
          <w:color w:val="000000"/>
          <w:szCs w:val="20"/>
          <w:lang w:eastAsia="en-GB"/>
        </w:rPr>
        <w:t xml:space="preserve">Any registered copyrights or patents that may be issued in the future may not provide </w:t>
      </w:r>
      <w:r w:rsidR="00AF0C4A" w:rsidRPr="009B546D">
        <w:rPr>
          <w:rFonts w:eastAsia="Times New Roman" w:cstheme="minorHAnsi"/>
          <w:color w:val="000000"/>
          <w:szCs w:val="20"/>
          <w:lang w:eastAsia="en-GB"/>
        </w:rPr>
        <w:t>Alchemist Codes</w:t>
      </w:r>
      <w:r w:rsidRPr="009B546D">
        <w:rPr>
          <w:rFonts w:eastAsia="Times New Roman" w:cstheme="minorHAnsi"/>
          <w:color w:val="000000"/>
          <w:szCs w:val="20"/>
          <w:lang w:eastAsia="en-GB"/>
        </w:rPr>
        <w:t xml:space="preserve"> with any competitive advantages or may be challenged by third parties, and future registered copyrights or patent applications may never be granted. Even if issued, there can be no assurance that these registered copyrights or patents will adequately protect </w:t>
      </w:r>
      <w:r w:rsidR="00AF0C4A" w:rsidRPr="009B546D">
        <w:rPr>
          <w:rFonts w:eastAsia="Times New Roman" w:cstheme="minorHAnsi"/>
          <w:color w:val="000000"/>
          <w:szCs w:val="20"/>
          <w:lang w:eastAsia="en-GB"/>
        </w:rPr>
        <w:t>Alchemist Codes</w:t>
      </w:r>
      <w:r w:rsidR="00096735" w:rsidRPr="009B546D">
        <w:rPr>
          <w:rFonts w:eastAsia="Times New Roman" w:cstheme="minorHAnsi"/>
          <w:color w:val="000000"/>
          <w:szCs w:val="20"/>
          <w:lang w:eastAsia="en-GB"/>
        </w:rPr>
        <w:t>’</w:t>
      </w:r>
      <w:r w:rsidRPr="009B546D">
        <w:rPr>
          <w:rFonts w:eastAsia="Times New Roman" w:cstheme="minorHAnsi"/>
          <w:color w:val="000000"/>
          <w:szCs w:val="20"/>
          <w:lang w:eastAsia="en-GB"/>
        </w:rPr>
        <w:t xml:space="preserve"> intellectual property or survive a legal challenge, as the legal standards relating to the validity, enforceability and scope of protection of registered copyright, patent and other intellectual property rights are uncertain. </w:t>
      </w:r>
    </w:p>
    <w:p w14:paraId="5494E2ED" w14:textId="4B90CEF7" w:rsidR="00E71C16" w:rsidRPr="009B546D" w:rsidRDefault="00AF0C4A" w:rsidP="00F432B9">
      <w:pPr>
        <w:spacing w:before="240" w:after="0" w:line="240" w:lineRule="auto"/>
        <w:rPr>
          <w:rFonts w:eastAsia="Times New Roman" w:cstheme="minorHAnsi"/>
          <w:color w:val="000000"/>
          <w:szCs w:val="20"/>
          <w:lang w:eastAsia="en-GB"/>
        </w:rPr>
      </w:pPr>
      <w:r w:rsidRPr="009B546D">
        <w:rPr>
          <w:rFonts w:eastAsia="Times New Roman" w:cstheme="minorHAnsi"/>
          <w:color w:val="000000"/>
          <w:szCs w:val="20"/>
          <w:lang w:eastAsia="en-GB"/>
        </w:rPr>
        <w:t>Alchemist Codes</w:t>
      </w:r>
      <w:r w:rsidR="00E71C16" w:rsidRPr="009B546D">
        <w:rPr>
          <w:rFonts w:eastAsia="Times New Roman" w:cstheme="minorHAnsi"/>
          <w:color w:val="000000"/>
          <w:szCs w:val="20"/>
          <w:lang w:eastAsia="en-GB"/>
        </w:rPr>
        <w:t xml:space="preserve"> may be required to spend significant resources to monitor and protect intellectual property rights, and the efforts taken to protect proprietary rights may not be sufficient.</w:t>
      </w:r>
    </w:p>
    <w:p w14:paraId="12804BAD" w14:textId="77777777" w:rsidR="00D90E1F" w:rsidRPr="009B546D" w:rsidRDefault="00D90E1F" w:rsidP="00F432B9">
      <w:pPr>
        <w:widowControl w:val="0"/>
        <w:spacing w:line="240" w:lineRule="auto"/>
        <w:rPr>
          <w:rFonts w:cstheme="minorHAnsi"/>
          <w:szCs w:val="20"/>
        </w:rPr>
      </w:pPr>
      <w:bookmarkStart w:id="12" w:name="_AEIOULastRenderedPageBreakAEIOU47"/>
      <w:bookmarkEnd w:id="12"/>
    </w:p>
    <w:p w14:paraId="5EE3D655" w14:textId="307F1F49" w:rsidR="00D90E1F" w:rsidRPr="009B546D" w:rsidRDefault="00D90E1F" w:rsidP="00EA2BB6">
      <w:pPr>
        <w:pStyle w:val="Heading2"/>
        <w:keepNext w:val="0"/>
        <w:widowControl w:val="0"/>
        <w:spacing w:after="120" w:line="240" w:lineRule="auto"/>
        <w:rPr>
          <w:rFonts w:asciiTheme="minorHAnsi" w:hAnsiTheme="minorHAnsi" w:cstheme="minorHAnsi"/>
          <w:szCs w:val="20"/>
        </w:rPr>
      </w:pPr>
      <w:r w:rsidRPr="009B546D">
        <w:rPr>
          <w:rFonts w:asciiTheme="minorHAnsi" w:hAnsiTheme="minorHAnsi" w:cstheme="minorHAnsi"/>
          <w:szCs w:val="20"/>
        </w:rPr>
        <w:t>Risks relating to the Ordinary Shares and the Main Market</w:t>
      </w:r>
    </w:p>
    <w:p w14:paraId="65A25457" w14:textId="77777777" w:rsidR="00D90E1F" w:rsidRPr="009B546D" w:rsidRDefault="00D90E1F" w:rsidP="00EA2BB6">
      <w:pPr>
        <w:pStyle w:val="Heading3"/>
        <w:keepNext w:val="0"/>
        <w:widowControl w:val="0"/>
        <w:spacing w:after="120" w:line="240" w:lineRule="auto"/>
        <w:rPr>
          <w:rFonts w:asciiTheme="minorHAnsi" w:hAnsiTheme="minorHAnsi" w:cstheme="minorHAnsi"/>
          <w:szCs w:val="20"/>
        </w:rPr>
      </w:pPr>
      <w:r w:rsidRPr="009B546D">
        <w:rPr>
          <w:rFonts w:asciiTheme="minorHAnsi" w:hAnsiTheme="minorHAnsi" w:cstheme="minorHAnsi"/>
          <w:szCs w:val="20"/>
        </w:rPr>
        <w:t>The proposed Standard Listing of the Ordinary Shares will afford investors a lower level of regulatory protection than a Premium Listing</w:t>
      </w:r>
    </w:p>
    <w:p w14:paraId="1F8A892A" w14:textId="6AD4BC40" w:rsidR="00D90E1F" w:rsidRPr="009B546D" w:rsidRDefault="00D90E1F" w:rsidP="00EA2BB6">
      <w:pPr>
        <w:widowControl w:val="0"/>
        <w:spacing w:after="120" w:line="240" w:lineRule="auto"/>
        <w:rPr>
          <w:rFonts w:cstheme="minorHAnsi"/>
          <w:szCs w:val="20"/>
        </w:rPr>
      </w:pPr>
      <w:r w:rsidRPr="009B546D">
        <w:rPr>
          <w:rFonts w:cstheme="minorHAnsi"/>
          <w:szCs w:val="20"/>
        </w:rPr>
        <w:t xml:space="preserve">Application will be made for the Company’s </w:t>
      </w:r>
      <w:r w:rsidR="00423571" w:rsidRPr="009B546D">
        <w:rPr>
          <w:rFonts w:cstheme="minorHAnsi"/>
          <w:szCs w:val="20"/>
        </w:rPr>
        <w:t>Enlarged</w:t>
      </w:r>
      <w:r w:rsidRPr="009B546D">
        <w:rPr>
          <w:rFonts w:cstheme="minorHAnsi"/>
          <w:szCs w:val="20"/>
        </w:rPr>
        <w:t xml:space="preserve"> Share Capital to be admitted to a Standard Listing on the Official List. A Standard Listing will afford investors in the Company a lower level of regulatory protection than that afforded to investors in a company with a Premium Listing, which is subject to additional obligations under the Listing Rules.</w:t>
      </w:r>
    </w:p>
    <w:p w14:paraId="07B3122F" w14:textId="77777777" w:rsidR="00D90E1F" w:rsidRPr="009B546D" w:rsidRDefault="00D90E1F" w:rsidP="00F432B9">
      <w:pPr>
        <w:pStyle w:val="Heading3"/>
        <w:keepNext w:val="0"/>
        <w:widowControl w:val="0"/>
        <w:spacing w:line="240" w:lineRule="auto"/>
        <w:rPr>
          <w:rFonts w:asciiTheme="minorHAnsi" w:hAnsiTheme="minorHAnsi" w:cstheme="minorHAnsi"/>
          <w:szCs w:val="20"/>
        </w:rPr>
      </w:pPr>
      <w:r w:rsidRPr="009B546D">
        <w:rPr>
          <w:rFonts w:asciiTheme="minorHAnsi" w:hAnsiTheme="minorHAnsi" w:cstheme="minorHAnsi"/>
          <w:szCs w:val="20"/>
        </w:rPr>
        <w:t>A market for the Ordinary Shares may not develop following Re-Admission, which would adversely affect the liquidity and price of the Ordinary Shares</w:t>
      </w:r>
    </w:p>
    <w:p w14:paraId="7BCD4C11" w14:textId="77777777" w:rsidR="00D90E1F" w:rsidRPr="009B546D" w:rsidRDefault="00D90E1F" w:rsidP="00F432B9">
      <w:pPr>
        <w:widowControl w:val="0"/>
        <w:spacing w:line="240" w:lineRule="auto"/>
        <w:rPr>
          <w:rFonts w:cstheme="minorHAnsi"/>
          <w:szCs w:val="20"/>
        </w:rPr>
      </w:pPr>
      <w:r w:rsidRPr="009B546D">
        <w:rPr>
          <w:rFonts w:cstheme="minorHAnsi"/>
          <w:szCs w:val="20"/>
        </w:rPr>
        <w:t>The price of the Shares after Admission may also vary due to a number of factors, including but not limited to, general economic conditions and forecasts, the Company’s general business condition and the release of its financial reports. Although the Company’s current intention is that its securities should continue to trade on the London Stock Exchange, it cannot assure investors that they will always do so. In addition, an active trading market for the Shares may not develop or, if developed, may not be maintained. Investors may be unable to sell their Shares unless a market can be established and maintained, and if the Company subsequently obtains a listing on an exchange in addition to, or in lieu of, the London Stock Exchange, the level of liquidity of the Shares may decline.</w:t>
      </w:r>
    </w:p>
    <w:p w14:paraId="0DEC34D2" w14:textId="1A14CE95" w:rsidR="00D90E1F" w:rsidRPr="009B546D" w:rsidRDefault="00D90E1F" w:rsidP="00F432B9">
      <w:pPr>
        <w:pStyle w:val="Heading3"/>
        <w:keepNext w:val="0"/>
        <w:widowControl w:val="0"/>
        <w:spacing w:line="240" w:lineRule="auto"/>
        <w:rPr>
          <w:rFonts w:asciiTheme="minorHAnsi" w:hAnsiTheme="minorHAnsi" w:cstheme="minorHAnsi"/>
          <w:szCs w:val="20"/>
        </w:rPr>
      </w:pPr>
      <w:r w:rsidRPr="009B546D">
        <w:rPr>
          <w:rFonts w:asciiTheme="minorHAnsi" w:hAnsiTheme="minorHAnsi" w:cstheme="minorHAnsi"/>
          <w:szCs w:val="20"/>
        </w:rPr>
        <w:lastRenderedPageBreak/>
        <w:t>Investors may not be able to realise returns on their investment in Ordinary</w:t>
      </w:r>
      <w:r w:rsidR="0077279D" w:rsidRPr="009B546D">
        <w:rPr>
          <w:rFonts w:asciiTheme="minorHAnsi" w:hAnsiTheme="minorHAnsi" w:cstheme="minorHAnsi"/>
          <w:szCs w:val="20"/>
        </w:rPr>
        <w:t xml:space="preserve"> Shares</w:t>
      </w:r>
      <w:r w:rsidRPr="009B546D">
        <w:rPr>
          <w:rFonts w:asciiTheme="minorHAnsi" w:hAnsiTheme="minorHAnsi" w:cstheme="minorHAnsi"/>
          <w:szCs w:val="20"/>
        </w:rPr>
        <w:t xml:space="preserve"> within a period that they would consider to be reasonable</w:t>
      </w:r>
    </w:p>
    <w:p w14:paraId="39B30D85" w14:textId="6BF03058" w:rsidR="00D90E1F" w:rsidRPr="009B546D" w:rsidRDefault="00D90E1F" w:rsidP="00F432B9">
      <w:pPr>
        <w:widowControl w:val="0"/>
        <w:spacing w:line="240" w:lineRule="auto"/>
        <w:rPr>
          <w:rFonts w:cstheme="minorHAnsi"/>
          <w:szCs w:val="20"/>
        </w:rPr>
      </w:pPr>
      <w:r w:rsidRPr="009B546D">
        <w:rPr>
          <w:rFonts w:cstheme="minorHAnsi"/>
          <w:szCs w:val="20"/>
        </w:rPr>
        <w:t xml:space="preserve">Investments in </w:t>
      </w:r>
      <w:r w:rsidR="0077279D" w:rsidRPr="009B546D">
        <w:rPr>
          <w:rFonts w:cstheme="minorHAnsi"/>
          <w:szCs w:val="20"/>
        </w:rPr>
        <w:t>Ordinary Shares</w:t>
      </w:r>
      <w:r w:rsidRPr="009B546D">
        <w:rPr>
          <w:rFonts w:cstheme="minorHAnsi"/>
          <w:szCs w:val="20"/>
        </w:rPr>
        <w:t xml:space="preserve"> may be relatively illiquid. There may be a limited number of Shareholders and this</w:t>
      </w:r>
      <w:r w:rsidR="000D0F05" w:rsidRPr="009B546D">
        <w:rPr>
          <w:rFonts w:cstheme="minorHAnsi"/>
          <w:szCs w:val="20"/>
        </w:rPr>
        <w:t xml:space="preserve"> </w:t>
      </w:r>
      <w:r w:rsidRPr="009B546D">
        <w:rPr>
          <w:rFonts w:cstheme="minorHAnsi"/>
          <w:szCs w:val="20"/>
        </w:rPr>
        <w:t xml:space="preserve">may contribute both to infrequent trading in the </w:t>
      </w:r>
      <w:r w:rsidR="0077279D" w:rsidRPr="009B546D">
        <w:rPr>
          <w:rFonts w:cstheme="minorHAnsi"/>
          <w:szCs w:val="20"/>
        </w:rPr>
        <w:t>Ordinary Shares</w:t>
      </w:r>
      <w:r w:rsidRPr="009B546D">
        <w:rPr>
          <w:rFonts w:cstheme="minorHAnsi"/>
          <w:szCs w:val="20"/>
        </w:rPr>
        <w:t xml:space="preserve"> on the London Stock Exchange and/or to volatile Share price movements. Investors should not expect that they will necessarily be able to realise their investment in </w:t>
      </w:r>
      <w:r w:rsidR="0077279D" w:rsidRPr="009B546D">
        <w:rPr>
          <w:rFonts w:cstheme="minorHAnsi"/>
          <w:szCs w:val="20"/>
        </w:rPr>
        <w:t>Ordinary Shares</w:t>
      </w:r>
      <w:r w:rsidRPr="009B546D">
        <w:rPr>
          <w:rFonts w:cstheme="minorHAnsi"/>
          <w:szCs w:val="20"/>
        </w:rPr>
        <w:t xml:space="preserve"> within a period that they would regard as reasonable. Accordingly, the </w:t>
      </w:r>
      <w:r w:rsidR="0077279D" w:rsidRPr="009B546D">
        <w:rPr>
          <w:rFonts w:cstheme="minorHAnsi"/>
          <w:szCs w:val="20"/>
        </w:rPr>
        <w:t>Ordinary Shares</w:t>
      </w:r>
      <w:r w:rsidRPr="009B546D">
        <w:rPr>
          <w:rFonts w:cstheme="minorHAnsi"/>
          <w:szCs w:val="20"/>
        </w:rPr>
        <w:t xml:space="preserve"> may not be suitable for short-term investment. Admission should not be taken as implying that there will be an active trading market for the </w:t>
      </w:r>
      <w:r w:rsidR="0077279D" w:rsidRPr="009B546D">
        <w:rPr>
          <w:rFonts w:cstheme="minorHAnsi"/>
          <w:szCs w:val="20"/>
        </w:rPr>
        <w:t>Ordinary Shares</w:t>
      </w:r>
      <w:r w:rsidRPr="009B546D">
        <w:rPr>
          <w:rFonts w:cstheme="minorHAnsi"/>
          <w:szCs w:val="20"/>
        </w:rPr>
        <w:t xml:space="preserve">. Even if an active trading market develops, the market price for the </w:t>
      </w:r>
      <w:r w:rsidR="0077279D" w:rsidRPr="009B546D">
        <w:rPr>
          <w:rFonts w:cstheme="minorHAnsi"/>
          <w:szCs w:val="20"/>
        </w:rPr>
        <w:t>Ordinary Shares</w:t>
      </w:r>
      <w:r w:rsidRPr="009B546D">
        <w:rPr>
          <w:rFonts w:cstheme="minorHAnsi"/>
          <w:szCs w:val="20"/>
        </w:rPr>
        <w:t xml:space="preserve"> may fall below the </w:t>
      </w:r>
      <w:r w:rsidR="00A0295F" w:rsidRPr="009B546D">
        <w:rPr>
          <w:rFonts w:cstheme="minorHAnsi"/>
          <w:szCs w:val="20"/>
        </w:rPr>
        <w:t>opening p</w:t>
      </w:r>
      <w:r w:rsidRPr="009B546D">
        <w:rPr>
          <w:rFonts w:cstheme="minorHAnsi"/>
          <w:szCs w:val="20"/>
        </w:rPr>
        <w:t>rice.</w:t>
      </w:r>
    </w:p>
    <w:p w14:paraId="251A67C2" w14:textId="69AFD895" w:rsidR="00D90E1F" w:rsidRPr="009B546D" w:rsidRDefault="00D90E1F" w:rsidP="00F432B9">
      <w:pPr>
        <w:pStyle w:val="Heading3"/>
        <w:keepNext w:val="0"/>
        <w:widowControl w:val="0"/>
        <w:spacing w:line="240" w:lineRule="auto"/>
        <w:rPr>
          <w:rFonts w:asciiTheme="minorHAnsi" w:hAnsiTheme="minorHAnsi" w:cstheme="minorHAnsi"/>
          <w:szCs w:val="20"/>
        </w:rPr>
      </w:pPr>
      <w:r w:rsidRPr="009B546D">
        <w:rPr>
          <w:rFonts w:asciiTheme="minorHAnsi" w:hAnsiTheme="minorHAnsi" w:cstheme="minorHAnsi"/>
          <w:szCs w:val="20"/>
        </w:rPr>
        <w:t>Dividend payments on the Ordinary</w:t>
      </w:r>
      <w:r w:rsidR="0077279D" w:rsidRPr="009B546D">
        <w:rPr>
          <w:rFonts w:asciiTheme="minorHAnsi" w:hAnsiTheme="minorHAnsi" w:cstheme="minorHAnsi"/>
          <w:szCs w:val="20"/>
        </w:rPr>
        <w:t xml:space="preserve"> Shares</w:t>
      </w:r>
      <w:r w:rsidRPr="009B546D">
        <w:rPr>
          <w:rFonts w:asciiTheme="minorHAnsi" w:hAnsiTheme="minorHAnsi" w:cstheme="minorHAnsi"/>
          <w:szCs w:val="20"/>
        </w:rPr>
        <w:t xml:space="preserve"> are not guaranteed</w:t>
      </w:r>
    </w:p>
    <w:p w14:paraId="010B390C" w14:textId="280F6A05" w:rsidR="00D90E1F" w:rsidRPr="009B546D" w:rsidRDefault="00D90E1F" w:rsidP="00F432B9">
      <w:pPr>
        <w:widowControl w:val="0"/>
        <w:spacing w:line="240" w:lineRule="auto"/>
        <w:rPr>
          <w:rFonts w:cstheme="minorHAnsi"/>
          <w:szCs w:val="20"/>
        </w:rPr>
      </w:pPr>
      <w:r w:rsidRPr="009B546D">
        <w:rPr>
          <w:rFonts w:cstheme="minorHAnsi"/>
          <w:szCs w:val="20"/>
        </w:rPr>
        <w:t xml:space="preserve">The Company has never declared or paid any dividends on its share capital. The Company currently anticipates that it will retain future earnings for the development, operation and expansion of its business and does not anticipate declaring or paying any cash dividends for the foreseeable future. Any return to Shareholders </w:t>
      </w:r>
      <w:r w:rsidR="00E21C8D" w:rsidRPr="009B546D">
        <w:rPr>
          <w:rFonts w:cstheme="minorHAnsi"/>
          <w:szCs w:val="20"/>
        </w:rPr>
        <w:t xml:space="preserve">may </w:t>
      </w:r>
      <w:r w:rsidRPr="009B546D">
        <w:rPr>
          <w:rFonts w:cstheme="minorHAnsi"/>
          <w:szCs w:val="20"/>
        </w:rPr>
        <w:t xml:space="preserve">therefore be limited to the appreciation of their </w:t>
      </w:r>
      <w:r w:rsidR="0077279D" w:rsidRPr="009B546D">
        <w:rPr>
          <w:rFonts w:cstheme="minorHAnsi"/>
          <w:szCs w:val="20"/>
        </w:rPr>
        <w:t>Ordinary S</w:t>
      </w:r>
      <w:r w:rsidRPr="009B546D">
        <w:rPr>
          <w:rFonts w:cstheme="minorHAnsi"/>
          <w:szCs w:val="20"/>
        </w:rPr>
        <w:t>hares</w:t>
      </w:r>
      <w:r w:rsidR="00E21C8D" w:rsidRPr="009B546D">
        <w:rPr>
          <w:rFonts w:cstheme="minorHAnsi"/>
          <w:szCs w:val="20"/>
        </w:rPr>
        <w:t>.</w:t>
      </w:r>
      <w:r w:rsidRPr="009B546D">
        <w:rPr>
          <w:rFonts w:cstheme="minorHAnsi"/>
          <w:szCs w:val="20"/>
        </w:rPr>
        <w:t xml:space="preserve"> </w:t>
      </w:r>
    </w:p>
    <w:p w14:paraId="26984459" w14:textId="77777777" w:rsidR="00D90E1F" w:rsidRPr="009B546D" w:rsidRDefault="00D90E1F" w:rsidP="00F432B9">
      <w:pPr>
        <w:pStyle w:val="Heading3"/>
        <w:keepNext w:val="0"/>
        <w:widowControl w:val="0"/>
        <w:spacing w:line="240" w:lineRule="auto"/>
        <w:rPr>
          <w:rFonts w:asciiTheme="minorHAnsi" w:hAnsiTheme="minorHAnsi" w:cstheme="minorHAnsi"/>
          <w:szCs w:val="20"/>
        </w:rPr>
      </w:pPr>
      <w:r w:rsidRPr="009B546D">
        <w:rPr>
          <w:rFonts w:asciiTheme="minorHAnsi" w:hAnsiTheme="minorHAnsi" w:cstheme="minorHAnsi"/>
          <w:szCs w:val="20"/>
        </w:rPr>
        <w:t>Compliance costs</w:t>
      </w:r>
    </w:p>
    <w:p w14:paraId="3A82CCA5" w14:textId="2126E1C7" w:rsidR="00D90E1F" w:rsidRPr="009B546D" w:rsidRDefault="00D90E1F" w:rsidP="00F432B9">
      <w:pPr>
        <w:widowControl w:val="0"/>
        <w:spacing w:line="240" w:lineRule="auto"/>
        <w:rPr>
          <w:rFonts w:cstheme="minorHAnsi"/>
          <w:szCs w:val="20"/>
        </w:rPr>
      </w:pPr>
      <w:r w:rsidRPr="009B546D">
        <w:rPr>
          <w:rFonts w:cstheme="minorHAnsi"/>
          <w:szCs w:val="20"/>
        </w:rPr>
        <w:t xml:space="preserve">The costs to the Company of complying with the continuing obligations under the Listing Rules, </w:t>
      </w:r>
      <w:r w:rsidR="0064024F" w:rsidRPr="009B546D">
        <w:rPr>
          <w:rFonts w:cstheme="minorHAnsi"/>
          <w:szCs w:val="20"/>
        </w:rPr>
        <w:t>Prospectus Rules</w:t>
      </w:r>
      <w:r w:rsidRPr="009B546D">
        <w:rPr>
          <w:rFonts w:cstheme="minorHAnsi"/>
          <w:szCs w:val="20"/>
        </w:rPr>
        <w:t xml:space="preserve"> and Disclosure Guidance and Transparency Rules will be financially significant due to the Company’s relatively small size and these costs might prove financially onerous.</w:t>
      </w:r>
    </w:p>
    <w:p w14:paraId="46F1B1C4" w14:textId="73B2CCFF" w:rsidR="00D90E1F" w:rsidRPr="009B546D" w:rsidRDefault="00D90E1F" w:rsidP="00F432B9">
      <w:pPr>
        <w:widowControl w:val="0"/>
        <w:spacing w:line="240" w:lineRule="auto"/>
        <w:rPr>
          <w:rFonts w:cstheme="minorHAnsi"/>
          <w:szCs w:val="20"/>
        </w:rPr>
      </w:pPr>
      <w:r w:rsidRPr="009B546D">
        <w:rPr>
          <w:rFonts w:cstheme="minorHAnsi"/>
          <w:szCs w:val="20"/>
        </w:rPr>
        <w:t xml:space="preserve">The </w:t>
      </w:r>
      <w:r w:rsidR="0077279D" w:rsidRPr="009B546D">
        <w:rPr>
          <w:rFonts w:cstheme="minorHAnsi"/>
          <w:szCs w:val="20"/>
        </w:rPr>
        <w:t>C</w:t>
      </w:r>
      <w:r w:rsidRPr="009B546D">
        <w:rPr>
          <w:rFonts w:cstheme="minorHAnsi"/>
          <w:szCs w:val="20"/>
        </w:rPr>
        <w:t xml:space="preserve">ompany’s listing might be cancelled if the </w:t>
      </w:r>
      <w:r w:rsidR="0077279D" w:rsidRPr="009B546D">
        <w:rPr>
          <w:rFonts w:cstheme="minorHAnsi"/>
          <w:szCs w:val="20"/>
        </w:rPr>
        <w:t>C</w:t>
      </w:r>
      <w:r w:rsidRPr="009B546D">
        <w:rPr>
          <w:rFonts w:cstheme="minorHAnsi"/>
          <w:szCs w:val="20"/>
        </w:rPr>
        <w:t>ompany fails to comply with its continuing obligations under the Listing Rules.</w:t>
      </w:r>
    </w:p>
    <w:p w14:paraId="4568127F" w14:textId="3A931952" w:rsidR="00D90E1F" w:rsidRPr="009B546D" w:rsidRDefault="00D90E1F" w:rsidP="00F432B9">
      <w:pPr>
        <w:widowControl w:val="0"/>
        <w:spacing w:line="240" w:lineRule="auto"/>
        <w:rPr>
          <w:rFonts w:cstheme="minorHAnsi"/>
          <w:szCs w:val="20"/>
        </w:rPr>
      </w:pPr>
      <w:r w:rsidRPr="009B546D">
        <w:rPr>
          <w:rFonts w:cstheme="minorHAnsi"/>
          <w:szCs w:val="20"/>
        </w:rPr>
        <w:br w:type="page"/>
      </w:r>
    </w:p>
    <w:p w14:paraId="449A756B" w14:textId="77777777" w:rsidR="00D90E1F" w:rsidRPr="009B546D" w:rsidRDefault="00D90E1F" w:rsidP="00EA2BB6">
      <w:pPr>
        <w:pStyle w:val="Heading1"/>
        <w:keepNext w:val="0"/>
        <w:widowControl w:val="0"/>
        <w:spacing w:after="120" w:line="240" w:lineRule="auto"/>
        <w:jc w:val="center"/>
        <w:rPr>
          <w:rFonts w:asciiTheme="minorHAnsi" w:hAnsiTheme="minorHAnsi" w:cstheme="minorHAnsi"/>
          <w:sz w:val="20"/>
          <w:szCs w:val="20"/>
        </w:rPr>
      </w:pPr>
      <w:bookmarkStart w:id="13" w:name="_Toc35456732"/>
      <w:r w:rsidRPr="009B546D">
        <w:rPr>
          <w:rFonts w:asciiTheme="minorHAnsi" w:hAnsiTheme="minorHAnsi" w:cstheme="minorHAnsi"/>
          <w:sz w:val="20"/>
          <w:szCs w:val="20"/>
        </w:rPr>
        <w:lastRenderedPageBreak/>
        <w:t>Part III</w:t>
      </w:r>
      <w:r w:rsidRPr="009B546D">
        <w:rPr>
          <w:rFonts w:asciiTheme="minorHAnsi" w:hAnsiTheme="minorHAnsi" w:cstheme="minorHAnsi"/>
          <w:sz w:val="20"/>
          <w:szCs w:val="20"/>
        </w:rPr>
        <w:br/>
        <w:t>Important information</w:t>
      </w:r>
      <w:bookmarkEnd w:id="13"/>
    </w:p>
    <w:p w14:paraId="74975732" w14:textId="2EC0E954" w:rsidR="00D90E1F" w:rsidRPr="00EA2BB6" w:rsidRDefault="00D90E1F" w:rsidP="00EA2BB6">
      <w:pPr>
        <w:widowControl w:val="0"/>
        <w:spacing w:after="120" w:line="240" w:lineRule="auto"/>
        <w:rPr>
          <w:rFonts w:cstheme="minorHAnsi"/>
          <w:b/>
          <w:bCs/>
          <w:szCs w:val="20"/>
        </w:rPr>
      </w:pPr>
      <w:r w:rsidRPr="00EA2BB6">
        <w:rPr>
          <w:rFonts w:cstheme="minorHAnsi"/>
          <w:b/>
          <w:bCs/>
          <w:sz w:val="18"/>
          <w:szCs w:val="18"/>
        </w:rPr>
        <w:t xml:space="preserve">The distribution of this </w:t>
      </w:r>
      <w:r w:rsidR="0077279D" w:rsidRPr="00EA2BB6">
        <w:rPr>
          <w:rFonts w:cstheme="minorHAnsi"/>
          <w:b/>
          <w:bCs/>
          <w:sz w:val="18"/>
          <w:szCs w:val="18"/>
        </w:rPr>
        <w:t>Prospectus</w:t>
      </w:r>
      <w:r w:rsidRPr="00EA2BB6">
        <w:rPr>
          <w:rFonts w:cstheme="minorHAnsi"/>
          <w:b/>
          <w:bCs/>
          <w:sz w:val="18"/>
          <w:szCs w:val="18"/>
        </w:rPr>
        <w:t xml:space="preserve"> may be restricted by law in certain jurisdictions and therefore persons into whose possession this </w:t>
      </w:r>
      <w:r w:rsidR="0077279D" w:rsidRPr="00EA2BB6">
        <w:rPr>
          <w:rFonts w:cstheme="minorHAnsi"/>
          <w:b/>
          <w:bCs/>
          <w:sz w:val="18"/>
          <w:szCs w:val="18"/>
        </w:rPr>
        <w:t>Prospectus</w:t>
      </w:r>
      <w:r w:rsidRPr="00EA2BB6">
        <w:rPr>
          <w:rFonts w:cstheme="minorHAnsi"/>
          <w:b/>
          <w:bCs/>
          <w:sz w:val="18"/>
          <w:szCs w:val="18"/>
        </w:rPr>
        <w:t xml:space="preserve"> comes should inform themselves about and observe any restrictions, including those set out below. Any failure to comply with these restrictions may constitute a violation of the securities laws of any such jurisdiction</w:t>
      </w:r>
      <w:r w:rsidRPr="00EA2BB6">
        <w:rPr>
          <w:rFonts w:cstheme="minorHAnsi"/>
          <w:b/>
          <w:bCs/>
          <w:szCs w:val="20"/>
        </w:rPr>
        <w:t>.</w:t>
      </w:r>
    </w:p>
    <w:p w14:paraId="6CF90462" w14:textId="77777777" w:rsidR="00D90E1F" w:rsidRPr="009B546D" w:rsidRDefault="00D90E1F" w:rsidP="00EA2BB6">
      <w:pPr>
        <w:pStyle w:val="Heading2"/>
        <w:keepNext w:val="0"/>
        <w:widowControl w:val="0"/>
        <w:spacing w:before="0" w:after="120" w:line="240" w:lineRule="auto"/>
        <w:rPr>
          <w:rFonts w:asciiTheme="minorHAnsi" w:hAnsiTheme="minorHAnsi" w:cstheme="minorHAnsi"/>
          <w:szCs w:val="20"/>
        </w:rPr>
      </w:pPr>
      <w:r w:rsidRPr="009B546D">
        <w:rPr>
          <w:rFonts w:asciiTheme="minorHAnsi" w:hAnsiTheme="minorHAnsi" w:cstheme="minorHAnsi"/>
          <w:szCs w:val="20"/>
        </w:rPr>
        <w:t>General</w:t>
      </w:r>
    </w:p>
    <w:p w14:paraId="282A211C" w14:textId="5E748765" w:rsidR="00D90E1F" w:rsidRPr="009B546D" w:rsidRDefault="00D90E1F" w:rsidP="00EA2BB6">
      <w:pPr>
        <w:widowControl w:val="0"/>
        <w:spacing w:after="120" w:line="240" w:lineRule="auto"/>
        <w:rPr>
          <w:rFonts w:cstheme="minorHAnsi"/>
          <w:szCs w:val="20"/>
        </w:rPr>
      </w:pPr>
      <w:r w:rsidRPr="009B546D">
        <w:rPr>
          <w:rFonts w:cstheme="minorHAnsi"/>
          <w:szCs w:val="20"/>
        </w:rPr>
        <w:t xml:space="preserve">No action has been or will be taken in any other jurisdiction that would permit a public offering of the Ordinary Shares, or possession or distribution of this </w:t>
      </w:r>
      <w:r w:rsidR="0077279D" w:rsidRPr="009B546D">
        <w:rPr>
          <w:rFonts w:cstheme="minorHAnsi"/>
          <w:szCs w:val="20"/>
        </w:rPr>
        <w:t>Prospectus</w:t>
      </w:r>
      <w:r w:rsidRPr="009B546D">
        <w:rPr>
          <w:rFonts w:cstheme="minorHAnsi"/>
          <w:szCs w:val="20"/>
        </w:rPr>
        <w:t xml:space="preserve"> or any other offering material in any other country or jurisdiction where action for that purpose is required. Accordingly, the Ordinary Shares may not be offered or sold, directly or indirectly, and neither this </w:t>
      </w:r>
      <w:r w:rsidR="0077279D" w:rsidRPr="009B546D">
        <w:rPr>
          <w:rFonts w:cstheme="minorHAnsi"/>
          <w:szCs w:val="20"/>
        </w:rPr>
        <w:t>Prospectus</w:t>
      </w:r>
      <w:r w:rsidRPr="009B546D">
        <w:rPr>
          <w:rFonts w:cstheme="minorHAnsi"/>
          <w:szCs w:val="20"/>
        </w:rPr>
        <w:t xml:space="preserve"> nor any other offering material or advertisement in connection with the Ordinary shares may be distributed or published in or from any country or jurisdiction except under circumstances that will result in compliance with any and all applicable rules and regulations of any such country or jurisdiction. Any failure to comply with these restrictions may constitute a violation of the securities laws of any such jurisdiction. This </w:t>
      </w:r>
      <w:r w:rsidR="0077279D" w:rsidRPr="009B546D">
        <w:rPr>
          <w:rFonts w:cstheme="minorHAnsi"/>
          <w:szCs w:val="20"/>
        </w:rPr>
        <w:t>Prospectus</w:t>
      </w:r>
      <w:r w:rsidRPr="009B546D">
        <w:rPr>
          <w:rFonts w:cstheme="minorHAnsi"/>
          <w:szCs w:val="20"/>
        </w:rPr>
        <w:t xml:space="preserve"> does not constitute an offer to subscribe for any of the Ordinary Shares offered hereby to any person in any jurisdiction to whom it is unlawful to make such offer or solicitation in such jurisdiction.</w:t>
      </w:r>
    </w:p>
    <w:p w14:paraId="7344EC3C" w14:textId="5E4EDF38" w:rsidR="00D90E1F" w:rsidRPr="009B546D" w:rsidRDefault="00D90E1F" w:rsidP="00F432B9">
      <w:pPr>
        <w:widowControl w:val="0"/>
        <w:spacing w:line="240" w:lineRule="auto"/>
        <w:rPr>
          <w:rFonts w:cstheme="minorHAnsi"/>
          <w:szCs w:val="20"/>
        </w:rPr>
      </w:pPr>
      <w:r w:rsidRPr="009B546D">
        <w:rPr>
          <w:rFonts w:cstheme="minorHAnsi"/>
          <w:szCs w:val="20"/>
        </w:rPr>
        <w:t xml:space="preserve">This </w:t>
      </w:r>
      <w:r w:rsidR="0077279D" w:rsidRPr="009B546D">
        <w:rPr>
          <w:rFonts w:cstheme="minorHAnsi"/>
          <w:szCs w:val="20"/>
        </w:rPr>
        <w:t>Prospectus</w:t>
      </w:r>
      <w:r w:rsidRPr="009B546D">
        <w:rPr>
          <w:rFonts w:cstheme="minorHAnsi"/>
          <w:szCs w:val="20"/>
        </w:rPr>
        <w:t xml:space="preserve"> has been approved by the FCA as a </w:t>
      </w:r>
      <w:r w:rsidR="0077279D" w:rsidRPr="009B546D">
        <w:rPr>
          <w:rFonts w:cstheme="minorHAnsi"/>
          <w:szCs w:val="20"/>
        </w:rPr>
        <w:t>Prospectus</w:t>
      </w:r>
      <w:r w:rsidRPr="009B546D">
        <w:rPr>
          <w:rFonts w:cstheme="minorHAnsi"/>
          <w:szCs w:val="20"/>
        </w:rPr>
        <w:t xml:space="preserve"> which may be used to offer securities to the public for the purposes of section 85 of FSMA, and of the Prospectus Regulation. No arrangement has however been made with the competent authority in any other member states of the European Economic Area (“</w:t>
      </w:r>
      <w:r w:rsidRPr="009B546D">
        <w:rPr>
          <w:rFonts w:cstheme="minorHAnsi"/>
          <w:b/>
          <w:bCs/>
          <w:szCs w:val="20"/>
        </w:rPr>
        <w:t>EEA</w:t>
      </w:r>
      <w:r w:rsidRPr="009B546D">
        <w:rPr>
          <w:rFonts w:cstheme="minorHAnsi"/>
          <w:szCs w:val="20"/>
        </w:rPr>
        <w:t>”) (“</w:t>
      </w:r>
      <w:r w:rsidRPr="009B546D">
        <w:rPr>
          <w:rFonts w:cstheme="minorHAnsi"/>
          <w:b/>
          <w:bCs/>
          <w:szCs w:val="20"/>
        </w:rPr>
        <w:t>EEA Member States</w:t>
      </w:r>
      <w:r w:rsidRPr="009B546D">
        <w:rPr>
          <w:rFonts w:cstheme="minorHAnsi"/>
          <w:szCs w:val="20"/>
        </w:rPr>
        <w:t xml:space="preserve">”) (or any other jurisdiction) for the use of this </w:t>
      </w:r>
      <w:r w:rsidR="0077279D" w:rsidRPr="009B546D">
        <w:rPr>
          <w:rFonts w:cstheme="minorHAnsi"/>
          <w:szCs w:val="20"/>
        </w:rPr>
        <w:t>Prospectus</w:t>
      </w:r>
      <w:r w:rsidRPr="009B546D">
        <w:rPr>
          <w:rFonts w:cstheme="minorHAnsi"/>
          <w:szCs w:val="20"/>
        </w:rPr>
        <w:t xml:space="preserve"> as an approved </w:t>
      </w:r>
      <w:r w:rsidR="0077279D" w:rsidRPr="009B546D">
        <w:rPr>
          <w:rFonts w:cstheme="minorHAnsi"/>
          <w:szCs w:val="20"/>
        </w:rPr>
        <w:t>Prospectus</w:t>
      </w:r>
      <w:r w:rsidRPr="009B546D">
        <w:rPr>
          <w:rFonts w:cstheme="minorHAnsi"/>
          <w:szCs w:val="20"/>
        </w:rPr>
        <w:t xml:space="preserve"> in such jurisdiction and accordingly no public offer is to be made in such jurisdiction. Issue or circulation of this </w:t>
      </w:r>
      <w:r w:rsidR="0077279D" w:rsidRPr="009B546D">
        <w:rPr>
          <w:rFonts w:cstheme="minorHAnsi"/>
          <w:szCs w:val="20"/>
        </w:rPr>
        <w:t>Prospectus</w:t>
      </w:r>
      <w:r w:rsidRPr="009B546D">
        <w:rPr>
          <w:rFonts w:cstheme="minorHAnsi"/>
          <w:szCs w:val="20"/>
        </w:rPr>
        <w:t xml:space="preserve"> may be prohibited in Restricted Jurisdictions and in countries other than those in relation to which notices are given below.</w:t>
      </w:r>
    </w:p>
    <w:p w14:paraId="577AA53C" w14:textId="77777777" w:rsidR="00D90E1F" w:rsidRPr="009B546D" w:rsidRDefault="00D90E1F" w:rsidP="00EA2BB6">
      <w:pPr>
        <w:pStyle w:val="Heading2"/>
        <w:keepNext w:val="0"/>
        <w:widowControl w:val="0"/>
        <w:spacing w:before="0" w:after="120" w:line="240" w:lineRule="auto"/>
        <w:rPr>
          <w:rFonts w:asciiTheme="minorHAnsi" w:hAnsiTheme="minorHAnsi" w:cstheme="minorHAnsi"/>
          <w:szCs w:val="20"/>
        </w:rPr>
      </w:pPr>
      <w:r w:rsidRPr="009B546D">
        <w:rPr>
          <w:rFonts w:asciiTheme="minorHAnsi" w:hAnsiTheme="minorHAnsi" w:cstheme="minorHAnsi"/>
          <w:szCs w:val="20"/>
        </w:rPr>
        <w:t>For the attention of all investors</w:t>
      </w:r>
    </w:p>
    <w:p w14:paraId="1721C51E" w14:textId="33CCBBAD" w:rsidR="00D90E1F" w:rsidRPr="009B546D" w:rsidRDefault="00D90E1F" w:rsidP="00EA2BB6">
      <w:pPr>
        <w:widowControl w:val="0"/>
        <w:spacing w:after="120" w:line="240" w:lineRule="auto"/>
        <w:rPr>
          <w:rFonts w:cstheme="minorHAnsi"/>
          <w:szCs w:val="20"/>
        </w:rPr>
      </w:pPr>
      <w:r w:rsidRPr="009B546D">
        <w:rPr>
          <w:rFonts w:cstheme="minorHAnsi"/>
          <w:szCs w:val="20"/>
        </w:rPr>
        <w:t xml:space="preserve">In deciding whether or not to invest in Ordinary Shares, prospective </w:t>
      </w:r>
      <w:r w:rsidR="006129AC" w:rsidRPr="009B546D">
        <w:rPr>
          <w:rFonts w:cstheme="minorHAnsi"/>
          <w:szCs w:val="20"/>
        </w:rPr>
        <w:t xml:space="preserve">investors </w:t>
      </w:r>
      <w:r w:rsidRPr="009B546D">
        <w:rPr>
          <w:rFonts w:cstheme="minorHAnsi"/>
          <w:szCs w:val="20"/>
        </w:rPr>
        <w:t xml:space="preserve">should rely only on the information contained in this </w:t>
      </w:r>
      <w:r w:rsidR="0077279D" w:rsidRPr="009B546D">
        <w:rPr>
          <w:rFonts w:cstheme="minorHAnsi"/>
          <w:szCs w:val="20"/>
        </w:rPr>
        <w:t>Prospectus</w:t>
      </w:r>
      <w:r w:rsidRPr="009B546D">
        <w:rPr>
          <w:rFonts w:cstheme="minorHAnsi"/>
          <w:szCs w:val="20"/>
        </w:rPr>
        <w:t xml:space="preserve">. No person has been authorised to give any information or make any representations other than as contained in this </w:t>
      </w:r>
      <w:r w:rsidR="0077279D" w:rsidRPr="009B546D">
        <w:rPr>
          <w:rFonts w:cstheme="minorHAnsi"/>
          <w:szCs w:val="20"/>
        </w:rPr>
        <w:t>Prospectus</w:t>
      </w:r>
      <w:r w:rsidRPr="009B546D">
        <w:rPr>
          <w:rFonts w:cstheme="minorHAnsi"/>
          <w:szCs w:val="20"/>
        </w:rPr>
        <w:t xml:space="preserve"> and, if given or made, such information or representations must not be relied on as having been authorised by the Company, the Directors or VSA. Without prejudice to the Company’s obligations under FSMA, the </w:t>
      </w:r>
      <w:r w:rsidR="0064024F" w:rsidRPr="009B546D">
        <w:rPr>
          <w:rFonts w:cstheme="minorHAnsi"/>
          <w:szCs w:val="20"/>
        </w:rPr>
        <w:t>Prospectus Rules</w:t>
      </w:r>
      <w:r w:rsidRPr="009B546D">
        <w:rPr>
          <w:rFonts w:cstheme="minorHAnsi"/>
          <w:szCs w:val="20"/>
        </w:rPr>
        <w:t xml:space="preserve">, the Listing Rules and the Disclosure Guidance and Transparency Rules, neither the delivery or this </w:t>
      </w:r>
      <w:r w:rsidR="0077279D" w:rsidRPr="009B546D">
        <w:rPr>
          <w:rFonts w:cstheme="minorHAnsi"/>
          <w:szCs w:val="20"/>
        </w:rPr>
        <w:t>Prospectus</w:t>
      </w:r>
      <w:r w:rsidR="00807F8C" w:rsidRPr="009B546D">
        <w:rPr>
          <w:rFonts w:cstheme="minorHAnsi"/>
          <w:szCs w:val="20"/>
        </w:rPr>
        <w:t xml:space="preserve"> </w:t>
      </w:r>
      <w:r w:rsidRPr="009B546D">
        <w:rPr>
          <w:rFonts w:cstheme="minorHAnsi"/>
          <w:szCs w:val="20"/>
        </w:rPr>
        <w:t xml:space="preserve">shall, under any circumstances, create any implication that there has been no change in the affairs of the Company since the date of this </w:t>
      </w:r>
      <w:r w:rsidR="0077279D" w:rsidRPr="009B546D">
        <w:rPr>
          <w:rFonts w:cstheme="minorHAnsi"/>
          <w:szCs w:val="20"/>
        </w:rPr>
        <w:t>Prospectus</w:t>
      </w:r>
      <w:r w:rsidRPr="009B546D">
        <w:rPr>
          <w:rFonts w:cstheme="minorHAnsi"/>
          <w:szCs w:val="20"/>
        </w:rPr>
        <w:t xml:space="preserve"> or that the information in this </w:t>
      </w:r>
      <w:r w:rsidR="0077279D" w:rsidRPr="009B546D">
        <w:rPr>
          <w:rFonts w:cstheme="minorHAnsi"/>
          <w:szCs w:val="20"/>
        </w:rPr>
        <w:t>Prospectus</w:t>
      </w:r>
      <w:r w:rsidRPr="009B546D">
        <w:rPr>
          <w:rFonts w:cstheme="minorHAnsi"/>
          <w:szCs w:val="20"/>
        </w:rPr>
        <w:t xml:space="preserve"> is correct as at any time after this date.</w:t>
      </w:r>
    </w:p>
    <w:p w14:paraId="0593CCF8" w14:textId="74E070DF" w:rsidR="00D90E1F" w:rsidRPr="009B546D" w:rsidRDefault="00D90E1F" w:rsidP="00F432B9">
      <w:pPr>
        <w:widowControl w:val="0"/>
        <w:spacing w:line="240" w:lineRule="auto"/>
        <w:rPr>
          <w:rFonts w:cstheme="minorHAnsi"/>
          <w:szCs w:val="20"/>
        </w:rPr>
      </w:pPr>
      <w:r w:rsidRPr="009B546D">
        <w:rPr>
          <w:rFonts w:cstheme="minorHAnsi"/>
          <w:szCs w:val="20"/>
        </w:rPr>
        <w:t xml:space="preserve">In making an investment decision, prospective investors must rely on their own examination of the Company, this </w:t>
      </w:r>
      <w:r w:rsidR="0077279D" w:rsidRPr="009B546D">
        <w:rPr>
          <w:rFonts w:cstheme="minorHAnsi"/>
          <w:szCs w:val="20"/>
        </w:rPr>
        <w:t>Prospectus</w:t>
      </w:r>
      <w:r w:rsidRPr="009B546D">
        <w:rPr>
          <w:rFonts w:cstheme="minorHAnsi"/>
          <w:szCs w:val="20"/>
        </w:rPr>
        <w:t xml:space="preserve"> including the merits and risks involved. The contents of this </w:t>
      </w:r>
      <w:r w:rsidR="0077279D" w:rsidRPr="009B546D">
        <w:rPr>
          <w:rFonts w:cstheme="minorHAnsi"/>
          <w:szCs w:val="20"/>
        </w:rPr>
        <w:t>Prospectus</w:t>
      </w:r>
      <w:r w:rsidRPr="009B546D">
        <w:rPr>
          <w:rFonts w:cstheme="minorHAnsi"/>
          <w:szCs w:val="20"/>
        </w:rPr>
        <w:t xml:space="preserve"> are not to be construed as advice relating to legal, financial, taxation, accounting, regulatory, investment or any other matter.</w:t>
      </w:r>
    </w:p>
    <w:p w14:paraId="122AFAFF" w14:textId="77777777" w:rsidR="00D90E1F" w:rsidRPr="009B546D" w:rsidRDefault="00D90E1F" w:rsidP="00F432B9">
      <w:pPr>
        <w:widowControl w:val="0"/>
        <w:spacing w:line="240" w:lineRule="auto"/>
        <w:rPr>
          <w:rFonts w:cstheme="minorHAnsi"/>
          <w:szCs w:val="20"/>
        </w:rPr>
      </w:pPr>
      <w:r w:rsidRPr="009B546D">
        <w:rPr>
          <w:rFonts w:cstheme="minorHAnsi"/>
          <w:szCs w:val="20"/>
        </w:rPr>
        <w:t>Prospective investors must rely upon their own representatives, including their own legal and financial advisers and accountants, as to legal, tax, financial, investment or any other related matters concerning the company and an investment therein.</w:t>
      </w:r>
    </w:p>
    <w:p w14:paraId="15EBC542" w14:textId="6878E6C3" w:rsidR="00D90E1F" w:rsidRPr="009B546D" w:rsidRDefault="00D90E1F" w:rsidP="00F432B9">
      <w:pPr>
        <w:widowControl w:val="0"/>
        <w:spacing w:line="240" w:lineRule="auto"/>
        <w:rPr>
          <w:rFonts w:cstheme="minorHAnsi"/>
          <w:szCs w:val="20"/>
        </w:rPr>
      </w:pPr>
      <w:r w:rsidRPr="009B546D">
        <w:rPr>
          <w:rFonts w:cstheme="minorHAnsi"/>
          <w:szCs w:val="20"/>
        </w:rPr>
        <w:t xml:space="preserve">An investment in the </w:t>
      </w:r>
      <w:r w:rsidR="00BD1825" w:rsidRPr="009B546D">
        <w:rPr>
          <w:rFonts w:cstheme="minorHAnsi"/>
          <w:szCs w:val="20"/>
        </w:rPr>
        <w:t>C</w:t>
      </w:r>
      <w:r w:rsidRPr="009B546D">
        <w:rPr>
          <w:rFonts w:cstheme="minorHAnsi"/>
          <w:szCs w:val="20"/>
        </w:rPr>
        <w:t>ompany should be regarded as a long-term investment. There can be no assurance that the Company’s objective, financing and business strategies will be achieved.</w:t>
      </w:r>
    </w:p>
    <w:p w14:paraId="10FB266F" w14:textId="77777777" w:rsidR="00D90E1F" w:rsidRPr="009B546D" w:rsidRDefault="00D90E1F" w:rsidP="00F432B9">
      <w:pPr>
        <w:widowControl w:val="0"/>
        <w:spacing w:line="240" w:lineRule="auto"/>
        <w:rPr>
          <w:rFonts w:cstheme="minorHAnsi"/>
          <w:szCs w:val="20"/>
        </w:rPr>
      </w:pPr>
      <w:r w:rsidRPr="009B546D">
        <w:rPr>
          <w:rFonts w:cstheme="minorHAnsi"/>
          <w:szCs w:val="20"/>
        </w:rPr>
        <w:t>It should be remembered that the price of the Ordinary Shares and any income from such Ordinary Shares can go down as well as up.</w:t>
      </w:r>
    </w:p>
    <w:p w14:paraId="0DFE1F4F" w14:textId="5A1721E2" w:rsidR="00D90E1F" w:rsidRPr="009B546D" w:rsidRDefault="00D90E1F" w:rsidP="00F432B9">
      <w:pPr>
        <w:widowControl w:val="0"/>
        <w:spacing w:line="240" w:lineRule="auto"/>
        <w:rPr>
          <w:rFonts w:cstheme="minorHAnsi"/>
          <w:szCs w:val="20"/>
        </w:rPr>
      </w:pPr>
      <w:r w:rsidRPr="009B546D">
        <w:rPr>
          <w:rFonts w:cstheme="minorHAnsi"/>
          <w:szCs w:val="20"/>
        </w:rPr>
        <w:t xml:space="preserve">This </w:t>
      </w:r>
      <w:r w:rsidR="0077279D" w:rsidRPr="009B546D">
        <w:rPr>
          <w:rFonts w:cstheme="minorHAnsi"/>
          <w:szCs w:val="20"/>
        </w:rPr>
        <w:t>Prospectus</w:t>
      </w:r>
      <w:r w:rsidRPr="009B546D">
        <w:rPr>
          <w:rFonts w:cstheme="minorHAnsi"/>
          <w:szCs w:val="20"/>
        </w:rPr>
        <w:t xml:space="preserve"> should be read in its entirety before making any investment in the Ordinary Shares. All Shareholders are entitled to the benefit of, are bound by, and are deemed to have notice of, the provisions of the </w:t>
      </w:r>
      <w:r w:rsidR="00490688" w:rsidRPr="009B546D">
        <w:rPr>
          <w:rFonts w:cstheme="minorHAnsi"/>
          <w:szCs w:val="20"/>
        </w:rPr>
        <w:t>C</w:t>
      </w:r>
      <w:r w:rsidRPr="009B546D">
        <w:rPr>
          <w:rFonts w:cstheme="minorHAnsi"/>
          <w:szCs w:val="20"/>
        </w:rPr>
        <w:t>ompany’s articles of association (the “</w:t>
      </w:r>
      <w:r w:rsidRPr="009B546D">
        <w:rPr>
          <w:rFonts w:cstheme="minorHAnsi"/>
          <w:b/>
          <w:bCs/>
          <w:szCs w:val="20"/>
        </w:rPr>
        <w:t>Articles</w:t>
      </w:r>
      <w:r w:rsidRPr="009B546D">
        <w:rPr>
          <w:rFonts w:cstheme="minorHAnsi"/>
          <w:szCs w:val="20"/>
        </w:rPr>
        <w:t>”), which prospective investors should review.</w:t>
      </w:r>
    </w:p>
    <w:p w14:paraId="6903C8E7" w14:textId="77777777" w:rsidR="00D90E1F" w:rsidRPr="009B546D" w:rsidRDefault="00D90E1F" w:rsidP="00EA2BB6">
      <w:pPr>
        <w:pStyle w:val="Heading2"/>
        <w:keepNext w:val="0"/>
        <w:widowControl w:val="0"/>
        <w:spacing w:before="0" w:after="120" w:line="240" w:lineRule="auto"/>
        <w:rPr>
          <w:rFonts w:asciiTheme="minorHAnsi" w:hAnsiTheme="minorHAnsi" w:cstheme="minorHAnsi"/>
          <w:szCs w:val="20"/>
        </w:rPr>
      </w:pPr>
      <w:r w:rsidRPr="009B546D">
        <w:rPr>
          <w:rFonts w:asciiTheme="minorHAnsi" w:hAnsiTheme="minorHAnsi" w:cstheme="minorHAnsi"/>
          <w:szCs w:val="20"/>
        </w:rPr>
        <w:t>Information to distributors</w:t>
      </w:r>
    </w:p>
    <w:p w14:paraId="513F3064" w14:textId="61570B1A" w:rsidR="00D90E1F" w:rsidRPr="009B546D" w:rsidRDefault="00D90E1F" w:rsidP="00EA2BB6">
      <w:pPr>
        <w:widowControl w:val="0"/>
        <w:spacing w:after="120" w:line="240" w:lineRule="auto"/>
        <w:rPr>
          <w:rFonts w:cstheme="minorHAnsi"/>
          <w:szCs w:val="20"/>
        </w:rPr>
      </w:pPr>
      <w:r w:rsidRPr="009B546D">
        <w:rPr>
          <w:rFonts w:cstheme="minorHAnsi"/>
          <w:szCs w:val="20"/>
        </w:rPr>
        <w:t>Solely for the purposes of the product governance requirements contained within: (a) EU Directive 2014/65/EU on markets in financial instruments, as amended (“</w:t>
      </w:r>
      <w:r w:rsidRPr="009B546D">
        <w:rPr>
          <w:rFonts w:cstheme="minorHAnsi"/>
          <w:b/>
          <w:bCs/>
          <w:szCs w:val="20"/>
        </w:rPr>
        <w:t>MiFID II</w:t>
      </w:r>
      <w:r w:rsidRPr="009B546D">
        <w:rPr>
          <w:rFonts w:cstheme="minorHAnsi"/>
          <w:szCs w:val="20"/>
        </w:rPr>
        <w:t>”); (b) Articles 9 and 10 of Commission Delegated Directive (EU) 2017/593 supplementing MiFID II; and (c) local implementing measures (together, the “</w:t>
      </w:r>
      <w:r w:rsidRPr="009B546D">
        <w:rPr>
          <w:rFonts w:cstheme="minorHAnsi"/>
          <w:b/>
          <w:bCs/>
          <w:szCs w:val="20"/>
        </w:rPr>
        <w:t xml:space="preserve">MiFID II </w:t>
      </w:r>
      <w:r w:rsidRPr="009B546D">
        <w:rPr>
          <w:rFonts w:cstheme="minorHAnsi"/>
          <w:b/>
          <w:bCs/>
          <w:szCs w:val="20"/>
        </w:rPr>
        <w:lastRenderedPageBreak/>
        <w:t>Product Governance Requirements</w:t>
      </w:r>
      <w:r w:rsidRPr="009B546D">
        <w:rPr>
          <w:rFonts w:cstheme="minorHAnsi"/>
          <w:szCs w:val="20"/>
        </w:rPr>
        <w:t>”), and disclaiming all and any liability, whether arising in tort, contract or otherwise, which any “manufacturer” (for the purposes of the MiFID II Product Governance Requirements) may otherwise have with respect thereto, the Ordinary Shares have been subject to a product approval process, which has determined that the Ordinary shares are: (i) compatible with an end target market of retail investors and investors who meet the criteria of professional clients and eligible counterparties, each as defined in MiFID II; and (ii) eligible for distribution through all distribution channels as are permitted by MiFID II (the “</w:t>
      </w:r>
      <w:r w:rsidRPr="009B546D">
        <w:rPr>
          <w:rFonts w:cstheme="minorHAnsi"/>
          <w:b/>
          <w:bCs/>
          <w:szCs w:val="20"/>
        </w:rPr>
        <w:t>Target Market Assessment</w:t>
      </w:r>
      <w:r w:rsidRPr="009B546D">
        <w:rPr>
          <w:rFonts w:cstheme="minorHAnsi"/>
          <w:szCs w:val="20"/>
        </w:rPr>
        <w:t>”). Notwithstanding the Target Market Assessment, distributors should note that: the price of the Ordinary Shares may decline and investors could lose all or part of their investment; the Ordinary Shares offer no guaranteed income and no capital protection; and an investment in the Ordinary Shares is compatible only with investors who do not need a guaranteed income or capital protection, who (either alone or in conjunction with an appropriate financial or other adviser) are capable of evaluating losses that may result therefrom. The Target Market Assessment is without prejudice to the requirements of any contractual, legal or regulatory selling restrictions</w:t>
      </w:r>
      <w:r w:rsidR="00617DEF" w:rsidRPr="009B546D">
        <w:rPr>
          <w:rFonts w:cstheme="minorHAnsi"/>
          <w:szCs w:val="20"/>
        </w:rPr>
        <w:t>.</w:t>
      </w:r>
    </w:p>
    <w:p w14:paraId="00304A71" w14:textId="77777777" w:rsidR="00D90E1F" w:rsidRPr="009B546D" w:rsidRDefault="00D90E1F" w:rsidP="00F432B9">
      <w:pPr>
        <w:widowControl w:val="0"/>
        <w:spacing w:line="240" w:lineRule="auto"/>
        <w:rPr>
          <w:rFonts w:cstheme="minorHAnsi"/>
          <w:szCs w:val="20"/>
        </w:rPr>
      </w:pPr>
      <w:r w:rsidRPr="009B546D">
        <w:rPr>
          <w:rFonts w:cstheme="minorHAnsi"/>
          <w:szCs w:val="20"/>
        </w:rPr>
        <w:t>For the avoidance of doubt, the Target Market Assessment does not constitute: (a) an assessment of suitability or appropriateness for the purposes of MiFID II; or (b) a recommendation to any investor or group of investors to invest in, or purchase, or take any other action whatsoever with respect to, the Ordinary Shares.</w:t>
      </w:r>
    </w:p>
    <w:p w14:paraId="57A489EC" w14:textId="77777777" w:rsidR="00D90E1F" w:rsidRPr="009B546D" w:rsidRDefault="00D90E1F" w:rsidP="00F432B9">
      <w:pPr>
        <w:widowControl w:val="0"/>
        <w:spacing w:line="240" w:lineRule="auto"/>
        <w:rPr>
          <w:rFonts w:cstheme="minorHAnsi"/>
          <w:szCs w:val="20"/>
        </w:rPr>
      </w:pPr>
      <w:r w:rsidRPr="009B546D">
        <w:rPr>
          <w:rFonts w:cstheme="minorHAnsi"/>
          <w:szCs w:val="20"/>
        </w:rPr>
        <w:t>Each distributor is responsible for undertaking its own target market assessment in respect of the Ordinary Shares and determining appropriate distribution channels.</w:t>
      </w:r>
    </w:p>
    <w:p w14:paraId="5E4BF767" w14:textId="77777777" w:rsidR="00D90E1F" w:rsidRPr="009B546D" w:rsidRDefault="00D90E1F" w:rsidP="00EA2BB6">
      <w:pPr>
        <w:pStyle w:val="Heading2"/>
        <w:keepNext w:val="0"/>
        <w:widowControl w:val="0"/>
        <w:spacing w:before="0" w:after="120" w:line="240" w:lineRule="auto"/>
        <w:rPr>
          <w:rFonts w:asciiTheme="minorHAnsi" w:hAnsiTheme="minorHAnsi" w:cstheme="minorHAnsi"/>
          <w:szCs w:val="20"/>
        </w:rPr>
      </w:pPr>
      <w:r w:rsidRPr="009B546D">
        <w:rPr>
          <w:rFonts w:asciiTheme="minorHAnsi" w:hAnsiTheme="minorHAnsi" w:cstheme="minorHAnsi"/>
          <w:szCs w:val="20"/>
        </w:rPr>
        <w:t>Selling restrictions</w:t>
      </w:r>
    </w:p>
    <w:p w14:paraId="235F1C63" w14:textId="0A20A9E6" w:rsidR="00D90E1F" w:rsidRPr="009B546D" w:rsidRDefault="00D90E1F" w:rsidP="00EA2BB6">
      <w:pPr>
        <w:widowControl w:val="0"/>
        <w:spacing w:after="120" w:line="240" w:lineRule="auto"/>
        <w:rPr>
          <w:rFonts w:cstheme="minorHAnsi"/>
          <w:szCs w:val="20"/>
        </w:rPr>
      </w:pPr>
      <w:r w:rsidRPr="009B546D">
        <w:rPr>
          <w:rFonts w:cstheme="minorHAnsi"/>
          <w:szCs w:val="20"/>
        </w:rPr>
        <w:t xml:space="preserve">The distribution of this </w:t>
      </w:r>
      <w:r w:rsidR="0077279D" w:rsidRPr="009B546D">
        <w:rPr>
          <w:rFonts w:cstheme="minorHAnsi"/>
          <w:szCs w:val="20"/>
        </w:rPr>
        <w:t>Prospectus</w:t>
      </w:r>
      <w:r w:rsidRPr="009B546D">
        <w:rPr>
          <w:rFonts w:cstheme="minorHAnsi"/>
          <w:szCs w:val="20"/>
        </w:rPr>
        <w:t xml:space="preserve"> and the offer of Ordinary Shares in certain jurisdiction may be restricted by law and therefore persons into whose possession this </w:t>
      </w:r>
      <w:r w:rsidR="0077279D" w:rsidRPr="009B546D">
        <w:rPr>
          <w:rFonts w:cstheme="minorHAnsi"/>
          <w:szCs w:val="20"/>
        </w:rPr>
        <w:t>Prospectus</w:t>
      </w:r>
      <w:r w:rsidRPr="009B546D">
        <w:rPr>
          <w:rFonts w:cstheme="minorHAnsi"/>
          <w:szCs w:val="20"/>
        </w:rPr>
        <w:t xml:space="preserve"> comes should inform themselves about and observe any restrictions, including those set out in the paragraphs that follow. Any failure to comply with these restrictions may constitute a violation of the securities laws of any such jurisdiction. No action has been or will be taken in any jurisdiction that would permit a public offering of the Ordinary Shares, or possession or distribution of this </w:t>
      </w:r>
      <w:r w:rsidR="0077279D" w:rsidRPr="009B546D">
        <w:rPr>
          <w:rFonts w:cstheme="minorHAnsi"/>
          <w:szCs w:val="20"/>
        </w:rPr>
        <w:t>Prospectus</w:t>
      </w:r>
      <w:r w:rsidRPr="009B546D">
        <w:rPr>
          <w:rFonts w:cstheme="minorHAnsi"/>
          <w:szCs w:val="20"/>
        </w:rPr>
        <w:t xml:space="preserve"> or any other offering material in any country or jurisdiction where action for that purpose is required. Accordingly, the Ordinary Shares may not be offered or sold, directly or indirectly, and neither this </w:t>
      </w:r>
      <w:r w:rsidR="0077279D" w:rsidRPr="009B546D">
        <w:rPr>
          <w:rFonts w:cstheme="minorHAnsi"/>
          <w:szCs w:val="20"/>
        </w:rPr>
        <w:t>Prospectus</w:t>
      </w:r>
      <w:r w:rsidRPr="009B546D">
        <w:rPr>
          <w:rFonts w:cstheme="minorHAnsi"/>
          <w:szCs w:val="20"/>
        </w:rPr>
        <w:t xml:space="preserve"> nor any other offering material or advertisement in connection with the Ordinary Shares may be distributed or published in or from any country or jurisdiction except in circumstances that will result in compliance with any and all applicable rules and regulations of any such country or jurisdiction. Persons into whose possession this </w:t>
      </w:r>
      <w:r w:rsidR="0077279D" w:rsidRPr="009B546D">
        <w:rPr>
          <w:rFonts w:cstheme="minorHAnsi"/>
          <w:szCs w:val="20"/>
        </w:rPr>
        <w:t>Prospectus</w:t>
      </w:r>
      <w:r w:rsidRPr="009B546D">
        <w:rPr>
          <w:rFonts w:cstheme="minorHAnsi"/>
          <w:szCs w:val="20"/>
        </w:rPr>
        <w:t xml:space="preserve"> comes should inform themselves about and observe any restrictions on the distribution of this </w:t>
      </w:r>
      <w:r w:rsidR="0077279D" w:rsidRPr="009B546D">
        <w:rPr>
          <w:rFonts w:cstheme="minorHAnsi"/>
          <w:szCs w:val="20"/>
        </w:rPr>
        <w:t>Prospectus</w:t>
      </w:r>
      <w:r w:rsidRPr="009B546D">
        <w:rPr>
          <w:rFonts w:cstheme="minorHAnsi"/>
          <w:szCs w:val="20"/>
        </w:rPr>
        <w:t xml:space="preserve"> and the offer of Ordinary Shares contained in this </w:t>
      </w:r>
      <w:r w:rsidR="0077279D" w:rsidRPr="009B546D">
        <w:rPr>
          <w:rFonts w:cstheme="minorHAnsi"/>
          <w:szCs w:val="20"/>
        </w:rPr>
        <w:t>Prospectus</w:t>
      </w:r>
      <w:r w:rsidRPr="009B546D">
        <w:rPr>
          <w:rFonts w:cstheme="minorHAnsi"/>
          <w:szCs w:val="20"/>
        </w:rPr>
        <w:t xml:space="preserve">. Any failure to comply with these restrictions may constitute a violation of the securities laws of any such jurisdiction. This </w:t>
      </w:r>
      <w:r w:rsidR="0077279D" w:rsidRPr="009B546D">
        <w:rPr>
          <w:rFonts w:cstheme="minorHAnsi"/>
          <w:szCs w:val="20"/>
        </w:rPr>
        <w:t>Prospectus</w:t>
      </w:r>
      <w:r w:rsidRPr="009B546D">
        <w:rPr>
          <w:rFonts w:cstheme="minorHAnsi"/>
          <w:szCs w:val="20"/>
        </w:rPr>
        <w:t xml:space="preserve"> does not constitute an offer to subscribe for or purchase any of the Ordinary Shares to any person in any jurisdiction to whom it is unlawful to make such offer or solicitation in such jurisdiction.</w:t>
      </w:r>
    </w:p>
    <w:p w14:paraId="12D0C002" w14:textId="77777777" w:rsidR="00D90E1F" w:rsidRPr="009B546D" w:rsidRDefault="00D90E1F" w:rsidP="00EA2BB6">
      <w:pPr>
        <w:pStyle w:val="Heading2"/>
        <w:keepNext w:val="0"/>
        <w:widowControl w:val="0"/>
        <w:spacing w:before="0" w:after="120" w:line="240" w:lineRule="auto"/>
        <w:rPr>
          <w:rFonts w:asciiTheme="minorHAnsi" w:hAnsiTheme="minorHAnsi" w:cstheme="minorHAnsi"/>
          <w:szCs w:val="20"/>
        </w:rPr>
      </w:pPr>
      <w:r w:rsidRPr="009B546D">
        <w:rPr>
          <w:rFonts w:asciiTheme="minorHAnsi" w:hAnsiTheme="minorHAnsi" w:cstheme="minorHAnsi"/>
          <w:szCs w:val="20"/>
        </w:rPr>
        <w:t>United States</w:t>
      </w:r>
    </w:p>
    <w:p w14:paraId="6D62CF7C" w14:textId="77777777" w:rsidR="00D90E1F" w:rsidRPr="009B546D" w:rsidRDefault="00D90E1F" w:rsidP="00EA2BB6">
      <w:pPr>
        <w:widowControl w:val="0"/>
        <w:spacing w:after="120" w:line="240" w:lineRule="auto"/>
        <w:rPr>
          <w:rFonts w:cstheme="minorHAnsi"/>
          <w:szCs w:val="20"/>
        </w:rPr>
      </w:pPr>
      <w:r w:rsidRPr="009B546D">
        <w:rPr>
          <w:rFonts w:cstheme="minorHAnsi"/>
          <w:szCs w:val="20"/>
        </w:rPr>
        <w:t>The Ordinary Shares have not been and will not be registered under the US Securities Act, or the securities laws of any state or other jurisdiction of the United States. Subject to certain exceptions, the Ordinary Shares may not be, offered, sold, resold, transferred or distributed, directly or indirectly, within, into or in the United States or to or for the account or benefit of persons in the United States.</w:t>
      </w:r>
    </w:p>
    <w:p w14:paraId="02BEC22F" w14:textId="77777777" w:rsidR="00D90E1F" w:rsidRPr="009B546D" w:rsidRDefault="00D90E1F" w:rsidP="00F432B9">
      <w:pPr>
        <w:widowControl w:val="0"/>
        <w:spacing w:line="240" w:lineRule="auto"/>
        <w:rPr>
          <w:rFonts w:cstheme="minorHAnsi"/>
          <w:szCs w:val="20"/>
        </w:rPr>
      </w:pPr>
      <w:r w:rsidRPr="009B546D">
        <w:rPr>
          <w:rFonts w:cstheme="minorHAnsi"/>
          <w:szCs w:val="20"/>
        </w:rPr>
        <w:t>The Ordinary Shares may not be taken up, offered, sold, resold, transferred or distributed, directly or indirectly within, into or in the United States except pursuant to an exemption from, or in a transaction that is not subject to, the registration requirements of the US Securities Act. There will be no public offer in the United States.</w:t>
      </w:r>
    </w:p>
    <w:p w14:paraId="6B2C3B8B" w14:textId="77777777" w:rsidR="00D90E1F" w:rsidRPr="009B546D" w:rsidRDefault="00D90E1F" w:rsidP="00F432B9">
      <w:pPr>
        <w:widowControl w:val="0"/>
        <w:spacing w:line="240" w:lineRule="auto"/>
        <w:rPr>
          <w:rFonts w:cstheme="minorHAnsi"/>
          <w:szCs w:val="20"/>
        </w:rPr>
      </w:pPr>
      <w:r w:rsidRPr="009B546D">
        <w:rPr>
          <w:rFonts w:cstheme="minorHAnsi"/>
          <w:szCs w:val="20"/>
        </w:rPr>
        <w:t>The Company has not been and will not be registered under the US Investment Company Act pursuant to the exemption provided by Section 3(c)(7) thereof, and investors will not be entitled to the benefits of the US Investment Company Act.</w:t>
      </w:r>
    </w:p>
    <w:p w14:paraId="1AF545BA" w14:textId="7B1E41AA" w:rsidR="00D90E1F" w:rsidRDefault="00D90E1F" w:rsidP="00F432B9">
      <w:pPr>
        <w:widowControl w:val="0"/>
        <w:spacing w:line="240" w:lineRule="auto"/>
        <w:rPr>
          <w:rFonts w:cstheme="minorHAnsi"/>
          <w:szCs w:val="20"/>
        </w:rPr>
      </w:pPr>
      <w:r w:rsidRPr="009B546D">
        <w:rPr>
          <w:rFonts w:cstheme="minorHAnsi"/>
          <w:szCs w:val="20"/>
        </w:rPr>
        <w:t xml:space="preserve">The Ordinary shares have not been approved or disapproved by the US Securities and Exchange Commission, any State securities commission in the United States or any other US regulatory authority, nor have any of the foregoing authorities passed comment upon or endorsed the merits of the </w:t>
      </w:r>
      <w:r w:rsidR="00617DEF" w:rsidRPr="009B546D">
        <w:rPr>
          <w:rFonts w:cstheme="minorHAnsi"/>
          <w:szCs w:val="20"/>
        </w:rPr>
        <w:t xml:space="preserve">investment </w:t>
      </w:r>
      <w:r w:rsidRPr="009B546D">
        <w:rPr>
          <w:rFonts w:cstheme="minorHAnsi"/>
          <w:szCs w:val="20"/>
        </w:rPr>
        <w:t xml:space="preserve">or adequacy of this </w:t>
      </w:r>
      <w:r w:rsidR="0077279D" w:rsidRPr="009B546D">
        <w:rPr>
          <w:rFonts w:cstheme="minorHAnsi"/>
          <w:szCs w:val="20"/>
        </w:rPr>
        <w:t>Prospectus</w:t>
      </w:r>
      <w:r w:rsidRPr="009B546D">
        <w:rPr>
          <w:rFonts w:cstheme="minorHAnsi"/>
          <w:szCs w:val="20"/>
        </w:rPr>
        <w:t xml:space="preserve">. Any representations to the contrary </w:t>
      </w:r>
      <w:r w:rsidR="004F0826" w:rsidRPr="009B546D">
        <w:rPr>
          <w:rFonts w:cstheme="minorHAnsi"/>
          <w:szCs w:val="20"/>
        </w:rPr>
        <w:t>are</w:t>
      </w:r>
      <w:r w:rsidRPr="009B546D">
        <w:rPr>
          <w:rFonts w:cstheme="minorHAnsi"/>
          <w:szCs w:val="20"/>
        </w:rPr>
        <w:t xml:space="preserve"> a criminal offence in the United States.</w:t>
      </w:r>
    </w:p>
    <w:p w14:paraId="44A64A51" w14:textId="3A7DDF57" w:rsidR="00762BFE" w:rsidRDefault="00762BFE" w:rsidP="00F432B9">
      <w:pPr>
        <w:widowControl w:val="0"/>
        <w:spacing w:line="240" w:lineRule="auto"/>
        <w:rPr>
          <w:rFonts w:cstheme="minorHAnsi"/>
          <w:szCs w:val="20"/>
        </w:rPr>
      </w:pPr>
    </w:p>
    <w:p w14:paraId="09EDE540" w14:textId="77777777" w:rsidR="00762BFE" w:rsidRPr="009B546D" w:rsidRDefault="00762BFE" w:rsidP="00F432B9">
      <w:pPr>
        <w:widowControl w:val="0"/>
        <w:spacing w:line="240" w:lineRule="auto"/>
        <w:rPr>
          <w:rFonts w:cstheme="minorHAnsi"/>
          <w:szCs w:val="20"/>
        </w:rPr>
      </w:pPr>
    </w:p>
    <w:p w14:paraId="4E80AF49" w14:textId="77777777" w:rsidR="00D90E1F" w:rsidRPr="009B546D" w:rsidRDefault="00D90E1F" w:rsidP="00EA2BB6">
      <w:pPr>
        <w:pStyle w:val="Heading2"/>
        <w:keepNext w:val="0"/>
        <w:widowControl w:val="0"/>
        <w:spacing w:before="0" w:after="120" w:line="240" w:lineRule="auto"/>
        <w:rPr>
          <w:rFonts w:asciiTheme="minorHAnsi" w:hAnsiTheme="minorHAnsi" w:cstheme="minorHAnsi"/>
          <w:szCs w:val="20"/>
        </w:rPr>
      </w:pPr>
      <w:r w:rsidRPr="009B546D">
        <w:rPr>
          <w:rFonts w:asciiTheme="minorHAnsi" w:hAnsiTheme="minorHAnsi" w:cstheme="minorHAnsi"/>
          <w:szCs w:val="20"/>
        </w:rPr>
        <w:t>European Economic Area</w:t>
      </w:r>
    </w:p>
    <w:p w14:paraId="39D15EA2" w14:textId="21DD3C5E" w:rsidR="00D90E1F" w:rsidRPr="009B546D" w:rsidRDefault="00D90E1F" w:rsidP="00EA2BB6">
      <w:pPr>
        <w:widowControl w:val="0"/>
        <w:spacing w:after="120" w:line="240" w:lineRule="auto"/>
        <w:rPr>
          <w:rFonts w:cstheme="minorHAnsi"/>
          <w:szCs w:val="20"/>
        </w:rPr>
      </w:pPr>
      <w:r w:rsidRPr="009B546D">
        <w:rPr>
          <w:rFonts w:cstheme="minorHAnsi"/>
          <w:szCs w:val="20"/>
        </w:rPr>
        <w:t xml:space="preserve">Pursuant to the Prospectus Regulation, an offer to the public of the Ordinary Shares may only be made once the </w:t>
      </w:r>
      <w:r w:rsidR="0077279D" w:rsidRPr="009B546D">
        <w:rPr>
          <w:rFonts w:cstheme="minorHAnsi"/>
          <w:szCs w:val="20"/>
        </w:rPr>
        <w:t>Prospectus</w:t>
      </w:r>
      <w:r w:rsidRPr="009B546D">
        <w:rPr>
          <w:rFonts w:cstheme="minorHAnsi"/>
          <w:szCs w:val="20"/>
        </w:rPr>
        <w:t xml:space="preserve"> has been passported in an EEA Member State or in accordance with the Prospectus Regulation. For any other EEA Member State an offer to the public in that EEA Member State of any Ordinary Shares may only be made at any time under the following exemptions under the Prospectus Regulation, if they have been implemented in that EEA Member State:</w:t>
      </w:r>
    </w:p>
    <w:p w14:paraId="302841E5" w14:textId="77777777" w:rsidR="00D90E1F" w:rsidRPr="009B546D" w:rsidRDefault="00D90E1F" w:rsidP="00496B89">
      <w:pPr>
        <w:pStyle w:val="ListParagraph"/>
        <w:numPr>
          <w:ilvl w:val="0"/>
          <w:numId w:val="4"/>
        </w:numPr>
        <w:ind w:left="426" w:hanging="426"/>
        <w:rPr>
          <w:rFonts w:asciiTheme="minorHAnsi" w:hAnsiTheme="minorHAnsi" w:cstheme="minorHAnsi"/>
          <w:sz w:val="20"/>
          <w:szCs w:val="20"/>
        </w:rPr>
      </w:pPr>
      <w:r w:rsidRPr="009B546D">
        <w:rPr>
          <w:rFonts w:asciiTheme="minorHAnsi" w:hAnsiTheme="minorHAnsi" w:cstheme="minorHAnsi"/>
          <w:sz w:val="20"/>
          <w:szCs w:val="20"/>
        </w:rPr>
        <w:t>to any legal entity which is a Qualified Investor, within the meaning of Article 2(e) of the Prospectus Regulation;</w:t>
      </w:r>
    </w:p>
    <w:p w14:paraId="1374CE41" w14:textId="77777777" w:rsidR="00D90E1F" w:rsidRPr="009B546D" w:rsidRDefault="00D90E1F" w:rsidP="00F432B9">
      <w:pPr>
        <w:pStyle w:val="ListParagraph"/>
        <w:numPr>
          <w:ilvl w:val="0"/>
          <w:numId w:val="4"/>
        </w:numPr>
        <w:ind w:left="426" w:hanging="426"/>
        <w:rPr>
          <w:rFonts w:asciiTheme="minorHAnsi" w:hAnsiTheme="minorHAnsi" w:cstheme="minorHAnsi"/>
          <w:sz w:val="20"/>
          <w:szCs w:val="20"/>
        </w:rPr>
      </w:pPr>
      <w:r w:rsidRPr="009B546D">
        <w:rPr>
          <w:rFonts w:asciiTheme="minorHAnsi" w:hAnsiTheme="minorHAnsi" w:cstheme="minorHAnsi"/>
          <w:sz w:val="20"/>
          <w:szCs w:val="20"/>
        </w:rPr>
        <w:t>to fewer than 150 natural or legal persons (other than Qualified Investors, within the meaning of Article 2(e) of the Prospectus Regulation) in such EEA Member State subject to obtaining prior consent of the Company for any such offer; or</w:t>
      </w:r>
    </w:p>
    <w:p w14:paraId="031941D9" w14:textId="77777777" w:rsidR="00D90E1F" w:rsidRPr="009B546D" w:rsidRDefault="00D90E1F" w:rsidP="00F432B9">
      <w:pPr>
        <w:pStyle w:val="ListParagraph"/>
        <w:numPr>
          <w:ilvl w:val="0"/>
          <w:numId w:val="4"/>
        </w:numPr>
        <w:spacing w:after="120"/>
        <w:ind w:left="426" w:hanging="426"/>
        <w:rPr>
          <w:rFonts w:asciiTheme="minorHAnsi" w:hAnsiTheme="minorHAnsi" w:cstheme="minorHAnsi"/>
          <w:sz w:val="20"/>
          <w:szCs w:val="20"/>
        </w:rPr>
      </w:pPr>
      <w:r w:rsidRPr="009B546D">
        <w:rPr>
          <w:rFonts w:asciiTheme="minorHAnsi" w:hAnsiTheme="minorHAnsi" w:cstheme="minorHAnsi"/>
          <w:sz w:val="20"/>
          <w:szCs w:val="20"/>
        </w:rPr>
        <w:t>in any other circumstances falling within Article 1(4) of the Prospectus regulation,</w:t>
      </w:r>
    </w:p>
    <w:p w14:paraId="7AFFD814" w14:textId="1FC3F522" w:rsidR="00D90E1F" w:rsidRPr="009B546D" w:rsidRDefault="00D90E1F" w:rsidP="00F432B9">
      <w:pPr>
        <w:widowControl w:val="0"/>
        <w:spacing w:line="240" w:lineRule="auto"/>
        <w:rPr>
          <w:rFonts w:cstheme="minorHAnsi"/>
          <w:szCs w:val="20"/>
        </w:rPr>
      </w:pPr>
      <w:r w:rsidRPr="009B546D">
        <w:rPr>
          <w:rFonts w:cstheme="minorHAnsi"/>
          <w:szCs w:val="20"/>
        </w:rPr>
        <w:t xml:space="preserve">provided that no such offer of Ordinary Shares shall result in a requirement for the publication by the Company of a </w:t>
      </w:r>
      <w:r w:rsidR="0077279D" w:rsidRPr="009B546D">
        <w:rPr>
          <w:rFonts w:cstheme="minorHAnsi"/>
          <w:szCs w:val="20"/>
        </w:rPr>
        <w:t>Prospectus</w:t>
      </w:r>
      <w:r w:rsidRPr="009B546D">
        <w:rPr>
          <w:rFonts w:cstheme="minorHAnsi"/>
          <w:szCs w:val="20"/>
        </w:rPr>
        <w:t xml:space="preserve"> pursuant to Article 3 of the Prospectus Regulation and each person who initially acquires Ordinary Shares or to whom any offer is made will be deemed to have represented, warranted and agreed with SI Capital and the Company that it is a “</w:t>
      </w:r>
      <w:r w:rsidRPr="009B546D">
        <w:rPr>
          <w:rFonts w:cstheme="minorHAnsi"/>
          <w:b/>
          <w:bCs/>
          <w:szCs w:val="20"/>
        </w:rPr>
        <w:t>Qualified Investor</w:t>
      </w:r>
      <w:r w:rsidRPr="009B546D">
        <w:rPr>
          <w:rFonts w:cstheme="minorHAnsi"/>
          <w:szCs w:val="20"/>
        </w:rPr>
        <w:t>” within the meaning of Article 2(e) of the Prospectus Regulation.</w:t>
      </w:r>
    </w:p>
    <w:p w14:paraId="44116497" w14:textId="77777777" w:rsidR="00D90E1F" w:rsidRPr="009B546D" w:rsidRDefault="00D90E1F" w:rsidP="00F432B9">
      <w:pPr>
        <w:widowControl w:val="0"/>
        <w:spacing w:line="240" w:lineRule="auto"/>
        <w:rPr>
          <w:rFonts w:cstheme="minorHAnsi"/>
          <w:szCs w:val="20"/>
        </w:rPr>
      </w:pPr>
      <w:r w:rsidRPr="009B546D">
        <w:rPr>
          <w:rFonts w:cstheme="minorHAnsi"/>
          <w:szCs w:val="20"/>
        </w:rPr>
        <w:t>For the purposes of this provision, the expression an ‘offer to the public’ in relation to any offer of Ordinary Shares in any EEA Member State means the communication in any form and by any means of sufficient information on the terms of the offer and any Ordinary Shares to be offered so as to enable an investor to decide to purchase or subscribe for the Ordinary Shares and the expression “</w:t>
      </w:r>
      <w:r w:rsidRPr="009B546D">
        <w:rPr>
          <w:rFonts w:cstheme="minorHAnsi"/>
          <w:b/>
          <w:bCs/>
          <w:szCs w:val="20"/>
        </w:rPr>
        <w:t>Prospectus Regulation</w:t>
      </w:r>
      <w:r w:rsidRPr="009B546D">
        <w:rPr>
          <w:rFonts w:cstheme="minorHAnsi"/>
          <w:szCs w:val="20"/>
        </w:rPr>
        <w:t>” means Regulation (EU) 2017/1129.</w:t>
      </w:r>
    </w:p>
    <w:p w14:paraId="6A4CBFDB" w14:textId="7E677CD4" w:rsidR="00D90E1F" w:rsidRPr="009B546D" w:rsidRDefault="00D90E1F" w:rsidP="00F432B9">
      <w:pPr>
        <w:widowControl w:val="0"/>
        <w:spacing w:line="240" w:lineRule="auto"/>
        <w:rPr>
          <w:rFonts w:cstheme="minorHAnsi"/>
          <w:szCs w:val="20"/>
        </w:rPr>
      </w:pPr>
      <w:r w:rsidRPr="009B546D">
        <w:rPr>
          <w:rFonts w:cstheme="minorHAnsi"/>
          <w:szCs w:val="20"/>
        </w:rPr>
        <w:t xml:space="preserve">This </w:t>
      </w:r>
      <w:r w:rsidR="0077279D" w:rsidRPr="009B546D">
        <w:rPr>
          <w:rFonts w:cstheme="minorHAnsi"/>
          <w:szCs w:val="20"/>
        </w:rPr>
        <w:t>Prospectus</w:t>
      </w:r>
      <w:r w:rsidRPr="009B546D">
        <w:rPr>
          <w:rFonts w:cstheme="minorHAnsi"/>
          <w:szCs w:val="20"/>
        </w:rPr>
        <w:t xml:space="preserve"> may not be used for, or in connection with, and does not constitute, any offer of Ordinary Shares or an invitation to purchase or subscribe for any Ordinary Shares in any EEA Member State in which such offer or invitation would be unlawful.</w:t>
      </w:r>
    </w:p>
    <w:p w14:paraId="1D692DF2" w14:textId="1EDF443E" w:rsidR="00D90E1F" w:rsidRPr="009B546D" w:rsidRDefault="00D90E1F" w:rsidP="00F432B9">
      <w:pPr>
        <w:widowControl w:val="0"/>
        <w:spacing w:line="240" w:lineRule="auto"/>
        <w:rPr>
          <w:rFonts w:cstheme="minorHAnsi"/>
          <w:szCs w:val="20"/>
        </w:rPr>
      </w:pPr>
      <w:r w:rsidRPr="009B546D">
        <w:rPr>
          <w:rFonts w:cstheme="minorHAnsi"/>
          <w:szCs w:val="20"/>
        </w:rPr>
        <w:t xml:space="preserve">The distribution of this </w:t>
      </w:r>
      <w:r w:rsidR="0077279D" w:rsidRPr="009B546D">
        <w:rPr>
          <w:rFonts w:cstheme="minorHAnsi"/>
          <w:szCs w:val="20"/>
        </w:rPr>
        <w:t>Prospectus</w:t>
      </w:r>
      <w:r w:rsidRPr="009B546D">
        <w:rPr>
          <w:rFonts w:cstheme="minorHAnsi"/>
          <w:szCs w:val="20"/>
        </w:rPr>
        <w:t xml:space="preserve"> in other jurisdictions may be restricted by law and therefore persons into whose possession this </w:t>
      </w:r>
      <w:r w:rsidR="0077279D" w:rsidRPr="009B546D">
        <w:rPr>
          <w:rFonts w:cstheme="minorHAnsi"/>
          <w:szCs w:val="20"/>
        </w:rPr>
        <w:t>Prospectus</w:t>
      </w:r>
      <w:r w:rsidRPr="009B546D">
        <w:rPr>
          <w:rFonts w:cstheme="minorHAnsi"/>
          <w:szCs w:val="20"/>
        </w:rPr>
        <w:t xml:space="preserve"> comes should inform themselves about and observe any such restrictions.</w:t>
      </w:r>
    </w:p>
    <w:p w14:paraId="67145A47" w14:textId="77777777" w:rsidR="00D90E1F" w:rsidRPr="009B546D" w:rsidRDefault="00D90E1F" w:rsidP="00EA2BB6">
      <w:pPr>
        <w:pStyle w:val="Heading2"/>
        <w:keepNext w:val="0"/>
        <w:widowControl w:val="0"/>
        <w:spacing w:before="0" w:after="120" w:line="240" w:lineRule="auto"/>
        <w:rPr>
          <w:rFonts w:asciiTheme="minorHAnsi" w:hAnsiTheme="minorHAnsi" w:cstheme="minorHAnsi"/>
          <w:szCs w:val="20"/>
        </w:rPr>
      </w:pPr>
      <w:r w:rsidRPr="009B546D">
        <w:rPr>
          <w:rFonts w:asciiTheme="minorHAnsi" w:hAnsiTheme="minorHAnsi" w:cstheme="minorHAnsi"/>
          <w:szCs w:val="20"/>
        </w:rPr>
        <w:t>United Kingdom</w:t>
      </w:r>
    </w:p>
    <w:p w14:paraId="12D84CEF" w14:textId="051A920D" w:rsidR="00D90E1F" w:rsidRPr="009B546D" w:rsidRDefault="00D90E1F" w:rsidP="00EA2BB6">
      <w:pPr>
        <w:widowControl w:val="0"/>
        <w:spacing w:after="120" w:line="240" w:lineRule="auto"/>
        <w:rPr>
          <w:rFonts w:cstheme="minorHAnsi"/>
          <w:szCs w:val="20"/>
        </w:rPr>
      </w:pPr>
      <w:r w:rsidRPr="009B546D">
        <w:rPr>
          <w:rFonts w:cstheme="minorHAnsi"/>
          <w:szCs w:val="20"/>
        </w:rPr>
        <w:t xml:space="preserve">This </w:t>
      </w:r>
      <w:r w:rsidR="0077279D" w:rsidRPr="009B546D">
        <w:rPr>
          <w:rFonts w:cstheme="minorHAnsi"/>
          <w:szCs w:val="20"/>
        </w:rPr>
        <w:t>Prospectus</w:t>
      </w:r>
      <w:r w:rsidRPr="009B546D">
        <w:rPr>
          <w:rFonts w:cstheme="minorHAnsi"/>
          <w:szCs w:val="20"/>
        </w:rPr>
        <w:t xml:space="preserve"> comprises a </w:t>
      </w:r>
      <w:r w:rsidR="0077279D" w:rsidRPr="009B546D">
        <w:rPr>
          <w:rFonts w:cstheme="minorHAnsi"/>
          <w:szCs w:val="20"/>
        </w:rPr>
        <w:t>Prospectus</w:t>
      </w:r>
      <w:r w:rsidRPr="009B546D">
        <w:rPr>
          <w:rFonts w:cstheme="minorHAnsi"/>
          <w:szCs w:val="20"/>
        </w:rPr>
        <w:t xml:space="preserve"> relating to the Company prepared in accordance with the </w:t>
      </w:r>
      <w:r w:rsidR="0064024F" w:rsidRPr="009B546D">
        <w:rPr>
          <w:rFonts w:cstheme="minorHAnsi"/>
          <w:szCs w:val="20"/>
        </w:rPr>
        <w:t>Prospectus Rules</w:t>
      </w:r>
      <w:r w:rsidRPr="009B546D">
        <w:rPr>
          <w:rFonts w:cstheme="minorHAnsi"/>
          <w:szCs w:val="20"/>
        </w:rPr>
        <w:t xml:space="preserve"> and approved by the FCA under section 87A of FSMA. This </w:t>
      </w:r>
      <w:r w:rsidR="0077279D" w:rsidRPr="009B546D">
        <w:rPr>
          <w:rFonts w:cstheme="minorHAnsi"/>
          <w:szCs w:val="20"/>
        </w:rPr>
        <w:t>Prospectus</w:t>
      </w:r>
      <w:r w:rsidRPr="009B546D">
        <w:rPr>
          <w:rFonts w:cstheme="minorHAnsi"/>
          <w:szCs w:val="20"/>
        </w:rPr>
        <w:t xml:space="preserve"> has been filed with the FCA and made available to the public in accordance with Rule 3.2 of the </w:t>
      </w:r>
      <w:r w:rsidR="0064024F" w:rsidRPr="009B546D">
        <w:rPr>
          <w:rFonts w:cstheme="minorHAnsi"/>
          <w:szCs w:val="20"/>
        </w:rPr>
        <w:t>Prospectus Rules</w:t>
      </w:r>
      <w:r w:rsidRPr="009B546D">
        <w:rPr>
          <w:rFonts w:cstheme="minorHAnsi"/>
          <w:szCs w:val="20"/>
        </w:rPr>
        <w:t>.</w:t>
      </w:r>
    </w:p>
    <w:p w14:paraId="0F0C18F6" w14:textId="4C87DDBD" w:rsidR="00D90E1F" w:rsidRPr="009B546D" w:rsidRDefault="00D90E1F" w:rsidP="00F432B9">
      <w:pPr>
        <w:widowControl w:val="0"/>
        <w:spacing w:line="240" w:lineRule="auto"/>
        <w:rPr>
          <w:rFonts w:cstheme="minorHAnsi"/>
          <w:szCs w:val="20"/>
        </w:rPr>
      </w:pPr>
      <w:r w:rsidRPr="009B546D">
        <w:rPr>
          <w:rFonts w:cstheme="minorHAnsi"/>
          <w:szCs w:val="20"/>
        </w:rPr>
        <w:t xml:space="preserve">This </w:t>
      </w:r>
      <w:r w:rsidR="0077279D" w:rsidRPr="009B546D">
        <w:rPr>
          <w:rFonts w:cstheme="minorHAnsi"/>
          <w:szCs w:val="20"/>
        </w:rPr>
        <w:t>Prospectus</w:t>
      </w:r>
      <w:r w:rsidRPr="009B546D">
        <w:rPr>
          <w:rFonts w:cstheme="minorHAnsi"/>
          <w:szCs w:val="20"/>
        </w:rPr>
        <w:t xml:space="preserve"> is being distributed only to and is directed at persons who (if they are in the EEA) will fall within one of the categories of persons set out above in the paragraph entitled ‘For the attention of EEA investors’. In addition, this </w:t>
      </w:r>
      <w:r w:rsidR="0077279D" w:rsidRPr="009B546D">
        <w:rPr>
          <w:rFonts w:cstheme="minorHAnsi"/>
          <w:szCs w:val="20"/>
        </w:rPr>
        <w:t>Prospectus</w:t>
      </w:r>
      <w:r w:rsidRPr="009B546D">
        <w:rPr>
          <w:rFonts w:cstheme="minorHAnsi"/>
          <w:szCs w:val="20"/>
        </w:rPr>
        <w:t xml:space="preserve"> is being distributed only to and is directed at persons in the UK who are: (i) persons having professional experience in matters relating to investments falling within the definition of ‘investment professionals’ in Article 19(5) of the Financial Services and Markets Act 2000 (Financial Promotion Order) 2005 (the “</w:t>
      </w:r>
      <w:r w:rsidRPr="009B546D">
        <w:rPr>
          <w:rFonts w:cstheme="minorHAnsi"/>
          <w:b/>
          <w:bCs/>
          <w:szCs w:val="20"/>
        </w:rPr>
        <w:t>Order</w:t>
      </w:r>
      <w:r w:rsidRPr="009B546D">
        <w:rPr>
          <w:rFonts w:cstheme="minorHAnsi"/>
          <w:szCs w:val="20"/>
        </w:rPr>
        <w:t>”); or (ii) persons who are high net worth bodies corporate, unincorporated associations and partnerships and the trustees of high value trusts, as described in Article 49(2)(a) to (d) of the Order; or (iii) persons to whom it may otherwise be lawful to distribute.</w:t>
      </w:r>
    </w:p>
    <w:p w14:paraId="5E264851" w14:textId="77777777" w:rsidR="00D90E1F" w:rsidRPr="009B546D" w:rsidRDefault="00D90E1F" w:rsidP="00EA2BB6">
      <w:pPr>
        <w:pStyle w:val="Heading2"/>
        <w:keepNext w:val="0"/>
        <w:widowControl w:val="0"/>
        <w:spacing w:before="0" w:after="120" w:line="240" w:lineRule="auto"/>
        <w:rPr>
          <w:rFonts w:asciiTheme="minorHAnsi" w:hAnsiTheme="minorHAnsi" w:cstheme="minorHAnsi"/>
          <w:szCs w:val="20"/>
        </w:rPr>
      </w:pPr>
      <w:r w:rsidRPr="009B546D">
        <w:rPr>
          <w:rFonts w:asciiTheme="minorHAnsi" w:hAnsiTheme="minorHAnsi" w:cstheme="minorHAnsi"/>
          <w:szCs w:val="20"/>
        </w:rPr>
        <w:t>Forward-looking statements</w:t>
      </w:r>
    </w:p>
    <w:p w14:paraId="7DB1390B" w14:textId="678895DE" w:rsidR="00D90E1F" w:rsidRPr="009B546D" w:rsidRDefault="00D90E1F" w:rsidP="00EA2BB6">
      <w:pPr>
        <w:widowControl w:val="0"/>
        <w:spacing w:after="120" w:line="240" w:lineRule="auto"/>
        <w:rPr>
          <w:rFonts w:cstheme="minorHAnsi"/>
          <w:szCs w:val="20"/>
        </w:rPr>
      </w:pPr>
      <w:r w:rsidRPr="009B546D">
        <w:rPr>
          <w:rFonts w:cstheme="minorHAnsi"/>
          <w:szCs w:val="20"/>
        </w:rPr>
        <w:t xml:space="preserve">This </w:t>
      </w:r>
      <w:r w:rsidR="0077279D" w:rsidRPr="009B546D">
        <w:rPr>
          <w:rFonts w:cstheme="minorHAnsi"/>
          <w:szCs w:val="20"/>
        </w:rPr>
        <w:t>Prospectus</w:t>
      </w:r>
      <w:r w:rsidRPr="009B546D">
        <w:rPr>
          <w:rFonts w:cstheme="minorHAnsi"/>
          <w:szCs w:val="20"/>
        </w:rPr>
        <w:t xml:space="preserve"> includes statements that are, or may be deemed to be, ‘forward-looking statements’. In some cases, these forward-looking statements can be identified by the use of forward-looking terminology, including the terms ‘targets’, ‘believes’, ‘estimates’, ’anticipates’, ‘expects’, ‘intends’, ‘may’, ‘will’, ‘should’ or, in each case, their negative or other variations or comparable terminology. They appear in a number of places throughout the </w:t>
      </w:r>
      <w:r w:rsidR="0077279D" w:rsidRPr="009B546D">
        <w:rPr>
          <w:rFonts w:cstheme="minorHAnsi"/>
          <w:szCs w:val="20"/>
        </w:rPr>
        <w:t>Prospectus</w:t>
      </w:r>
      <w:r w:rsidRPr="009B546D">
        <w:rPr>
          <w:rFonts w:cstheme="minorHAnsi"/>
          <w:szCs w:val="20"/>
        </w:rPr>
        <w:t xml:space="preserve"> and include statements regarding the intentions, beliefs or current expectations of the Company and the Board concerning, </w:t>
      </w:r>
      <w:r w:rsidRPr="009B546D">
        <w:rPr>
          <w:rFonts w:cstheme="minorHAnsi"/>
          <w:i/>
          <w:iCs/>
          <w:szCs w:val="20"/>
        </w:rPr>
        <w:t>inter alia</w:t>
      </w:r>
      <w:r w:rsidRPr="009B546D">
        <w:rPr>
          <w:rFonts w:cstheme="minorHAnsi"/>
          <w:szCs w:val="20"/>
        </w:rPr>
        <w:t xml:space="preserve">: (i) the Company’s objective, acquisition, financing and business strategies, results of operations, financial condition, capital resources, prospects, capital appreciation of the Ordinary Shares and dividends; and (ii) future deal flow and implementation of active management strategies, including with regard to acquisitions. By their nature, forward-looking statements involve risks and uncertainties because </w:t>
      </w:r>
      <w:r w:rsidRPr="009B546D">
        <w:rPr>
          <w:rFonts w:cstheme="minorHAnsi"/>
          <w:szCs w:val="20"/>
        </w:rPr>
        <w:lastRenderedPageBreak/>
        <w:t xml:space="preserve">they relate to events and depend on circumstances that may or may not occur in the future. Forward-looking statements </w:t>
      </w:r>
      <w:r w:rsidR="001E1549">
        <w:rPr>
          <w:rFonts w:cstheme="minorHAnsi"/>
          <w:szCs w:val="20"/>
        </w:rPr>
        <w:t>does not guarantee</w:t>
      </w:r>
      <w:r w:rsidRPr="009B546D">
        <w:rPr>
          <w:rFonts w:cstheme="minorHAnsi"/>
          <w:szCs w:val="20"/>
        </w:rPr>
        <w:t xml:space="preserve">  future performance. The company’s actual performance, results of operations, financial condition, distributions to Shareholders and the development of its financing strategies may differ materially from the forward-looking statements contained in this </w:t>
      </w:r>
      <w:r w:rsidR="0077279D" w:rsidRPr="009B546D">
        <w:rPr>
          <w:rFonts w:cstheme="minorHAnsi"/>
          <w:szCs w:val="20"/>
        </w:rPr>
        <w:t>Prospectus</w:t>
      </w:r>
      <w:r w:rsidRPr="009B546D">
        <w:rPr>
          <w:rFonts w:cstheme="minorHAnsi"/>
          <w:szCs w:val="20"/>
        </w:rPr>
        <w:t xml:space="preserve">. In addition, even if the company’s actual performance, results of operations, financial condition, distributions to Shareholders and the development of its financing strategies are consistent with the forward-looking statements contained in this </w:t>
      </w:r>
      <w:r w:rsidR="0077279D" w:rsidRPr="009B546D">
        <w:rPr>
          <w:rFonts w:cstheme="minorHAnsi"/>
          <w:szCs w:val="20"/>
        </w:rPr>
        <w:t>Prospectus</w:t>
      </w:r>
      <w:r w:rsidRPr="009B546D">
        <w:rPr>
          <w:rFonts w:cstheme="minorHAnsi"/>
          <w:szCs w:val="20"/>
        </w:rPr>
        <w:t>, those results or developments may not be indicative of results or developments in subsequent periods.</w:t>
      </w:r>
    </w:p>
    <w:p w14:paraId="12E6513C" w14:textId="7DEA4807" w:rsidR="00D90E1F" w:rsidRPr="009B546D" w:rsidRDefault="00D90E1F" w:rsidP="00F432B9">
      <w:pPr>
        <w:widowControl w:val="0"/>
        <w:spacing w:line="240" w:lineRule="auto"/>
        <w:rPr>
          <w:rFonts w:cstheme="minorHAnsi"/>
          <w:szCs w:val="20"/>
        </w:rPr>
      </w:pPr>
      <w:r w:rsidRPr="009B546D">
        <w:rPr>
          <w:rFonts w:cstheme="minorHAnsi"/>
          <w:szCs w:val="20"/>
        </w:rPr>
        <w:t xml:space="preserve">Prospective investors should carefully review </w:t>
      </w:r>
      <w:r w:rsidRPr="009B546D">
        <w:rPr>
          <w:rFonts w:cstheme="minorHAnsi"/>
          <w:i/>
          <w:iCs/>
          <w:szCs w:val="20"/>
        </w:rPr>
        <w:t>Part II – Risk Factors</w:t>
      </w:r>
      <w:r w:rsidRPr="009B546D">
        <w:rPr>
          <w:rFonts w:cstheme="minorHAnsi"/>
          <w:szCs w:val="20"/>
        </w:rPr>
        <w:t xml:space="preserve"> of this </w:t>
      </w:r>
      <w:r w:rsidR="0077279D" w:rsidRPr="009B546D">
        <w:rPr>
          <w:rFonts w:cstheme="minorHAnsi"/>
          <w:szCs w:val="20"/>
        </w:rPr>
        <w:t>Prospectus</w:t>
      </w:r>
      <w:r w:rsidRPr="009B546D">
        <w:rPr>
          <w:rFonts w:cstheme="minorHAnsi"/>
          <w:szCs w:val="20"/>
        </w:rPr>
        <w:t xml:space="preserve"> for a discussion of additional factors that could cause the Company’s actual results to differ materially, before making an investment decision. For the avoidance of doubt, nothing appearing under the heading “Forward-looking statements” constitutes a qualification of the working capital statement set out in paragraph </w:t>
      </w:r>
      <w:r w:rsidR="00D56948" w:rsidRPr="009B546D">
        <w:rPr>
          <w:rFonts w:cstheme="minorHAnsi"/>
          <w:szCs w:val="20"/>
        </w:rPr>
        <w:t>1</w:t>
      </w:r>
      <w:r w:rsidR="00767A49">
        <w:rPr>
          <w:rFonts w:cstheme="minorHAnsi"/>
          <w:szCs w:val="20"/>
        </w:rPr>
        <w:t>1</w:t>
      </w:r>
      <w:r w:rsidRPr="009B546D">
        <w:rPr>
          <w:rFonts w:cstheme="minorHAnsi"/>
          <w:szCs w:val="20"/>
        </w:rPr>
        <w:t xml:space="preserve"> of Part </w:t>
      </w:r>
      <w:r w:rsidR="005679BA" w:rsidRPr="009B546D">
        <w:rPr>
          <w:rFonts w:cstheme="minorHAnsi"/>
          <w:szCs w:val="20"/>
        </w:rPr>
        <w:t>XX</w:t>
      </w:r>
      <w:r w:rsidRPr="009B546D">
        <w:rPr>
          <w:rFonts w:cstheme="minorHAnsi"/>
          <w:szCs w:val="20"/>
        </w:rPr>
        <w:t xml:space="preserve"> of this Prospectus.</w:t>
      </w:r>
    </w:p>
    <w:p w14:paraId="28C7368D" w14:textId="2A6C3DCB" w:rsidR="00D90E1F" w:rsidRPr="009B546D" w:rsidRDefault="00D90E1F" w:rsidP="00F432B9">
      <w:pPr>
        <w:widowControl w:val="0"/>
        <w:spacing w:line="240" w:lineRule="auto"/>
        <w:rPr>
          <w:rFonts w:cstheme="minorHAnsi"/>
          <w:szCs w:val="20"/>
        </w:rPr>
      </w:pPr>
      <w:r w:rsidRPr="009B546D">
        <w:rPr>
          <w:rFonts w:cstheme="minorHAnsi"/>
          <w:szCs w:val="20"/>
        </w:rPr>
        <w:t xml:space="preserve">Forward-looking statements contained in this </w:t>
      </w:r>
      <w:r w:rsidR="0077279D" w:rsidRPr="009B546D">
        <w:rPr>
          <w:rFonts w:cstheme="minorHAnsi"/>
          <w:szCs w:val="20"/>
        </w:rPr>
        <w:t>Prospectus</w:t>
      </w:r>
      <w:r w:rsidRPr="009B546D">
        <w:rPr>
          <w:rFonts w:cstheme="minorHAnsi"/>
          <w:szCs w:val="20"/>
        </w:rPr>
        <w:t xml:space="preserve"> apply only as at the date of this </w:t>
      </w:r>
      <w:r w:rsidR="0077279D" w:rsidRPr="009B546D">
        <w:rPr>
          <w:rFonts w:cstheme="minorHAnsi"/>
          <w:szCs w:val="20"/>
        </w:rPr>
        <w:t>Prospectus</w:t>
      </w:r>
      <w:r w:rsidRPr="009B546D">
        <w:rPr>
          <w:rFonts w:cstheme="minorHAnsi"/>
          <w:szCs w:val="20"/>
        </w:rPr>
        <w:t>. Subject to any obligations under the Listing Rules, the Market Abuse Regulation (EU 596/2014) (the “</w:t>
      </w:r>
      <w:r w:rsidRPr="009B546D">
        <w:rPr>
          <w:rFonts w:cstheme="minorHAnsi"/>
          <w:b/>
          <w:bCs/>
          <w:szCs w:val="20"/>
        </w:rPr>
        <w:t>Market Abuse Regulation</w:t>
      </w:r>
      <w:r w:rsidRPr="009B546D">
        <w:rPr>
          <w:rFonts w:cstheme="minorHAnsi"/>
          <w:szCs w:val="20"/>
        </w:rPr>
        <w:t xml:space="preserve">”), the Disclosure Guidance and Transparency Rules and the </w:t>
      </w:r>
      <w:r w:rsidR="0064024F" w:rsidRPr="009B546D">
        <w:rPr>
          <w:rFonts w:cstheme="minorHAnsi"/>
          <w:szCs w:val="20"/>
        </w:rPr>
        <w:t>Prospectus Rules</w:t>
      </w:r>
      <w:r w:rsidRPr="009B546D">
        <w:rPr>
          <w:rFonts w:cstheme="minorHAnsi"/>
          <w:szCs w:val="20"/>
        </w:rPr>
        <w:t>, the Company undertakes no obligation publicly to update or review any forward-looking statement, whether as a result of new information, future developments or otherwise.</w:t>
      </w:r>
      <w:r w:rsidRPr="009B546D">
        <w:rPr>
          <w:rFonts w:cstheme="minorHAnsi"/>
          <w:szCs w:val="20"/>
        </w:rPr>
        <w:br w:type="page"/>
      </w:r>
    </w:p>
    <w:p w14:paraId="7D848B32" w14:textId="30BFF1ED" w:rsidR="00D90E1F" w:rsidRPr="009B546D" w:rsidRDefault="00D90E1F" w:rsidP="00EA2BB6">
      <w:pPr>
        <w:pStyle w:val="Heading1"/>
        <w:keepNext w:val="0"/>
        <w:widowControl w:val="0"/>
        <w:spacing w:after="120" w:line="240" w:lineRule="auto"/>
        <w:jc w:val="center"/>
        <w:rPr>
          <w:rFonts w:asciiTheme="minorHAnsi" w:hAnsiTheme="minorHAnsi" w:cstheme="minorHAnsi"/>
          <w:sz w:val="20"/>
          <w:szCs w:val="20"/>
        </w:rPr>
      </w:pPr>
      <w:bookmarkStart w:id="14" w:name="_Toc35456733"/>
      <w:r w:rsidRPr="009B546D">
        <w:rPr>
          <w:rFonts w:asciiTheme="minorHAnsi" w:hAnsiTheme="minorHAnsi" w:cstheme="minorHAnsi"/>
          <w:sz w:val="20"/>
          <w:szCs w:val="20"/>
        </w:rPr>
        <w:lastRenderedPageBreak/>
        <w:t>Part IV</w:t>
      </w:r>
      <w:r w:rsidRPr="009B546D">
        <w:rPr>
          <w:rFonts w:asciiTheme="minorHAnsi" w:hAnsiTheme="minorHAnsi" w:cstheme="minorHAnsi"/>
          <w:sz w:val="20"/>
          <w:szCs w:val="20"/>
        </w:rPr>
        <w:br/>
        <w:t>Relevant Documentation Incorporated by Reference</w:t>
      </w:r>
      <w:bookmarkEnd w:id="14"/>
    </w:p>
    <w:p w14:paraId="60DD0468" w14:textId="77777777" w:rsidR="00D90E1F" w:rsidRPr="00EA2BB6" w:rsidRDefault="00D90E1F" w:rsidP="00EA2BB6">
      <w:pPr>
        <w:widowControl w:val="0"/>
        <w:spacing w:after="120" w:line="240" w:lineRule="auto"/>
        <w:rPr>
          <w:rFonts w:cstheme="minorHAnsi"/>
          <w:b/>
          <w:bCs/>
          <w:sz w:val="18"/>
          <w:szCs w:val="18"/>
        </w:rPr>
      </w:pPr>
      <w:r w:rsidRPr="00EA2BB6">
        <w:rPr>
          <w:rFonts w:cstheme="minorHAnsi"/>
          <w:b/>
          <w:bCs/>
          <w:sz w:val="18"/>
          <w:szCs w:val="18"/>
        </w:rPr>
        <w:t>The table below sets out the information which is incorporated by reference in this Prospectus, to ensure Shareholders and others are aware of all information which is necessary to enable Shareholders and others to make an informed assessment of the assets and liabilities, financial position, profit and losses and prospects of the Enlarged Group and the rights attaching to the Ordinary Shares.</w:t>
      </w:r>
    </w:p>
    <w:tbl>
      <w:tblPr>
        <w:tblStyle w:val="TableGrid"/>
        <w:tblW w:w="11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247"/>
        <w:gridCol w:w="2840"/>
        <w:gridCol w:w="1134"/>
        <w:gridCol w:w="572"/>
        <w:gridCol w:w="1134"/>
        <w:gridCol w:w="1408"/>
        <w:gridCol w:w="291"/>
      </w:tblGrid>
      <w:tr w:rsidR="00682BB9" w:rsidRPr="009B546D" w14:paraId="3BCB5F54" w14:textId="77777777" w:rsidTr="00190350">
        <w:trPr>
          <w:gridAfter w:val="1"/>
          <w:wAfter w:w="291" w:type="dxa"/>
        </w:trPr>
        <w:tc>
          <w:tcPr>
            <w:tcW w:w="4531" w:type="dxa"/>
            <w:gridSpan w:val="2"/>
          </w:tcPr>
          <w:p w14:paraId="19FF04BE" w14:textId="77777777" w:rsidR="00682BB9" w:rsidRPr="009B546D" w:rsidRDefault="00682BB9" w:rsidP="00496B89">
            <w:pPr>
              <w:widowControl w:val="0"/>
              <w:spacing w:after="80"/>
              <w:rPr>
                <w:rFonts w:cstheme="minorHAnsi"/>
                <w:i/>
                <w:iCs/>
                <w:szCs w:val="20"/>
              </w:rPr>
            </w:pPr>
            <w:r w:rsidRPr="009B546D">
              <w:rPr>
                <w:rFonts w:cstheme="minorHAnsi"/>
                <w:i/>
                <w:iCs/>
                <w:szCs w:val="20"/>
              </w:rPr>
              <w:t>Information incorporated by reference into this Prospectus</w:t>
            </w:r>
          </w:p>
        </w:tc>
        <w:tc>
          <w:tcPr>
            <w:tcW w:w="2840" w:type="dxa"/>
          </w:tcPr>
          <w:p w14:paraId="6765A345" w14:textId="77777777" w:rsidR="00682BB9" w:rsidRPr="009B546D" w:rsidRDefault="00682BB9" w:rsidP="00F432B9">
            <w:pPr>
              <w:widowControl w:val="0"/>
              <w:spacing w:after="80"/>
              <w:jc w:val="right"/>
              <w:rPr>
                <w:rFonts w:cstheme="minorHAnsi"/>
                <w:i/>
                <w:iCs/>
                <w:szCs w:val="20"/>
              </w:rPr>
            </w:pPr>
            <w:r w:rsidRPr="009B546D">
              <w:rPr>
                <w:rFonts w:cstheme="minorHAnsi"/>
                <w:i/>
                <w:iCs/>
                <w:szCs w:val="20"/>
              </w:rPr>
              <w:t>Reference document</w:t>
            </w:r>
          </w:p>
        </w:tc>
        <w:tc>
          <w:tcPr>
            <w:tcW w:w="4248" w:type="dxa"/>
            <w:gridSpan w:val="4"/>
          </w:tcPr>
          <w:p w14:paraId="41357B63" w14:textId="04246628" w:rsidR="00682BB9" w:rsidRPr="009B546D" w:rsidRDefault="00682BB9" w:rsidP="00F432B9">
            <w:pPr>
              <w:widowControl w:val="0"/>
              <w:spacing w:after="80"/>
              <w:ind w:right="2574"/>
              <w:jc w:val="right"/>
              <w:rPr>
                <w:rFonts w:cstheme="minorHAnsi"/>
                <w:i/>
                <w:iCs/>
                <w:szCs w:val="20"/>
              </w:rPr>
            </w:pPr>
            <w:r w:rsidRPr="009B546D">
              <w:rPr>
                <w:rFonts w:cstheme="minorHAnsi"/>
                <w:i/>
                <w:iCs/>
                <w:szCs w:val="20"/>
              </w:rPr>
              <w:t xml:space="preserve">Page numbers in </w:t>
            </w:r>
            <w:r w:rsidRPr="009B546D">
              <w:rPr>
                <w:rFonts w:cstheme="minorHAnsi"/>
                <w:i/>
                <w:iCs/>
                <w:szCs w:val="20"/>
              </w:rPr>
              <w:br/>
              <w:t>such document</w:t>
            </w:r>
          </w:p>
        </w:tc>
      </w:tr>
      <w:tr w:rsidR="00682BB9" w:rsidRPr="009B546D" w14:paraId="17108DA6" w14:textId="77777777" w:rsidTr="00190350">
        <w:trPr>
          <w:trHeight w:val="384"/>
        </w:trPr>
        <w:tc>
          <w:tcPr>
            <w:tcW w:w="284" w:type="dxa"/>
          </w:tcPr>
          <w:p w14:paraId="3E215F1F" w14:textId="77777777" w:rsidR="00682BB9" w:rsidRPr="009B546D" w:rsidRDefault="00682BB9" w:rsidP="00496B89">
            <w:pPr>
              <w:widowControl w:val="0"/>
              <w:spacing w:after="80"/>
              <w:jc w:val="left"/>
              <w:rPr>
                <w:rFonts w:cstheme="minorHAnsi"/>
                <w:b/>
                <w:szCs w:val="20"/>
              </w:rPr>
            </w:pPr>
          </w:p>
        </w:tc>
        <w:tc>
          <w:tcPr>
            <w:tcW w:w="11626" w:type="dxa"/>
            <w:gridSpan w:val="7"/>
          </w:tcPr>
          <w:p w14:paraId="2827B9D3" w14:textId="4BACC57E" w:rsidR="00682BB9" w:rsidRPr="009B546D" w:rsidRDefault="00682BB9" w:rsidP="00F432B9">
            <w:pPr>
              <w:widowControl w:val="0"/>
              <w:spacing w:after="80"/>
              <w:jc w:val="left"/>
              <w:rPr>
                <w:rFonts w:cstheme="minorHAnsi"/>
                <w:szCs w:val="20"/>
              </w:rPr>
            </w:pPr>
            <w:r w:rsidRPr="009B546D">
              <w:rPr>
                <w:rFonts w:cstheme="minorHAnsi"/>
                <w:b/>
                <w:szCs w:val="20"/>
              </w:rPr>
              <w:t>The following sections from the Annual Report for the year ended 31 October 2019:</w:t>
            </w:r>
          </w:p>
        </w:tc>
      </w:tr>
      <w:tr w:rsidR="00762BFE" w:rsidRPr="009B546D" w14:paraId="3E33E8E3" w14:textId="66B686D5" w:rsidTr="00190350">
        <w:trPr>
          <w:gridAfter w:val="4"/>
          <w:wAfter w:w="3405" w:type="dxa"/>
        </w:trPr>
        <w:tc>
          <w:tcPr>
            <w:tcW w:w="4531" w:type="dxa"/>
            <w:gridSpan w:val="2"/>
          </w:tcPr>
          <w:p w14:paraId="7116E368" w14:textId="77777777" w:rsidR="00762BFE" w:rsidRPr="009B546D" w:rsidRDefault="00762BFE" w:rsidP="00762BFE">
            <w:pPr>
              <w:widowControl w:val="0"/>
              <w:spacing w:after="80"/>
              <w:rPr>
                <w:rFonts w:cstheme="minorHAnsi"/>
                <w:szCs w:val="20"/>
              </w:rPr>
            </w:pPr>
            <w:r w:rsidRPr="009B546D">
              <w:rPr>
                <w:rFonts w:cstheme="minorHAnsi"/>
                <w:szCs w:val="20"/>
              </w:rPr>
              <w:t>Chairman’s Statement</w:t>
            </w:r>
          </w:p>
        </w:tc>
        <w:tc>
          <w:tcPr>
            <w:tcW w:w="2840" w:type="dxa"/>
          </w:tcPr>
          <w:p w14:paraId="161EFF46" w14:textId="5992BC22" w:rsidR="00762BFE" w:rsidRPr="009B546D" w:rsidRDefault="00762BFE" w:rsidP="00762BFE">
            <w:pPr>
              <w:widowControl w:val="0"/>
              <w:spacing w:after="80"/>
              <w:jc w:val="right"/>
              <w:rPr>
                <w:rFonts w:cstheme="minorHAnsi"/>
                <w:szCs w:val="20"/>
              </w:rPr>
            </w:pPr>
            <w:r w:rsidRPr="009B546D">
              <w:rPr>
                <w:rFonts w:cstheme="minorHAnsi"/>
                <w:szCs w:val="20"/>
              </w:rPr>
              <w:t>Annual Report 2019</w:t>
            </w:r>
          </w:p>
        </w:tc>
        <w:tc>
          <w:tcPr>
            <w:tcW w:w="1134" w:type="dxa"/>
          </w:tcPr>
          <w:p w14:paraId="3EA6D204" w14:textId="1FDA2157" w:rsidR="00762BFE" w:rsidRPr="009B546D" w:rsidRDefault="00762BFE" w:rsidP="00762BFE">
            <w:pPr>
              <w:widowControl w:val="0"/>
              <w:spacing w:after="80"/>
              <w:jc w:val="right"/>
              <w:rPr>
                <w:rFonts w:cstheme="minorHAnsi"/>
                <w:szCs w:val="20"/>
              </w:rPr>
            </w:pPr>
            <w:r w:rsidRPr="009B546D">
              <w:rPr>
                <w:rFonts w:cstheme="minorHAnsi"/>
                <w:szCs w:val="20"/>
              </w:rPr>
              <w:t>1</w:t>
            </w:r>
          </w:p>
        </w:tc>
      </w:tr>
      <w:tr w:rsidR="00762BFE" w:rsidRPr="009B546D" w14:paraId="15298834" w14:textId="3ECB1511" w:rsidTr="00190350">
        <w:trPr>
          <w:gridAfter w:val="4"/>
          <w:wAfter w:w="3405" w:type="dxa"/>
        </w:trPr>
        <w:tc>
          <w:tcPr>
            <w:tcW w:w="4531" w:type="dxa"/>
            <w:gridSpan w:val="2"/>
          </w:tcPr>
          <w:p w14:paraId="1BF3C6B7" w14:textId="77777777" w:rsidR="00762BFE" w:rsidRPr="009B546D" w:rsidRDefault="00762BFE" w:rsidP="00762BFE">
            <w:pPr>
              <w:widowControl w:val="0"/>
              <w:spacing w:after="80"/>
              <w:rPr>
                <w:rFonts w:cstheme="minorHAnsi"/>
                <w:szCs w:val="20"/>
              </w:rPr>
            </w:pPr>
            <w:r w:rsidRPr="009B546D">
              <w:rPr>
                <w:rFonts w:cstheme="minorHAnsi"/>
                <w:szCs w:val="20"/>
              </w:rPr>
              <w:t>Statement of Comprehensive Income</w:t>
            </w:r>
          </w:p>
        </w:tc>
        <w:tc>
          <w:tcPr>
            <w:tcW w:w="2840" w:type="dxa"/>
          </w:tcPr>
          <w:p w14:paraId="721B1CB7" w14:textId="58BAA495" w:rsidR="00762BFE" w:rsidRPr="009B546D" w:rsidRDefault="00762BFE" w:rsidP="00762BFE">
            <w:pPr>
              <w:widowControl w:val="0"/>
              <w:spacing w:after="80"/>
              <w:jc w:val="right"/>
              <w:rPr>
                <w:rFonts w:cstheme="minorHAnsi"/>
                <w:szCs w:val="20"/>
              </w:rPr>
            </w:pPr>
            <w:r w:rsidRPr="009B546D">
              <w:rPr>
                <w:rFonts w:cstheme="minorHAnsi"/>
                <w:szCs w:val="20"/>
              </w:rPr>
              <w:t>Annual Report 2019</w:t>
            </w:r>
          </w:p>
        </w:tc>
        <w:tc>
          <w:tcPr>
            <w:tcW w:w="1134" w:type="dxa"/>
          </w:tcPr>
          <w:p w14:paraId="5C82E71B" w14:textId="13005186" w:rsidR="00762BFE" w:rsidRPr="009B546D" w:rsidRDefault="00C34882" w:rsidP="00762BFE">
            <w:pPr>
              <w:widowControl w:val="0"/>
              <w:spacing w:after="80"/>
              <w:jc w:val="right"/>
              <w:rPr>
                <w:rFonts w:cstheme="minorHAnsi"/>
                <w:szCs w:val="20"/>
              </w:rPr>
            </w:pPr>
            <w:r>
              <w:rPr>
                <w:rFonts w:cstheme="minorHAnsi"/>
                <w:szCs w:val="20"/>
              </w:rPr>
              <w:t>3</w:t>
            </w:r>
          </w:p>
        </w:tc>
      </w:tr>
      <w:tr w:rsidR="00762BFE" w:rsidRPr="009B546D" w14:paraId="64346C73" w14:textId="22BD5CA7" w:rsidTr="00190350">
        <w:trPr>
          <w:gridAfter w:val="4"/>
          <w:wAfter w:w="3405" w:type="dxa"/>
        </w:trPr>
        <w:tc>
          <w:tcPr>
            <w:tcW w:w="4531" w:type="dxa"/>
            <w:gridSpan w:val="2"/>
          </w:tcPr>
          <w:p w14:paraId="755ADFC5" w14:textId="0662C9AB" w:rsidR="00762BFE" w:rsidRPr="009B546D" w:rsidRDefault="00762BFE" w:rsidP="00762BFE">
            <w:pPr>
              <w:widowControl w:val="0"/>
              <w:spacing w:after="80"/>
              <w:rPr>
                <w:rFonts w:cstheme="minorHAnsi"/>
                <w:szCs w:val="20"/>
              </w:rPr>
            </w:pPr>
            <w:r w:rsidRPr="009B546D">
              <w:rPr>
                <w:rFonts w:cstheme="minorHAnsi"/>
                <w:szCs w:val="20"/>
              </w:rPr>
              <w:t>Statement of Financial Position</w:t>
            </w:r>
          </w:p>
        </w:tc>
        <w:tc>
          <w:tcPr>
            <w:tcW w:w="2840" w:type="dxa"/>
          </w:tcPr>
          <w:p w14:paraId="3A478134" w14:textId="05C6C4E9" w:rsidR="00762BFE" w:rsidRPr="009B546D" w:rsidRDefault="00762BFE" w:rsidP="00762BFE">
            <w:pPr>
              <w:widowControl w:val="0"/>
              <w:spacing w:after="80"/>
              <w:jc w:val="right"/>
              <w:rPr>
                <w:rFonts w:cstheme="minorHAnsi"/>
                <w:szCs w:val="20"/>
              </w:rPr>
            </w:pPr>
            <w:r w:rsidRPr="009B546D">
              <w:rPr>
                <w:rFonts w:cstheme="minorHAnsi"/>
                <w:szCs w:val="20"/>
              </w:rPr>
              <w:t>Annual Report 2019</w:t>
            </w:r>
          </w:p>
        </w:tc>
        <w:tc>
          <w:tcPr>
            <w:tcW w:w="1134" w:type="dxa"/>
          </w:tcPr>
          <w:p w14:paraId="538820DE" w14:textId="0E443695" w:rsidR="00762BFE" w:rsidRPr="009B546D" w:rsidRDefault="00C34882" w:rsidP="00762BFE">
            <w:pPr>
              <w:widowControl w:val="0"/>
              <w:spacing w:after="80"/>
              <w:jc w:val="right"/>
              <w:rPr>
                <w:rFonts w:cstheme="minorHAnsi"/>
                <w:szCs w:val="20"/>
              </w:rPr>
            </w:pPr>
            <w:r>
              <w:rPr>
                <w:rFonts w:cstheme="minorHAnsi"/>
                <w:szCs w:val="20"/>
              </w:rPr>
              <w:t>4</w:t>
            </w:r>
          </w:p>
        </w:tc>
      </w:tr>
      <w:tr w:rsidR="00762BFE" w:rsidRPr="009B546D" w14:paraId="5905E2AA" w14:textId="2E823B81" w:rsidTr="00190350">
        <w:trPr>
          <w:gridAfter w:val="4"/>
          <w:wAfter w:w="3405" w:type="dxa"/>
        </w:trPr>
        <w:tc>
          <w:tcPr>
            <w:tcW w:w="4531" w:type="dxa"/>
            <w:gridSpan w:val="2"/>
          </w:tcPr>
          <w:p w14:paraId="4A315955" w14:textId="77777777" w:rsidR="00762BFE" w:rsidRPr="009B546D" w:rsidRDefault="00762BFE" w:rsidP="00762BFE">
            <w:pPr>
              <w:widowControl w:val="0"/>
              <w:spacing w:after="80"/>
              <w:rPr>
                <w:rFonts w:cstheme="minorHAnsi"/>
                <w:szCs w:val="20"/>
              </w:rPr>
            </w:pPr>
            <w:r w:rsidRPr="009B546D">
              <w:rPr>
                <w:rFonts w:cstheme="minorHAnsi"/>
                <w:szCs w:val="20"/>
              </w:rPr>
              <w:t>Statement of Changes in Equity</w:t>
            </w:r>
          </w:p>
        </w:tc>
        <w:tc>
          <w:tcPr>
            <w:tcW w:w="2840" w:type="dxa"/>
          </w:tcPr>
          <w:p w14:paraId="623CFEBF" w14:textId="101466C2" w:rsidR="00762BFE" w:rsidRPr="009B546D" w:rsidRDefault="00762BFE" w:rsidP="00762BFE">
            <w:pPr>
              <w:widowControl w:val="0"/>
              <w:spacing w:after="80"/>
              <w:jc w:val="right"/>
              <w:rPr>
                <w:rFonts w:cstheme="minorHAnsi"/>
                <w:szCs w:val="20"/>
              </w:rPr>
            </w:pPr>
            <w:r w:rsidRPr="009B546D">
              <w:rPr>
                <w:rFonts w:cstheme="minorHAnsi"/>
                <w:szCs w:val="20"/>
              </w:rPr>
              <w:t>Annual Report 2019</w:t>
            </w:r>
          </w:p>
        </w:tc>
        <w:tc>
          <w:tcPr>
            <w:tcW w:w="1134" w:type="dxa"/>
          </w:tcPr>
          <w:p w14:paraId="17A1E6AA" w14:textId="69EEAEBE" w:rsidR="00762BFE" w:rsidRPr="009B546D" w:rsidRDefault="00C34882" w:rsidP="00762BFE">
            <w:pPr>
              <w:widowControl w:val="0"/>
              <w:spacing w:after="80"/>
              <w:jc w:val="right"/>
              <w:rPr>
                <w:rFonts w:cstheme="minorHAnsi"/>
                <w:szCs w:val="20"/>
              </w:rPr>
            </w:pPr>
            <w:r>
              <w:rPr>
                <w:rFonts w:cstheme="minorHAnsi"/>
                <w:szCs w:val="20"/>
              </w:rPr>
              <w:t>5</w:t>
            </w:r>
          </w:p>
        </w:tc>
      </w:tr>
      <w:tr w:rsidR="00762BFE" w:rsidRPr="009B546D" w14:paraId="7D7D77A3" w14:textId="01F535C3" w:rsidTr="00190350">
        <w:trPr>
          <w:gridAfter w:val="4"/>
          <w:wAfter w:w="3405" w:type="dxa"/>
        </w:trPr>
        <w:tc>
          <w:tcPr>
            <w:tcW w:w="4531" w:type="dxa"/>
            <w:gridSpan w:val="2"/>
          </w:tcPr>
          <w:p w14:paraId="51D58892" w14:textId="77777777" w:rsidR="00762BFE" w:rsidRPr="009B546D" w:rsidRDefault="00762BFE" w:rsidP="00762BFE">
            <w:pPr>
              <w:widowControl w:val="0"/>
              <w:spacing w:after="80"/>
              <w:rPr>
                <w:rFonts w:cstheme="minorHAnsi"/>
                <w:szCs w:val="20"/>
              </w:rPr>
            </w:pPr>
            <w:r w:rsidRPr="009B546D">
              <w:rPr>
                <w:rFonts w:cstheme="minorHAnsi"/>
                <w:szCs w:val="20"/>
              </w:rPr>
              <w:t>Statement of Cash Flows</w:t>
            </w:r>
          </w:p>
        </w:tc>
        <w:tc>
          <w:tcPr>
            <w:tcW w:w="2840" w:type="dxa"/>
          </w:tcPr>
          <w:p w14:paraId="07E529B3" w14:textId="74E87514" w:rsidR="00762BFE" w:rsidRPr="009B546D" w:rsidRDefault="00762BFE" w:rsidP="00762BFE">
            <w:pPr>
              <w:widowControl w:val="0"/>
              <w:spacing w:after="80"/>
              <w:jc w:val="right"/>
              <w:rPr>
                <w:rFonts w:cstheme="minorHAnsi"/>
                <w:szCs w:val="20"/>
              </w:rPr>
            </w:pPr>
            <w:r w:rsidRPr="009B546D">
              <w:rPr>
                <w:rFonts w:cstheme="minorHAnsi"/>
                <w:szCs w:val="20"/>
              </w:rPr>
              <w:t>Annual Report 2019</w:t>
            </w:r>
          </w:p>
        </w:tc>
        <w:tc>
          <w:tcPr>
            <w:tcW w:w="1134" w:type="dxa"/>
          </w:tcPr>
          <w:p w14:paraId="7DC5F45C" w14:textId="04B2AD35" w:rsidR="00762BFE" w:rsidRPr="009B546D" w:rsidRDefault="00C34882" w:rsidP="00762BFE">
            <w:pPr>
              <w:widowControl w:val="0"/>
              <w:spacing w:after="80"/>
              <w:jc w:val="right"/>
              <w:rPr>
                <w:rFonts w:cstheme="minorHAnsi"/>
                <w:szCs w:val="20"/>
              </w:rPr>
            </w:pPr>
            <w:r>
              <w:rPr>
                <w:rFonts w:cstheme="minorHAnsi"/>
                <w:szCs w:val="20"/>
              </w:rPr>
              <w:t>6</w:t>
            </w:r>
          </w:p>
        </w:tc>
      </w:tr>
      <w:tr w:rsidR="00762BFE" w:rsidRPr="009B546D" w14:paraId="033ADDF9" w14:textId="3A295177" w:rsidTr="00190350">
        <w:trPr>
          <w:gridAfter w:val="4"/>
          <w:wAfter w:w="3405" w:type="dxa"/>
        </w:trPr>
        <w:tc>
          <w:tcPr>
            <w:tcW w:w="4531" w:type="dxa"/>
            <w:gridSpan w:val="2"/>
          </w:tcPr>
          <w:p w14:paraId="5163B095" w14:textId="77777777" w:rsidR="00762BFE" w:rsidRPr="009B546D" w:rsidRDefault="00762BFE" w:rsidP="00762BFE">
            <w:pPr>
              <w:widowControl w:val="0"/>
              <w:spacing w:after="80"/>
              <w:rPr>
                <w:rFonts w:cstheme="minorHAnsi"/>
                <w:szCs w:val="20"/>
              </w:rPr>
            </w:pPr>
            <w:r w:rsidRPr="009B546D">
              <w:rPr>
                <w:rFonts w:cstheme="minorHAnsi"/>
                <w:szCs w:val="20"/>
              </w:rPr>
              <w:t>Notes to the Company’s Financial Statements</w:t>
            </w:r>
          </w:p>
        </w:tc>
        <w:tc>
          <w:tcPr>
            <w:tcW w:w="2840" w:type="dxa"/>
          </w:tcPr>
          <w:p w14:paraId="787A3471" w14:textId="02545CDD" w:rsidR="00762BFE" w:rsidRPr="009B546D" w:rsidRDefault="00762BFE" w:rsidP="00762BFE">
            <w:pPr>
              <w:widowControl w:val="0"/>
              <w:spacing w:after="80"/>
              <w:jc w:val="right"/>
              <w:rPr>
                <w:rFonts w:cstheme="minorHAnsi"/>
                <w:szCs w:val="20"/>
              </w:rPr>
            </w:pPr>
            <w:r w:rsidRPr="009B546D">
              <w:rPr>
                <w:rFonts w:cstheme="minorHAnsi"/>
                <w:szCs w:val="20"/>
              </w:rPr>
              <w:t>Annual Report 2019</w:t>
            </w:r>
          </w:p>
        </w:tc>
        <w:tc>
          <w:tcPr>
            <w:tcW w:w="1134" w:type="dxa"/>
          </w:tcPr>
          <w:p w14:paraId="28882110" w14:textId="55AB793C" w:rsidR="00762BFE" w:rsidRPr="009B546D" w:rsidRDefault="00C34882" w:rsidP="00762BFE">
            <w:pPr>
              <w:widowControl w:val="0"/>
              <w:spacing w:after="80"/>
              <w:jc w:val="right"/>
              <w:rPr>
                <w:rFonts w:cstheme="minorHAnsi"/>
                <w:szCs w:val="20"/>
              </w:rPr>
            </w:pPr>
            <w:r>
              <w:rPr>
                <w:rFonts w:cstheme="minorHAnsi"/>
                <w:szCs w:val="20"/>
              </w:rPr>
              <w:t>7-15</w:t>
            </w:r>
          </w:p>
        </w:tc>
      </w:tr>
      <w:tr w:rsidR="00682BB9" w:rsidRPr="009B546D" w14:paraId="331EF7DA" w14:textId="77777777" w:rsidTr="00190350">
        <w:tc>
          <w:tcPr>
            <w:tcW w:w="284" w:type="dxa"/>
          </w:tcPr>
          <w:p w14:paraId="118F3311" w14:textId="77777777" w:rsidR="00682BB9" w:rsidRPr="009B546D" w:rsidRDefault="00682BB9" w:rsidP="00496B89">
            <w:pPr>
              <w:widowControl w:val="0"/>
              <w:spacing w:after="80"/>
              <w:jc w:val="left"/>
              <w:rPr>
                <w:rFonts w:cstheme="minorHAnsi"/>
                <w:b/>
                <w:szCs w:val="20"/>
              </w:rPr>
            </w:pPr>
          </w:p>
        </w:tc>
        <w:tc>
          <w:tcPr>
            <w:tcW w:w="11626" w:type="dxa"/>
            <w:gridSpan w:val="7"/>
          </w:tcPr>
          <w:p w14:paraId="0414F59B" w14:textId="5D1BE0E2" w:rsidR="00682BB9" w:rsidRPr="009B546D" w:rsidRDefault="00682BB9" w:rsidP="00F432B9">
            <w:pPr>
              <w:widowControl w:val="0"/>
              <w:spacing w:after="80"/>
              <w:jc w:val="left"/>
              <w:rPr>
                <w:rFonts w:cstheme="minorHAnsi"/>
                <w:b/>
                <w:szCs w:val="20"/>
              </w:rPr>
            </w:pPr>
            <w:r w:rsidRPr="009B546D">
              <w:rPr>
                <w:rFonts w:cstheme="minorHAnsi"/>
                <w:b/>
                <w:szCs w:val="20"/>
              </w:rPr>
              <w:t>The following sections from the Interim Report for the period ended 30 April 2019</w:t>
            </w:r>
          </w:p>
        </w:tc>
      </w:tr>
      <w:tr w:rsidR="00682BB9" w:rsidRPr="009B546D" w14:paraId="064DEB73" w14:textId="77777777" w:rsidTr="00190350">
        <w:trPr>
          <w:gridAfter w:val="4"/>
          <w:wAfter w:w="3405" w:type="dxa"/>
        </w:trPr>
        <w:tc>
          <w:tcPr>
            <w:tcW w:w="4531" w:type="dxa"/>
            <w:gridSpan w:val="2"/>
          </w:tcPr>
          <w:p w14:paraId="4617370B" w14:textId="77777777" w:rsidR="00682BB9" w:rsidRPr="009B546D" w:rsidRDefault="00682BB9" w:rsidP="00496B89">
            <w:pPr>
              <w:widowControl w:val="0"/>
              <w:spacing w:after="80"/>
              <w:jc w:val="left"/>
              <w:rPr>
                <w:rFonts w:cstheme="minorHAnsi"/>
                <w:b/>
                <w:szCs w:val="20"/>
              </w:rPr>
            </w:pPr>
            <w:r w:rsidRPr="009B546D">
              <w:rPr>
                <w:rFonts w:cstheme="minorHAnsi"/>
                <w:bCs/>
                <w:szCs w:val="20"/>
              </w:rPr>
              <w:t>Chairman’s Statement</w:t>
            </w:r>
          </w:p>
        </w:tc>
        <w:tc>
          <w:tcPr>
            <w:tcW w:w="2840" w:type="dxa"/>
          </w:tcPr>
          <w:p w14:paraId="03A77A77" w14:textId="77777777" w:rsidR="00682BB9" w:rsidRPr="009B546D" w:rsidRDefault="00682BB9" w:rsidP="00F432B9">
            <w:pPr>
              <w:widowControl w:val="0"/>
              <w:spacing w:after="80"/>
              <w:jc w:val="right"/>
              <w:rPr>
                <w:rFonts w:cstheme="minorHAnsi"/>
                <w:b/>
                <w:szCs w:val="20"/>
              </w:rPr>
            </w:pPr>
            <w:r w:rsidRPr="009B546D">
              <w:rPr>
                <w:rFonts w:cstheme="minorHAnsi"/>
                <w:szCs w:val="20"/>
              </w:rPr>
              <w:t>Interim Report April 2019</w:t>
            </w:r>
          </w:p>
        </w:tc>
        <w:tc>
          <w:tcPr>
            <w:tcW w:w="1134" w:type="dxa"/>
          </w:tcPr>
          <w:p w14:paraId="76D95D06" w14:textId="7DB59B49" w:rsidR="00682BB9" w:rsidRPr="009B546D" w:rsidRDefault="00112267" w:rsidP="00F432B9">
            <w:pPr>
              <w:widowControl w:val="0"/>
              <w:spacing w:after="80"/>
              <w:jc w:val="right"/>
              <w:rPr>
                <w:rFonts w:cstheme="minorHAnsi"/>
              </w:rPr>
            </w:pPr>
            <w:r w:rsidRPr="009B546D">
              <w:rPr>
                <w:rFonts w:cstheme="minorHAnsi"/>
                <w:bCs/>
                <w:szCs w:val="20"/>
              </w:rPr>
              <w:t>1</w:t>
            </w:r>
          </w:p>
        </w:tc>
      </w:tr>
      <w:tr w:rsidR="00682BB9" w:rsidRPr="009B546D" w14:paraId="0BC99765" w14:textId="77777777" w:rsidTr="00190350">
        <w:trPr>
          <w:gridAfter w:val="4"/>
          <w:wAfter w:w="3405" w:type="dxa"/>
        </w:trPr>
        <w:tc>
          <w:tcPr>
            <w:tcW w:w="4531" w:type="dxa"/>
            <w:gridSpan w:val="2"/>
          </w:tcPr>
          <w:p w14:paraId="6BD3BE20" w14:textId="0E722981" w:rsidR="00682BB9" w:rsidRPr="009B546D" w:rsidRDefault="00682BB9" w:rsidP="00496B89">
            <w:pPr>
              <w:widowControl w:val="0"/>
              <w:spacing w:after="80"/>
              <w:jc w:val="left"/>
              <w:rPr>
                <w:rFonts w:cstheme="minorHAnsi"/>
                <w:b/>
                <w:szCs w:val="20"/>
              </w:rPr>
            </w:pPr>
            <w:r w:rsidRPr="009B546D">
              <w:rPr>
                <w:rFonts w:cstheme="minorHAnsi"/>
                <w:bCs/>
                <w:szCs w:val="20"/>
              </w:rPr>
              <w:t>Statement of Directors Responsibilities</w:t>
            </w:r>
          </w:p>
        </w:tc>
        <w:tc>
          <w:tcPr>
            <w:tcW w:w="2840" w:type="dxa"/>
          </w:tcPr>
          <w:p w14:paraId="3531B86D" w14:textId="77777777" w:rsidR="00682BB9" w:rsidRPr="009B546D" w:rsidRDefault="00682BB9" w:rsidP="00F432B9">
            <w:pPr>
              <w:widowControl w:val="0"/>
              <w:spacing w:after="80"/>
              <w:jc w:val="right"/>
              <w:rPr>
                <w:rFonts w:cstheme="minorHAnsi"/>
                <w:b/>
                <w:szCs w:val="20"/>
              </w:rPr>
            </w:pPr>
            <w:r w:rsidRPr="009B546D">
              <w:rPr>
                <w:rFonts w:cstheme="minorHAnsi"/>
                <w:szCs w:val="20"/>
              </w:rPr>
              <w:t>Interim Report April 2019</w:t>
            </w:r>
          </w:p>
        </w:tc>
        <w:tc>
          <w:tcPr>
            <w:tcW w:w="1134" w:type="dxa"/>
          </w:tcPr>
          <w:p w14:paraId="02C5BB60" w14:textId="25ACB7FD" w:rsidR="00682BB9" w:rsidRPr="009B546D" w:rsidRDefault="00AD233E" w:rsidP="00F432B9">
            <w:pPr>
              <w:widowControl w:val="0"/>
              <w:spacing w:after="80"/>
              <w:jc w:val="right"/>
              <w:rPr>
                <w:rFonts w:cstheme="minorHAnsi"/>
              </w:rPr>
            </w:pPr>
            <w:r w:rsidRPr="009B546D">
              <w:rPr>
                <w:rFonts w:cstheme="minorHAnsi"/>
                <w:bCs/>
                <w:szCs w:val="20"/>
              </w:rPr>
              <w:t>3</w:t>
            </w:r>
          </w:p>
        </w:tc>
      </w:tr>
      <w:tr w:rsidR="00682BB9" w:rsidRPr="009B546D" w14:paraId="311FB9B5" w14:textId="77777777" w:rsidTr="00190350">
        <w:trPr>
          <w:gridAfter w:val="4"/>
          <w:wAfter w:w="3405" w:type="dxa"/>
        </w:trPr>
        <w:tc>
          <w:tcPr>
            <w:tcW w:w="4531" w:type="dxa"/>
            <w:gridSpan w:val="2"/>
          </w:tcPr>
          <w:p w14:paraId="0F04D2DE" w14:textId="77777777" w:rsidR="00682BB9" w:rsidRPr="009B546D" w:rsidRDefault="00682BB9" w:rsidP="00496B89">
            <w:pPr>
              <w:widowControl w:val="0"/>
              <w:spacing w:after="80"/>
              <w:jc w:val="left"/>
              <w:rPr>
                <w:rFonts w:cstheme="minorHAnsi"/>
                <w:b/>
                <w:szCs w:val="20"/>
              </w:rPr>
            </w:pPr>
            <w:r w:rsidRPr="009B546D">
              <w:rPr>
                <w:rFonts w:cstheme="minorHAnsi"/>
                <w:bCs/>
                <w:szCs w:val="20"/>
              </w:rPr>
              <w:t>Statement of Comprehensive Income</w:t>
            </w:r>
          </w:p>
        </w:tc>
        <w:tc>
          <w:tcPr>
            <w:tcW w:w="2840" w:type="dxa"/>
          </w:tcPr>
          <w:p w14:paraId="471A4D4A" w14:textId="77777777" w:rsidR="00682BB9" w:rsidRPr="009B546D" w:rsidRDefault="00682BB9" w:rsidP="00F432B9">
            <w:pPr>
              <w:widowControl w:val="0"/>
              <w:spacing w:after="80"/>
              <w:jc w:val="right"/>
              <w:rPr>
                <w:rFonts w:cstheme="minorHAnsi"/>
                <w:b/>
                <w:szCs w:val="20"/>
              </w:rPr>
            </w:pPr>
            <w:r w:rsidRPr="009B546D">
              <w:rPr>
                <w:rFonts w:cstheme="minorHAnsi"/>
                <w:szCs w:val="20"/>
              </w:rPr>
              <w:t>Interim Report April 2019</w:t>
            </w:r>
          </w:p>
        </w:tc>
        <w:tc>
          <w:tcPr>
            <w:tcW w:w="1134" w:type="dxa"/>
          </w:tcPr>
          <w:p w14:paraId="27F8A06C" w14:textId="3A427696" w:rsidR="00682BB9" w:rsidRPr="009B546D" w:rsidRDefault="00783CDE" w:rsidP="00F432B9">
            <w:pPr>
              <w:widowControl w:val="0"/>
              <w:spacing w:after="80"/>
              <w:jc w:val="right"/>
              <w:rPr>
                <w:rFonts w:cstheme="minorHAnsi"/>
              </w:rPr>
            </w:pPr>
            <w:r w:rsidRPr="009B546D">
              <w:rPr>
                <w:rFonts w:cstheme="minorHAnsi"/>
                <w:bCs/>
                <w:szCs w:val="20"/>
              </w:rPr>
              <w:t>4</w:t>
            </w:r>
          </w:p>
        </w:tc>
      </w:tr>
      <w:tr w:rsidR="00682BB9" w:rsidRPr="009B546D" w14:paraId="70D15475" w14:textId="77777777" w:rsidTr="00190350">
        <w:trPr>
          <w:gridAfter w:val="4"/>
          <w:wAfter w:w="3405" w:type="dxa"/>
        </w:trPr>
        <w:tc>
          <w:tcPr>
            <w:tcW w:w="4531" w:type="dxa"/>
            <w:gridSpan w:val="2"/>
          </w:tcPr>
          <w:p w14:paraId="29243470" w14:textId="22CC18A2" w:rsidR="00682BB9" w:rsidRPr="009B546D" w:rsidRDefault="00682BB9" w:rsidP="00496B89">
            <w:pPr>
              <w:widowControl w:val="0"/>
              <w:spacing w:after="80"/>
              <w:jc w:val="left"/>
              <w:rPr>
                <w:rFonts w:cstheme="minorHAnsi"/>
                <w:b/>
                <w:szCs w:val="20"/>
              </w:rPr>
            </w:pPr>
            <w:r w:rsidRPr="009B546D">
              <w:rPr>
                <w:rFonts w:cstheme="minorHAnsi"/>
                <w:bCs/>
                <w:szCs w:val="20"/>
              </w:rPr>
              <w:t xml:space="preserve">Statement of Financial </w:t>
            </w:r>
            <w:r w:rsidR="004566C3" w:rsidRPr="009B546D">
              <w:rPr>
                <w:rFonts w:cstheme="minorHAnsi"/>
                <w:bCs/>
                <w:szCs w:val="20"/>
              </w:rPr>
              <w:t>P</w:t>
            </w:r>
            <w:r w:rsidRPr="009B546D">
              <w:rPr>
                <w:rFonts w:cstheme="minorHAnsi"/>
                <w:bCs/>
                <w:szCs w:val="20"/>
              </w:rPr>
              <w:t>osition</w:t>
            </w:r>
          </w:p>
        </w:tc>
        <w:tc>
          <w:tcPr>
            <w:tcW w:w="2840" w:type="dxa"/>
          </w:tcPr>
          <w:p w14:paraId="6CFC84CD" w14:textId="77777777" w:rsidR="00682BB9" w:rsidRPr="009B546D" w:rsidRDefault="00682BB9" w:rsidP="00F432B9">
            <w:pPr>
              <w:widowControl w:val="0"/>
              <w:spacing w:after="80"/>
              <w:jc w:val="right"/>
              <w:rPr>
                <w:rFonts w:cstheme="minorHAnsi"/>
                <w:b/>
                <w:szCs w:val="20"/>
              </w:rPr>
            </w:pPr>
            <w:r w:rsidRPr="009B546D">
              <w:rPr>
                <w:rFonts w:cstheme="minorHAnsi"/>
                <w:szCs w:val="20"/>
              </w:rPr>
              <w:t>Interim Report April 2019</w:t>
            </w:r>
          </w:p>
        </w:tc>
        <w:tc>
          <w:tcPr>
            <w:tcW w:w="1134" w:type="dxa"/>
          </w:tcPr>
          <w:p w14:paraId="568EB536" w14:textId="184C29B7" w:rsidR="00682BB9" w:rsidRPr="009B546D" w:rsidRDefault="00783CDE" w:rsidP="00F432B9">
            <w:pPr>
              <w:widowControl w:val="0"/>
              <w:spacing w:after="80"/>
              <w:jc w:val="right"/>
              <w:rPr>
                <w:rFonts w:cstheme="minorHAnsi"/>
              </w:rPr>
            </w:pPr>
            <w:r w:rsidRPr="009B546D">
              <w:rPr>
                <w:rFonts w:cstheme="minorHAnsi"/>
                <w:bCs/>
                <w:szCs w:val="20"/>
              </w:rPr>
              <w:t>5</w:t>
            </w:r>
          </w:p>
        </w:tc>
      </w:tr>
      <w:tr w:rsidR="00682BB9" w:rsidRPr="009B546D" w14:paraId="4A3D4307" w14:textId="77777777" w:rsidTr="00190350">
        <w:trPr>
          <w:gridAfter w:val="4"/>
          <w:wAfter w:w="3405" w:type="dxa"/>
        </w:trPr>
        <w:tc>
          <w:tcPr>
            <w:tcW w:w="4531" w:type="dxa"/>
            <w:gridSpan w:val="2"/>
          </w:tcPr>
          <w:p w14:paraId="29A1FF72" w14:textId="77777777" w:rsidR="00682BB9" w:rsidRPr="009B546D" w:rsidRDefault="00682BB9" w:rsidP="00496B89">
            <w:pPr>
              <w:widowControl w:val="0"/>
              <w:spacing w:after="80"/>
              <w:jc w:val="left"/>
              <w:rPr>
                <w:rFonts w:cstheme="minorHAnsi"/>
                <w:b/>
                <w:szCs w:val="20"/>
              </w:rPr>
            </w:pPr>
            <w:r w:rsidRPr="009B546D">
              <w:rPr>
                <w:rFonts w:cstheme="minorHAnsi"/>
                <w:bCs/>
                <w:szCs w:val="20"/>
              </w:rPr>
              <w:t>Statement of Changes in Equity</w:t>
            </w:r>
          </w:p>
        </w:tc>
        <w:tc>
          <w:tcPr>
            <w:tcW w:w="2840" w:type="dxa"/>
          </w:tcPr>
          <w:p w14:paraId="46D18477" w14:textId="77777777" w:rsidR="00682BB9" w:rsidRPr="009B546D" w:rsidRDefault="00682BB9" w:rsidP="00F432B9">
            <w:pPr>
              <w:widowControl w:val="0"/>
              <w:spacing w:after="80"/>
              <w:jc w:val="right"/>
              <w:rPr>
                <w:rFonts w:cstheme="minorHAnsi"/>
                <w:b/>
                <w:szCs w:val="20"/>
              </w:rPr>
            </w:pPr>
            <w:r w:rsidRPr="009B546D">
              <w:rPr>
                <w:rFonts w:cstheme="minorHAnsi"/>
                <w:szCs w:val="20"/>
              </w:rPr>
              <w:t>Interim Report April 2019</w:t>
            </w:r>
          </w:p>
        </w:tc>
        <w:tc>
          <w:tcPr>
            <w:tcW w:w="1134" w:type="dxa"/>
          </w:tcPr>
          <w:p w14:paraId="266E3B6D" w14:textId="74048D91" w:rsidR="00682BB9" w:rsidRPr="009B546D" w:rsidRDefault="00783CDE" w:rsidP="00F432B9">
            <w:pPr>
              <w:widowControl w:val="0"/>
              <w:spacing w:after="80"/>
              <w:jc w:val="right"/>
              <w:rPr>
                <w:rFonts w:cstheme="minorHAnsi"/>
              </w:rPr>
            </w:pPr>
            <w:r w:rsidRPr="009B546D">
              <w:rPr>
                <w:rFonts w:cstheme="minorHAnsi"/>
                <w:bCs/>
                <w:szCs w:val="20"/>
              </w:rPr>
              <w:t>6</w:t>
            </w:r>
          </w:p>
        </w:tc>
      </w:tr>
      <w:tr w:rsidR="00682BB9" w:rsidRPr="009B546D" w14:paraId="31465461" w14:textId="77777777" w:rsidTr="00190350">
        <w:trPr>
          <w:gridAfter w:val="4"/>
          <w:wAfter w:w="3405" w:type="dxa"/>
        </w:trPr>
        <w:tc>
          <w:tcPr>
            <w:tcW w:w="4531" w:type="dxa"/>
            <w:gridSpan w:val="2"/>
          </w:tcPr>
          <w:p w14:paraId="2B4139A3" w14:textId="77777777" w:rsidR="00682BB9" w:rsidRPr="009B546D" w:rsidRDefault="00682BB9" w:rsidP="00496B89">
            <w:pPr>
              <w:widowControl w:val="0"/>
              <w:spacing w:after="80"/>
              <w:jc w:val="left"/>
              <w:rPr>
                <w:rFonts w:cstheme="minorHAnsi"/>
                <w:b/>
                <w:szCs w:val="20"/>
              </w:rPr>
            </w:pPr>
            <w:r w:rsidRPr="009B546D">
              <w:rPr>
                <w:rFonts w:cstheme="minorHAnsi"/>
                <w:bCs/>
                <w:szCs w:val="20"/>
              </w:rPr>
              <w:t>Statement of Cash Flows</w:t>
            </w:r>
          </w:p>
        </w:tc>
        <w:tc>
          <w:tcPr>
            <w:tcW w:w="2840" w:type="dxa"/>
          </w:tcPr>
          <w:p w14:paraId="004CF0BE" w14:textId="77777777" w:rsidR="00682BB9" w:rsidRPr="009B546D" w:rsidRDefault="00682BB9" w:rsidP="00F432B9">
            <w:pPr>
              <w:widowControl w:val="0"/>
              <w:spacing w:after="80"/>
              <w:jc w:val="right"/>
              <w:rPr>
                <w:rFonts w:cstheme="minorHAnsi"/>
                <w:b/>
                <w:szCs w:val="20"/>
              </w:rPr>
            </w:pPr>
            <w:r w:rsidRPr="009B546D">
              <w:rPr>
                <w:rFonts w:cstheme="minorHAnsi"/>
                <w:szCs w:val="20"/>
              </w:rPr>
              <w:t>Interim Report April 2019</w:t>
            </w:r>
          </w:p>
        </w:tc>
        <w:tc>
          <w:tcPr>
            <w:tcW w:w="1134" w:type="dxa"/>
          </w:tcPr>
          <w:p w14:paraId="52CA0FB2" w14:textId="34A0490F" w:rsidR="00682BB9" w:rsidRPr="009B546D" w:rsidRDefault="00783CDE" w:rsidP="00F432B9">
            <w:pPr>
              <w:widowControl w:val="0"/>
              <w:spacing w:after="80"/>
              <w:jc w:val="right"/>
              <w:rPr>
                <w:rFonts w:cstheme="minorHAnsi"/>
              </w:rPr>
            </w:pPr>
            <w:r w:rsidRPr="009B546D">
              <w:rPr>
                <w:rFonts w:cstheme="minorHAnsi"/>
                <w:bCs/>
                <w:szCs w:val="20"/>
              </w:rPr>
              <w:t>7</w:t>
            </w:r>
          </w:p>
        </w:tc>
      </w:tr>
      <w:tr w:rsidR="00682BB9" w:rsidRPr="009B546D" w14:paraId="3B67D539" w14:textId="77777777" w:rsidTr="00190350">
        <w:trPr>
          <w:gridAfter w:val="4"/>
          <w:wAfter w:w="3405" w:type="dxa"/>
        </w:trPr>
        <w:tc>
          <w:tcPr>
            <w:tcW w:w="4531" w:type="dxa"/>
            <w:gridSpan w:val="2"/>
          </w:tcPr>
          <w:p w14:paraId="721FD7A4" w14:textId="77777777" w:rsidR="00682BB9" w:rsidRPr="009B546D" w:rsidRDefault="00682BB9" w:rsidP="00496B89">
            <w:pPr>
              <w:widowControl w:val="0"/>
              <w:spacing w:after="80"/>
              <w:jc w:val="left"/>
              <w:rPr>
                <w:rFonts w:cstheme="minorHAnsi"/>
                <w:b/>
                <w:szCs w:val="20"/>
              </w:rPr>
            </w:pPr>
            <w:r w:rsidRPr="009B546D">
              <w:rPr>
                <w:rFonts w:cstheme="minorHAnsi"/>
                <w:bCs/>
                <w:szCs w:val="20"/>
              </w:rPr>
              <w:t>Notes to the Company’s Financial Statements</w:t>
            </w:r>
          </w:p>
        </w:tc>
        <w:tc>
          <w:tcPr>
            <w:tcW w:w="2840" w:type="dxa"/>
          </w:tcPr>
          <w:p w14:paraId="4AA09694" w14:textId="77777777" w:rsidR="00682BB9" w:rsidRPr="009B546D" w:rsidRDefault="00682BB9" w:rsidP="00F432B9">
            <w:pPr>
              <w:widowControl w:val="0"/>
              <w:spacing w:after="80"/>
              <w:jc w:val="right"/>
              <w:rPr>
                <w:rFonts w:cstheme="minorHAnsi"/>
                <w:b/>
                <w:szCs w:val="20"/>
              </w:rPr>
            </w:pPr>
            <w:r w:rsidRPr="009B546D">
              <w:rPr>
                <w:rFonts w:cstheme="minorHAnsi"/>
                <w:szCs w:val="20"/>
              </w:rPr>
              <w:t>Interim Report April 2019</w:t>
            </w:r>
          </w:p>
        </w:tc>
        <w:tc>
          <w:tcPr>
            <w:tcW w:w="1134" w:type="dxa"/>
          </w:tcPr>
          <w:p w14:paraId="3C2D8048" w14:textId="150283C0" w:rsidR="00682BB9" w:rsidRPr="009B546D" w:rsidRDefault="00783CDE" w:rsidP="00F432B9">
            <w:pPr>
              <w:widowControl w:val="0"/>
              <w:spacing w:after="80"/>
              <w:jc w:val="right"/>
              <w:rPr>
                <w:rFonts w:cstheme="minorHAnsi"/>
              </w:rPr>
            </w:pPr>
            <w:r w:rsidRPr="009B546D">
              <w:rPr>
                <w:rFonts w:cstheme="minorHAnsi"/>
                <w:bCs/>
                <w:szCs w:val="20"/>
              </w:rPr>
              <w:t>8-14</w:t>
            </w:r>
          </w:p>
        </w:tc>
      </w:tr>
      <w:tr w:rsidR="00682BB9" w:rsidRPr="009B546D" w14:paraId="664027E3" w14:textId="77777777" w:rsidTr="00190350">
        <w:trPr>
          <w:gridAfter w:val="4"/>
          <w:wAfter w:w="3405" w:type="dxa"/>
        </w:trPr>
        <w:tc>
          <w:tcPr>
            <w:tcW w:w="4531" w:type="dxa"/>
            <w:gridSpan w:val="2"/>
          </w:tcPr>
          <w:p w14:paraId="196BB404" w14:textId="77777777" w:rsidR="00682BB9" w:rsidRPr="009B546D" w:rsidRDefault="00682BB9" w:rsidP="00496B89">
            <w:pPr>
              <w:widowControl w:val="0"/>
              <w:spacing w:after="80"/>
              <w:jc w:val="left"/>
              <w:rPr>
                <w:rFonts w:cstheme="minorHAnsi"/>
                <w:bCs/>
                <w:szCs w:val="20"/>
              </w:rPr>
            </w:pPr>
            <w:r w:rsidRPr="009B546D">
              <w:rPr>
                <w:rFonts w:cstheme="minorHAnsi"/>
                <w:bCs/>
                <w:szCs w:val="20"/>
              </w:rPr>
              <w:t>Related party transactions</w:t>
            </w:r>
          </w:p>
        </w:tc>
        <w:tc>
          <w:tcPr>
            <w:tcW w:w="2840" w:type="dxa"/>
          </w:tcPr>
          <w:p w14:paraId="53E5BBCB" w14:textId="77777777" w:rsidR="00682BB9" w:rsidRPr="009B546D" w:rsidRDefault="00682BB9" w:rsidP="00F432B9">
            <w:pPr>
              <w:widowControl w:val="0"/>
              <w:spacing w:after="80"/>
              <w:jc w:val="right"/>
              <w:rPr>
                <w:rFonts w:cstheme="minorHAnsi"/>
                <w:b/>
                <w:szCs w:val="20"/>
              </w:rPr>
            </w:pPr>
            <w:r w:rsidRPr="009B546D">
              <w:rPr>
                <w:rFonts w:cstheme="minorHAnsi"/>
                <w:szCs w:val="20"/>
              </w:rPr>
              <w:t>Interim Report April 2019</w:t>
            </w:r>
          </w:p>
        </w:tc>
        <w:tc>
          <w:tcPr>
            <w:tcW w:w="1134" w:type="dxa"/>
          </w:tcPr>
          <w:p w14:paraId="5A0FFF10" w14:textId="7F817730" w:rsidR="00682BB9" w:rsidRPr="009B546D" w:rsidRDefault="00783CDE" w:rsidP="00F432B9">
            <w:pPr>
              <w:widowControl w:val="0"/>
              <w:spacing w:after="80"/>
              <w:jc w:val="right"/>
              <w:rPr>
                <w:rFonts w:cstheme="minorHAnsi"/>
              </w:rPr>
            </w:pPr>
            <w:r w:rsidRPr="009B546D">
              <w:rPr>
                <w:rFonts w:cstheme="minorHAnsi"/>
                <w:bCs/>
                <w:szCs w:val="20"/>
              </w:rPr>
              <w:t>14</w:t>
            </w:r>
          </w:p>
        </w:tc>
      </w:tr>
      <w:tr w:rsidR="00682BB9" w:rsidRPr="009B546D" w14:paraId="2EE37F82" w14:textId="77777777" w:rsidTr="00190350">
        <w:tc>
          <w:tcPr>
            <w:tcW w:w="284" w:type="dxa"/>
          </w:tcPr>
          <w:p w14:paraId="210773A1" w14:textId="77777777" w:rsidR="00682BB9" w:rsidRPr="009B546D" w:rsidRDefault="00682BB9" w:rsidP="00496B89">
            <w:pPr>
              <w:widowControl w:val="0"/>
              <w:spacing w:after="80"/>
              <w:jc w:val="left"/>
              <w:rPr>
                <w:rFonts w:cstheme="minorHAnsi"/>
                <w:b/>
                <w:szCs w:val="20"/>
              </w:rPr>
            </w:pPr>
          </w:p>
        </w:tc>
        <w:tc>
          <w:tcPr>
            <w:tcW w:w="11626" w:type="dxa"/>
            <w:gridSpan w:val="7"/>
          </w:tcPr>
          <w:p w14:paraId="46470DA6" w14:textId="36B035A9" w:rsidR="00682BB9" w:rsidRPr="009B546D" w:rsidRDefault="00682BB9" w:rsidP="00F432B9">
            <w:pPr>
              <w:widowControl w:val="0"/>
              <w:spacing w:after="80"/>
              <w:jc w:val="left"/>
              <w:rPr>
                <w:rFonts w:cstheme="minorHAnsi"/>
                <w:szCs w:val="20"/>
              </w:rPr>
            </w:pPr>
            <w:r w:rsidRPr="009B546D">
              <w:rPr>
                <w:rFonts w:cstheme="minorHAnsi"/>
                <w:b/>
                <w:szCs w:val="20"/>
              </w:rPr>
              <w:t>The following sections from the Annual Report for the year ended 31 October 2018:</w:t>
            </w:r>
          </w:p>
        </w:tc>
      </w:tr>
      <w:tr w:rsidR="00682BB9" w:rsidRPr="009B546D" w14:paraId="202402CB" w14:textId="77777777" w:rsidTr="00190350">
        <w:trPr>
          <w:gridAfter w:val="4"/>
          <w:wAfter w:w="3405" w:type="dxa"/>
        </w:trPr>
        <w:tc>
          <w:tcPr>
            <w:tcW w:w="4531" w:type="dxa"/>
            <w:gridSpan w:val="2"/>
          </w:tcPr>
          <w:p w14:paraId="689F6EC6" w14:textId="77777777" w:rsidR="00682BB9" w:rsidRPr="009B546D" w:rsidRDefault="00682BB9" w:rsidP="00496B89">
            <w:pPr>
              <w:widowControl w:val="0"/>
              <w:spacing w:after="80"/>
              <w:rPr>
                <w:rFonts w:cstheme="minorHAnsi"/>
                <w:szCs w:val="20"/>
              </w:rPr>
            </w:pPr>
            <w:r w:rsidRPr="009B546D">
              <w:rPr>
                <w:rFonts w:cstheme="minorHAnsi"/>
                <w:szCs w:val="20"/>
              </w:rPr>
              <w:t>Chairman’s Statement</w:t>
            </w:r>
          </w:p>
        </w:tc>
        <w:tc>
          <w:tcPr>
            <w:tcW w:w="2840" w:type="dxa"/>
          </w:tcPr>
          <w:p w14:paraId="476985E2" w14:textId="77777777" w:rsidR="00682BB9" w:rsidRPr="009B546D" w:rsidRDefault="00682BB9" w:rsidP="00F432B9">
            <w:pPr>
              <w:widowControl w:val="0"/>
              <w:spacing w:after="80"/>
              <w:jc w:val="right"/>
              <w:rPr>
                <w:rFonts w:cstheme="minorHAnsi"/>
                <w:szCs w:val="20"/>
              </w:rPr>
            </w:pPr>
            <w:r w:rsidRPr="009B546D">
              <w:rPr>
                <w:rFonts w:cstheme="minorHAnsi"/>
                <w:szCs w:val="20"/>
              </w:rPr>
              <w:t>Annual Report 2018</w:t>
            </w:r>
          </w:p>
        </w:tc>
        <w:tc>
          <w:tcPr>
            <w:tcW w:w="1134" w:type="dxa"/>
          </w:tcPr>
          <w:p w14:paraId="777C043F" w14:textId="35241E3E" w:rsidR="00682BB9" w:rsidRPr="009B546D" w:rsidRDefault="004F36A3" w:rsidP="00F432B9">
            <w:pPr>
              <w:widowControl w:val="0"/>
              <w:spacing w:after="80"/>
              <w:jc w:val="right"/>
              <w:rPr>
                <w:rFonts w:cstheme="minorHAnsi"/>
                <w:szCs w:val="20"/>
              </w:rPr>
            </w:pPr>
            <w:r w:rsidRPr="009B546D">
              <w:rPr>
                <w:rFonts w:cstheme="minorHAnsi"/>
                <w:szCs w:val="20"/>
              </w:rPr>
              <w:t>1</w:t>
            </w:r>
          </w:p>
        </w:tc>
      </w:tr>
      <w:tr w:rsidR="00682BB9" w:rsidRPr="009B546D" w14:paraId="0AFA8357" w14:textId="77777777" w:rsidTr="00190350">
        <w:trPr>
          <w:gridAfter w:val="4"/>
          <w:wAfter w:w="3405" w:type="dxa"/>
        </w:trPr>
        <w:tc>
          <w:tcPr>
            <w:tcW w:w="4531" w:type="dxa"/>
            <w:gridSpan w:val="2"/>
          </w:tcPr>
          <w:p w14:paraId="208BD9D3" w14:textId="4CAEED6A" w:rsidR="00682BB9" w:rsidRPr="009B546D" w:rsidRDefault="00682BB9" w:rsidP="00496B89">
            <w:pPr>
              <w:widowControl w:val="0"/>
              <w:spacing w:after="80"/>
              <w:rPr>
                <w:rFonts w:cstheme="minorHAnsi"/>
                <w:szCs w:val="20"/>
              </w:rPr>
            </w:pPr>
            <w:r w:rsidRPr="009B546D">
              <w:rPr>
                <w:rFonts w:cstheme="minorHAnsi"/>
                <w:szCs w:val="20"/>
              </w:rPr>
              <w:t>Directors Report</w:t>
            </w:r>
          </w:p>
        </w:tc>
        <w:tc>
          <w:tcPr>
            <w:tcW w:w="2840" w:type="dxa"/>
          </w:tcPr>
          <w:p w14:paraId="30303058" w14:textId="77777777" w:rsidR="00682BB9" w:rsidRPr="009B546D" w:rsidRDefault="00682BB9" w:rsidP="00F432B9">
            <w:pPr>
              <w:widowControl w:val="0"/>
              <w:spacing w:after="80"/>
              <w:jc w:val="right"/>
              <w:rPr>
                <w:rFonts w:cstheme="minorHAnsi"/>
                <w:szCs w:val="20"/>
              </w:rPr>
            </w:pPr>
            <w:r w:rsidRPr="009B546D">
              <w:rPr>
                <w:rFonts w:cstheme="minorHAnsi"/>
                <w:szCs w:val="20"/>
              </w:rPr>
              <w:t>Annual Report 2018</w:t>
            </w:r>
          </w:p>
        </w:tc>
        <w:tc>
          <w:tcPr>
            <w:tcW w:w="1134" w:type="dxa"/>
          </w:tcPr>
          <w:p w14:paraId="46460D41" w14:textId="50E3C3F4" w:rsidR="00682BB9" w:rsidRPr="009B546D" w:rsidRDefault="007B4FDA" w:rsidP="00F432B9">
            <w:pPr>
              <w:widowControl w:val="0"/>
              <w:spacing w:after="80"/>
              <w:jc w:val="right"/>
              <w:rPr>
                <w:rFonts w:cstheme="minorHAnsi"/>
                <w:szCs w:val="20"/>
              </w:rPr>
            </w:pPr>
            <w:r w:rsidRPr="009B546D">
              <w:rPr>
                <w:rFonts w:cstheme="minorHAnsi"/>
                <w:szCs w:val="20"/>
              </w:rPr>
              <w:t>5</w:t>
            </w:r>
          </w:p>
        </w:tc>
      </w:tr>
      <w:tr w:rsidR="00682BB9" w:rsidRPr="009B546D" w14:paraId="436EFD77" w14:textId="77777777" w:rsidTr="00190350">
        <w:trPr>
          <w:gridAfter w:val="4"/>
          <w:wAfter w:w="3405" w:type="dxa"/>
        </w:trPr>
        <w:tc>
          <w:tcPr>
            <w:tcW w:w="4531" w:type="dxa"/>
            <w:gridSpan w:val="2"/>
          </w:tcPr>
          <w:p w14:paraId="478D502F" w14:textId="6DD6D425" w:rsidR="00682BB9" w:rsidRPr="009B546D" w:rsidRDefault="00682BB9" w:rsidP="00496B89">
            <w:pPr>
              <w:widowControl w:val="0"/>
              <w:spacing w:after="80"/>
              <w:rPr>
                <w:rFonts w:cstheme="minorHAnsi"/>
                <w:szCs w:val="20"/>
              </w:rPr>
            </w:pPr>
            <w:r w:rsidRPr="009B546D">
              <w:rPr>
                <w:rFonts w:cstheme="minorHAnsi"/>
                <w:szCs w:val="20"/>
              </w:rPr>
              <w:t>Statement of Directors Responsibilities</w:t>
            </w:r>
          </w:p>
        </w:tc>
        <w:tc>
          <w:tcPr>
            <w:tcW w:w="2840" w:type="dxa"/>
          </w:tcPr>
          <w:p w14:paraId="134A0207" w14:textId="77777777" w:rsidR="00682BB9" w:rsidRPr="009B546D" w:rsidRDefault="00682BB9" w:rsidP="00F432B9">
            <w:pPr>
              <w:widowControl w:val="0"/>
              <w:spacing w:after="80"/>
              <w:jc w:val="right"/>
              <w:rPr>
                <w:rFonts w:cstheme="minorHAnsi"/>
                <w:szCs w:val="20"/>
              </w:rPr>
            </w:pPr>
            <w:r w:rsidRPr="009B546D">
              <w:rPr>
                <w:rFonts w:cstheme="minorHAnsi"/>
                <w:szCs w:val="20"/>
              </w:rPr>
              <w:t>Annual Report 2018</w:t>
            </w:r>
          </w:p>
        </w:tc>
        <w:tc>
          <w:tcPr>
            <w:tcW w:w="1134" w:type="dxa"/>
          </w:tcPr>
          <w:p w14:paraId="291158D1" w14:textId="3D3553F0" w:rsidR="00682BB9" w:rsidRPr="009B546D" w:rsidRDefault="001D41DC" w:rsidP="00F432B9">
            <w:pPr>
              <w:widowControl w:val="0"/>
              <w:spacing w:after="80"/>
              <w:jc w:val="right"/>
              <w:rPr>
                <w:rFonts w:cstheme="minorHAnsi"/>
                <w:szCs w:val="20"/>
              </w:rPr>
            </w:pPr>
            <w:r w:rsidRPr="009B546D">
              <w:rPr>
                <w:rFonts w:cstheme="minorHAnsi"/>
                <w:szCs w:val="20"/>
              </w:rPr>
              <w:t>18</w:t>
            </w:r>
          </w:p>
        </w:tc>
      </w:tr>
      <w:tr w:rsidR="00682BB9" w:rsidRPr="009B546D" w14:paraId="7DCB6E20" w14:textId="77777777" w:rsidTr="00190350">
        <w:trPr>
          <w:gridAfter w:val="4"/>
          <w:wAfter w:w="3405" w:type="dxa"/>
        </w:trPr>
        <w:tc>
          <w:tcPr>
            <w:tcW w:w="4531" w:type="dxa"/>
            <w:gridSpan w:val="2"/>
          </w:tcPr>
          <w:p w14:paraId="13FEA7A8" w14:textId="77777777" w:rsidR="00682BB9" w:rsidRPr="009B546D" w:rsidRDefault="00682BB9" w:rsidP="00496B89">
            <w:pPr>
              <w:widowControl w:val="0"/>
              <w:spacing w:after="80"/>
              <w:rPr>
                <w:rFonts w:cstheme="minorHAnsi"/>
                <w:szCs w:val="20"/>
              </w:rPr>
            </w:pPr>
            <w:r w:rsidRPr="009B546D">
              <w:rPr>
                <w:rFonts w:cstheme="minorHAnsi"/>
                <w:szCs w:val="20"/>
              </w:rPr>
              <w:t>Independent Auditor’s Report</w:t>
            </w:r>
          </w:p>
        </w:tc>
        <w:tc>
          <w:tcPr>
            <w:tcW w:w="2840" w:type="dxa"/>
          </w:tcPr>
          <w:p w14:paraId="2B72A150" w14:textId="77777777" w:rsidR="00682BB9" w:rsidRPr="009B546D" w:rsidRDefault="00682BB9" w:rsidP="00F432B9">
            <w:pPr>
              <w:widowControl w:val="0"/>
              <w:spacing w:after="80"/>
              <w:jc w:val="right"/>
              <w:rPr>
                <w:rFonts w:cstheme="minorHAnsi"/>
                <w:szCs w:val="20"/>
              </w:rPr>
            </w:pPr>
            <w:r w:rsidRPr="009B546D">
              <w:rPr>
                <w:rFonts w:cstheme="minorHAnsi"/>
                <w:szCs w:val="20"/>
              </w:rPr>
              <w:t>Annual Report 2018</w:t>
            </w:r>
          </w:p>
        </w:tc>
        <w:tc>
          <w:tcPr>
            <w:tcW w:w="1134" w:type="dxa"/>
          </w:tcPr>
          <w:p w14:paraId="00DC0CC6" w14:textId="75ABBFEB" w:rsidR="00682BB9" w:rsidRPr="009B546D" w:rsidRDefault="001D41DC" w:rsidP="00F432B9">
            <w:pPr>
              <w:widowControl w:val="0"/>
              <w:spacing w:after="80"/>
              <w:jc w:val="right"/>
              <w:rPr>
                <w:rFonts w:cstheme="minorHAnsi"/>
                <w:szCs w:val="20"/>
              </w:rPr>
            </w:pPr>
            <w:r w:rsidRPr="009B546D">
              <w:rPr>
                <w:rFonts w:cstheme="minorHAnsi"/>
                <w:szCs w:val="20"/>
              </w:rPr>
              <w:t>19</w:t>
            </w:r>
          </w:p>
        </w:tc>
      </w:tr>
      <w:tr w:rsidR="00682BB9" w:rsidRPr="009B546D" w14:paraId="64C32D25" w14:textId="77777777" w:rsidTr="00190350">
        <w:trPr>
          <w:gridAfter w:val="4"/>
          <w:wAfter w:w="3405" w:type="dxa"/>
        </w:trPr>
        <w:tc>
          <w:tcPr>
            <w:tcW w:w="4531" w:type="dxa"/>
            <w:gridSpan w:val="2"/>
          </w:tcPr>
          <w:p w14:paraId="004CB026" w14:textId="77777777" w:rsidR="00682BB9" w:rsidRPr="009B546D" w:rsidRDefault="00682BB9" w:rsidP="00496B89">
            <w:pPr>
              <w:widowControl w:val="0"/>
              <w:spacing w:after="80"/>
              <w:rPr>
                <w:rFonts w:cstheme="minorHAnsi"/>
                <w:szCs w:val="20"/>
              </w:rPr>
            </w:pPr>
            <w:r w:rsidRPr="009B546D">
              <w:rPr>
                <w:rFonts w:cstheme="minorHAnsi"/>
                <w:szCs w:val="20"/>
              </w:rPr>
              <w:t>Statement of Comprehensive Income</w:t>
            </w:r>
          </w:p>
        </w:tc>
        <w:tc>
          <w:tcPr>
            <w:tcW w:w="2840" w:type="dxa"/>
          </w:tcPr>
          <w:p w14:paraId="190E5249" w14:textId="77777777" w:rsidR="00682BB9" w:rsidRPr="009B546D" w:rsidRDefault="00682BB9" w:rsidP="00F432B9">
            <w:pPr>
              <w:widowControl w:val="0"/>
              <w:spacing w:after="80"/>
              <w:jc w:val="right"/>
              <w:rPr>
                <w:rFonts w:cstheme="minorHAnsi"/>
                <w:szCs w:val="20"/>
              </w:rPr>
            </w:pPr>
            <w:r w:rsidRPr="009B546D">
              <w:rPr>
                <w:rFonts w:cstheme="minorHAnsi"/>
                <w:szCs w:val="20"/>
              </w:rPr>
              <w:t>Annual Report 2018</w:t>
            </w:r>
          </w:p>
        </w:tc>
        <w:tc>
          <w:tcPr>
            <w:tcW w:w="1134" w:type="dxa"/>
          </w:tcPr>
          <w:p w14:paraId="5FC8B36F" w14:textId="4B3B210D" w:rsidR="00682BB9" w:rsidRPr="009B546D" w:rsidRDefault="001D41DC" w:rsidP="00F432B9">
            <w:pPr>
              <w:widowControl w:val="0"/>
              <w:spacing w:after="80"/>
              <w:jc w:val="right"/>
              <w:rPr>
                <w:rFonts w:cstheme="minorHAnsi"/>
                <w:szCs w:val="20"/>
              </w:rPr>
            </w:pPr>
            <w:r w:rsidRPr="009B546D">
              <w:rPr>
                <w:rFonts w:cstheme="minorHAnsi"/>
                <w:szCs w:val="20"/>
              </w:rPr>
              <w:t>22</w:t>
            </w:r>
          </w:p>
        </w:tc>
      </w:tr>
      <w:tr w:rsidR="00682BB9" w:rsidRPr="009B546D" w14:paraId="0E7A3B3C" w14:textId="77777777" w:rsidTr="00190350">
        <w:trPr>
          <w:gridAfter w:val="4"/>
          <w:wAfter w:w="3405" w:type="dxa"/>
        </w:trPr>
        <w:tc>
          <w:tcPr>
            <w:tcW w:w="4531" w:type="dxa"/>
            <w:gridSpan w:val="2"/>
          </w:tcPr>
          <w:p w14:paraId="2EA7CD1E" w14:textId="366FC01F" w:rsidR="00682BB9" w:rsidRPr="009B546D" w:rsidRDefault="00682BB9" w:rsidP="00496B89">
            <w:pPr>
              <w:widowControl w:val="0"/>
              <w:spacing w:after="80"/>
              <w:rPr>
                <w:rFonts w:cstheme="minorHAnsi"/>
                <w:szCs w:val="20"/>
              </w:rPr>
            </w:pPr>
            <w:r w:rsidRPr="009B546D">
              <w:rPr>
                <w:rFonts w:cstheme="minorHAnsi"/>
                <w:szCs w:val="20"/>
              </w:rPr>
              <w:t xml:space="preserve">Statement of Financial </w:t>
            </w:r>
            <w:r w:rsidR="004566C3" w:rsidRPr="009B546D">
              <w:rPr>
                <w:rFonts w:cstheme="minorHAnsi"/>
                <w:szCs w:val="20"/>
              </w:rPr>
              <w:t>P</w:t>
            </w:r>
            <w:r w:rsidRPr="009B546D">
              <w:rPr>
                <w:rFonts w:cstheme="minorHAnsi"/>
                <w:szCs w:val="20"/>
              </w:rPr>
              <w:t>osition</w:t>
            </w:r>
          </w:p>
        </w:tc>
        <w:tc>
          <w:tcPr>
            <w:tcW w:w="2840" w:type="dxa"/>
          </w:tcPr>
          <w:p w14:paraId="7674C838" w14:textId="77777777" w:rsidR="00682BB9" w:rsidRPr="009B546D" w:rsidRDefault="00682BB9" w:rsidP="00F432B9">
            <w:pPr>
              <w:widowControl w:val="0"/>
              <w:spacing w:after="80"/>
              <w:jc w:val="right"/>
              <w:rPr>
                <w:rFonts w:cstheme="minorHAnsi"/>
                <w:szCs w:val="20"/>
              </w:rPr>
            </w:pPr>
            <w:r w:rsidRPr="009B546D">
              <w:rPr>
                <w:rFonts w:cstheme="minorHAnsi"/>
                <w:szCs w:val="20"/>
              </w:rPr>
              <w:t>Annual Report 2018</w:t>
            </w:r>
          </w:p>
        </w:tc>
        <w:tc>
          <w:tcPr>
            <w:tcW w:w="1134" w:type="dxa"/>
          </w:tcPr>
          <w:p w14:paraId="76F599D5" w14:textId="7DF531EF" w:rsidR="00682BB9" w:rsidRPr="009B546D" w:rsidRDefault="001D41DC" w:rsidP="00F432B9">
            <w:pPr>
              <w:widowControl w:val="0"/>
              <w:spacing w:after="80"/>
              <w:jc w:val="right"/>
              <w:rPr>
                <w:rFonts w:cstheme="minorHAnsi"/>
                <w:szCs w:val="20"/>
              </w:rPr>
            </w:pPr>
            <w:r w:rsidRPr="009B546D">
              <w:rPr>
                <w:rFonts w:cstheme="minorHAnsi"/>
                <w:szCs w:val="20"/>
              </w:rPr>
              <w:t>23</w:t>
            </w:r>
          </w:p>
        </w:tc>
      </w:tr>
      <w:tr w:rsidR="00682BB9" w:rsidRPr="009B546D" w14:paraId="3577FEAA" w14:textId="77777777" w:rsidTr="00190350">
        <w:trPr>
          <w:gridAfter w:val="4"/>
          <w:wAfter w:w="3405" w:type="dxa"/>
        </w:trPr>
        <w:tc>
          <w:tcPr>
            <w:tcW w:w="4531" w:type="dxa"/>
            <w:gridSpan w:val="2"/>
          </w:tcPr>
          <w:p w14:paraId="023F127D" w14:textId="77777777" w:rsidR="00682BB9" w:rsidRPr="009B546D" w:rsidRDefault="00682BB9" w:rsidP="00496B89">
            <w:pPr>
              <w:widowControl w:val="0"/>
              <w:spacing w:after="80"/>
              <w:rPr>
                <w:rFonts w:cstheme="minorHAnsi"/>
                <w:szCs w:val="20"/>
              </w:rPr>
            </w:pPr>
            <w:r w:rsidRPr="009B546D">
              <w:rPr>
                <w:rFonts w:cstheme="minorHAnsi"/>
                <w:szCs w:val="20"/>
              </w:rPr>
              <w:t>Statement of Changes in Equity</w:t>
            </w:r>
          </w:p>
        </w:tc>
        <w:tc>
          <w:tcPr>
            <w:tcW w:w="2840" w:type="dxa"/>
          </w:tcPr>
          <w:p w14:paraId="48B506E6" w14:textId="77777777" w:rsidR="00682BB9" w:rsidRPr="009B546D" w:rsidRDefault="00682BB9" w:rsidP="00F432B9">
            <w:pPr>
              <w:widowControl w:val="0"/>
              <w:spacing w:after="80"/>
              <w:jc w:val="right"/>
              <w:rPr>
                <w:rFonts w:cstheme="minorHAnsi"/>
                <w:szCs w:val="20"/>
              </w:rPr>
            </w:pPr>
            <w:r w:rsidRPr="009B546D">
              <w:rPr>
                <w:rFonts w:cstheme="minorHAnsi"/>
                <w:szCs w:val="20"/>
              </w:rPr>
              <w:t>Annual Report 2018</w:t>
            </w:r>
          </w:p>
        </w:tc>
        <w:tc>
          <w:tcPr>
            <w:tcW w:w="1134" w:type="dxa"/>
          </w:tcPr>
          <w:p w14:paraId="3462A235" w14:textId="376E33CB" w:rsidR="00682BB9" w:rsidRPr="009B546D" w:rsidRDefault="001D15AB" w:rsidP="00F432B9">
            <w:pPr>
              <w:widowControl w:val="0"/>
              <w:spacing w:after="80"/>
              <w:jc w:val="right"/>
              <w:rPr>
                <w:rFonts w:cstheme="minorHAnsi"/>
                <w:szCs w:val="20"/>
              </w:rPr>
            </w:pPr>
            <w:r w:rsidRPr="009B546D">
              <w:rPr>
                <w:rFonts w:cstheme="minorHAnsi"/>
                <w:szCs w:val="20"/>
              </w:rPr>
              <w:t>24</w:t>
            </w:r>
          </w:p>
        </w:tc>
      </w:tr>
      <w:tr w:rsidR="00682BB9" w:rsidRPr="009B546D" w14:paraId="5CB16994" w14:textId="77777777" w:rsidTr="00190350">
        <w:trPr>
          <w:gridAfter w:val="4"/>
          <w:wAfter w:w="3405" w:type="dxa"/>
        </w:trPr>
        <w:tc>
          <w:tcPr>
            <w:tcW w:w="4531" w:type="dxa"/>
            <w:gridSpan w:val="2"/>
          </w:tcPr>
          <w:p w14:paraId="57717E3F" w14:textId="77777777" w:rsidR="00682BB9" w:rsidRPr="009B546D" w:rsidRDefault="00682BB9" w:rsidP="00496B89">
            <w:pPr>
              <w:widowControl w:val="0"/>
              <w:spacing w:after="80"/>
              <w:rPr>
                <w:rFonts w:cstheme="minorHAnsi"/>
                <w:szCs w:val="20"/>
              </w:rPr>
            </w:pPr>
            <w:r w:rsidRPr="009B546D">
              <w:rPr>
                <w:rFonts w:cstheme="minorHAnsi"/>
                <w:szCs w:val="20"/>
              </w:rPr>
              <w:t>Statement of Cash Flows</w:t>
            </w:r>
          </w:p>
        </w:tc>
        <w:tc>
          <w:tcPr>
            <w:tcW w:w="2840" w:type="dxa"/>
          </w:tcPr>
          <w:p w14:paraId="38052375" w14:textId="77777777" w:rsidR="00682BB9" w:rsidRPr="009B546D" w:rsidRDefault="00682BB9" w:rsidP="00F432B9">
            <w:pPr>
              <w:widowControl w:val="0"/>
              <w:spacing w:after="80"/>
              <w:jc w:val="right"/>
              <w:rPr>
                <w:rFonts w:cstheme="minorHAnsi"/>
                <w:szCs w:val="20"/>
              </w:rPr>
            </w:pPr>
            <w:r w:rsidRPr="009B546D">
              <w:rPr>
                <w:rFonts w:cstheme="minorHAnsi"/>
                <w:szCs w:val="20"/>
              </w:rPr>
              <w:t>Annual Report 2018</w:t>
            </w:r>
          </w:p>
        </w:tc>
        <w:tc>
          <w:tcPr>
            <w:tcW w:w="1134" w:type="dxa"/>
          </w:tcPr>
          <w:p w14:paraId="482B2C2A" w14:textId="69B90AFA" w:rsidR="00682BB9" w:rsidRPr="009B546D" w:rsidRDefault="001D15AB" w:rsidP="00F432B9">
            <w:pPr>
              <w:widowControl w:val="0"/>
              <w:spacing w:after="80"/>
              <w:jc w:val="right"/>
              <w:rPr>
                <w:rFonts w:cstheme="minorHAnsi"/>
                <w:szCs w:val="20"/>
              </w:rPr>
            </w:pPr>
            <w:r w:rsidRPr="009B546D">
              <w:rPr>
                <w:rFonts w:cstheme="minorHAnsi"/>
                <w:szCs w:val="20"/>
              </w:rPr>
              <w:t>25</w:t>
            </w:r>
          </w:p>
        </w:tc>
      </w:tr>
      <w:tr w:rsidR="00682BB9" w:rsidRPr="009B546D" w14:paraId="5CCE7106" w14:textId="77777777" w:rsidTr="00190350">
        <w:trPr>
          <w:gridAfter w:val="4"/>
          <w:wAfter w:w="3405" w:type="dxa"/>
        </w:trPr>
        <w:tc>
          <w:tcPr>
            <w:tcW w:w="4531" w:type="dxa"/>
            <w:gridSpan w:val="2"/>
          </w:tcPr>
          <w:p w14:paraId="1D2C31ED" w14:textId="77777777" w:rsidR="00682BB9" w:rsidRPr="009B546D" w:rsidRDefault="00682BB9" w:rsidP="00496B89">
            <w:pPr>
              <w:widowControl w:val="0"/>
              <w:spacing w:after="80"/>
              <w:rPr>
                <w:rFonts w:cstheme="minorHAnsi"/>
                <w:szCs w:val="20"/>
              </w:rPr>
            </w:pPr>
            <w:r w:rsidRPr="009B546D">
              <w:rPr>
                <w:rFonts w:cstheme="minorHAnsi"/>
                <w:szCs w:val="20"/>
              </w:rPr>
              <w:t>Notes to the Company’s Financial Statements</w:t>
            </w:r>
          </w:p>
        </w:tc>
        <w:tc>
          <w:tcPr>
            <w:tcW w:w="2840" w:type="dxa"/>
          </w:tcPr>
          <w:p w14:paraId="43841ECC" w14:textId="77777777" w:rsidR="00682BB9" w:rsidRPr="009B546D" w:rsidRDefault="00682BB9" w:rsidP="00F432B9">
            <w:pPr>
              <w:widowControl w:val="0"/>
              <w:spacing w:after="80"/>
              <w:jc w:val="right"/>
              <w:rPr>
                <w:rFonts w:cstheme="minorHAnsi"/>
                <w:szCs w:val="20"/>
              </w:rPr>
            </w:pPr>
            <w:r w:rsidRPr="009B546D">
              <w:rPr>
                <w:rFonts w:cstheme="minorHAnsi"/>
                <w:szCs w:val="20"/>
              </w:rPr>
              <w:t>Annual Report 2018</w:t>
            </w:r>
          </w:p>
        </w:tc>
        <w:tc>
          <w:tcPr>
            <w:tcW w:w="1134" w:type="dxa"/>
          </w:tcPr>
          <w:p w14:paraId="212DC4AF" w14:textId="523E7353" w:rsidR="00682BB9" w:rsidRPr="009B546D" w:rsidRDefault="001D15AB" w:rsidP="00F432B9">
            <w:pPr>
              <w:widowControl w:val="0"/>
              <w:spacing w:after="80"/>
              <w:jc w:val="right"/>
              <w:rPr>
                <w:rFonts w:cstheme="minorHAnsi"/>
                <w:szCs w:val="20"/>
              </w:rPr>
            </w:pPr>
            <w:r w:rsidRPr="009B546D">
              <w:rPr>
                <w:rFonts w:cstheme="minorHAnsi"/>
                <w:szCs w:val="20"/>
              </w:rPr>
              <w:t>26</w:t>
            </w:r>
          </w:p>
        </w:tc>
      </w:tr>
      <w:tr w:rsidR="00682BB9" w:rsidRPr="009B546D" w14:paraId="10B9A2DC" w14:textId="1FED1978" w:rsidTr="00190350">
        <w:tc>
          <w:tcPr>
            <w:tcW w:w="284" w:type="dxa"/>
          </w:tcPr>
          <w:p w14:paraId="2EE8B5CC" w14:textId="77777777" w:rsidR="00682BB9" w:rsidRPr="009B546D" w:rsidRDefault="00682BB9" w:rsidP="00496B89">
            <w:pPr>
              <w:widowControl w:val="0"/>
              <w:spacing w:after="80"/>
              <w:jc w:val="left"/>
              <w:rPr>
                <w:rFonts w:cstheme="minorHAnsi"/>
                <w:b/>
                <w:szCs w:val="20"/>
              </w:rPr>
            </w:pPr>
          </w:p>
        </w:tc>
        <w:tc>
          <w:tcPr>
            <w:tcW w:w="11626" w:type="dxa"/>
            <w:gridSpan w:val="7"/>
          </w:tcPr>
          <w:p w14:paraId="76D2D170" w14:textId="2D5EF4F9" w:rsidR="00682BB9" w:rsidRPr="009B546D" w:rsidRDefault="00682BB9" w:rsidP="00F432B9">
            <w:pPr>
              <w:widowControl w:val="0"/>
              <w:spacing w:after="80"/>
              <w:jc w:val="left"/>
              <w:rPr>
                <w:rFonts w:cstheme="minorHAnsi"/>
                <w:szCs w:val="20"/>
              </w:rPr>
            </w:pPr>
            <w:r w:rsidRPr="009B546D">
              <w:rPr>
                <w:rFonts w:cstheme="minorHAnsi"/>
                <w:b/>
                <w:szCs w:val="20"/>
              </w:rPr>
              <w:t>The following sections from the Interim Report for the period ended 30 April 2018</w:t>
            </w:r>
          </w:p>
        </w:tc>
      </w:tr>
      <w:tr w:rsidR="00682BB9" w:rsidRPr="009B546D" w14:paraId="7E572A50" w14:textId="77777777" w:rsidTr="00190350">
        <w:trPr>
          <w:gridAfter w:val="2"/>
          <w:wAfter w:w="1699" w:type="dxa"/>
        </w:trPr>
        <w:tc>
          <w:tcPr>
            <w:tcW w:w="4531" w:type="dxa"/>
            <w:gridSpan w:val="2"/>
          </w:tcPr>
          <w:p w14:paraId="3CA99E6D" w14:textId="77777777" w:rsidR="00682BB9" w:rsidRPr="009B546D" w:rsidRDefault="00682BB9" w:rsidP="00496B89">
            <w:pPr>
              <w:widowControl w:val="0"/>
              <w:spacing w:after="80"/>
              <w:rPr>
                <w:rFonts w:cstheme="minorHAnsi"/>
                <w:bCs/>
                <w:szCs w:val="20"/>
              </w:rPr>
            </w:pPr>
            <w:r w:rsidRPr="009B546D">
              <w:rPr>
                <w:rFonts w:cstheme="minorHAnsi"/>
                <w:bCs/>
                <w:szCs w:val="20"/>
              </w:rPr>
              <w:t>Chairman’s Statement</w:t>
            </w:r>
          </w:p>
        </w:tc>
        <w:tc>
          <w:tcPr>
            <w:tcW w:w="2840" w:type="dxa"/>
          </w:tcPr>
          <w:p w14:paraId="522F8088" w14:textId="77777777" w:rsidR="00682BB9" w:rsidRPr="009B546D" w:rsidRDefault="00682BB9" w:rsidP="00F432B9">
            <w:pPr>
              <w:widowControl w:val="0"/>
              <w:spacing w:after="80"/>
              <w:jc w:val="right"/>
              <w:rPr>
                <w:rFonts w:cstheme="minorHAnsi"/>
                <w:szCs w:val="20"/>
              </w:rPr>
            </w:pPr>
            <w:r w:rsidRPr="009B546D">
              <w:rPr>
                <w:rFonts w:cstheme="minorHAnsi"/>
                <w:szCs w:val="20"/>
              </w:rPr>
              <w:t>Interim Report April 2018</w:t>
            </w:r>
          </w:p>
        </w:tc>
        <w:tc>
          <w:tcPr>
            <w:tcW w:w="1134" w:type="dxa"/>
          </w:tcPr>
          <w:p w14:paraId="2F723516" w14:textId="738F7271" w:rsidR="00682BB9" w:rsidRPr="009B546D" w:rsidRDefault="00091FC3" w:rsidP="00F432B9">
            <w:pPr>
              <w:widowControl w:val="0"/>
              <w:spacing w:after="80"/>
              <w:jc w:val="right"/>
              <w:rPr>
                <w:rFonts w:cstheme="minorHAnsi"/>
                <w:szCs w:val="20"/>
              </w:rPr>
            </w:pPr>
            <w:r w:rsidRPr="009B546D">
              <w:rPr>
                <w:rFonts w:cstheme="minorHAnsi"/>
                <w:szCs w:val="20"/>
              </w:rPr>
              <w:t>1</w:t>
            </w:r>
          </w:p>
        </w:tc>
        <w:tc>
          <w:tcPr>
            <w:tcW w:w="1706" w:type="dxa"/>
            <w:gridSpan w:val="2"/>
          </w:tcPr>
          <w:p w14:paraId="1A4237CA" w14:textId="040E30C9" w:rsidR="00682BB9" w:rsidRPr="009B546D" w:rsidRDefault="00682BB9" w:rsidP="00F432B9">
            <w:pPr>
              <w:widowControl w:val="0"/>
              <w:spacing w:after="80"/>
              <w:jc w:val="right"/>
              <w:rPr>
                <w:rFonts w:cstheme="minorHAnsi"/>
                <w:szCs w:val="20"/>
              </w:rPr>
            </w:pPr>
          </w:p>
        </w:tc>
      </w:tr>
      <w:tr w:rsidR="00682BB9" w:rsidRPr="009B546D" w14:paraId="63828D76" w14:textId="77777777" w:rsidTr="00190350">
        <w:trPr>
          <w:gridAfter w:val="2"/>
          <w:wAfter w:w="1699" w:type="dxa"/>
        </w:trPr>
        <w:tc>
          <w:tcPr>
            <w:tcW w:w="4531" w:type="dxa"/>
            <w:gridSpan w:val="2"/>
          </w:tcPr>
          <w:p w14:paraId="62F9F7AF" w14:textId="77777777" w:rsidR="00682BB9" w:rsidRPr="009B546D" w:rsidRDefault="00682BB9" w:rsidP="00496B89">
            <w:pPr>
              <w:widowControl w:val="0"/>
              <w:spacing w:after="80"/>
              <w:rPr>
                <w:rFonts w:cstheme="minorHAnsi"/>
                <w:bCs/>
                <w:szCs w:val="20"/>
              </w:rPr>
            </w:pPr>
            <w:r w:rsidRPr="009B546D">
              <w:rPr>
                <w:rFonts w:cstheme="minorHAnsi"/>
                <w:bCs/>
                <w:szCs w:val="20"/>
              </w:rPr>
              <w:t>Statement of Comprehensive Income</w:t>
            </w:r>
          </w:p>
        </w:tc>
        <w:tc>
          <w:tcPr>
            <w:tcW w:w="2840" w:type="dxa"/>
          </w:tcPr>
          <w:p w14:paraId="2A9FD456" w14:textId="77777777" w:rsidR="00682BB9" w:rsidRPr="009B546D" w:rsidRDefault="00682BB9" w:rsidP="00F432B9">
            <w:pPr>
              <w:widowControl w:val="0"/>
              <w:spacing w:after="80"/>
              <w:jc w:val="right"/>
              <w:rPr>
                <w:rFonts w:cstheme="minorHAnsi"/>
                <w:szCs w:val="20"/>
              </w:rPr>
            </w:pPr>
            <w:r w:rsidRPr="009B546D">
              <w:rPr>
                <w:rFonts w:cstheme="minorHAnsi"/>
                <w:szCs w:val="20"/>
              </w:rPr>
              <w:t>Interim Report April 2018</w:t>
            </w:r>
          </w:p>
        </w:tc>
        <w:tc>
          <w:tcPr>
            <w:tcW w:w="1134" w:type="dxa"/>
          </w:tcPr>
          <w:p w14:paraId="38FC7E83" w14:textId="1CD12211" w:rsidR="00682BB9" w:rsidRPr="009B546D" w:rsidRDefault="00BF7CA9" w:rsidP="00F432B9">
            <w:pPr>
              <w:widowControl w:val="0"/>
              <w:spacing w:after="80"/>
              <w:jc w:val="right"/>
              <w:rPr>
                <w:rFonts w:cstheme="minorHAnsi"/>
                <w:szCs w:val="20"/>
              </w:rPr>
            </w:pPr>
            <w:r w:rsidRPr="009B546D">
              <w:rPr>
                <w:rFonts w:cstheme="minorHAnsi"/>
                <w:szCs w:val="20"/>
              </w:rPr>
              <w:t>3</w:t>
            </w:r>
          </w:p>
        </w:tc>
        <w:tc>
          <w:tcPr>
            <w:tcW w:w="1706" w:type="dxa"/>
            <w:gridSpan w:val="2"/>
          </w:tcPr>
          <w:p w14:paraId="581DF8A7" w14:textId="2CA45FD0" w:rsidR="00682BB9" w:rsidRPr="009B546D" w:rsidRDefault="00682BB9" w:rsidP="00F432B9">
            <w:pPr>
              <w:widowControl w:val="0"/>
              <w:spacing w:after="80"/>
              <w:jc w:val="right"/>
              <w:rPr>
                <w:rFonts w:cstheme="minorHAnsi"/>
                <w:szCs w:val="20"/>
              </w:rPr>
            </w:pPr>
          </w:p>
        </w:tc>
      </w:tr>
      <w:tr w:rsidR="00682BB9" w:rsidRPr="009B546D" w14:paraId="5D9D9CCC" w14:textId="77777777" w:rsidTr="00190350">
        <w:trPr>
          <w:gridAfter w:val="2"/>
          <w:wAfter w:w="1699" w:type="dxa"/>
        </w:trPr>
        <w:tc>
          <w:tcPr>
            <w:tcW w:w="4531" w:type="dxa"/>
            <w:gridSpan w:val="2"/>
          </w:tcPr>
          <w:p w14:paraId="2279D3B1" w14:textId="1E1498AE" w:rsidR="00682BB9" w:rsidRPr="009B546D" w:rsidRDefault="00682BB9" w:rsidP="00496B89">
            <w:pPr>
              <w:widowControl w:val="0"/>
              <w:spacing w:after="80"/>
              <w:rPr>
                <w:rFonts w:cstheme="minorHAnsi"/>
                <w:bCs/>
                <w:szCs w:val="20"/>
              </w:rPr>
            </w:pPr>
            <w:r w:rsidRPr="009B546D">
              <w:rPr>
                <w:rFonts w:cstheme="minorHAnsi"/>
                <w:bCs/>
                <w:szCs w:val="20"/>
              </w:rPr>
              <w:t xml:space="preserve">Statement of Financial </w:t>
            </w:r>
            <w:r w:rsidR="004566C3" w:rsidRPr="009B546D">
              <w:rPr>
                <w:rFonts w:cstheme="minorHAnsi"/>
                <w:bCs/>
                <w:szCs w:val="20"/>
              </w:rPr>
              <w:t>P</w:t>
            </w:r>
            <w:r w:rsidRPr="009B546D">
              <w:rPr>
                <w:rFonts w:cstheme="minorHAnsi"/>
                <w:bCs/>
                <w:szCs w:val="20"/>
              </w:rPr>
              <w:t>osition</w:t>
            </w:r>
          </w:p>
        </w:tc>
        <w:tc>
          <w:tcPr>
            <w:tcW w:w="2840" w:type="dxa"/>
          </w:tcPr>
          <w:p w14:paraId="36BAEF63" w14:textId="77777777" w:rsidR="00682BB9" w:rsidRPr="009B546D" w:rsidRDefault="00682BB9" w:rsidP="00F432B9">
            <w:pPr>
              <w:widowControl w:val="0"/>
              <w:spacing w:after="80"/>
              <w:jc w:val="right"/>
              <w:rPr>
                <w:rFonts w:cstheme="minorHAnsi"/>
                <w:szCs w:val="20"/>
              </w:rPr>
            </w:pPr>
            <w:r w:rsidRPr="009B546D">
              <w:rPr>
                <w:rFonts w:cstheme="minorHAnsi"/>
                <w:szCs w:val="20"/>
              </w:rPr>
              <w:t>Interim Report April 2018</w:t>
            </w:r>
          </w:p>
        </w:tc>
        <w:tc>
          <w:tcPr>
            <w:tcW w:w="1134" w:type="dxa"/>
          </w:tcPr>
          <w:p w14:paraId="3ED20F15" w14:textId="5263A13A" w:rsidR="00682BB9" w:rsidRPr="009B546D" w:rsidRDefault="004566C3" w:rsidP="00F432B9">
            <w:pPr>
              <w:widowControl w:val="0"/>
              <w:spacing w:after="80"/>
              <w:jc w:val="right"/>
              <w:rPr>
                <w:rFonts w:cstheme="minorHAnsi"/>
                <w:szCs w:val="20"/>
              </w:rPr>
            </w:pPr>
            <w:r w:rsidRPr="009B546D">
              <w:rPr>
                <w:rFonts w:cstheme="minorHAnsi"/>
                <w:szCs w:val="20"/>
              </w:rPr>
              <w:t>4</w:t>
            </w:r>
          </w:p>
        </w:tc>
        <w:tc>
          <w:tcPr>
            <w:tcW w:w="1706" w:type="dxa"/>
            <w:gridSpan w:val="2"/>
          </w:tcPr>
          <w:p w14:paraId="78C664A5" w14:textId="4B3802D9" w:rsidR="00682BB9" w:rsidRPr="009B546D" w:rsidRDefault="00682BB9" w:rsidP="00F432B9">
            <w:pPr>
              <w:widowControl w:val="0"/>
              <w:spacing w:after="80"/>
              <w:jc w:val="right"/>
              <w:rPr>
                <w:rFonts w:cstheme="minorHAnsi"/>
                <w:szCs w:val="20"/>
              </w:rPr>
            </w:pPr>
          </w:p>
        </w:tc>
      </w:tr>
      <w:tr w:rsidR="00682BB9" w:rsidRPr="009B546D" w14:paraId="76E620CC" w14:textId="77777777" w:rsidTr="00190350">
        <w:trPr>
          <w:gridAfter w:val="2"/>
          <w:wAfter w:w="1699" w:type="dxa"/>
        </w:trPr>
        <w:tc>
          <w:tcPr>
            <w:tcW w:w="4531" w:type="dxa"/>
            <w:gridSpan w:val="2"/>
          </w:tcPr>
          <w:p w14:paraId="02952F08" w14:textId="77777777" w:rsidR="00682BB9" w:rsidRPr="009B546D" w:rsidRDefault="00682BB9" w:rsidP="00496B89">
            <w:pPr>
              <w:widowControl w:val="0"/>
              <w:spacing w:after="80"/>
              <w:rPr>
                <w:rFonts w:cstheme="minorHAnsi"/>
                <w:bCs/>
                <w:szCs w:val="20"/>
              </w:rPr>
            </w:pPr>
            <w:r w:rsidRPr="009B546D">
              <w:rPr>
                <w:rFonts w:cstheme="minorHAnsi"/>
                <w:bCs/>
                <w:szCs w:val="20"/>
              </w:rPr>
              <w:t>Statement of Changes in Equity</w:t>
            </w:r>
          </w:p>
        </w:tc>
        <w:tc>
          <w:tcPr>
            <w:tcW w:w="2840" w:type="dxa"/>
          </w:tcPr>
          <w:p w14:paraId="3039EF1E" w14:textId="77777777" w:rsidR="00682BB9" w:rsidRPr="009B546D" w:rsidRDefault="00682BB9" w:rsidP="00F432B9">
            <w:pPr>
              <w:widowControl w:val="0"/>
              <w:spacing w:after="80"/>
              <w:jc w:val="right"/>
              <w:rPr>
                <w:rFonts w:cstheme="minorHAnsi"/>
                <w:szCs w:val="20"/>
              </w:rPr>
            </w:pPr>
            <w:r w:rsidRPr="009B546D">
              <w:rPr>
                <w:rFonts w:cstheme="minorHAnsi"/>
                <w:szCs w:val="20"/>
              </w:rPr>
              <w:t>Interim Report April 2018</w:t>
            </w:r>
          </w:p>
        </w:tc>
        <w:tc>
          <w:tcPr>
            <w:tcW w:w="1134" w:type="dxa"/>
          </w:tcPr>
          <w:p w14:paraId="2CDBF7E4" w14:textId="6EA9616F" w:rsidR="00682BB9" w:rsidRPr="009B546D" w:rsidRDefault="004566C3" w:rsidP="00F432B9">
            <w:pPr>
              <w:widowControl w:val="0"/>
              <w:spacing w:after="80"/>
              <w:jc w:val="right"/>
              <w:rPr>
                <w:rFonts w:cstheme="minorHAnsi"/>
                <w:szCs w:val="20"/>
              </w:rPr>
            </w:pPr>
            <w:r w:rsidRPr="009B546D">
              <w:rPr>
                <w:rFonts w:cstheme="minorHAnsi"/>
                <w:szCs w:val="20"/>
              </w:rPr>
              <w:t>4</w:t>
            </w:r>
          </w:p>
        </w:tc>
        <w:tc>
          <w:tcPr>
            <w:tcW w:w="1706" w:type="dxa"/>
            <w:gridSpan w:val="2"/>
          </w:tcPr>
          <w:p w14:paraId="2AEA4C3A" w14:textId="7329FD01" w:rsidR="00682BB9" w:rsidRPr="009B546D" w:rsidRDefault="00682BB9" w:rsidP="00F432B9">
            <w:pPr>
              <w:widowControl w:val="0"/>
              <w:spacing w:after="80"/>
              <w:jc w:val="right"/>
              <w:rPr>
                <w:rFonts w:cstheme="minorHAnsi"/>
                <w:szCs w:val="20"/>
              </w:rPr>
            </w:pPr>
          </w:p>
        </w:tc>
      </w:tr>
      <w:tr w:rsidR="00682BB9" w:rsidRPr="009B546D" w14:paraId="155D2798" w14:textId="77777777" w:rsidTr="00190350">
        <w:trPr>
          <w:gridAfter w:val="2"/>
          <w:wAfter w:w="1699" w:type="dxa"/>
        </w:trPr>
        <w:tc>
          <w:tcPr>
            <w:tcW w:w="4531" w:type="dxa"/>
            <w:gridSpan w:val="2"/>
          </w:tcPr>
          <w:p w14:paraId="75853707" w14:textId="77777777" w:rsidR="00682BB9" w:rsidRPr="009B546D" w:rsidRDefault="00682BB9" w:rsidP="00496B89">
            <w:pPr>
              <w:widowControl w:val="0"/>
              <w:spacing w:after="80"/>
              <w:rPr>
                <w:rFonts w:cstheme="minorHAnsi"/>
                <w:bCs/>
                <w:szCs w:val="20"/>
              </w:rPr>
            </w:pPr>
            <w:r w:rsidRPr="009B546D">
              <w:rPr>
                <w:rFonts w:cstheme="minorHAnsi"/>
                <w:bCs/>
                <w:szCs w:val="20"/>
              </w:rPr>
              <w:t>Statement of Cash Flows</w:t>
            </w:r>
          </w:p>
        </w:tc>
        <w:tc>
          <w:tcPr>
            <w:tcW w:w="2840" w:type="dxa"/>
          </w:tcPr>
          <w:p w14:paraId="129D10BD" w14:textId="77777777" w:rsidR="00682BB9" w:rsidRPr="009B546D" w:rsidRDefault="00682BB9" w:rsidP="00F432B9">
            <w:pPr>
              <w:widowControl w:val="0"/>
              <w:spacing w:after="80"/>
              <w:jc w:val="right"/>
              <w:rPr>
                <w:rFonts w:cstheme="minorHAnsi"/>
                <w:szCs w:val="20"/>
              </w:rPr>
            </w:pPr>
            <w:r w:rsidRPr="009B546D">
              <w:rPr>
                <w:rFonts w:cstheme="minorHAnsi"/>
                <w:szCs w:val="20"/>
              </w:rPr>
              <w:t>Interim Report April 2018</w:t>
            </w:r>
          </w:p>
        </w:tc>
        <w:tc>
          <w:tcPr>
            <w:tcW w:w="1134" w:type="dxa"/>
          </w:tcPr>
          <w:p w14:paraId="71A2D2AD" w14:textId="17CD101B" w:rsidR="00682BB9" w:rsidRPr="009B546D" w:rsidRDefault="004566C3" w:rsidP="00F432B9">
            <w:pPr>
              <w:widowControl w:val="0"/>
              <w:spacing w:after="80"/>
              <w:jc w:val="right"/>
              <w:rPr>
                <w:rFonts w:cstheme="minorHAnsi"/>
                <w:szCs w:val="20"/>
              </w:rPr>
            </w:pPr>
            <w:r w:rsidRPr="009B546D">
              <w:rPr>
                <w:rFonts w:cstheme="minorHAnsi"/>
                <w:szCs w:val="20"/>
              </w:rPr>
              <w:t>5</w:t>
            </w:r>
          </w:p>
        </w:tc>
        <w:tc>
          <w:tcPr>
            <w:tcW w:w="1706" w:type="dxa"/>
            <w:gridSpan w:val="2"/>
          </w:tcPr>
          <w:p w14:paraId="15FF15BF" w14:textId="1F393B40" w:rsidR="00682BB9" w:rsidRPr="009B546D" w:rsidRDefault="00682BB9" w:rsidP="00F432B9">
            <w:pPr>
              <w:widowControl w:val="0"/>
              <w:spacing w:after="80"/>
              <w:jc w:val="right"/>
              <w:rPr>
                <w:rFonts w:cstheme="minorHAnsi"/>
                <w:szCs w:val="20"/>
              </w:rPr>
            </w:pPr>
          </w:p>
        </w:tc>
      </w:tr>
      <w:tr w:rsidR="00682BB9" w:rsidRPr="009B546D" w14:paraId="47CF4F57" w14:textId="77777777" w:rsidTr="00190350">
        <w:trPr>
          <w:gridAfter w:val="2"/>
          <w:wAfter w:w="1699" w:type="dxa"/>
        </w:trPr>
        <w:tc>
          <w:tcPr>
            <w:tcW w:w="4531" w:type="dxa"/>
            <w:gridSpan w:val="2"/>
          </w:tcPr>
          <w:p w14:paraId="31C49C8E" w14:textId="77777777" w:rsidR="00682BB9" w:rsidRPr="009B546D" w:rsidRDefault="00682BB9" w:rsidP="00496B89">
            <w:pPr>
              <w:widowControl w:val="0"/>
              <w:spacing w:after="80"/>
              <w:rPr>
                <w:rFonts w:cstheme="minorHAnsi"/>
                <w:bCs/>
                <w:szCs w:val="20"/>
              </w:rPr>
            </w:pPr>
            <w:r w:rsidRPr="009B546D">
              <w:rPr>
                <w:rFonts w:cstheme="minorHAnsi"/>
                <w:bCs/>
                <w:szCs w:val="20"/>
              </w:rPr>
              <w:t>Notes to the Company’s Financial Statements</w:t>
            </w:r>
          </w:p>
        </w:tc>
        <w:tc>
          <w:tcPr>
            <w:tcW w:w="2840" w:type="dxa"/>
          </w:tcPr>
          <w:p w14:paraId="5EB6BF1D" w14:textId="77777777" w:rsidR="00682BB9" w:rsidRPr="009B546D" w:rsidRDefault="00682BB9" w:rsidP="00F432B9">
            <w:pPr>
              <w:widowControl w:val="0"/>
              <w:spacing w:after="80"/>
              <w:jc w:val="right"/>
              <w:rPr>
                <w:rFonts w:cstheme="minorHAnsi"/>
                <w:szCs w:val="20"/>
              </w:rPr>
            </w:pPr>
            <w:r w:rsidRPr="009B546D">
              <w:rPr>
                <w:rFonts w:cstheme="minorHAnsi"/>
                <w:szCs w:val="20"/>
              </w:rPr>
              <w:t>Interim Report April 2018</w:t>
            </w:r>
          </w:p>
        </w:tc>
        <w:tc>
          <w:tcPr>
            <w:tcW w:w="1134" w:type="dxa"/>
          </w:tcPr>
          <w:p w14:paraId="70A65550" w14:textId="532936C7" w:rsidR="00682BB9" w:rsidRPr="009B546D" w:rsidRDefault="008D0BB8" w:rsidP="00F432B9">
            <w:pPr>
              <w:widowControl w:val="0"/>
              <w:spacing w:after="80"/>
              <w:jc w:val="right"/>
              <w:rPr>
                <w:rFonts w:cstheme="minorHAnsi"/>
                <w:szCs w:val="20"/>
              </w:rPr>
            </w:pPr>
            <w:r w:rsidRPr="009B546D">
              <w:rPr>
                <w:rFonts w:cstheme="minorHAnsi"/>
                <w:szCs w:val="20"/>
              </w:rPr>
              <w:t>5-13</w:t>
            </w:r>
          </w:p>
        </w:tc>
        <w:tc>
          <w:tcPr>
            <w:tcW w:w="1706" w:type="dxa"/>
            <w:gridSpan w:val="2"/>
          </w:tcPr>
          <w:p w14:paraId="20984052" w14:textId="46095FA0" w:rsidR="00682BB9" w:rsidRPr="009B546D" w:rsidRDefault="00682BB9" w:rsidP="00F432B9">
            <w:pPr>
              <w:widowControl w:val="0"/>
              <w:spacing w:after="80"/>
              <w:jc w:val="right"/>
              <w:rPr>
                <w:rFonts w:cstheme="minorHAnsi"/>
                <w:szCs w:val="20"/>
              </w:rPr>
            </w:pPr>
          </w:p>
        </w:tc>
      </w:tr>
      <w:tr w:rsidR="00682BB9" w:rsidRPr="009B546D" w14:paraId="33BB4A64" w14:textId="77777777" w:rsidTr="00190350">
        <w:trPr>
          <w:gridAfter w:val="2"/>
          <w:wAfter w:w="1699" w:type="dxa"/>
        </w:trPr>
        <w:tc>
          <w:tcPr>
            <w:tcW w:w="4531" w:type="dxa"/>
            <w:gridSpan w:val="2"/>
          </w:tcPr>
          <w:p w14:paraId="77238FFF" w14:textId="77777777" w:rsidR="00682BB9" w:rsidRPr="009B546D" w:rsidRDefault="00682BB9" w:rsidP="00496B89">
            <w:pPr>
              <w:widowControl w:val="0"/>
              <w:spacing w:after="80"/>
              <w:rPr>
                <w:rFonts w:cstheme="minorHAnsi"/>
                <w:bCs/>
                <w:szCs w:val="20"/>
              </w:rPr>
            </w:pPr>
            <w:r w:rsidRPr="009B546D">
              <w:rPr>
                <w:rFonts w:cstheme="minorHAnsi"/>
                <w:bCs/>
                <w:szCs w:val="20"/>
              </w:rPr>
              <w:t>Related party transactions</w:t>
            </w:r>
          </w:p>
        </w:tc>
        <w:tc>
          <w:tcPr>
            <w:tcW w:w="2840" w:type="dxa"/>
          </w:tcPr>
          <w:p w14:paraId="2A583036" w14:textId="77777777" w:rsidR="00682BB9" w:rsidRPr="009B546D" w:rsidRDefault="00682BB9" w:rsidP="00F432B9">
            <w:pPr>
              <w:widowControl w:val="0"/>
              <w:spacing w:after="80"/>
              <w:jc w:val="right"/>
              <w:rPr>
                <w:rFonts w:cstheme="minorHAnsi"/>
                <w:szCs w:val="20"/>
              </w:rPr>
            </w:pPr>
            <w:r w:rsidRPr="009B546D">
              <w:rPr>
                <w:rFonts w:cstheme="minorHAnsi"/>
                <w:szCs w:val="20"/>
              </w:rPr>
              <w:t>Interim Report April 2018</w:t>
            </w:r>
          </w:p>
        </w:tc>
        <w:tc>
          <w:tcPr>
            <w:tcW w:w="1134" w:type="dxa"/>
          </w:tcPr>
          <w:p w14:paraId="75AC2D3B" w14:textId="74FC5959" w:rsidR="00682BB9" w:rsidRPr="009B546D" w:rsidRDefault="008D0BB8" w:rsidP="00F432B9">
            <w:pPr>
              <w:widowControl w:val="0"/>
              <w:spacing w:after="80"/>
              <w:jc w:val="right"/>
              <w:rPr>
                <w:rFonts w:cstheme="minorHAnsi"/>
                <w:szCs w:val="20"/>
              </w:rPr>
            </w:pPr>
            <w:r w:rsidRPr="009B546D">
              <w:rPr>
                <w:rFonts w:cstheme="minorHAnsi"/>
                <w:szCs w:val="20"/>
              </w:rPr>
              <w:t>13</w:t>
            </w:r>
          </w:p>
        </w:tc>
        <w:tc>
          <w:tcPr>
            <w:tcW w:w="1706" w:type="dxa"/>
            <w:gridSpan w:val="2"/>
          </w:tcPr>
          <w:p w14:paraId="14D163D4" w14:textId="766401F6" w:rsidR="00682BB9" w:rsidRPr="009B546D" w:rsidRDefault="00682BB9" w:rsidP="00F432B9">
            <w:pPr>
              <w:widowControl w:val="0"/>
              <w:spacing w:after="80"/>
              <w:jc w:val="right"/>
              <w:rPr>
                <w:rFonts w:cstheme="minorHAnsi"/>
                <w:szCs w:val="20"/>
              </w:rPr>
            </w:pPr>
          </w:p>
        </w:tc>
      </w:tr>
      <w:tr w:rsidR="00682BB9" w:rsidRPr="009B546D" w14:paraId="5F049B5E" w14:textId="77777777" w:rsidTr="00190350">
        <w:trPr>
          <w:gridAfter w:val="2"/>
          <w:wAfter w:w="1699" w:type="dxa"/>
        </w:trPr>
        <w:tc>
          <w:tcPr>
            <w:tcW w:w="4531" w:type="dxa"/>
            <w:gridSpan w:val="2"/>
          </w:tcPr>
          <w:p w14:paraId="3321A609" w14:textId="77777777" w:rsidR="00682BB9" w:rsidRPr="009B546D" w:rsidRDefault="00682BB9" w:rsidP="00496B89">
            <w:pPr>
              <w:widowControl w:val="0"/>
              <w:spacing w:after="80"/>
              <w:rPr>
                <w:rFonts w:cstheme="minorHAnsi"/>
                <w:b/>
                <w:szCs w:val="20"/>
              </w:rPr>
            </w:pPr>
            <w:r w:rsidRPr="009B546D">
              <w:rPr>
                <w:rFonts w:cstheme="minorHAnsi"/>
                <w:b/>
                <w:szCs w:val="20"/>
              </w:rPr>
              <w:t>Memorandum and Articles of Association</w:t>
            </w:r>
          </w:p>
        </w:tc>
        <w:tc>
          <w:tcPr>
            <w:tcW w:w="2840" w:type="dxa"/>
          </w:tcPr>
          <w:p w14:paraId="2CEB7A97" w14:textId="77777777" w:rsidR="00682BB9" w:rsidRPr="009B546D" w:rsidRDefault="00682BB9" w:rsidP="00F432B9">
            <w:pPr>
              <w:widowControl w:val="0"/>
              <w:spacing w:after="80"/>
              <w:jc w:val="right"/>
              <w:rPr>
                <w:rFonts w:cstheme="minorHAnsi"/>
                <w:szCs w:val="20"/>
              </w:rPr>
            </w:pPr>
            <w:r w:rsidRPr="009B546D">
              <w:rPr>
                <w:rFonts w:cstheme="minorHAnsi"/>
                <w:szCs w:val="20"/>
              </w:rPr>
              <w:t>Articles of Association of AIQ</w:t>
            </w:r>
          </w:p>
        </w:tc>
        <w:tc>
          <w:tcPr>
            <w:tcW w:w="1706" w:type="dxa"/>
            <w:gridSpan w:val="2"/>
          </w:tcPr>
          <w:p w14:paraId="1E7DD84F" w14:textId="77777777" w:rsidR="00682BB9" w:rsidRPr="009B546D" w:rsidRDefault="00682BB9" w:rsidP="00F432B9">
            <w:pPr>
              <w:widowControl w:val="0"/>
              <w:spacing w:after="80"/>
              <w:jc w:val="right"/>
              <w:rPr>
                <w:rFonts w:cstheme="minorHAnsi"/>
                <w:szCs w:val="20"/>
              </w:rPr>
            </w:pPr>
          </w:p>
        </w:tc>
        <w:tc>
          <w:tcPr>
            <w:tcW w:w="1134" w:type="dxa"/>
          </w:tcPr>
          <w:p w14:paraId="2F8223AE" w14:textId="71DBF61E" w:rsidR="00682BB9" w:rsidRPr="009B546D" w:rsidRDefault="00682BB9" w:rsidP="00F432B9">
            <w:pPr>
              <w:widowControl w:val="0"/>
              <w:spacing w:after="80"/>
              <w:jc w:val="right"/>
              <w:rPr>
                <w:rFonts w:cstheme="minorHAnsi"/>
                <w:szCs w:val="20"/>
              </w:rPr>
            </w:pPr>
          </w:p>
        </w:tc>
      </w:tr>
      <w:tr w:rsidR="00682BB9" w:rsidRPr="009B546D" w14:paraId="52A59AF4" w14:textId="77777777" w:rsidTr="00190350">
        <w:trPr>
          <w:gridAfter w:val="2"/>
          <w:wAfter w:w="1699" w:type="dxa"/>
        </w:trPr>
        <w:tc>
          <w:tcPr>
            <w:tcW w:w="4531" w:type="dxa"/>
            <w:gridSpan w:val="2"/>
          </w:tcPr>
          <w:p w14:paraId="3699A77E" w14:textId="3566E48B" w:rsidR="00682BB9" w:rsidRPr="009B546D" w:rsidRDefault="00682BB9" w:rsidP="00496B89">
            <w:pPr>
              <w:widowControl w:val="0"/>
              <w:spacing w:after="80"/>
              <w:rPr>
                <w:rFonts w:cstheme="minorHAnsi"/>
                <w:b/>
                <w:szCs w:val="20"/>
              </w:rPr>
            </w:pPr>
            <w:r w:rsidRPr="009B546D">
              <w:rPr>
                <w:rFonts w:cstheme="minorHAnsi"/>
                <w:b/>
                <w:szCs w:val="20"/>
              </w:rPr>
              <w:t>Open Offer Circular</w:t>
            </w:r>
          </w:p>
        </w:tc>
        <w:tc>
          <w:tcPr>
            <w:tcW w:w="2840" w:type="dxa"/>
          </w:tcPr>
          <w:p w14:paraId="3FBB68F0" w14:textId="3AFE0745" w:rsidR="00682BB9" w:rsidRPr="009B546D" w:rsidRDefault="00682BB9" w:rsidP="00F432B9">
            <w:pPr>
              <w:widowControl w:val="0"/>
              <w:spacing w:after="80"/>
              <w:jc w:val="right"/>
              <w:rPr>
                <w:rFonts w:cstheme="minorHAnsi"/>
                <w:szCs w:val="20"/>
              </w:rPr>
            </w:pPr>
            <w:r w:rsidRPr="009B546D">
              <w:rPr>
                <w:rFonts w:cstheme="minorHAnsi"/>
                <w:szCs w:val="20"/>
              </w:rPr>
              <w:t>Open Offer Circular of AIQ</w:t>
            </w:r>
          </w:p>
        </w:tc>
        <w:tc>
          <w:tcPr>
            <w:tcW w:w="1706" w:type="dxa"/>
            <w:gridSpan w:val="2"/>
          </w:tcPr>
          <w:p w14:paraId="13B582B3" w14:textId="77777777" w:rsidR="00682BB9" w:rsidRPr="009B546D" w:rsidRDefault="00682BB9" w:rsidP="00F432B9">
            <w:pPr>
              <w:widowControl w:val="0"/>
              <w:spacing w:after="80"/>
              <w:jc w:val="right"/>
              <w:rPr>
                <w:rFonts w:cstheme="minorHAnsi"/>
                <w:szCs w:val="20"/>
              </w:rPr>
            </w:pPr>
          </w:p>
        </w:tc>
        <w:tc>
          <w:tcPr>
            <w:tcW w:w="1134" w:type="dxa"/>
          </w:tcPr>
          <w:p w14:paraId="3563D9C1" w14:textId="77777777" w:rsidR="00682BB9" w:rsidRPr="009B546D" w:rsidRDefault="00682BB9" w:rsidP="00F432B9">
            <w:pPr>
              <w:widowControl w:val="0"/>
              <w:spacing w:after="80"/>
              <w:jc w:val="right"/>
              <w:rPr>
                <w:rFonts w:cstheme="minorHAnsi"/>
                <w:szCs w:val="20"/>
              </w:rPr>
            </w:pPr>
          </w:p>
        </w:tc>
      </w:tr>
      <w:tr w:rsidR="00682BB9" w:rsidRPr="009B546D" w14:paraId="7738168A" w14:textId="77777777" w:rsidTr="00190350">
        <w:trPr>
          <w:gridAfter w:val="2"/>
          <w:wAfter w:w="1699" w:type="dxa"/>
        </w:trPr>
        <w:tc>
          <w:tcPr>
            <w:tcW w:w="4531" w:type="dxa"/>
            <w:gridSpan w:val="2"/>
          </w:tcPr>
          <w:p w14:paraId="4EC95F81" w14:textId="43D003AF" w:rsidR="00682BB9" w:rsidRPr="009B546D" w:rsidRDefault="00682BB9" w:rsidP="00496B89">
            <w:pPr>
              <w:widowControl w:val="0"/>
              <w:spacing w:after="80"/>
              <w:rPr>
                <w:rFonts w:cstheme="minorHAnsi"/>
                <w:b/>
                <w:szCs w:val="20"/>
              </w:rPr>
            </w:pPr>
            <w:r w:rsidRPr="009B546D">
              <w:rPr>
                <w:rFonts w:cstheme="minorHAnsi"/>
                <w:b/>
                <w:szCs w:val="20"/>
              </w:rPr>
              <w:lastRenderedPageBreak/>
              <w:t>The City Code, squeeze-out and sell-out</w:t>
            </w:r>
          </w:p>
        </w:tc>
        <w:tc>
          <w:tcPr>
            <w:tcW w:w="2840" w:type="dxa"/>
          </w:tcPr>
          <w:p w14:paraId="1E61C975" w14:textId="77777777" w:rsidR="00682BB9" w:rsidRPr="009B546D" w:rsidRDefault="00682BB9" w:rsidP="00F432B9">
            <w:pPr>
              <w:widowControl w:val="0"/>
              <w:spacing w:after="80"/>
              <w:jc w:val="right"/>
              <w:rPr>
                <w:rFonts w:cstheme="minorHAnsi"/>
                <w:szCs w:val="20"/>
              </w:rPr>
            </w:pPr>
            <w:r w:rsidRPr="009B546D">
              <w:rPr>
                <w:rFonts w:cstheme="minorHAnsi"/>
                <w:szCs w:val="20"/>
              </w:rPr>
              <w:t>Listing Prospectus of AIQ 2018</w:t>
            </w:r>
          </w:p>
        </w:tc>
        <w:tc>
          <w:tcPr>
            <w:tcW w:w="1706" w:type="dxa"/>
            <w:gridSpan w:val="2"/>
          </w:tcPr>
          <w:p w14:paraId="2461BF83" w14:textId="77777777" w:rsidR="00682BB9" w:rsidRPr="009B546D" w:rsidRDefault="00682BB9" w:rsidP="00F432B9">
            <w:pPr>
              <w:widowControl w:val="0"/>
              <w:spacing w:after="80"/>
              <w:jc w:val="right"/>
              <w:rPr>
                <w:rFonts w:cstheme="minorHAnsi"/>
                <w:szCs w:val="20"/>
              </w:rPr>
            </w:pPr>
          </w:p>
        </w:tc>
        <w:tc>
          <w:tcPr>
            <w:tcW w:w="1134" w:type="dxa"/>
          </w:tcPr>
          <w:p w14:paraId="4F84C871" w14:textId="52FF3A05" w:rsidR="00682BB9" w:rsidRPr="009B546D" w:rsidRDefault="00682BB9" w:rsidP="00F432B9">
            <w:pPr>
              <w:widowControl w:val="0"/>
              <w:spacing w:after="80"/>
              <w:jc w:val="right"/>
              <w:rPr>
                <w:rFonts w:cstheme="minorHAnsi"/>
                <w:szCs w:val="20"/>
              </w:rPr>
            </w:pPr>
          </w:p>
        </w:tc>
      </w:tr>
      <w:tr w:rsidR="00682BB9" w:rsidRPr="009B546D" w14:paraId="1D3BFDAE" w14:textId="77777777" w:rsidTr="00190350">
        <w:trPr>
          <w:gridAfter w:val="2"/>
          <w:wAfter w:w="1699" w:type="dxa"/>
        </w:trPr>
        <w:tc>
          <w:tcPr>
            <w:tcW w:w="4531" w:type="dxa"/>
            <w:gridSpan w:val="2"/>
          </w:tcPr>
          <w:p w14:paraId="3DC5A465" w14:textId="77777777" w:rsidR="00682BB9" w:rsidRPr="009B546D" w:rsidRDefault="00682BB9" w:rsidP="00496B89">
            <w:pPr>
              <w:widowControl w:val="0"/>
              <w:spacing w:after="80"/>
              <w:rPr>
                <w:rFonts w:cstheme="minorHAnsi"/>
                <w:b/>
                <w:szCs w:val="20"/>
              </w:rPr>
            </w:pPr>
            <w:r w:rsidRPr="009B546D">
              <w:rPr>
                <w:rFonts w:cstheme="minorHAnsi"/>
                <w:b/>
                <w:szCs w:val="20"/>
              </w:rPr>
              <w:t>Material Contracts</w:t>
            </w:r>
          </w:p>
        </w:tc>
        <w:tc>
          <w:tcPr>
            <w:tcW w:w="2840" w:type="dxa"/>
          </w:tcPr>
          <w:p w14:paraId="62407EB2" w14:textId="77777777" w:rsidR="00682BB9" w:rsidRPr="009B546D" w:rsidRDefault="00682BB9" w:rsidP="00F432B9">
            <w:pPr>
              <w:widowControl w:val="0"/>
              <w:spacing w:after="80"/>
              <w:jc w:val="right"/>
              <w:rPr>
                <w:rFonts w:cstheme="minorHAnsi"/>
                <w:szCs w:val="20"/>
              </w:rPr>
            </w:pPr>
            <w:r w:rsidRPr="009B546D">
              <w:rPr>
                <w:rFonts w:cstheme="minorHAnsi"/>
                <w:szCs w:val="20"/>
              </w:rPr>
              <w:t>Listing Prospectus of AIQ 2018</w:t>
            </w:r>
          </w:p>
        </w:tc>
        <w:tc>
          <w:tcPr>
            <w:tcW w:w="1706" w:type="dxa"/>
            <w:gridSpan w:val="2"/>
          </w:tcPr>
          <w:p w14:paraId="05A0FBA4" w14:textId="77777777" w:rsidR="00682BB9" w:rsidRPr="009B546D" w:rsidRDefault="00682BB9" w:rsidP="00F432B9">
            <w:pPr>
              <w:widowControl w:val="0"/>
              <w:spacing w:after="80"/>
              <w:jc w:val="right"/>
              <w:rPr>
                <w:rFonts w:cstheme="minorHAnsi"/>
                <w:szCs w:val="20"/>
              </w:rPr>
            </w:pPr>
          </w:p>
        </w:tc>
        <w:tc>
          <w:tcPr>
            <w:tcW w:w="1134" w:type="dxa"/>
          </w:tcPr>
          <w:p w14:paraId="43814F51" w14:textId="1FA7DB9E" w:rsidR="00682BB9" w:rsidRPr="009B546D" w:rsidRDefault="00682BB9" w:rsidP="00F432B9">
            <w:pPr>
              <w:widowControl w:val="0"/>
              <w:spacing w:after="80"/>
              <w:jc w:val="right"/>
              <w:rPr>
                <w:rFonts w:cstheme="minorHAnsi"/>
                <w:szCs w:val="20"/>
              </w:rPr>
            </w:pPr>
          </w:p>
        </w:tc>
      </w:tr>
    </w:tbl>
    <w:p w14:paraId="7AA51614" w14:textId="77777777" w:rsidR="00682BB9" w:rsidRPr="009B546D" w:rsidRDefault="00D90E1F" w:rsidP="00F432B9">
      <w:pPr>
        <w:widowControl w:val="0"/>
        <w:spacing w:before="160" w:line="240" w:lineRule="auto"/>
        <w:rPr>
          <w:rFonts w:cstheme="minorHAnsi"/>
          <w:szCs w:val="20"/>
        </w:rPr>
      </w:pPr>
      <w:r w:rsidRPr="009B546D">
        <w:rPr>
          <w:rFonts w:cstheme="minorHAnsi"/>
          <w:szCs w:val="20"/>
        </w:rPr>
        <w:t>The documents incorporated by reference in this Prospectus shall not include any documents which are themselves incorporated by reference in such incorporated documents (“</w:t>
      </w:r>
      <w:r w:rsidRPr="00EA2BB6">
        <w:rPr>
          <w:rFonts w:cstheme="minorHAnsi"/>
          <w:b/>
          <w:bCs/>
          <w:szCs w:val="20"/>
        </w:rPr>
        <w:t>daisy chained</w:t>
      </w:r>
      <w:r w:rsidRPr="009B546D">
        <w:rPr>
          <w:rFonts w:cstheme="minorHAnsi"/>
          <w:szCs w:val="20"/>
        </w:rPr>
        <w:t>” documents). Such daisy chained documents shall not form part of this</w:t>
      </w:r>
      <w:r w:rsidR="0084229E" w:rsidRPr="009B546D">
        <w:rPr>
          <w:rFonts w:cstheme="minorHAnsi"/>
          <w:szCs w:val="20"/>
        </w:rPr>
        <w:t xml:space="preserve"> </w:t>
      </w:r>
      <w:r w:rsidRPr="009B546D">
        <w:rPr>
          <w:rFonts w:cstheme="minorHAnsi"/>
          <w:szCs w:val="20"/>
        </w:rPr>
        <w:t xml:space="preserve">Prospectus. Where only part of the documents listed above have been incorporated by reference, only information expressly incorporated by reference herein shall form part of this </w:t>
      </w:r>
      <w:r w:rsidR="00EF134D" w:rsidRPr="009B546D">
        <w:rPr>
          <w:rFonts w:cstheme="minorHAnsi"/>
          <w:szCs w:val="20"/>
        </w:rPr>
        <w:t>Prospectus</w:t>
      </w:r>
      <w:r w:rsidRPr="009B546D">
        <w:rPr>
          <w:rFonts w:cstheme="minorHAnsi"/>
          <w:szCs w:val="20"/>
        </w:rPr>
        <w:t xml:space="preserve"> and the non-incorporated are either not relevant for the investor or covered elsewhere in the </w:t>
      </w:r>
      <w:r w:rsidR="0077279D" w:rsidRPr="009B546D">
        <w:rPr>
          <w:rFonts w:cstheme="minorHAnsi"/>
          <w:szCs w:val="20"/>
        </w:rPr>
        <w:t>Prospectus</w:t>
      </w:r>
      <w:r w:rsidRPr="009B546D">
        <w:rPr>
          <w:rFonts w:cstheme="minorHAnsi"/>
          <w:szCs w:val="20"/>
        </w:rPr>
        <w:t>.</w:t>
      </w:r>
    </w:p>
    <w:p w14:paraId="217FBE00" w14:textId="3E69C486" w:rsidR="00D90E1F" w:rsidRPr="009B546D" w:rsidRDefault="00D90E1F" w:rsidP="00F432B9">
      <w:pPr>
        <w:widowControl w:val="0"/>
        <w:spacing w:before="160" w:line="240" w:lineRule="auto"/>
        <w:rPr>
          <w:rFonts w:cstheme="minorHAnsi"/>
          <w:szCs w:val="20"/>
        </w:rPr>
      </w:pPr>
      <w:r w:rsidRPr="009B546D">
        <w:rPr>
          <w:rFonts w:cstheme="minorHAnsi"/>
          <w:szCs w:val="20"/>
        </w:rPr>
        <w:br w:type="page"/>
      </w:r>
    </w:p>
    <w:p w14:paraId="3CA8CBE9" w14:textId="77777777" w:rsidR="00D90E1F" w:rsidRPr="009B546D" w:rsidRDefault="00D90E1F" w:rsidP="00F432B9">
      <w:pPr>
        <w:pStyle w:val="Heading1"/>
        <w:keepNext w:val="0"/>
        <w:widowControl w:val="0"/>
        <w:spacing w:line="240" w:lineRule="auto"/>
        <w:jc w:val="center"/>
        <w:rPr>
          <w:rFonts w:asciiTheme="minorHAnsi" w:hAnsiTheme="minorHAnsi" w:cstheme="minorHAnsi"/>
          <w:sz w:val="20"/>
          <w:szCs w:val="20"/>
        </w:rPr>
      </w:pPr>
      <w:bookmarkStart w:id="15" w:name="_Toc35456734"/>
      <w:r w:rsidRPr="009B546D">
        <w:rPr>
          <w:rFonts w:asciiTheme="minorHAnsi" w:hAnsiTheme="minorHAnsi" w:cstheme="minorHAnsi"/>
          <w:sz w:val="20"/>
          <w:szCs w:val="20"/>
        </w:rPr>
        <w:lastRenderedPageBreak/>
        <w:t>Part V</w:t>
      </w:r>
      <w:r w:rsidRPr="009B546D">
        <w:rPr>
          <w:rFonts w:asciiTheme="minorHAnsi" w:hAnsiTheme="minorHAnsi" w:cstheme="minorHAnsi"/>
          <w:sz w:val="20"/>
          <w:szCs w:val="20"/>
        </w:rPr>
        <w:br/>
        <w:t xml:space="preserve">Expected Timetable of Principal Events, Re-Admission Statistics </w:t>
      </w:r>
      <w:r w:rsidRPr="009B546D">
        <w:rPr>
          <w:rFonts w:asciiTheme="minorHAnsi" w:hAnsiTheme="minorHAnsi" w:cstheme="minorHAnsi"/>
          <w:sz w:val="20"/>
          <w:szCs w:val="20"/>
        </w:rPr>
        <w:br/>
        <w:t>and Dealing Codes</w:t>
      </w:r>
      <w:bookmarkEnd w:id="15"/>
    </w:p>
    <w:p w14:paraId="32A36F2E" w14:textId="77777777" w:rsidR="00D90E1F" w:rsidRPr="009B546D" w:rsidRDefault="00D90E1F" w:rsidP="00F432B9">
      <w:pPr>
        <w:pStyle w:val="Heading2"/>
        <w:keepNext w:val="0"/>
        <w:widowControl w:val="0"/>
        <w:spacing w:before="160" w:after="160" w:line="240" w:lineRule="auto"/>
        <w:rPr>
          <w:rFonts w:asciiTheme="minorHAnsi" w:hAnsiTheme="minorHAnsi" w:cstheme="minorHAnsi"/>
          <w:szCs w:val="20"/>
        </w:rPr>
      </w:pPr>
      <w:r w:rsidRPr="009B546D">
        <w:rPr>
          <w:rFonts w:asciiTheme="minorHAnsi" w:hAnsiTheme="minorHAnsi" w:cstheme="minorHAnsi"/>
          <w:szCs w:val="20"/>
        </w:rPr>
        <w:t>Expected timetable of principal events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552"/>
        <w:gridCol w:w="288"/>
      </w:tblGrid>
      <w:tr w:rsidR="00D90E1F" w:rsidRPr="009B546D" w14:paraId="4382C613" w14:textId="77777777" w:rsidTr="00EA2BB6">
        <w:trPr>
          <w:gridAfter w:val="1"/>
          <w:wAfter w:w="288" w:type="dxa"/>
        </w:trPr>
        <w:tc>
          <w:tcPr>
            <w:tcW w:w="6232" w:type="dxa"/>
          </w:tcPr>
          <w:p w14:paraId="42ED00C4" w14:textId="77777777" w:rsidR="00D90E1F" w:rsidRPr="009B546D" w:rsidRDefault="00D90E1F" w:rsidP="00496B89">
            <w:pPr>
              <w:widowControl w:val="0"/>
              <w:spacing w:after="80"/>
              <w:rPr>
                <w:rFonts w:cstheme="minorHAnsi"/>
                <w:szCs w:val="20"/>
              </w:rPr>
            </w:pPr>
          </w:p>
        </w:tc>
        <w:tc>
          <w:tcPr>
            <w:tcW w:w="2552" w:type="dxa"/>
          </w:tcPr>
          <w:p w14:paraId="19433CDE" w14:textId="2E56C85E" w:rsidR="00D90E1F" w:rsidRPr="009B546D" w:rsidRDefault="00D90E1F" w:rsidP="00F432B9">
            <w:pPr>
              <w:widowControl w:val="0"/>
              <w:spacing w:after="80"/>
              <w:jc w:val="right"/>
              <w:rPr>
                <w:rFonts w:cstheme="minorHAnsi"/>
                <w:b/>
                <w:bCs/>
                <w:szCs w:val="20"/>
              </w:rPr>
            </w:pPr>
          </w:p>
        </w:tc>
      </w:tr>
      <w:tr w:rsidR="00D90E1F" w:rsidRPr="009B546D" w14:paraId="4D14357F" w14:textId="77777777" w:rsidTr="00EA2BB6">
        <w:tc>
          <w:tcPr>
            <w:tcW w:w="6232" w:type="dxa"/>
          </w:tcPr>
          <w:p w14:paraId="0AF58DF0" w14:textId="77777777" w:rsidR="00D90E1F" w:rsidRPr="009B546D" w:rsidRDefault="00D90E1F" w:rsidP="00496B89">
            <w:pPr>
              <w:widowControl w:val="0"/>
              <w:spacing w:after="80"/>
              <w:rPr>
                <w:rFonts w:cstheme="minorHAnsi"/>
                <w:szCs w:val="20"/>
              </w:rPr>
            </w:pPr>
            <w:r w:rsidRPr="009B546D">
              <w:rPr>
                <w:rFonts w:cstheme="minorHAnsi"/>
                <w:szCs w:val="20"/>
              </w:rPr>
              <w:t>Publication of this Prospectus</w:t>
            </w:r>
          </w:p>
        </w:tc>
        <w:tc>
          <w:tcPr>
            <w:tcW w:w="2840" w:type="dxa"/>
            <w:gridSpan w:val="2"/>
          </w:tcPr>
          <w:p w14:paraId="0952EB29" w14:textId="52518242" w:rsidR="00D90E1F" w:rsidRPr="009B546D" w:rsidRDefault="00716FEE" w:rsidP="00F432B9">
            <w:pPr>
              <w:widowControl w:val="0"/>
              <w:spacing w:after="80"/>
              <w:jc w:val="right"/>
              <w:rPr>
                <w:rFonts w:cstheme="minorHAnsi"/>
                <w:szCs w:val="20"/>
              </w:rPr>
            </w:pPr>
            <w:r>
              <w:rPr>
                <w:rFonts w:cstheme="minorHAnsi"/>
                <w:szCs w:val="20"/>
              </w:rPr>
              <w:t>20</w:t>
            </w:r>
            <w:r w:rsidR="00580E69" w:rsidRPr="009B546D">
              <w:rPr>
                <w:rFonts w:cstheme="minorHAnsi"/>
                <w:szCs w:val="20"/>
              </w:rPr>
              <w:t xml:space="preserve"> </w:t>
            </w:r>
            <w:r w:rsidR="00AC4951" w:rsidRPr="009B546D">
              <w:rPr>
                <w:rFonts w:cstheme="minorHAnsi"/>
                <w:szCs w:val="20"/>
              </w:rPr>
              <w:t xml:space="preserve">March </w:t>
            </w:r>
            <w:r w:rsidR="00F54D9C" w:rsidRPr="009B546D">
              <w:rPr>
                <w:rFonts w:cstheme="minorHAnsi"/>
                <w:szCs w:val="20"/>
              </w:rPr>
              <w:t>2020</w:t>
            </w:r>
          </w:p>
        </w:tc>
      </w:tr>
      <w:tr w:rsidR="00D90E1F" w:rsidRPr="009B546D" w14:paraId="67ADB362" w14:textId="77777777" w:rsidTr="00EA2BB6">
        <w:tc>
          <w:tcPr>
            <w:tcW w:w="6232" w:type="dxa"/>
          </w:tcPr>
          <w:p w14:paraId="1B552C6B" w14:textId="36EEE425" w:rsidR="00D90E1F" w:rsidRPr="009B546D" w:rsidRDefault="00D90E1F" w:rsidP="00496B89">
            <w:pPr>
              <w:widowControl w:val="0"/>
              <w:spacing w:after="80"/>
              <w:rPr>
                <w:rFonts w:cstheme="minorHAnsi"/>
                <w:szCs w:val="20"/>
              </w:rPr>
            </w:pPr>
            <w:r w:rsidRPr="009B546D">
              <w:rPr>
                <w:rFonts w:cstheme="minorHAnsi"/>
                <w:szCs w:val="20"/>
              </w:rPr>
              <w:t xml:space="preserve">Completion of the </w:t>
            </w:r>
            <w:r w:rsidR="00311CE2" w:rsidRPr="009B546D">
              <w:rPr>
                <w:rFonts w:cstheme="minorHAnsi"/>
                <w:szCs w:val="20"/>
              </w:rPr>
              <w:t xml:space="preserve">Proposed </w:t>
            </w:r>
            <w:r w:rsidRPr="009B546D">
              <w:rPr>
                <w:rFonts w:cstheme="minorHAnsi"/>
                <w:szCs w:val="20"/>
              </w:rPr>
              <w:t>Acquisition</w:t>
            </w:r>
          </w:p>
        </w:tc>
        <w:tc>
          <w:tcPr>
            <w:tcW w:w="2840" w:type="dxa"/>
            <w:gridSpan w:val="2"/>
          </w:tcPr>
          <w:p w14:paraId="2D95D233" w14:textId="1BFEFC17" w:rsidR="00D90E1F" w:rsidRPr="009B546D" w:rsidRDefault="00716FEE" w:rsidP="00F432B9">
            <w:pPr>
              <w:widowControl w:val="0"/>
              <w:spacing w:after="80"/>
              <w:jc w:val="right"/>
              <w:rPr>
                <w:rFonts w:cstheme="minorHAnsi"/>
                <w:szCs w:val="20"/>
              </w:rPr>
            </w:pPr>
            <w:r>
              <w:rPr>
                <w:rFonts w:cstheme="minorHAnsi"/>
                <w:szCs w:val="20"/>
              </w:rPr>
              <w:t>26</w:t>
            </w:r>
            <w:r w:rsidR="00580E69" w:rsidRPr="009B546D">
              <w:rPr>
                <w:rFonts w:cstheme="minorHAnsi"/>
                <w:szCs w:val="20"/>
              </w:rPr>
              <w:t xml:space="preserve"> </w:t>
            </w:r>
            <w:r w:rsidR="00AC4951" w:rsidRPr="009B546D">
              <w:rPr>
                <w:rFonts w:cstheme="minorHAnsi"/>
                <w:szCs w:val="20"/>
              </w:rPr>
              <w:t xml:space="preserve">March </w:t>
            </w:r>
            <w:r w:rsidR="00F54D9C" w:rsidRPr="009B546D">
              <w:rPr>
                <w:rFonts w:cstheme="minorHAnsi"/>
                <w:szCs w:val="20"/>
              </w:rPr>
              <w:t>2020</w:t>
            </w:r>
          </w:p>
        </w:tc>
      </w:tr>
      <w:tr w:rsidR="00D90E1F" w:rsidRPr="009B546D" w14:paraId="131DDCAA" w14:textId="77777777" w:rsidTr="00EA2BB6">
        <w:tc>
          <w:tcPr>
            <w:tcW w:w="6232" w:type="dxa"/>
          </w:tcPr>
          <w:p w14:paraId="0DC7B409" w14:textId="77777777" w:rsidR="00D90E1F" w:rsidRPr="009B546D" w:rsidRDefault="00D90E1F" w:rsidP="00496B89">
            <w:pPr>
              <w:widowControl w:val="0"/>
              <w:spacing w:after="80"/>
              <w:rPr>
                <w:rFonts w:cstheme="minorHAnsi"/>
                <w:szCs w:val="20"/>
              </w:rPr>
            </w:pPr>
            <w:r w:rsidRPr="009B546D">
              <w:rPr>
                <w:rFonts w:cstheme="minorHAnsi"/>
                <w:szCs w:val="20"/>
              </w:rPr>
              <w:t>Cancellation of trading of Existing Ordinary Shares</w:t>
            </w:r>
          </w:p>
        </w:tc>
        <w:tc>
          <w:tcPr>
            <w:tcW w:w="2840" w:type="dxa"/>
            <w:gridSpan w:val="2"/>
          </w:tcPr>
          <w:p w14:paraId="4152734B" w14:textId="2019B73A" w:rsidR="00D90E1F" w:rsidRPr="009B546D" w:rsidRDefault="00D90E1F" w:rsidP="00F432B9">
            <w:pPr>
              <w:widowControl w:val="0"/>
              <w:spacing w:after="80"/>
              <w:jc w:val="right"/>
              <w:rPr>
                <w:rFonts w:cstheme="minorHAnsi"/>
                <w:szCs w:val="20"/>
              </w:rPr>
            </w:pPr>
            <w:r w:rsidRPr="009B546D">
              <w:rPr>
                <w:rFonts w:cstheme="minorHAnsi"/>
                <w:szCs w:val="20"/>
              </w:rPr>
              <w:t>7.30 a.m. on</w:t>
            </w:r>
            <w:r w:rsidR="00580E69" w:rsidRPr="009B546D">
              <w:rPr>
                <w:rFonts w:cstheme="minorHAnsi"/>
                <w:szCs w:val="20"/>
              </w:rPr>
              <w:t xml:space="preserve"> </w:t>
            </w:r>
            <w:r w:rsidR="00716FEE">
              <w:rPr>
                <w:rFonts w:cstheme="minorHAnsi"/>
                <w:szCs w:val="20"/>
              </w:rPr>
              <w:t>26</w:t>
            </w:r>
            <w:r w:rsidR="00580E69" w:rsidRPr="009B546D">
              <w:rPr>
                <w:rFonts w:cstheme="minorHAnsi"/>
                <w:szCs w:val="20"/>
              </w:rPr>
              <w:t xml:space="preserve"> </w:t>
            </w:r>
            <w:r w:rsidR="00AC4951" w:rsidRPr="009B546D">
              <w:rPr>
                <w:rFonts w:cstheme="minorHAnsi"/>
                <w:szCs w:val="20"/>
              </w:rPr>
              <w:t xml:space="preserve">March </w:t>
            </w:r>
            <w:r w:rsidR="00F54D9C" w:rsidRPr="009B546D">
              <w:rPr>
                <w:rFonts w:cstheme="minorHAnsi"/>
                <w:szCs w:val="20"/>
              </w:rPr>
              <w:t>2020</w:t>
            </w:r>
            <w:r w:rsidRPr="009B546D">
              <w:rPr>
                <w:rFonts w:cstheme="minorHAnsi"/>
                <w:szCs w:val="20"/>
              </w:rPr>
              <w:t xml:space="preserve"> </w:t>
            </w:r>
          </w:p>
        </w:tc>
      </w:tr>
      <w:tr w:rsidR="00D90E1F" w:rsidRPr="009B546D" w14:paraId="60BBCE53" w14:textId="77777777" w:rsidTr="00EA2BB6">
        <w:tc>
          <w:tcPr>
            <w:tcW w:w="6232" w:type="dxa"/>
          </w:tcPr>
          <w:p w14:paraId="7BA7261E" w14:textId="77777777" w:rsidR="00D90E1F" w:rsidRPr="009B546D" w:rsidRDefault="00D90E1F" w:rsidP="00496B89">
            <w:pPr>
              <w:widowControl w:val="0"/>
              <w:spacing w:after="80"/>
              <w:rPr>
                <w:rFonts w:cstheme="minorHAnsi"/>
                <w:szCs w:val="20"/>
              </w:rPr>
            </w:pPr>
            <w:r w:rsidRPr="009B546D">
              <w:rPr>
                <w:rFonts w:cstheme="minorHAnsi"/>
                <w:szCs w:val="20"/>
              </w:rPr>
              <w:t>Issue of Consideration Shares</w:t>
            </w:r>
          </w:p>
        </w:tc>
        <w:tc>
          <w:tcPr>
            <w:tcW w:w="2840" w:type="dxa"/>
            <w:gridSpan w:val="2"/>
          </w:tcPr>
          <w:p w14:paraId="566E4E39" w14:textId="159700BE" w:rsidR="00D90E1F" w:rsidRPr="009B546D" w:rsidRDefault="00580E69" w:rsidP="00F432B9">
            <w:pPr>
              <w:widowControl w:val="0"/>
              <w:spacing w:after="80"/>
              <w:jc w:val="right"/>
              <w:rPr>
                <w:rFonts w:cstheme="minorHAnsi"/>
                <w:szCs w:val="20"/>
              </w:rPr>
            </w:pPr>
            <w:r w:rsidRPr="009B546D">
              <w:rPr>
                <w:rFonts w:cstheme="minorHAnsi"/>
                <w:szCs w:val="20"/>
              </w:rPr>
              <w:t xml:space="preserve">7.30 a.m. on </w:t>
            </w:r>
            <w:r w:rsidR="00716FEE">
              <w:rPr>
                <w:rFonts w:cstheme="minorHAnsi"/>
                <w:szCs w:val="20"/>
              </w:rPr>
              <w:t>26</w:t>
            </w:r>
            <w:r w:rsidRPr="009B546D">
              <w:rPr>
                <w:rFonts w:cstheme="minorHAnsi"/>
                <w:szCs w:val="20"/>
              </w:rPr>
              <w:t xml:space="preserve"> </w:t>
            </w:r>
            <w:r w:rsidR="00AC4951" w:rsidRPr="009B546D">
              <w:rPr>
                <w:rFonts w:cstheme="minorHAnsi"/>
                <w:szCs w:val="20"/>
              </w:rPr>
              <w:t xml:space="preserve">March </w:t>
            </w:r>
            <w:r w:rsidR="00F54D9C" w:rsidRPr="009B546D">
              <w:rPr>
                <w:rFonts w:cstheme="minorHAnsi"/>
                <w:szCs w:val="20"/>
              </w:rPr>
              <w:t>2020</w:t>
            </w:r>
          </w:p>
        </w:tc>
      </w:tr>
      <w:tr w:rsidR="00D90E1F" w:rsidRPr="009B546D" w14:paraId="1BABF5DE" w14:textId="77777777" w:rsidTr="00EA2BB6">
        <w:tc>
          <w:tcPr>
            <w:tcW w:w="6232" w:type="dxa"/>
          </w:tcPr>
          <w:p w14:paraId="1FE73C64" w14:textId="77777777" w:rsidR="00D90E1F" w:rsidRPr="009B546D" w:rsidRDefault="00D90E1F" w:rsidP="00496B89">
            <w:pPr>
              <w:widowControl w:val="0"/>
              <w:spacing w:after="80"/>
              <w:rPr>
                <w:rFonts w:cstheme="minorHAnsi"/>
                <w:szCs w:val="20"/>
              </w:rPr>
            </w:pPr>
            <w:r w:rsidRPr="009B546D">
              <w:rPr>
                <w:rFonts w:cstheme="minorHAnsi"/>
                <w:szCs w:val="20"/>
              </w:rPr>
              <w:t>Re-Admission of the Enlarged Share Capital effective and commencement of dealing in Ordinary Shares</w:t>
            </w:r>
          </w:p>
        </w:tc>
        <w:tc>
          <w:tcPr>
            <w:tcW w:w="2840" w:type="dxa"/>
            <w:gridSpan w:val="2"/>
          </w:tcPr>
          <w:p w14:paraId="050493EF" w14:textId="5D04363D" w:rsidR="00D90E1F" w:rsidRPr="009B546D" w:rsidRDefault="00D90E1F" w:rsidP="00F432B9">
            <w:pPr>
              <w:widowControl w:val="0"/>
              <w:spacing w:after="80"/>
              <w:jc w:val="right"/>
              <w:rPr>
                <w:rFonts w:cstheme="minorHAnsi"/>
                <w:szCs w:val="20"/>
              </w:rPr>
            </w:pPr>
            <w:r w:rsidRPr="009B546D">
              <w:rPr>
                <w:rFonts w:cstheme="minorHAnsi"/>
                <w:szCs w:val="20"/>
              </w:rPr>
              <w:t xml:space="preserve">8.00 a.m. </w:t>
            </w:r>
            <w:r w:rsidR="00580E69" w:rsidRPr="009B546D">
              <w:rPr>
                <w:rFonts w:cstheme="minorHAnsi"/>
                <w:szCs w:val="20"/>
              </w:rPr>
              <w:t xml:space="preserve">on </w:t>
            </w:r>
            <w:r w:rsidR="00716FEE">
              <w:rPr>
                <w:rFonts w:cstheme="minorHAnsi"/>
                <w:szCs w:val="20"/>
              </w:rPr>
              <w:t>26</w:t>
            </w:r>
            <w:r w:rsidR="00580E69" w:rsidRPr="009B546D">
              <w:rPr>
                <w:rFonts w:cstheme="minorHAnsi"/>
                <w:szCs w:val="20"/>
              </w:rPr>
              <w:t xml:space="preserve"> </w:t>
            </w:r>
            <w:r w:rsidR="00AC4951" w:rsidRPr="009B546D">
              <w:rPr>
                <w:rFonts w:cstheme="minorHAnsi"/>
                <w:szCs w:val="20"/>
              </w:rPr>
              <w:t xml:space="preserve">March </w:t>
            </w:r>
            <w:r w:rsidR="00F54D9C" w:rsidRPr="009B546D">
              <w:rPr>
                <w:rFonts w:cstheme="minorHAnsi"/>
                <w:szCs w:val="20"/>
              </w:rPr>
              <w:t>2020</w:t>
            </w:r>
            <w:r w:rsidR="007D7B13" w:rsidRPr="009B546D">
              <w:rPr>
                <w:rFonts w:cstheme="minorHAnsi"/>
                <w:szCs w:val="20"/>
              </w:rPr>
              <w:t xml:space="preserve"> </w:t>
            </w:r>
          </w:p>
        </w:tc>
      </w:tr>
      <w:tr w:rsidR="00D90E1F" w:rsidRPr="009B546D" w14:paraId="0DDC28B3" w14:textId="77777777" w:rsidTr="00EA2BB6">
        <w:tc>
          <w:tcPr>
            <w:tcW w:w="6232" w:type="dxa"/>
          </w:tcPr>
          <w:p w14:paraId="2F040869" w14:textId="77777777" w:rsidR="00D90E1F" w:rsidRPr="009B546D" w:rsidRDefault="00D90E1F" w:rsidP="00496B89">
            <w:pPr>
              <w:widowControl w:val="0"/>
              <w:spacing w:after="80"/>
              <w:rPr>
                <w:rFonts w:cstheme="minorHAnsi"/>
                <w:szCs w:val="20"/>
              </w:rPr>
            </w:pPr>
            <w:r w:rsidRPr="009B546D">
              <w:rPr>
                <w:rFonts w:cstheme="minorHAnsi"/>
                <w:szCs w:val="20"/>
              </w:rPr>
              <w:t>Dispatch of definitive share certificates for Consideration Shares</w:t>
            </w:r>
          </w:p>
        </w:tc>
        <w:tc>
          <w:tcPr>
            <w:tcW w:w="2840" w:type="dxa"/>
            <w:gridSpan w:val="2"/>
          </w:tcPr>
          <w:p w14:paraId="48C377EA" w14:textId="05A1AB5D" w:rsidR="00D90E1F" w:rsidRPr="009B546D" w:rsidRDefault="00D90E1F" w:rsidP="00F432B9">
            <w:pPr>
              <w:widowControl w:val="0"/>
              <w:spacing w:after="80"/>
              <w:jc w:val="right"/>
              <w:rPr>
                <w:rFonts w:cstheme="minorHAnsi"/>
                <w:szCs w:val="20"/>
              </w:rPr>
            </w:pPr>
            <w:r w:rsidRPr="009B546D">
              <w:rPr>
                <w:rFonts w:cstheme="minorHAnsi"/>
                <w:szCs w:val="20"/>
              </w:rPr>
              <w:t xml:space="preserve">By </w:t>
            </w:r>
            <w:r w:rsidR="00716FEE">
              <w:rPr>
                <w:rFonts w:cstheme="minorHAnsi"/>
                <w:szCs w:val="20"/>
              </w:rPr>
              <w:t>1</w:t>
            </w:r>
            <w:r w:rsidR="00F47BAD" w:rsidRPr="009B546D">
              <w:rPr>
                <w:rFonts w:cstheme="minorHAnsi"/>
                <w:szCs w:val="20"/>
              </w:rPr>
              <w:t xml:space="preserve"> </w:t>
            </w:r>
            <w:r w:rsidR="00AC4951" w:rsidRPr="009B546D">
              <w:rPr>
                <w:rFonts w:cstheme="minorHAnsi"/>
                <w:szCs w:val="20"/>
              </w:rPr>
              <w:t>April 2020</w:t>
            </w:r>
          </w:p>
        </w:tc>
      </w:tr>
    </w:tbl>
    <w:p w14:paraId="52120297" w14:textId="77777777" w:rsidR="00D90E1F" w:rsidRPr="006470BC" w:rsidRDefault="00D90E1F" w:rsidP="00F432B9">
      <w:pPr>
        <w:widowControl w:val="0"/>
        <w:spacing w:before="160" w:line="240" w:lineRule="auto"/>
        <w:rPr>
          <w:rFonts w:cstheme="minorHAnsi"/>
          <w:sz w:val="16"/>
          <w:szCs w:val="16"/>
        </w:rPr>
      </w:pPr>
      <w:r w:rsidRPr="006470BC">
        <w:rPr>
          <w:rFonts w:cstheme="minorHAnsi"/>
          <w:sz w:val="16"/>
          <w:szCs w:val="16"/>
        </w:rPr>
        <w:t>Notes:</w:t>
      </w:r>
    </w:p>
    <w:p w14:paraId="17FA311A" w14:textId="5EAEA93C" w:rsidR="00D90E1F" w:rsidRPr="006470BC" w:rsidRDefault="00D90E1F" w:rsidP="00F432B9">
      <w:pPr>
        <w:widowControl w:val="0"/>
        <w:spacing w:line="240" w:lineRule="auto"/>
        <w:rPr>
          <w:rFonts w:cstheme="minorHAnsi"/>
          <w:sz w:val="16"/>
          <w:szCs w:val="16"/>
        </w:rPr>
      </w:pPr>
      <w:r w:rsidRPr="006470BC">
        <w:rPr>
          <w:rFonts w:cstheme="minorHAnsi"/>
          <w:sz w:val="16"/>
          <w:szCs w:val="16"/>
        </w:rPr>
        <w:t>All times shown in this Document are London GMT times unless otherwise state. The dates and times given are indicative only and are based on the Company’s current expectations and may be subject to change. If any of the times and/or dates above change</w:t>
      </w:r>
      <w:r w:rsidR="00F14AB3" w:rsidRPr="006470BC">
        <w:rPr>
          <w:rFonts w:cstheme="minorHAnsi"/>
          <w:sz w:val="16"/>
          <w:szCs w:val="16"/>
        </w:rPr>
        <w:t>,</w:t>
      </w:r>
      <w:r w:rsidRPr="006470BC">
        <w:rPr>
          <w:rFonts w:cstheme="minorHAnsi"/>
          <w:sz w:val="16"/>
          <w:szCs w:val="16"/>
        </w:rPr>
        <w:t xml:space="preserve"> the revised and/or dates will be notified to Shareholders by announcement through the Regulatory News Service of the London Stock Exchange.</w:t>
      </w:r>
    </w:p>
    <w:p w14:paraId="743A688A" w14:textId="77777777" w:rsidR="00D90E1F" w:rsidRPr="009B546D" w:rsidRDefault="00D90E1F" w:rsidP="00F432B9">
      <w:pPr>
        <w:pStyle w:val="Heading2"/>
        <w:keepNext w:val="0"/>
        <w:widowControl w:val="0"/>
        <w:spacing w:before="160" w:after="160" w:line="240" w:lineRule="auto"/>
        <w:rPr>
          <w:rFonts w:asciiTheme="minorHAnsi" w:hAnsiTheme="minorHAnsi" w:cstheme="minorHAnsi"/>
          <w:szCs w:val="20"/>
        </w:rPr>
      </w:pPr>
      <w:r w:rsidRPr="009B546D">
        <w:rPr>
          <w:rFonts w:asciiTheme="minorHAnsi" w:hAnsiTheme="minorHAnsi" w:cstheme="minorHAnsi"/>
          <w:szCs w:val="20"/>
        </w:rPr>
        <w:t>Re-Admission Statistics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98"/>
      </w:tblGrid>
      <w:tr w:rsidR="00D90E1F" w:rsidRPr="009B546D" w14:paraId="3FE77041" w14:textId="77777777" w:rsidTr="00EA2BB6">
        <w:tc>
          <w:tcPr>
            <w:tcW w:w="6374" w:type="dxa"/>
          </w:tcPr>
          <w:p w14:paraId="7FC97BE0" w14:textId="77777777" w:rsidR="00D90E1F" w:rsidRPr="009B546D" w:rsidRDefault="00D90E1F" w:rsidP="00496B89">
            <w:pPr>
              <w:widowControl w:val="0"/>
              <w:spacing w:after="80"/>
              <w:rPr>
                <w:rFonts w:cstheme="minorHAnsi"/>
                <w:szCs w:val="20"/>
              </w:rPr>
            </w:pPr>
            <w:r w:rsidRPr="009B546D">
              <w:rPr>
                <w:rFonts w:cstheme="minorHAnsi"/>
                <w:szCs w:val="20"/>
              </w:rPr>
              <w:t>Number of Ordinary Shares in issue as at the date of this Prospectus</w:t>
            </w:r>
          </w:p>
        </w:tc>
        <w:tc>
          <w:tcPr>
            <w:tcW w:w="2698" w:type="dxa"/>
          </w:tcPr>
          <w:p w14:paraId="6FA2496B" w14:textId="1B7C5A0A" w:rsidR="00D90E1F" w:rsidRPr="009B546D" w:rsidRDefault="004A2BC4" w:rsidP="00F432B9">
            <w:pPr>
              <w:widowControl w:val="0"/>
              <w:spacing w:after="80"/>
              <w:jc w:val="right"/>
              <w:rPr>
                <w:rFonts w:cstheme="minorHAnsi"/>
                <w:szCs w:val="20"/>
              </w:rPr>
            </w:pPr>
            <w:r w:rsidRPr="009B546D">
              <w:rPr>
                <w:rFonts w:cstheme="minorHAnsi"/>
                <w:szCs w:val="20"/>
              </w:rPr>
              <w:t>51,839,375</w:t>
            </w:r>
          </w:p>
        </w:tc>
      </w:tr>
      <w:tr w:rsidR="00D90E1F" w:rsidRPr="009B546D" w14:paraId="47FC9329" w14:textId="77777777" w:rsidTr="00EA2BB6">
        <w:tc>
          <w:tcPr>
            <w:tcW w:w="6374" w:type="dxa"/>
          </w:tcPr>
          <w:p w14:paraId="2CCA341F" w14:textId="03A4F0CE" w:rsidR="00D90E1F" w:rsidRPr="009B546D" w:rsidRDefault="00D90E1F" w:rsidP="00496B89">
            <w:pPr>
              <w:widowControl w:val="0"/>
              <w:spacing w:after="80"/>
              <w:rPr>
                <w:rFonts w:cstheme="minorHAnsi"/>
                <w:szCs w:val="20"/>
              </w:rPr>
            </w:pPr>
            <w:r w:rsidRPr="009B546D">
              <w:rPr>
                <w:rFonts w:cstheme="minorHAnsi"/>
                <w:szCs w:val="20"/>
              </w:rPr>
              <w:t>Number of Consideration Shares to be issued pursuant to the</w:t>
            </w:r>
            <w:r w:rsidR="00311CE2" w:rsidRPr="009B546D">
              <w:rPr>
                <w:rFonts w:cstheme="minorHAnsi"/>
                <w:szCs w:val="20"/>
              </w:rPr>
              <w:t xml:space="preserve"> Proposed</w:t>
            </w:r>
            <w:r w:rsidRPr="009B546D">
              <w:rPr>
                <w:rFonts w:cstheme="minorHAnsi"/>
                <w:szCs w:val="20"/>
              </w:rPr>
              <w:t xml:space="preserve"> Acquisition</w:t>
            </w:r>
          </w:p>
        </w:tc>
        <w:tc>
          <w:tcPr>
            <w:tcW w:w="2698" w:type="dxa"/>
          </w:tcPr>
          <w:p w14:paraId="643E602D" w14:textId="2637C329" w:rsidR="00D90E1F" w:rsidRPr="009B546D" w:rsidRDefault="002A5530" w:rsidP="00F432B9">
            <w:pPr>
              <w:widowControl w:val="0"/>
              <w:spacing w:after="80"/>
              <w:jc w:val="right"/>
              <w:rPr>
                <w:rFonts w:cstheme="minorHAnsi"/>
                <w:szCs w:val="20"/>
              </w:rPr>
            </w:pPr>
            <w:r w:rsidRPr="009B546D">
              <w:rPr>
                <w:rFonts w:cstheme="minorHAnsi"/>
                <w:szCs w:val="20"/>
              </w:rPr>
              <w:t>12,921,</w:t>
            </w:r>
            <w:r w:rsidR="00865757">
              <w:rPr>
                <w:rFonts w:cstheme="minorHAnsi"/>
                <w:szCs w:val="20"/>
              </w:rPr>
              <w:t>34</w:t>
            </w:r>
            <w:r w:rsidR="00D60555">
              <w:rPr>
                <w:rFonts w:cstheme="minorHAnsi"/>
                <w:szCs w:val="20"/>
              </w:rPr>
              <w:t>6</w:t>
            </w:r>
          </w:p>
        </w:tc>
      </w:tr>
      <w:tr w:rsidR="00D90E1F" w:rsidRPr="009B546D" w14:paraId="6EE1DD88" w14:textId="77777777" w:rsidTr="00EA2BB6">
        <w:tc>
          <w:tcPr>
            <w:tcW w:w="6374" w:type="dxa"/>
          </w:tcPr>
          <w:p w14:paraId="3FA66C8D" w14:textId="77777777" w:rsidR="00D90E1F" w:rsidRPr="009B546D" w:rsidRDefault="00D90E1F" w:rsidP="00496B89">
            <w:pPr>
              <w:widowControl w:val="0"/>
              <w:spacing w:after="80"/>
              <w:rPr>
                <w:rFonts w:cstheme="minorHAnsi"/>
                <w:szCs w:val="20"/>
              </w:rPr>
            </w:pPr>
            <w:r w:rsidRPr="009B546D">
              <w:rPr>
                <w:rFonts w:cstheme="minorHAnsi"/>
                <w:szCs w:val="20"/>
              </w:rPr>
              <w:t>Number of Ordinary Shares in issue on Re-Admission</w:t>
            </w:r>
          </w:p>
        </w:tc>
        <w:tc>
          <w:tcPr>
            <w:tcW w:w="2698" w:type="dxa"/>
          </w:tcPr>
          <w:p w14:paraId="6E9F4333" w14:textId="6C51812A" w:rsidR="00D90E1F" w:rsidRPr="009B546D" w:rsidRDefault="00665948" w:rsidP="00F432B9">
            <w:pPr>
              <w:widowControl w:val="0"/>
              <w:spacing w:after="80"/>
              <w:jc w:val="right"/>
              <w:rPr>
                <w:rFonts w:cstheme="minorHAnsi"/>
                <w:szCs w:val="20"/>
              </w:rPr>
            </w:pPr>
            <w:r>
              <w:rPr>
                <w:rFonts w:cstheme="minorHAnsi"/>
                <w:szCs w:val="20"/>
              </w:rPr>
              <w:t>64,760,721</w:t>
            </w:r>
          </w:p>
        </w:tc>
      </w:tr>
      <w:tr w:rsidR="00D90E1F" w:rsidRPr="009B546D" w14:paraId="1B42DC69" w14:textId="77777777" w:rsidTr="00EA2BB6">
        <w:tc>
          <w:tcPr>
            <w:tcW w:w="6374" w:type="dxa"/>
          </w:tcPr>
          <w:p w14:paraId="69FC9AB9" w14:textId="77777777" w:rsidR="00D90E1F" w:rsidRPr="009B546D" w:rsidRDefault="00D90E1F" w:rsidP="00496B89">
            <w:pPr>
              <w:widowControl w:val="0"/>
              <w:spacing w:after="80"/>
              <w:rPr>
                <w:rFonts w:cstheme="minorHAnsi"/>
                <w:szCs w:val="20"/>
              </w:rPr>
            </w:pPr>
            <w:r w:rsidRPr="009B546D">
              <w:rPr>
                <w:rFonts w:cstheme="minorHAnsi"/>
                <w:szCs w:val="20"/>
              </w:rPr>
              <w:t>Consideration Shares as a percentage of the Enlarged Share Capital</w:t>
            </w:r>
          </w:p>
        </w:tc>
        <w:tc>
          <w:tcPr>
            <w:tcW w:w="2698" w:type="dxa"/>
          </w:tcPr>
          <w:p w14:paraId="1AC88FD7" w14:textId="1F00ECA7" w:rsidR="00D90E1F" w:rsidRPr="009B546D" w:rsidRDefault="001F31E2" w:rsidP="00F432B9">
            <w:pPr>
              <w:widowControl w:val="0"/>
              <w:spacing w:after="80"/>
              <w:jc w:val="right"/>
              <w:rPr>
                <w:rFonts w:cstheme="minorHAnsi"/>
                <w:szCs w:val="20"/>
              </w:rPr>
            </w:pPr>
            <w:r>
              <w:rPr>
                <w:rFonts w:cstheme="minorHAnsi"/>
                <w:szCs w:val="20"/>
              </w:rPr>
              <w:t>19.95</w:t>
            </w:r>
            <w:r w:rsidR="00041B38" w:rsidRPr="009B546D">
              <w:rPr>
                <w:rFonts w:cstheme="minorHAnsi"/>
                <w:szCs w:val="20"/>
              </w:rPr>
              <w:t xml:space="preserve"> </w:t>
            </w:r>
            <w:r w:rsidR="00D90E1F" w:rsidRPr="009B546D">
              <w:rPr>
                <w:rFonts w:cstheme="minorHAnsi"/>
                <w:szCs w:val="20"/>
              </w:rPr>
              <w:t>per cent.</w:t>
            </w:r>
          </w:p>
        </w:tc>
      </w:tr>
      <w:tr w:rsidR="00D90E1F" w:rsidRPr="009B546D" w14:paraId="2D89E6A2" w14:textId="77777777" w:rsidTr="00EA2BB6">
        <w:tc>
          <w:tcPr>
            <w:tcW w:w="6374" w:type="dxa"/>
          </w:tcPr>
          <w:p w14:paraId="6F0E6F8C" w14:textId="38477172" w:rsidR="00D90E1F" w:rsidRPr="009B546D" w:rsidRDefault="000568DC" w:rsidP="00496B89">
            <w:pPr>
              <w:widowControl w:val="0"/>
              <w:spacing w:after="80"/>
              <w:rPr>
                <w:rFonts w:cstheme="minorHAnsi"/>
                <w:szCs w:val="20"/>
              </w:rPr>
            </w:pPr>
            <w:r w:rsidRPr="009B546D">
              <w:rPr>
                <w:rFonts w:cstheme="minorHAnsi"/>
                <w:szCs w:val="20"/>
              </w:rPr>
              <w:t>Estimated t</w:t>
            </w:r>
            <w:r w:rsidR="00D90E1F" w:rsidRPr="009B546D">
              <w:rPr>
                <w:rFonts w:cstheme="minorHAnsi"/>
                <w:szCs w:val="20"/>
              </w:rPr>
              <w:t xml:space="preserve">ransaction </w:t>
            </w:r>
            <w:r w:rsidR="00F84873" w:rsidRPr="009B546D">
              <w:rPr>
                <w:rFonts w:cstheme="minorHAnsi"/>
                <w:szCs w:val="20"/>
              </w:rPr>
              <w:t>c</w:t>
            </w:r>
            <w:r w:rsidR="00D90E1F" w:rsidRPr="009B546D">
              <w:rPr>
                <w:rFonts w:cstheme="minorHAnsi"/>
                <w:szCs w:val="20"/>
              </w:rPr>
              <w:t>osts</w:t>
            </w:r>
          </w:p>
        </w:tc>
        <w:tc>
          <w:tcPr>
            <w:tcW w:w="2698" w:type="dxa"/>
          </w:tcPr>
          <w:p w14:paraId="17DA5209" w14:textId="1FF6A754" w:rsidR="00D90E1F" w:rsidRPr="00384557" w:rsidRDefault="00D90E1F" w:rsidP="00F432B9">
            <w:pPr>
              <w:widowControl w:val="0"/>
              <w:spacing w:after="80"/>
              <w:jc w:val="right"/>
              <w:rPr>
                <w:rFonts w:cstheme="minorHAnsi"/>
                <w:szCs w:val="20"/>
              </w:rPr>
            </w:pPr>
            <w:r w:rsidRPr="00EA2BB6">
              <w:rPr>
                <w:rFonts w:cstheme="minorHAnsi"/>
                <w:szCs w:val="20"/>
              </w:rPr>
              <w:t>£</w:t>
            </w:r>
            <w:r w:rsidR="00156F01">
              <w:rPr>
                <w:rFonts w:cstheme="minorHAnsi"/>
                <w:szCs w:val="20"/>
              </w:rPr>
              <w:t>364,000</w:t>
            </w:r>
          </w:p>
        </w:tc>
      </w:tr>
      <w:tr w:rsidR="00D90E1F" w:rsidRPr="009B546D" w14:paraId="18431052" w14:textId="77777777" w:rsidTr="00EA2BB6">
        <w:tc>
          <w:tcPr>
            <w:tcW w:w="6374" w:type="dxa"/>
          </w:tcPr>
          <w:p w14:paraId="1E6193A5" w14:textId="0E07E07B" w:rsidR="00D90E1F" w:rsidRPr="009B546D" w:rsidRDefault="00D90E1F" w:rsidP="00496B89">
            <w:pPr>
              <w:widowControl w:val="0"/>
              <w:spacing w:after="80"/>
              <w:rPr>
                <w:rFonts w:cstheme="minorHAnsi"/>
                <w:szCs w:val="20"/>
              </w:rPr>
            </w:pPr>
            <w:r w:rsidRPr="009B546D">
              <w:rPr>
                <w:rFonts w:cstheme="minorHAnsi"/>
                <w:szCs w:val="20"/>
              </w:rPr>
              <w:t xml:space="preserve">Market capitalisation of the Company at the </w:t>
            </w:r>
            <w:r w:rsidR="00BB525E" w:rsidRPr="009B546D">
              <w:rPr>
                <w:rFonts w:cstheme="minorHAnsi"/>
                <w:szCs w:val="20"/>
              </w:rPr>
              <w:t xml:space="preserve">Issue </w:t>
            </w:r>
            <w:r w:rsidRPr="009B546D">
              <w:rPr>
                <w:rFonts w:cstheme="minorHAnsi"/>
                <w:szCs w:val="20"/>
              </w:rPr>
              <w:t>Price on Re-Admission</w:t>
            </w:r>
          </w:p>
        </w:tc>
        <w:tc>
          <w:tcPr>
            <w:tcW w:w="2698" w:type="dxa"/>
          </w:tcPr>
          <w:p w14:paraId="2069DCA9" w14:textId="66705330" w:rsidR="00D90E1F" w:rsidRPr="009B546D" w:rsidRDefault="00D90E1F" w:rsidP="00F432B9">
            <w:pPr>
              <w:widowControl w:val="0"/>
              <w:spacing w:after="80"/>
              <w:jc w:val="right"/>
              <w:rPr>
                <w:rFonts w:cstheme="minorHAnsi"/>
                <w:szCs w:val="20"/>
              </w:rPr>
            </w:pPr>
            <w:r w:rsidRPr="009B546D">
              <w:rPr>
                <w:rFonts w:cstheme="minorHAnsi"/>
                <w:szCs w:val="20"/>
              </w:rPr>
              <w:t>£</w:t>
            </w:r>
            <w:r w:rsidR="000E0913" w:rsidRPr="009B546D">
              <w:rPr>
                <w:rFonts w:cstheme="minorHAnsi"/>
                <w:szCs w:val="20"/>
              </w:rPr>
              <w:t>11</w:t>
            </w:r>
            <w:r w:rsidR="00554294" w:rsidRPr="009B546D">
              <w:rPr>
                <w:rFonts w:cstheme="minorHAnsi"/>
                <w:szCs w:val="20"/>
              </w:rPr>
              <w:t>,527,409</w:t>
            </w:r>
          </w:p>
        </w:tc>
      </w:tr>
    </w:tbl>
    <w:p w14:paraId="5FD5D3DB" w14:textId="77777777" w:rsidR="00D90E1F" w:rsidRPr="009B546D" w:rsidRDefault="00D90E1F" w:rsidP="00F432B9">
      <w:pPr>
        <w:pStyle w:val="Heading2"/>
        <w:keepNext w:val="0"/>
        <w:widowControl w:val="0"/>
        <w:spacing w:before="160" w:after="160" w:line="240" w:lineRule="auto"/>
        <w:rPr>
          <w:rFonts w:asciiTheme="minorHAnsi" w:hAnsiTheme="minorHAnsi" w:cstheme="minorHAnsi"/>
          <w:szCs w:val="20"/>
        </w:rPr>
      </w:pPr>
      <w:r w:rsidRPr="009B546D">
        <w:rPr>
          <w:rFonts w:asciiTheme="minorHAnsi" w:hAnsiTheme="minorHAnsi" w:cstheme="minorHAnsi"/>
          <w:szCs w:val="20"/>
        </w:rPr>
        <w:t>Dealing Codes</w:t>
      </w:r>
    </w:p>
    <w:p w14:paraId="292D6FFF" w14:textId="12B1E4FB" w:rsidR="00D90E1F" w:rsidRPr="009B546D" w:rsidRDefault="00D90E1F" w:rsidP="00F432B9">
      <w:pPr>
        <w:widowControl w:val="0"/>
        <w:spacing w:line="240" w:lineRule="auto"/>
        <w:rPr>
          <w:rFonts w:cstheme="minorHAnsi"/>
          <w:szCs w:val="20"/>
        </w:rPr>
      </w:pPr>
      <w:r w:rsidRPr="00384557">
        <w:rPr>
          <w:rFonts w:cstheme="minorHAnsi"/>
          <w:szCs w:val="20"/>
        </w:rPr>
        <w:t xml:space="preserve">The dealing codes for </w:t>
      </w:r>
      <w:r w:rsidRPr="009B546D">
        <w:rPr>
          <w:rFonts w:cstheme="minorHAnsi"/>
          <w:szCs w:val="20"/>
        </w:rPr>
        <w:t>the Ordinary Shares will be as follows: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98"/>
      </w:tblGrid>
      <w:tr w:rsidR="00D90E1F" w:rsidRPr="009B546D" w14:paraId="554147AF" w14:textId="77777777" w:rsidTr="00EA2BB6">
        <w:tc>
          <w:tcPr>
            <w:tcW w:w="6374" w:type="dxa"/>
          </w:tcPr>
          <w:p w14:paraId="4F2E51A4" w14:textId="77777777" w:rsidR="00D90E1F" w:rsidRPr="009B546D" w:rsidRDefault="00D90E1F" w:rsidP="00496B89">
            <w:pPr>
              <w:widowControl w:val="0"/>
              <w:spacing w:after="80"/>
              <w:rPr>
                <w:rFonts w:cstheme="minorHAnsi"/>
                <w:szCs w:val="20"/>
              </w:rPr>
            </w:pPr>
            <w:r w:rsidRPr="009B546D">
              <w:rPr>
                <w:rFonts w:cstheme="minorHAnsi"/>
                <w:szCs w:val="20"/>
              </w:rPr>
              <w:t>ISIN</w:t>
            </w:r>
          </w:p>
        </w:tc>
        <w:tc>
          <w:tcPr>
            <w:tcW w:w="2698" w:type="dxa"/>
          </w:tcPr>
          <w:p w14:paraId="3EFEEFC6" w14:textId="77777777" w:rsidR="00D90E1F" w:rsidRPr="009B546D" w:rsidRDefault="00D90E1F" w:rsidP="00F432B9">
            <w:pPr>
              <w:widowControl w:val="0"/>
              <w:spacing w:after="80"/>
              <w:jc w:val="right"/>
              <w:rPr>
                <w:rFonts w:cstheme="minorHAnsi"/>
                <w:szCs w:val="20"/>
              </w:rPr>
            </w:pPr>
            <w:r w:rsidRPr="009B546D">
              <w:rPr>
                <w:rFonts w:cstheme="minorHAnsi"/>
                <w:szCs w:val="20"/>
              </w:rPr>
              <w:t>KYG0180A1022</w:t>
            </w:r>
          </w:p>
        </w:tc>
      </w:tr>
      <w:tr w:rsidR="00D90E1F" w:rsidRPr="009B546D" w14:paraId="04357139" w14:textId="77777777" w:rsidTr="00EA2BB6">
        <w:tc>
          <w:tcPr>
            <w:tcW w:w="6374" w:type="dxa"/>
          </w:tcPr>
          <w:p w14:paraId="4467ECB9" w14:textId="77777777" w:rsidR="00D90E1F" w:rsidRPr="009B546D" w:rsidRDefault="00D90E1F" w:rsidP="00496B89">
            <w:pPr>
              <w:widowControl w:val="0"/>
              <w:spacing w:after="80"/>
              <w:rPr>
                <w:rFonts w:cstheme="minorHAnsi"/>
                <w:szCs w:val="20"/>
              </w:rPr>
            </w:pPr>
            <w:r w:rsidRPr="009B546D">
              <w:rPr>
                <w:rFonts w:cstheme="minorHAnsi"/>
                <w:szCs w:val="20"/>
              </w:rPr>
              <w:t>SEDOL</w:t>
            </w:r>
          </w:p>
        </w:tc>
        <w:tc>
          <w:tcPr>
            <w:tcW w:w="2698" w:type="dxa"/>
          </w:tcPr>
          <w:p w14:paraId="61F1617A" w14:textId="77777777" w:rsidR="00D90E1F" w:rsidRPr="009B546D" w:rsidRDefault="00D90E1F" w:rsidP="00F432B9">
            <w:pPr>
              <w:widowControl w:val="0"/>
              <w:spacing w:after="80"/>
              <w:jc w:val="right"/>
              <w:rPr>
                <w:rFonts w:cstheme="minorHAnsi"/>
                <w:szCs w:val="20"/>
              </w:rPr>
            </w:pPr>
            <w:r w:rsidRPr="009B546D">
              <w:rPr>
                <w:rFonts w:cstheme="minorHAnsi"/>
                <w:szCs w:val="20"/>
              </w:rPr>
              <w:t>BF5R710</w:t>
            </w:r>
          </w:p>
        </w:tc>
      </w:tr>
      <w:tr w:rsidR="00D90E1F" w:rsidRPr="009B546D" w14:paraId="1332A045" w14:textId="77777777" w:rsidTr="00EA2BB6">
        <w:tc>
          <w:tcPr>
            <w:tcW w:w="6374" w:type="dxa"/>
          </w:tcPr>
          <w:p w14:paraId="11453A67" w14:textId="77777777" w:rsidR="00D90E1F" w:rsidRPr="009B546D" w:rsidRDefault="00D90E1F" w:rsidP="00496B89">
            <w:pPr>
              <w:widowControl w:val="0"/>
              <w:spacing w:after="80"/>
              <w:rPr>
                <w:rFonts w:cstheme="minorHAnsi"/>
                <w:szCs w:val="20"/>
              </w:rPr>
            </w:pPr>
            <w:r w:rsidRPr="009B546D">
              <w:rPr>
                <w:rFonts w:cstheme="minorHAnsi"/>
                <w:szCs w:val="20"/>
              </w:rPr>
              <w:t>TIDM</w:t>
            </w:r>
          </w:p>
        </w:tc>
        <w:tc>
          <w:tcPr>
            <w:tcW w:w="2698" w:type="dxa"/>
          </w:tcPr>
          <w:p w14:paraId="27DE38B8" w14:textId="77777777" w:rsidR="00D90E1F" w:rsidRPr="009B546D" w:rsidRDefault="00D90E1F" w:rsidP="00F432B9">
            <w:pPr>
              <w:widowControl w:val="0"/>
              <w:spacing w:after="80"/>
              <w:jc w:val="right"/>
              <w:rPr>
                <w:rFonts w:cstheme="minorHAnsi"/>
                <w:szCs w:val="20"/>
              </w:rPr>
            </w:pPr>
            <w:r w:rsidRPr="009B546D">
              <w:rPr>
                <w:rFonts w:cstheme="minorHAnsi"/>
                <w:szCs w:val="20"/>
              </w:rPr>
              <w:t>AIQ</w:t>
            </w:r>
          </w:p>
        </w:tc>
      </w:tr>
      <w:tr w:rsidR="00D90E1F" w:rsidRPr="009B546D" w14:paraId="6D308879" w14:textId="77777777" w:rsidTr="00EA2BB6">
        <w:tc>
          <w:tcPr>
            <w:tcW w:w="6374" w:type="dxa"/>
          </w:tcPr>
          <w:p w14:paraId="183B3E1A" w14:textId="77777777" w:rsidR="00D90E1F" w:rsidRPr="009B546D" w:rsidRDefault="00D90E1F" w:rsidP="00496B89">
            <w:pPr>
              <w:widowControl w:val="0"/>
              <w:spacing w:after="80"/>
              <w:rPr>
                <w:rFonts w:cstheme="minorHAnsi"/>
                <w:szCs w:val="20"/>
              </w:rPr>
            </w:pPr>
            <w:r w:rsidRPr="009B546D">
              <w:rPr>
                <w:rFonts w:cstheme="minorHAnsi"/>
                <w:szCs w:val="20"/>
              </w:rPr>
              <w:t>LEI</w:t>
            </w:r>
          </w:p>
        </w:tc>
        <w:tc>
          <w:tcPr>
            <w:tcW w:w="2698" w:type="dxa"/>
          </w:tcPr>
          <w:p w14:paraId="33CA266A" w14:textId="77777777" w:rsidR="00D90E1F" w:rsidRPr="009B546D" w:rsidRDefault="00D90E1F" w:rsidP="00F432B9">
            <w:pPr>
              <w:widowControl w:val="0"/>
              <w:spacing w:after="80"/>
              <w:jc w:val="right"/>
              <w:rPr>
                <w:rFonts w:cstheme="minorHAnsi"/>
                <w:szCs w:val="20"/>
              </w:rPr>
            </w:pPr>
            <w:r w:rsidRPr="009B546D">
              <w:rPr>
                <w:rFonts w:cstheme="minorHAnsi"/>
                <w:szCs w:val="20"/>
              </w:rPr>
              <w:t>213800HDDO9LNNBAYH53</w:t>
            </w:r>
          </w:p>
        </w:tc>
      </w:tr>
    </w:tbl>
    <w:p w14:paraId="79F06D3C" w14:textId="77777777" w:rsidR="00D90E1F" w:rsidRPr="009B546D" w:rsidRDefault="00D90E1F" w:rsidP="00F432B9">
      <w:pPr>
        <w:widowControl w:val="0"/>
        <w:spacing w:line="240" w:lineRule="auto"/>
        <w:jc w:val="left"/>
        <w:rPr>
          <w:rFonts w:cstheme="minorHAnsi"/>
          <w:szCs w:val="20"/>
        </w:rPr>
      </w:pPr>
      <w:r w:rsidRPr="009B546D">
        <w:rPr>
          <w:rFonts w:cstheme="minorHAnsi"/>
          <w:szCs w:val="20"/>
        </w:rPr>
        <w:br w:type="page"/>
      </w:r>
    </w:p>
    <w:p w14:paraId="179B8A90" w14:textId="77777777" w:rsidR="00D90E1F" w:rsidRPr="009B546D" w:rsidRDefault="00D90E1F" w:rsidP="00F432B9">
      <w:pPr>
        <w:pStyle w:val="Heading1"/>
        <w:keepNext w:val="0"/>
        <w:widowControl w:val="0"/>
        <w:spacing w:line="240" w:lineRule="auto"/>
        <w:jc w:val="center"/>
        <w:rPr>
          <w:rFonts w:asciiTheme="minorHAnsi" w:hAnsiTheme="minorHAnsi" w:cstheme="minorHAnsi"/>
          <w:sz w:val="20"/>
          <w:szCs w:val="20"/>
        </w:rPr>
      </w:pPr>
      <w:bookmarkStart w:id="16" w:name="_Toc35456735"/>
      <w:r w:rsidRPr="009B546D">
        <w:rPr>
          <w:rFonts w:asciiTheme="minorHAnsi" w:hAnsiTheme="minorHAnsi" w:cstheme="minorHAnsi"/>
          <w:sz w:val="20"/>
          <w:szCs w:val="20"/>
        </w:rPr>
        <w:lastRenderedPageBreak/>
        <w:t>Part VI</w:t>
      </w:r>
      <w:r w:rsidRPr="009B546D">
        <w:rPr>
          <w:rFonts w:asciiTheme="minorHAnsi" w:hAnsiTheme="minorHAnsi" w:cstheme="minorHAnsi"/>
          <w:sz w:val="20"/>
          <w:szCs w:val="20"/>
        </w:rPr>
        <w:br/>
        <w:t xml:space="preserve">Existing Directors, Proposed Director, Company Secretary </w:t>
      </w:r>
      <w:r w:rsidRPr="009B546D">
        <w:rPr>
          <w:rFonts w:asciiTheme="minorHAnsi" w:hAnsiTheme="minorHAnsi" w:cstheme="minorHAnsi"/>
          <w:sz w:val="20"/>
          <w:szCs w:val="20"/>
        </w:rPr>
        <w:br/>
        <w:t>and Advisers</w:t>
      </w:r>
      <w:bookmarkEnd w:id="16"/>
    </w:p>
    <w:tbl>
      <w:tblPr>
        <w:tblStyle w:val="TableGrid"/>
        <w:tblW w:w="9498" w:type="dxa"/>
        <w:tblInd w:w="-284" w:type="dxa"/>
        <w:tblLook w:val="04A0" w:firstRow="1" w:lastRow="0" w:firstColumn="1" w:lastColumn="0" w:noHBand="0" w:noVBand="1"/>
      </w:tblPr>
      <w:tblGrid>
        <w:gridCol w:w="1985"/>
        <w:gridCol w:w="1738"/>
        <w:gridCol w:w="956"/>
        <w:gridCol w:w="283"/>
        <w:gridCol w:w="485"/>
        <w:gridCol w:w="236"/>
        <w:gridCol w:w="1547"/>
        <w:gridCol w:w="2080"/>
        <w:gridCol w:w="188"/>
      </w:tblGrid>
      <w:tr w:rsidR="004C0904" w:rsidRPr="009B546D" w14:paraId="171C3EA6" w14:textId="77777777" w:rsidTr="008E0294">
        <w:trPr>
          <w:gridAfter w:val="1"/>
          <w:wAfter w:w="188" w:type="dxa"/>
        </w:trPr>
        <w:tc>
          <w:tcPr>
            <w:tcW w:w="1985" w:type="dxa"/>
            <w:tcBorders>
              <w:top w:val="nil"/>
              <w:left w:val="nil"/>
              <w:bottom w:val="nil"/>
              <w:right w:val="nil"/>
            </w:tcBorders>
          </w:tcPr>
          <w:p w14:paraId="451F8237" w14:textId="77777777" w:rsidR="004C0904" w:rsidRPr="009B546D" w:rsidRDefault="004C0904" w:rsidP="00F432B9">
            <w:pPr>
              <w:widowControl w:val="0"/>
              <w:spacing w:after="80"/>
              <w:rPr>
                <w:rFonts w:cstheme="minorHAnsi"/>
                <w:b/>
                <w:sz w:val="18"/>
                <w:szCs w:val="18"/>
              </w:rPr>
            </w:pPr>
            <w:bookmarkStart w:id="17" w:name="_Hlk20999267"/>
            <w:r w:rsidRPr="009B546D">
              <w:rPr>
                <w:rFonts w:cstheme="minorHAnsi"/>
                <w:b/>
                <w:sz w:val="18"/>
                <w:szCs w:val="18"/>
              </w:rPr>
              <w:t>Existing Directors:</w:t>
            </w:r>
          </w:p>
        </w:tc>
        <w:tc>
          <w:tcPr>
            <w:tcW w:w="2694" w:type="dxa"/>
            <w:gridSpan w:val="2"/>
            <w:tcBorders>
              <w:top w:val="nil"/>
              <w:left w:val="nil"/>
              <w:bottom w:val="nil"/>
              <w:right w:val="nil"/>
            </w:tcBorders>
          </w:tcPr>
          <w:p w14:paraId="6C058DAA" w14:textId="77777777" w:rsidR="002647F5" w:rsidRDefault="004C0904" w:rsidP="00F432B9">
            <w:pPr>
              <w:widowControl w:val="0"/>
              <w:jc w:val="left"/>
              <w:rPr>
                <w:rFonts w:cstheme="minorHAnsi"/>
                <w:sz w:val="18"/>
                <w:szCs w:val="18"/>
              </w:rPr>
            </w:pPr>
            <w:bookmarkStart w:id="18" w:name="_Hlk8899104"/>
            <w:r w:rsidRPr="009B546D">
              <w:rPr>
                <w:rFonts w:cstheme="minorHAnsi"/>
                <w:sz w:val="18"/>
                <w:szCs w:val="18"/>
              </w:rPr>
              <w:t>Graham Duncan</w:t>
            </w:r>
            <w:r w:rsidRPr="009B546D">
              <w:rPr>
                <w:rFonts w:cstheme="minorHAnsi"/>
                <w:sz w:val="18"/>
                <w:szCs w:val="18"/>
              </w:rPr>
              <w:br/>
              <w:t>Lee Chong Liang (“</w:t>
            </w:r>
            <w:r w:rsidRPr="00EA2BB6">
              <w:rPr>
                <w:rFonts w:cstheme="minorHAnsi"/>
                <w:b/>
                <w:bCs/>
                <w:sz w:val="18"/>
                <w:szCs w:val="18"/>
              </w:rPr>
              <w:t>Marcus</w:t>
            </w:r>
            <w:r w:rsidRPr="009B546D">
              <w:rPr>
                <w:rFonts w:cstheme="minorHAnsi"/>
                <w:sz w:val="18"/>
                <w:szCs w:val="18"/>
              </w:rPr>
              <w:t>”)</w:t>
            </w:r>
          </w:p>
          <w:p w14:paraId="26151F0B" w14:textId="2390ECAA" w:rsidR="004C0904" w:rsidRPr="009B546D" w:rsidRDefault="002647F5" w:rsidP="00F432B9">
            <w:pPr>
              <w:widowControl w:val="0"/>
              <w:jc w:val="left"/>
              <w:rPr>
                <w:rFonts w:cstheme="minorHAnsi"/>
                <w:sz w:val="18"/>
                <w:szCs w:val="18"/>
              </w:rPr>
            </w:pPr>
            <w:r w:rsidRPr="009B546D">
              <w:rPr>
                <w:rFonts w:cstheme="minorHAnsi"/>
                <w:sz w:val="18"/>
                <w:szCs w:val="18"/>
              </w:rPr>
              <w:t>Soon Beng Gee (“</w:t>
            </w:r>
            <w:r w:rsidRPr="00EA2BB6">
              <w:rPr>
                <w:rFonts w:cstheme="minorHAnsi"/>
                <w:b/>
                <w:bCs/>
                <w:sz w:val="18"/>
                <w:szCs w:val="18"/>
              </w:rPr>
              <w:t>Nicholas</w:t>
            </w:r>
            <w:r w:rsidRPr="009B546D">
              <w:rPr>
                <w:rFonts w:cstheme="minorHAnsi"/>
                <w:sz w:val="18"/>
                <w:szCs w:val="18"/>
              </w:rPr>
              <w:t>”)</w:t>
            </w:r>
            <w:r w:rsidR="004C0904" w:rsidRPr="009B546D">
              <w:rPr>
                <w:rFonts w:cstheme="minorHAnsi"/>
                <w:sz w:val="18"/>
                <w:szCs w:val="18"/>
              </w:rPr>
              <w:br/>
              <w:t>Harry Chathli</w:t>
            </w:r>
            <w:bookmarkEnd w:id="18"/>
          </w:p>
          <w:p w14:paraId="64D351E4" w14:textId="5C077B61" w:rsidR="009801CE" w:rsidRPr="009B546D" w:rsidRDefault="009801CE" w:rsidP="00EA2BB6">
            <w:pPr>
              <w:widowControl w:val="0"/>
              <w:jc w:val="left"/>
              <w:rPr>
                <w:rFonts w:cstheme="minorHAnsi"/>
                <w:i/>
                <w:sz w:val="18"/>
                <w:szCs w:val="18"/>
              </w:rPr>
            </w:pPr>
          </w:p>
        </w:tc>
        <w:tc>
          <w:tcPr>
            <w:tcW w:w="768" w:type="dxa"/>
            <w:gridSpan w:val="2"/>
            <w:tcBorders>
              <w:top w:val="nil"/>
              <w:left w:val="nil"/>
              <w:bottom w:val="nil"/>
              <w:right w:val="nil"/>
            </w:tcBorders>
          </w:tcPr>
          <w:p w14:paraId="6074B94F" w14:textId="77777777" w:rsidR="004C0904" w:rsidRPr="009B546D" w:rsidRDefault="004C0904" w:rsidP="00496B89">
            <w:pPr>
              <w:widowControl w:val="0"/>
              <w:spacing w:after="80"/>
              <w:jc w:val="left"/>
              <w:rPr>
                <w:rFonts w:cstheme="minorHAnsi"/>
                <w:i/>
                <w:sz w:val="18"/>
                <w:szCs w:val="18"/>
              </w:rPr>
            </w:pPr>
          </w:p>
        </w:tc>
        <w:tc>
          <w:tcPr>
            <w:tcW w:w="236" w:type="dxa"/>
            <w:tcBorders>
              <w:top w:val="nil"/>
              <w:left w:val="nil"/>
              <w:bottom w:val="nil"/>
              <w:right w:val="nil"/>
            </w:tcBorders>
          </w:tcPr>
          <w:p w14:paraId="590C741C" w14:textId="77777777" w:rsidR="004C0904" w:rsidRPr="009B546D" w:rsidRDefault="004C0904" w:rsidP="00F432B9">
            <w:pPr>
              <w:widowControl w:val="0"/>
              <w:jc w:val="left"/>
              <w:rPr>
                <w:rFonts w:cstheme="minorHAnsi"/>
                <w:i/>
                <w:sz w:val="18"/>
                <w:szCs w:val="18"/>
              </w:rPr>
            </w:pPr>
          </w:p>
        </w:tc>
        <w:tc>
          <w:tcPr>
            <w:tcW w:w="3627" w:type="dxa"/>
            <w:gridSpan w:val="2"/>
            <w:tcBorders>
              <w:top w:val="nil"/>
              <w:left w:val="nil"/>
              <w:bottom w:val="nil"/>
              <w:right w:val="nil"/>
            </w:tcBorders>
          </w:tcPr>
          <w:p w14:paraId="65D2958D" w14:textId="77777777" w:rsidR="002647F5" w:rsidRDefault="004C0904" w:rsidP="00F432B9">
            <w:pPr>
              <w:widowControl w:val="0"/>
              <w:jc w:val="left"/>
              <w:rPr>
                <w:rFonts w:cstheme="minorHAnsi"/>
                <w:i/>
                <w:sz w:val="18"/>
                <w:szCs w:val="18"/>
              </w:rPr>
            </w:pPr>
            <w:r w:rsidRPr="009B546D">
              <w:rPr>
                <w:rFonts w:cstheme="minorHAnsi"/>
                <w:i/>
                <w:sz w:val="18"/>
                <w:szCs w:val="18"/>
              </w:rPr>
              <w:t>Independent Non-Executive Chairman</w:t>
            </w:r>
            <w:r w:rsidRPr="009B546D">
              <w:rPr>
                <w:rFonts w:cstheme="minorHAnsi"/>
                <w:i/>
                <w:sz w:val="18"/>
                <w:szCs w:val="18"/>
              </w:rPr>
              <w:br/>
              <w:t>Executive Director</w:t>
            </w:r>
          </w:p>
          <w:p w14:paraId="019A0D0F" w14:textId="5AC01E3C" w:rsidR="004C0904" w:rsidRPr="009B546D" w:rsidRDefault="002647F5" w:rsidP="00F432B9">
            <w:pPr>
              <w:widowControl w:val="0"/>
              <w:jc w:val="left"/>
              <w:rPr>
                <w:rFonts w:cstheme="minorHAnsi"/>
                <w:i/>
                <w:sz w:val="18"/>
                <w:szCs w:val="18"/>
              </w:rPr>
            </w:pPr>
            <w:r w:rsidRPr="009B546D">
              <w:rPr>
                <w:rFonts w:cstheme="minorHAnsi"/>
                <w:i/>
                <w:sz w:val="18"/>
                <w:szCs w:val="18"/>
              </w:rPr>
              <w:t>Executive Director</w:t>
            </w:r>
            <w:r w:rsidR="004C0904" w:rsidRPr="009B546D">
              <w:rPr>
                <w:rFonts w:cstheme="minorHAnsi"/>
                <w:i/>
                <w:sz w:val="18"/>
                <w:szCs w:val="18"/>
              </w:rPr>
              <w:br/>
              <w:t>Independent Non-Executive Director</w:t>
            </w:r>
          </w:p>
          <w:p w14:paraId="19F996D6" w14:textId="50870020" w:rsidR="009801CE" w:rsidRPr="009B546D" w:rsidRDefault="009801CE" w:rsidP="00F432B9">
            <w:pPr>
              <w:widowControl w:val="0"/>
              <w:jc w:val="left"/>
              <w:rPr>
                <w:rFonts w:cstheme="minorHAnsi"/>
                <w:sz w:val="18"/>
                <w:szCs w:val="18"/>
              </w:rPr>
            </w:pPr>
          </w:p>
        </w:tc>
      </w:tr>
      <w:tr w:rsidR="004C0904" w:rsidRPr="009B546D" w14:paraId="0C1F65E9" w14:textId="77777777" w:rsidTr="003F1E89">
        <w:trPr>
          <w:gridAfter w:val="1"/>
          <w:wAfter w:w="188" w:type="dxa"/>
        </w:trPr>
        <w:tc>
          <w:tcPr>
            <w:tcW w:w="1985" w:type="dxa"/>
            <w:tcBorders>
              <w:top w:val="nil"/>
              <w:left w:val="nil"/>
              <w:bottom w:val="nil"/>
              <w:right w:val="nil"/>
            </w:tcBorders>
          </w:tcPr>
          <w:p w14:paraId="319C34E8" w14:textId="77777777" w:rsidR="004C0904" w:rsidRPr="009B546D" w:rsidRDefault="004C0904" w:rsidP="00F432B9">
            <w:pPr>
              <w:widowControl w:val="0"/>
              <w:spacing w:after="80"/>
              <w:rPr>
                <w:rFonts w:cstheme="minorHAnsi"/>
                <w:b/>
                <w:sz w:val="18"/>
                <w:szCs w:val="18"/>
              </w:rPr>
            </w:pPr>
            <w:r w:rsidRPr="009B546D">
              <w:rPr>
                <w:rFonts w:cstheme="minorHAnsi"/>
                <w:b/>
                <w:sz w:val="18"/>
                <w:szCs w:val="18"/>
              </w:rPr>
              <w:t>Proposed Director:</w:t>
            </w:r>
          </w:p>
        </w:tc>
        <w:tc>
          <w:tcPr>
            <w:tcW w:w="1738" w:type="dxa"/>
            <w:tcBorders>
              <w:top w:val="nil"/>
              <w:left w:val="nil"/>
              <w:bottom w:val="nil"/>
              <w:right w:val="nil"/>
            </w:tcBorders>
          </w:tcPr>
          <w:p w14:paraId="50A67083" w14:textId="77777777" w:rsidR="004C0904" w:rsidRPr="009B546D" w:rsidRDefault="004C0904" w:rsidP="00F432B9">
            <w:pPr>
              <w:widowControl w:val="0"/>
              <w:spacing w:after="80"/>
              <w:jc w:val="left"/>
              <w:rPr>
                <w:rFonts w:cstheme="minorHAnsi"/>
                <w:i/>
                <w:sz w:val="18"/>
                <w:szCs w:val="18"/>
              </w:rPr>
            </w:pPr>
            <w:r w:rsidRPr="009B546D">
              <w:rPr>
                <w:rFonts w:cstheme="minorHAnsi"/>
                <w:sz w:val="18"/>
                <w:szCs w:val="18"/>
              </w:rPr>
              <w:t>Charles Yong Kai Yee</w:t>
            </w:r>
          </w:p>
        </w:tc>
        <w:tc>
          <w:tcPr>
            <w:tcW w:w="1724" w:type="dxa"/>
            <w:gridSpan w:val="3"/>
            <w:tcBorders>
              <w:top w:val="nil"/>
              <w:left w:val="nil"/>
              <w:bottom w:val="nil"/>
              <w:right w:val="nil"/>
            </w:tcBorders>
          </w:tcPr>
          <w:p w14:paraId="0191AFD1" w14:textId="77777777" w:rsidR="004C0904" w:rsidRPr="009B546D" w:rsidRDefault="004C0904" w:rsidP="00496B89">
            <w:pPr>
              <w:widowControl w:val="0"/>
              <w:spacing w:after="80"/>
              <w:jc w:val="left"/>
              <w:rPr>
                <w:rFonts w:cstheme="minorHAnsi"/>
                <w:i/>
                <w:sz w:val="18"/>
                <w:szCs w:val="18"/>
              </w:rPr>
            </w:pPr>
          </w:p>
        </w:tc>
        <w:tc>
          <w:tcPr>
            <w:tcW w:w="236" w:type="dxa"/>
            <w:tcBorders>
              <w:top w:val="nil"/>
              <w:left w:val="nil"/>
              <w:bottom w:val="nil"/>
              <w:right w:val="nil"/>
            </w:tcBorders>
          </w:tcPr>
          <w:p w14:paraId="4A4CD985" w14:textId="77777777" w:rsidR="004C0904" w:rsidRPr="009B546D" w:rsidRDefault="004C0904" w:rsidP="00F432B9">
            <w:pPr>
              <w:widowControl w:val="0"/>
              <w:spacing w:after="80"/>
              <w:jc w:val="left"/>
              <w:rPr>
                <w:rFonts w:cstheme="minorHAnsi"/>
                <w:i/>
                <w:sz w:val="18"/>
                <w:szCs w:val="18"/>
              </w:rPr>
            </w:pPr>
          </w:p>
        </w:tc>
        <w:tc>
          <w:tcPr>
            <w:tcW w:w="3627" w:type="dxa"/>
            <w:gridSpan w:val="2"/>
            <w:tcBorders>
              <w:top w:val="nil"/>
              <w:left w:val="nil"/>
              <w:bottom w:val="nil"/>
              <w:right w:val="nil"/>
            </w:tcBorders>
          </w:tcPr>
          <w:p w14:paraId="1C372F54" w14:textId="3B6FC7B2" w:rsidR="004C0904" w:rsidRPr="009B546D" w:rsidRDefault="004C0904" w:rsidP="00F432B9">
            <w:pPr>
              <w:widowControl w:val="0"/>
              <w:spacing w:after="80"/>
              <w:jc w:val="left"/>
              <w:rPr>
                <w:rFonts w:cstheme="minorHAnsi"/>
                <w:i/>
                <w:sz w:val="18"/>
                <w:szCs w:val="18"/>
              </w:rPr>
            </w:pPr>
            <w:r w:rsidRPr="009B546D">
              <w:rPr>
                <w:rFonts w:cstheme="minorHAnsi"/>
                <w:i/>
                <w:sz w:val="18"/>
                <w:szCs w:val="18"/>
              </w:rPr>
              <w:t>Proposed Executive Director</w:t>
            </w:r>
          </w:p>
        </w:tc>
      </w:tr>
      <w:tr w:rsidR="00987CDD" w:rsidRPr="009B546D" w14:paraId="2943C4B1" w14:textId="6792A0D1" w:rsidTr="003F1E89">
        <w:tc>
          <w:tcPr>
            <w:tcW w:w="1985" w:type="dxa"/>
            <w:tcBorders>
              <w:top w:val="nil"/>
              <w:left w:val="nil"/>
              <w:bottom w:val="nil"/>
              <w:right w:val="nil"/>
            </w:tcBorders>
          </w:tcPr>
          <w:p w14:paraId="2B955E8F" w14:textId="77777777" w:rsidR="00987CDD" w:rsidRPr="009B546D" w:rsidRDefault="00987CDD" w:rsidP="00F432B9">
            <w:pPr>
              <w:widowControl w:val="0"/>
              <w:spacing w:after="80"/>
              <w:rPr>
                <w:rFonts w:cstheme="minorHAnsi"/>
                <w:b/>
                <w:sz w:val="18"/>
                <w:szCs w:val="18"/>
              </w:rPr>
            </w:pPr>
            <w:r w:rsidRPr="009B546D">
              <w:rPr>
                <w:rFonts w:cstheme="minorHAnsi"/>
                <w:b/>
                <w:sz w:val="18"/>
                <w:szCs w:val="18"/>
              </w:rPr>
              <w:t>Company Secretary:</w:t>
            </w:r>
          </w:p>
        </w:tc>
        <w:tc>
          <w:tcPr>
            <w:tcW w:w="2977" w:type="dxa"/>
            <w:gridSpan w:val="3"/>
            <w:tcBorders>
              <w:top w:val="nil"/>
              <w:left w:val="nil"/>
              <w:bottom w:val="nil"/>
              <w:right w:val="nil"/>
            </w:tcBorders>
          </w:tcPr>
          <w:p w14:paraId="5AE1E23A" w14:textId="661C9DF8" w:rsidR="00987CDD" w:rsidRPr="009B546D" w:rsidRDefault="00987CDD" w:rsidP="00F432B9">
            <w:pPr>
              <w:widowControl w:val="0"/>
              <w:spacing w:after="80"/>
              <w:jc w:val="left"/>
              <w:rPr>
                <w:rFonts w:cstheme="minorHAnsi"/>
                <w:sz w:val="18"/>
                <w:szCs w:val="18"/>
              </w:rPr>
            </w:pPr>
            <w:r w:rsidRPr="009B546D">
              <w:rPr>
                <w:rFonts w:cstheme="minorHAnsi"/>
                <w:sz w:val="18"/>
                <w:szCs w:val="18"/>
              </w:rPr>
              <w:t xml:space="preserve">Ian Farrelly </w:t>
            </w:r>
            <w:r w:rsidRPr="009B546D">
              <w:rPr>
                <w:rFonts w:cstheme="minorHAnsi"/>
                <w:sz w:val="18"/>
                <w:szCs w:val="18"/>
              </w:rPr>
              <w:br/>
              <w:t>MSP Company Secretarial &amp; Corporate Services</w:t>
            </w:r>
            <w:r w:rsidRPr="009B546D">
              <w:rPr>
                <w:rFonts w:cstheme="minorHAnsi"/>
                <w:sz w:val="18"/>
                <w:szCs w:val="18"/>
              </w:rPr>
              <w:br/>
              <w:t>Eastcastle House</w:t>
            </w:r>
            <w:r w:rsidRPr="009B546D">
              <w:rPr>
                <w:rFonts w:cstheme="minorHAnsi"/>
                <w:sz w:val="18"/>
                <w:szCs w:val="18"/>
              </w:rPr>
              <w:br/>
              <w:t>27/28 Eastcastle Street</w:t>
            </w:r>
            <w:r w:rsidRPr="009B546D">
              <w:rPr>
                <w:rFonts w:cstheme="minorHAnsi"/>
                <w:sz w:val="18"/>
                <w:szCs w:val="18"/>
              </w:rPr>
              <w:br/>
              <w:t>London</w:t>
            </w:r>
            <w:r w:rsidR="005A22D8">
              <w:rPr>
                <w:rFonts w:cstheme="minorHAnsi"/>
                <w:sz w:val="18"/>
                <w:szCs w:val="18"/>
              </w:rPr>
              <w:t>,</w:t>
            </w:r>
            <w:r w:rsidRPr="009B546D">
              <w:rPr>
                <w:rFonts w:cstheme="minorHAnsi"/>
                <w:sz w:val="18"/>
                <w:szCs w:val="18"/>
              </w:rPr>
              <w:t xml:space="preserve"> W1W 8DH</w:t>
            </w:r>
            <w:r w:rsidR="0031509F" w:rsidRPr="009B546D">
              <w:rPr>
                <w:rFonts w:cstheme="minorHAnsi"/>
                <w:sz w:val="18"/>
                <w:szCs w:val="18"/>
              </w:rPr>
              <w:t xml:space="preserve"> </w:t>
            </w:r>
          </w:p>
          <w:p w14:paraId="1C594F4C" w14:textId="1B8F133E" w:rsidR="0031509F" w:rsidRPr="009B546D" w:rsidRDefault="0031509F" w:rsidP="00F432B9">
            <w:pPr>
              <w:widowControl w:val="0"/>
              <w:spacing w:after="80"/>
              <w:jc w:val="left"/>
              <w:rPr>
                <w:rFonts w:cstheme="minorHAnsi"/>
                <w:sz w:val="18"/>
                <w:szCs w:val="18"/>
              </w:rPr>
            </w:pPr>
          </w:p>
        </w:tc>
        <w:tc>
          <w:tcPr>
            <w:tcW w:w="2268" w:type="dxa"/>
            <w:gridSpan w:val="3"/>
            <w:tcBorders>
              <w:top w:val="nil"/>
              <w:left w:val="nil"/>
              <w:bottom w:val="nil"/>
              <w:right w:val="nil"/>
            </w:tcBorders>
          </w:tcPr>
          <w:p w14:paraId="593BC2B5" w14:textId="789C8429" w:rsidR="00987CDD" w:rsidRPr="009B546D" w:rsidRDefault="00987CDD" w:rsidP="00496B89">
            <w:pPr>
              <w:widowControl w:val="0"/>
              <w:spacing w:after="80"/>
              <w:jc w:val="left"/>
              <w:rPr>
                <w:rFonts w:cstheme="minorHAnsi"/>
                <w:sz w:val="18"/>
                <w:szCs w:val="18"/>
              </w:rPr>
            </w:pPr>
            <w:r w:rsidRPr="009B546D">
              <w:rPr>
                <w:rFonts w:cstheme="minorHAnsi"/>
                <w:b/>
                <w:sz w:val="18"/>
                <w:szCs w:val="18"/>
              </w:rPr>
              <w:t xml:space="preserve">Registered Office: </w:t>
            </w:r>
          </w:p>
        </w:tc>
        <w:tc>
          <w:tcPr>
            <w:tcW w:w="2268" w:type="dxa"/>
            <w:gridSpan w:val="2"/>
            <w:tcBorders>
              <w:top w:val="nil"/>
              <w:left w:val="nil"/>
              <w:bottom w:val="nil"/>
              <w:right w:val="nil"/>
            </w:tcBorders>
          </w:tcPr>
          <w:p w14:paraId="7F304FF5" w14:textId="27870551" w:rsidR="00987CDD" w:rsidRPr="009B546D" w:rsidRDefault="00987CDD" w:rsidP="00F432B9">
            <w:pPr>
              <w:widowControl w:val="0"/>
              <w:spacing w:after="80"/>
              <w:jc w:val="left"/>
              <w:rPr>
                <w:rFonts w:cstheme="minorHAnsi"/>
                <w:sz w:val="18"/>
                <w:szCs w:val="18"/>
              </w:rPr>
            </w:pPr>
            <w:r w:rsidRPr="009B546D">
              <w:rPr>
                <w:rFonts w:cstheme="minorHAnsi"/>
                <w:sz w:val="18"/>
                <w:szCs w:val="18"/>
              </w:rPr>
              <w:t>Genesis Building, 5</w:t>
            </w:r>
            <w:r w:rsidRPr="009B546D">
              <w:rPr>
                <w:rFonts w:cstheme="minorHAnsi"/>
                <w:sz w:val="18"/>
                <w:szCs w:val="18"/>
                <w:vertAlign w:val="superscript"/>
              </w:rPr>
              <w:t>th</w:t>
            </w:r>
            <w:r w:rsidRPr="009B546D">
              <w:rPr>
                <w:rFonts w:cstheme="minorHAnsi"/>
                <w:sz w:val="18"/>
                <w:szCs w:val="18"/>
              </w:rPr>
              <w:t xml:space="preserve"> Floor</w:t>
            </w:r>
            <w:r w:rsidRPr="009B546D">
              <w:rPr>
                <w:rFonts w:cstheme="minorHAnsi"/>
                <w:sz w:val="18"/>
                <w:szCs w:val="18"/>
              </w:rPr>
              <w:br/>
              <w:t>Genesis Close, PO Box 446</w:t>
            </w:r>
            <w:r w:rsidRPr="009B546D">
              <w:rPr>
                <w:rFonts w:cstheme="minorHAnsi"/>
                <w:sz w:val="18"/>
                <w:szCs w:val="18"/>
              </w:rPr>
              <w:br/>
              <w:t>Cayman Islands, KY1-1106</w:t>
            </w:r>
          </w:p>
        </w:tc>
      </w:tr>
      <w:tr w:rsidR="00987CDD" w:rsidRPr="009B546D" w14:paraId="450CCF6E" w14:textId="68932199" w:rsidTr="003F1E89">
        <w:tc>
          <w:tcPr>
            <w:tcW w:w="1985" w:type="dxa"/>
            <w:tcBorders>
              <w:top w:val="nil"/>
              <w:left w:val="nil"/>
              <w:bottom w:val="nil"/>
              <w:right w:val="nil"/>
            </w:tcBorders>
          </w:tcPr>
          <w:p w14:paraId="27DD88FA" w14:textId="6E52D2E1" w:rsidR="00987CDD" w:rsidRPr="009B546D" w:rsidRDefault="00AF0C4A" w:rsidP="00496B89">
            <w:pPr>
              <w:widowControl w:val="0"/>
              <w:spacing w:after="80"/>
              <w:jc w:val="left"/>
              <w:rPr>
                <w:rFonts w:cstheme="minorHAnsi"/>
                <w:b/>
                <w:sz w:val="18"/>
                <w:szCs w:val="18"/>
              </w:rPr>
            </w:pPr>
            <w:r w:rsidRPr="009B546D">
              <w:rPr>
                <w:rFonts w:cstheme="minorHAnsi"/>
                <w:b/>
                <w:sz w:val="18"/>
                <w:szCs w:val="18"/>
              </w:rPr>
              <w:t>Alchemist Codes</w:t>
            </w:r>
            <w:r w:rsidR="00987CDD" w:rsidRPr="009B546D">
              <w:rPr>
                <w:rFonts w:cstheme="minorHAnsi"/>
                <w:b/>
                <w:sz w:val="18"/>
                <w:szCs w:val="18"/>
              </w:rPr>
              <w:t xml:space="preserve"> Directors:</w:t>
            </w:r>
          </w:p>
        </w:tc>
        <w:tc>
          <w:tcPr>
            <w:tcW w:w="2977" w:type="dxa"/>
            <w:gridSpan w:val="3"/>
            <w:tcBorders>
              <w:top w:val="nil"/>
              <w:left w:val="nil"/>
              <w:bottom w:val="nil"/>
              <w:right w:val="nil"/>
            </w:tcBorders>
          </w:tcPr>
          <w:p w14:paraId="78DCAE04" w14:textId="75B7DBD2" w:rsidR="00987CDD" w:rsidRPr="009B546D" w:rsidRDefault="00987CDD" w:rsidP="00F432B9">
            <w:pPr>
              <w:widowControl w:val="0"/>
              <w:spacing w:after="80"/>
              <w:jc w:val="left"/>
              <w:rPr>
                <w:rFonts w:cstheme="minorHAnsi"/>
                <w:sz w:val="18"/>
                <w:szCs w:val="18"/>
              </w:rPr>
            </w:pPr>
            <w:r w:rsidRPr="009B546D">
              <w:rPr>
                <w:rFonts w:cstheme="minorHAnsi"/>
                <w:sz w:val="18"/>
                <w:szCs w:val="18"/>
              </w:rPr>
              <w:t>Charles Yong Kai Yee</w:t>
            </w:r>
            <w:r w:rsidRPr="009B546D">
              <w:rPr>
                <w:rFonts w:cstheme="minorHAnsi"/>
                <w:sz w:val="18"/>
                <w:szCs w:val="18"/>
              </w:rPr>
              <w:br/>
              <w:t>Chau Hut Lim</w:t>
            </w:r>
            <w:r w:rsidRPr="009B546D">
              <w:rPr>
                <w:rFonts w:cstheme="minorHAnsi"/>
                <w:sz w:val="18"/>
                <w:szCs w:val="18"/>
              </w:rPr>
              <w:br/>
              <w:t>Ricardo Li</w:t>
            </w:r>
          </w:p>
        </w:tc>
        <w:tc>
          <w:tcPr>
            <w:tcW w:w="2268" w:type="dxa"/>
            <w:gridSpan w:val="3"/>
            <w:tcBorders>
              <w:top w:val="nil"/>
              <w:left w:val="nil"/>
              <w:bottom w:val="nil"/>
              <w:right w:val="nil"/>
            </w:tcBorders>
          </w:tcPr>
          <w:p w14:paraId="7421724E" w14:textId="77777777" w:rsidR="00987CDD" w:rsidRPr="009B546D" w:rsidRDefault="00987CDD" w:rsidP="00F432B9">
            <w:pPr>
              <w:widowControl w:val="0"/>
              <w:spacing w:after="80"/>
              <w:jc w:val="left"/>
              <w:rPr>
                <w:rFonts w:cstheme="minorHAnsi"/>
                <w:sz w:val="18"/>
                <w:szCs w:val="18"/>
              </w:rPr>
            </w:pPr>
          </w:p>
        </w:tc>
        <w:tc>
          <w:tcPr>
            <w:tcW w:w="2268" w:type="dxa"/>
            <w:gridSpan w:val="2"/>
            <w:tcBorders>
              <w:top w:val="nil"/>
              <w:left w:val="nil"/>
              <w:bottom w:val="nil"/>
              <w:right w:val="nil"/>
            </w:tcBorders>
          </w:tcPr>
          <w:p w14:paraId="6F7CD607" w14:textId="77777777" w:rsidR="00987CDD" w:rsidRPr="009B546D" w:rsidRDefault="00987CDD" w:rsidP="00F432B9">
            <w:pPr>
              <w:widowControl w:val="0"/>
              <w:spacing w:after="80"/>
              <w:jc w:val="left"/>
              <w:rPr>
                <w:rFonts w:cstheme="minorHAnsi"/>
                <w:sz w:val="18"/>
                <w:szCs w:val="18"/>
              </w:rPr>
            </w:pPr>
          </w:p>
        </w:tc>
      </w:tr>
      <w:tr w:rsidR="00987CDD" w:rsidRPr="009B546D" w14:paraId="121BF915" w14:textId="1FDA07FE" w:rsidTr="003F1E89">
        <w:tc>
          <w:tcPr>
            <w:tcW w:w="1985" w:type="dxa"/>
            <w:tcBorders>
              <w:top w:val="nil"/>
              <w:left w:val="nil"/>
              <w:bottom w:val="nil"/>
              <w:right w:val="nil"/>
            </w:tcBorders>
          </w:tcPr>
          <w:p w14:paraId="1C73E8D3" w14:textId="77777777" w:rsidR="00987CDD" w:rsidRPr="009B546D" w:rsidRDefault="00987CDD" w:rsidP="00F432B9">
            <w:pPr>
              <w:widowControl w:val="0"/>
              <w:spacing w:after="80"/>
              <w:rPr>
                <w:rFonts w:cstheme="minorHAnsi"/>
                <w:b/>
                <w:sz w:val="18"/>
                <w:szCs w:val="18"/>
              </w:rPr>
            </w:pPr>
            <w:r w:rsidRPr="009B546D">
              <w:rPr>
                <w:rFonts w:cstheme="minorHAnsi"/>
                <w:b/>
                <w:sz w:val="18"/>
                <w:szCs w:val="18"/>
              </w:rPr>
              <w:t>Financial Adviser and Broker to the Company:</w:t>
            </w:r>
          </w:p>
        </w:tc>
        <w:tc>
          <w:tcPr>
            <w:tcW w:w="2977" w:type="dxa"/>
            <w:gridSpan w:val="3"/>
            <w:tcBorders>
              <w:top w:val="nil"/>
              <w:left w:val="nil"/>
              <w:bottom w:val="nil"/>
              <w:right w:val="nil"/>
            </w:tcBorders>
          </w:tcPr>
          <w:p w14:paraId="25B7AAB0" w14:textId="77777777" w:rsidR="00987CDD" w:rsidRPr="009B546D" w:rsidRDefault="00987CDD" w:rsidP="00F432B9">
            <w:pPr>
              <w:widowControl w:val="0"/>
              <w:spacing w:after="80"/>
              <w:jc w:val="left"/>
              <w:rPr>
                <w:rFonts w:cstheme="minorHAnsi"/>
                <w:sz w:val="18"/>
                <w:szCs w:val="18"/>
              </w:rPr>
            </w:pPr>
            <w:r w:rsidRPr="009B546D">
              <w:rPr>
                <w:rFonts w:cstheme="minorHAnsi"/>
                <w:sz w:val="18"/>
                <w:szCs w:val="18"/>
              </w:rPr>
              <w:t>VSA Capital Limited</w:t>
            </w:r>
            <w:r w:rsidRPr="009B546D">
              <w:rPr>
                <w:rFonts w:cstheme="minorHAnsi"/>
                <w:sz w:val="18"/>
                <w:szCs w:val="18"/>
              </w:rPr>
              <w:br/>
              <w:t>New Liverpool House</w:t>
            </w:r>
            <w:r w:rsidRPr="009B546D">
              <w:rPr>
                <w:rFonts w:cstheme="minorHAnsi"/>
                <w:sz w:val="18"/>
                <w:szCs w:val="18"/>
              </w:rPr>
              <w:br/>
              <w:t>15-17 Eldon Street</w:t>
            </w:r>
            <w:r w:rsidRPr="009B546D">
              <w:rPr>
                <w:rFonts w:cstheme="minorHAnsi"/>
                <w:sz w:val="18"/>
                <w:szCs w:val="18"/>
              </w:rPr>
              <w:br/>
              <w:t>London EC2M 7LD</w:t>
            </w:r>
          </w:p>
        </w:tc>
        <w:tc>
          <w:tcPr>
            <w:tcW w:w="2268" w:type="dxa"/>
            <w:gridSpan w:val="3"/>
            <w:tcBorders>
              <w:top w:val="nil"/>
              <w:left w:val="nil"/>
              <w:bottom w:val="nil"/>
              <w:right w:val="nil"/>
            </w:tcBorders>
          </w:tcPr>
          <w:p w14:paraId="67943F55" w14:textId="77777777" w:rsidR="00987CDD" w:rsidRPr="009B546D" w:rsidRDefault="00987CDD" w:rsidP="00496B89">
            <w:pPr>
              <w:widowControl w:val="0"/>
              <w:spacing w:after="80"/>
              <w:jc w:val="left"/>
              <w:rPr>
                <w:rFonts w:cstheme="minorHAnsi"/>
                <w:sz w:val="18"/>
                <w:szCs w:val="18"/>
              </w:rPr>
            </w:pPr>
          </w:p>
        </w:tc>
        <w:tc>
          <w:tcPr>
            <w:tcW w:w="2268" w:type="dxa"/>
            <w:gridSpan w:val="2"/>
            <w:tcBorders>
              <w:top w:val="nil"/>
              <w:left w:val="nil"/>
              <w:bottom w:val="nil"/>
              <w:right w:val="nil"/>
            </w:tcBorders>
          </w:tcPr>
          <w:p w14:paraId="0A716F32" w14:textId="77777777" w:rsidR="00987CDD" w:rsidRPr="009B546D" w:rsidRDefault="00987CDD" w:rsidP="00F432B9">
            <w:pPr>
              <w:widowControl w:val="0"/>
              <w:spacing w:after="80"/>
              <w:jc w:val="left"/>
              <w:rPr>
                <w:rFonts w:cstheme="minorHAnsi"/>
                <w:sz w:val="18"/>
                <w:szCs w:val="18"/>
              </w:rPr>
            </w:pPr>
          </w:p>
        </w:tc>
      </w:tr>
      <w:tr w:rsidR="00987CDD" w:rsidRPr="009B546D" w14:paraId="6FB6572F" w14:textId="0C3D6D27" w:rsidTr="003F1E89">
        <w:tc>
          <w:tcPr>
            <w:tcW w:w="1985" w:type="dxa"/>
            <w:tcBorders>
              <w:top w:val="nil"/>
              <w:left w:val="nil"/>
              <w:bottom w:val="nil"/>
              <w:right w:val="nil"/>
            </w:tcBorders>
          </w:tcPr>
          <w:p w14:paraId="562F579F" w14:textId="13C040B3" w:rsidR="00987CDD" w:rsidRPr="009B546D" w:rsidRDefault="00987CDD" w:rsidP="00F432B9">
            <w:pPr>
              <w:widowControl w:val="0"/>
              <w:spacing w:after="80"/>
              <w:rPr>
                <w:rFonts w:cstheme="minorHAnsi"/>
                <w:b/>
                <w:sz w:val="18"/>
                <w:szCs w:val="18"/>
              </w:rPr>
            </w:pPr>
            <w:r w:rsidRPr="009B546D">
              <w:rPr>
                <w:rFonts w:cstheme="minorHAnsi"/>
                <w:b/>
                <w:sz w:val="18"/>
                <w:szCs w:val="18"/>
              </w:rPr>
              <w:t>English legal advisers to the Company:</w:t>
            </w:r>
          </w:p>
        </w:tc>
        <w:tc>
          <w:tcPr>
            <w:tcW w:w="2977" w:type="dxa"/>
            <w:gridSpan w:val="3"/>
            <w:tcBorders>
              <w:top w:val="nil"/>
              <w:left w:val="nil"/>
              <w:bottom w:val="nil"/>
              <w:right w:val="nil"/>
            </w:tcBorders>
          </w:tcPr>
          <w:p w14:paraId="7141430E" w14:textId="5BC2F53D" w:rsidR="00987CDD" w:rsidRPr="009B546D" w:rsidRDefault="00987CDD" w:rsidP="00F432B9">
            <w:pPr>
              <w:widowControl w:val="0"/>
              <w:spacing w:after="80"/>
              <w:jc w:val="left"/>
              <w:rPr>
                <w:rFonts w:cstheme="minorHAnsi"/>
                <w:sz w:val="18"/>
                <w:szCs w:val="18"/>
              </w:rPr>
            </w:pPr>
            <w:r w:rsidRPr="009B546D">
              <w:rPr>
                <w:rFonts w:cstheme="minorHAnsi"/>
                <w:sz w:val="18"/>
                <w:szCs w:val="18"/>
              </w:rPr>
              <w:t>Charles Russell Speechlys LLP</w:t>
            </w:r>
            <w:r w:rsidRPr="009B546D">
              <w:rPr>
                <w:rFonts w:cstheme="minorHAnsi"/>
                <w:sz w:val="18"/>
                <w:szCs w:val="18"/>
              </w:rPr>
              <w:br/>
              <w:t>5 Fleet Place</w:t>
            </w:r>
            <w:r w:rsidRPr="009B546D">
              <w:rPr>
                <w:rFonts w:cstheme="minorHAnsi"/>
                <w:sz w:val="18"/>
                <w:szCs w:val="18"/>
              </w:rPr>
              <w:br/>
              <w:t>London</w:t>
            </w:r>
            <w:r w:rsidR="005A22D8">
              <w:rPr>
                <w:rFonts w:cstheme="minorHAnsi"/>
                <w:sz w:val="18"/>
                <w:szCs w:val="18"/>
              </w:rPr>
              <w:t>,</w:t>
            </w:r>
            <w:r w:rsidR="00AF7EDA" w:rsidRPr="009B546D">
              <w:rPr>
                <w:rFonts w:cstheme="minorHAnsi"/>
                <w:sz w:val="18"/>
                <w:szCs w:val="18"/>
              </w:rPr>
              <w:t xml:space="preserve"> </w:t>
            </w:r>
            <w:r w:rsidRPr="009B546D">
              <w:rPr>
                <w:rFonts w:cstheme="minorHAnsi"/>
                <w:sz w:val="18"/>
                <w:szCs w:val="18"/>
              </w:rPr>
              <w:t>EC4M 7RD</w:t>
            </w:r>
          </w:p>
        </w:tc>
        <w:tc>
          <w:tcPr>
            <w:tcW w:w="2268" w:type="dxa"/>
            <w:gridSpan w:val="3"/>
            <w:tcBorders>
              <w:top w:val="nil"/>
              <w:left w:val="nil"/>
              <w:bottom w:val="nil"/>
              <w:right w:val="nil"/>
            </w:tcBorders>
          </w:tcPr>
          <w:p w14:paraId="091F500D" w14:textId="3D6A0869" w:rsidR="00987CDD" w:rsidRPr="009B546D" w:rsidRDefault="00987CDD" w:rsidP="00496B89">
            <w:pPr>
              <w:widowControl w:val="0"/>
              <w:spacing w:after="80"/>
              <w:jc w:val="left"/>
              <w:rPr>
                <w:rFonts w:cstheme="minorHAnsi"/>
                <w:sz w:val="18"/>
                <w:szCs w:val="18"/>
              </w:rPr>
            </w:pPr>
            <w:r w:rsidRPr="009B546D">
              <w:rPr>
                <w:rFonts w:cstheme="minorHAnsi"/>
                <w:b/>
                <w:sz w:val="18"/>
                <w:szCs w:val="18"/>
              </w:rPr>
              <w:t>Malaysian legal adviser to the Company:</w:t>
            </w:r>
          </w:p>
        </w:tc>
        <w:tc>
          <w:tcPr>
            <w:tcW w:w="2268" w:type="dxa"/>
            <w:gridSpan w:val="2"/>
            <w:tcBorders>
              <w:top w:val="nil"/>
              <w:left w:val="nil"/>
              <w:bottom w:val="nil"/>
              <w:right w:val="nil"/>
            </w:tcBorders>
          </w:tcPr>
          <w:p w14:paraId="2B912039" w14:textId="27D17ECF" w:rsidR="00987CDD" w:rsidRPr="009B546D" w:rsidRDefault="00987CDD" w:rsidP="00F432B9">
            <w:pPr>
              <w:widowControl w:val="0"/>
              <w:spacing w:after="80"/>
              <w:jc w:val="left"/>
              <w:rPr>
                <w:rFonts w:cstheme="minorHAnsi"/>
                <w:sz w:val="18"/>
                <w:szCs w:val="18"/>
              </w:rPr>
            </w:pPr>
            <w:r w:rsidRPr="009B546D">
              <w:rPr>
                <w:rFonts w:cstheme="minorHAnsi"/>
                <w:sz w:val="18"/>
                <w:szCs w:val="18"/>
              </w:rPr>
              <w:t>Chooi &amp; Company + Cheang &amp; Ariff</w:t>
            </w:r>
            <w:r w:rsidRPr="009B546D">
              <w:rPr>
                <w:rFonts w:cstheme="minorHAnsi"/>
                <w:sz w:val="18"/>
                <w:szCs w:val="18"/>
              </w:rPr>
              <w:br/>
              <w:t>Level 5, Benara BRDB</w:t>
            </w:r>
            <w:r w:rsidRPr="009B546D">
              <w:rPr>
                <w:rFonts w:cstheme="minorHAnsi"/>
                <w:sz w:val="18"/>
                <w:szCs w:val="18"/>
              </w:rPr>
              <w:br/>
              <w:t>285, Jalan Maarof</w:t>
            </w:r>
            <w:r w:rsidRPr="009B546D">
              <w:rPr>
                <w:rFonts w:cstheme="minorHAnsi"/>
                <w:sz w:val="18"/>
                <w:szCs w:val="18"/>
              </w:rPr>
              <w:br/>
              <w:t>Bukit Bandaraya</w:t>
            </w:r>
            <w:r w:rsidRPr="009B546D">
              <w:rPr>
                <w:rFonts w:cstheme="minorHAnsi"/>
                <w:sz w:val="18"/>
                <w:szCs w:val="18"/>
              </w:rPr>
              <w:br/>
              <w:t>590000 Kuala Lumpur</w:t>
            </w:r>
            <w:r w:rsidRPr="009B546D">
              <w:rPr>
                <w:rFonts w:cstheme="minorHAnsi"/>
                <w:sz w:val="18"/>
                <w:szCs w:val="18"/>
              </w:rPr>
              <w:br/>
              <w:t>Malaysia</w:t>
            </w:r>
          </w:p>
        </w:tc>
      </w:tr>
      <w:tr w:rsidR="00987CDD" w:rsidRPr="009B546D" w14:paraId="409B28FD" w14:textId="420C5F02" w:rsidTr="003F1E89">
        <w:tc>
          <w:tcPr>
            <w:tcW w:w="1985" w:type="dxa"/>
            <w:tcBorders>
              <w:top w:val="nil"/>
              <w:left w:val="nil"/>
              <w:bottom w:val="nil"/>
              <w:right w:val="nil"/>
            </w:tcBorders>
          </w:tcPr>
          <w:p w14:paraId="413BA3E1" w14:textId="2865A729" w:rsidR="00987CDD" w:rsidRPr="009B546D" w:rsidRDefault="00987CDD" w:rsidP="00F432B9">
            <w:pPr>
              <w:widowControl w:val="0"/>
              <w:spacing w:after="80"/>
              <w:rPr>
                <w:rFonts w:cstheme="minorHAnsi"/>
                <w:b/>
                <w:sz w:val="18"/>
                <w:szCs w:val="18"/>
              </w:rPr>
            </w:pPr>
            <w:r w:rsidRPr="009B546D">
              <w:rPr>
                <w:rFonts w:cstheme="minorHAnsi"/>
                <w:b/>
                <w:sz w:val="18"/>
                <w:szCs w:val="18"/>
              </w:rPr>
              <w:t>Cayman legal adviser to the Company:</w:t>
            </w:r>
          </w:p>
        </w:tc>
        <w:tc>
          <w:tcPr>
            <w:tcW w:w="2977" w:type="dxa"/>
            <w:gridSpan w:val="3"/>
            <w:tcBorders>
              <w:top w:val="nil"/>
              <w:left w:val="nil"/>
              <w:bottom w:val="nil"/>
              <w:right w:val="nil"/>
            </w:tcBorders>
          </w:tcPr>
          <w:p w14:paraId="280AC7AE" w14:textId="5ECAA1B7" w:rsidR="00987CDD" w:rsidRPr="009B546D" w:rsidRDefault="00987CDD" w:rsidP="00F432B9">
            <w:pPr>
              <w:widowControl w:val="0"/>
              <w:spacing w:after="80"/>
              <w:jc w:val="left"/>
              <w:rPr>
                <w:rFonts w:cstheme="minorHAnsi"/>
                <w:sz w:val="18"/>
                <w:szCs w:val="18"/>
              </w:rPr>
            </w:pPr>
            <w:r w:rsidRPr="009B546D">
              <w:rPr>
                <w:rFonts w:cstheme="minorHAnsi"/>
                <w:sz w:val="18"/>
                <w:szCs w:val="18"/>
              </w:rPr>
              <w:t>Conyers Dill &amp; Pearman</w:t>
            </w:r>
            <w:r w:rsidRPr="009B546D">
              <w:rPr>
                <w:rFonts w:cstheme="minorHAnsi"/>
                <w:sz w:val="18"/>
                <w:szCs w:val="18"/>
              </w:rPr>
              <w:br/>
              <w:t>Cricket Square</w:t>
            </w:r>
            <w:r w:rsidRPr="009B546D">
              <w:rPr>
                <w:rFonts w:cstheme="minorHAnsi"/>
                <w:sz w:val="18"/>
                <w:szCs w:val="18"/>
              </w:rPr>
              <w:br/>
              <w:t>Hutchins Drive</w:t>
            </w:r>
            <w:r w:rsidRPr="009B546D">
              <w:rPr>
                <w:rFonts w:cstheme="minorHAnsi"/>
                <w:sz w:val="18"/>
                <w:szCs w:val="18"/>
              </w:rPr>
              <w:br/>
              <w:t>PO Box 2681</w:t>
            </w:r>
            <w:r w:rsidRPr="009B546D">
              <w:rPr>
                <w:rFonts w:cstheme="minorHAnsi"/>
                <w:sz w:val="18"/>
                <w:szCs w:val="18"/>
              </w:rPr>
              <w:br/>
              <w:t>Grand Cayman KY1-1111</w:t>
            </w:r>
            <w:r w:rsidRPr="009B546D">
              <w:rPr>
                <w:rFonts w:cstheme="minorHAnsi"/>
                <w:sz w:val="18"/>
                <w:szCs w:val="18"/>
              </w:rPr>
              <w:br/>
              <w:t>Cayman Islands</w:t>
            </w:r>
          </w:p>
        </w:tc>
        <w:tc>
          <w:tcPr>
            <w:tcW w:w="2268" w:type="dxa"/>
            <w:gridSpan w:val="3"/>
            <w:tcBorders>
              <w:top w:val="nil"/>
              <w:left w:val="nil"/>
              <w:bottom w:val="nil"/>
              <w:right w:val="nil"/>
            </w:tcBorders>
          </w:tcPr>
          <w:p w14:paraId="0266173F" w14:textId="5D62C218" w:rsidR="00987CDD" w:rsidRPr="009B546D" w:rsidRDefault="00987CDD" w:rsidP="00496B89">
            <w:pPr>
              <w:widowControl w:val="0"/>
              <w:spacing w:after="80"/>
              <w:jc w:val="left"/>
              <w:rPr>
                <w:rFonts w:cstheme="minorHAnsi"/>
                <w:sz w:val="18"/>
                <w:szCs w:val="18"/>
              </w:rPr>
            </w:pPr>
            <w:r w:rsidRPr="009B546D">
              <w:rPr>
                <w:rFonts w:cstheme="minorHAnsi"/>
                <w:b/>
                <w:sz w:val="18"/>
                <w:szCs w:val="18"/>
              </w:rPr>
              <w:t xml:space="preserve">Legal advisers to </w:t>
            </w:r>
            <w:r w:rsidR="00AF0C4A" w:rsidRPr="009B546D">
              <w:rPr>
                <w:rFonts w:cstheme="minorHAnsi"/>
                <w:b/>
                <w:sz w:val="18"/>
                <w:szCs w:val="18"/>
              </w:rPr>
              <w:t>Alchemist Codes</w:t>
            </w:r>
            <w:r w:rsidRPr="009B546D">
              <w:rPr>
                <w:rFonts w:cstheme="minorHAnsi"/>
                <w:b/>
                <w:sz w:val="18"/>
                <w:szCs w:val="18"/>
              </w:rPr>
              <w:t>:</w:t>
            </w:r>
          </w:p>
        </w:tc>
        <w:tc>
          <w:tcPr>
            <w:tcW w:w="2268" w:type="dxa"/>
            <w:gridSpan w:val="2"/>
            <w:tcBorders>
              <w:top w:val="nil"/>
              <w:left w:val="nil"/>
              <w:bottom w:val="nil"/>
              <w:right w:val="nil"/>
            </w:tcBorders>
          </w:tcPr>
          <w:p w14:paraId="6FA5B95F" w14:textId="4FA8E901" w:rsidR="00987CDD" w:rsidRPr="009B546D" w:rsidRDefault="00987CDD" w:rsidP="00F432B9">
            <w:pPr>
              <w:widowControl w:val="0"/>
              <w:spacing w:after="80"/>
              <w:jc w:val="left"/>
              <w:rPr>
                <w:rFonts w:cstheme="minorHAnsi"/>
                <w:sz w:val="18"/>
                <w:szCs w:val="18"/>
              </w:rPr>
            </w:pPr>
            <w:r w:rsidRPr="009B546D">
              <w:rPr>
                <w:rFonts w:cstheme="minorHAnsi"/>
                <w:sz w:val="18"/>
                <w:szCs w:val="18"/>
              </w:rPr>
              <w:t>Khairuddin, Ngiam &amp; Tan</w:t>
            </w:r>
            <w:r w:rsidRPr="009B546D">
              <w:rPr>
                <w:rFonts w:cstheme="minorHAnsi"/>
                <w:sz w:val="18"/>
                <w:szCs w:val="18"/>
              </w:rPr>
              <w:br/>
              <w:t>7-4-1, Block A, Megan Salak Park</w:t>
            </w:r>
            <w:r w:rsidRPr="009B546D">
              <w:rPr>
                <w:rFonts w:cstheme="minorHAnsi"/>
                <w:sz w:val="18"/>
                <w:szCs w:val="18"/>
              </w:rPr>
              <w:br/>
              <w:t>Jalan 2/125E</w:t>
            </w:r>
            <w:r w:rsidRPr="009B546D">
              <w:rPr>
                <w:rFonts w:cstheme="minorHAnsi"/>
                <w:sz w:val="18"/>
                <w:szCs w:val="18"/>
              </w:rPr>
              <w:br/>
              <w:t>Taman Desa Petaling</w:t>
            </w:r>
            <w:r w:rsidRPr="009B546D">
              <w:rPr>
                <w:rFonts w:cstheme="minorHAnsi"/>
                <w:sz w:val="18"/>
                <w:szCs w:val="18"/>
              </w:rPr>
              <w:br/>
              <w:t>57100 Kuala Lumpur</w:t>
            </w:r>
            <w:r w:rsidRPr="009B546D">
              <w:rPr>
                <w:rFonts w:cstheme="minorHAnsi"/>
                <w:sz w:val="18"/>
                <w:szCs w:val="18"/>
              </w:rPr>
              <w:br/>
              <w:t>Malaysia</w:t>
            </w:r>
          </w:p>
        </w:tc>
      </w:tr>
      <w:tr w:rsidR="00987CDD" w:rsidRPr="009B546D" w14:paraId="14CB831A" w14:textId="374ECE16" w:rsidTr="003F1E89">
        <w:tc>
          <w:tcPr>
            <w:tcW w:w="1985" w:type="dxa"/>
            <w:tcBorders>
              <w:top w:val="nil"/>
              <w:left w:val="nil"/>
              <w:bottom w:val="nil"/>
              <w:right w:val="nil"/>
            </w:tcBorders>
          </w:tcPr>
          <w:p w14:paraId="1B805664" w14:textId="13413951" w:rsidR="00987CDD" w:rsidRPr="009B546D" w:rsidRDefault="00987CDD" w:rsidP="00496B89">
            <w:pPr>
              <w:widowControl w:val="0"/>
              <w:spacing w:after="80"/>
              <w:rPr>
                <w:rFonts w:cstheme="minorHAnsi"/>
                <w:b/>
                <w:sz w:val="18"/>
                <w:szCs w:val="18"/>
              </w:rPr>
            </w:pPr>
            <w:r w:rsidRPr="009B546D">
              <w:rPr>
                <w:rFonts w:cstheme="minorHAnsi"/>
                <w:b/>
                <w:sz w:val="18"/>
                <w:szCs w:val="18"/>
              </w:rPr>
              <w:t>Auditors and Reporting Accounts:</w:t>
            </w:r>
          </w:p>
        </w:tc>
        <w:tc>
          <w:tcPr>
            <w:tcW w:w="2977" w:type="dxa"/>
            <w:gridSpan w:val="3"/>
            <w:tcBorders>
              <w:top w:val="nil"/>
              <w:left w:val="nil"/>
              <w:bottom w:val="nil"/>
              <w:right w:val="nil"/>
            </w:tcBorders>
          </w:tcPr>
          <w:p w14:paraId="257F040F" w14:textId="7FD904D1" w:rsidR="00987CDD" w:rsidRPr="009B546D" w:rsidRDefault="00987CDD" w:rsidP="00F432B9">
            <w:pPr>
              <w:widowControl w:val="0"/>
              <w:spacing w:after="80"/>
              <w:jc w:val="left"/>
              <w:rPr>
                <w:rFonts w:cstheme="minorHAnsi"/>
                <w:sz w:val="18"/>
                <w:szCs w:val="18"/>
              </w:rPr>
            </w:pPr>
            <w:r w:rsidRPr="009B546D">
              <w:rPr>
                <w:rFonts w:cstheme="minorHAnsi"/>
                <w:sz w:val="18"/>
                <w:szCs w:val="18"/>
              </w:rPr>
              <w:t>BDO LLP</w:t>
            </w:r>
            <w:r w:rsidRPr="009B546D">
              <w:rPr>
                <w:rFonts w:cstheme="minorHAnsi"/>
                <w:sz w:val="18"/>
                <w:szCs w:val="18"/>
              </w:rPr>
              <w:br/>
            </w:r>
            <w:r w:rsidR="00C70E40" w:rsidRPr="009B546D">
              <w:rPr>
                <w:rFonts w:cstheme="minorHAnsi"/>
                <w:sz w:val="18"/>
                <w:szCs w:val="18"/>
              </w:rPr>
              <w:t>55 Baker Street</w:t>
            </w:r>
            <w:r w:rsidRPr="009B546D">
              <w:rPr>
                <w:rFonts w:cstheme="minorHAnsi"/>
                <w:sz w:val="18"/>
                <w:szCs w:val="18"/>
              </w:rPr>
              <w:br/>
              <w:t>London</w:t>
            </w:r>
            <w:r w:rsidR="005B779C">
              <w:rPr>
                <w:rFonts w:cstheme="minorHAnsi"/>
                <w:sz w:val="18"/>
                <w:szCs w:val="18"/>
              </w:rPr>
              <w:t xml:space="preserve">, </w:t>
            </w:r>
            <w:r w:rsidR="00596727" w:rsidRPr="009B546D">
              <w:rPr>
                <w:rFonts w:cstheme="minorHAnsi"/>
                <w:sz w:val="18"/>
                <w:szCs w:val="18"/>
              </w:rPr>
              <w:t>W1U 7EU</w:t>
            </w:r>
          </w:p>
        </w:tc>
        <w:tc>
          <w:tcPr>
            <w:tcW w:w="2268" w:type="dxa"/>
            <w:gridSpan w:val="3"/>
            <w:tcBorders>
              <w:top w:val="nil"/>
              <w:left w:val="nil"/>
              <w:bottom w:val="nil"/>
              <w:right w:val="nil"/>
            </w:tcBorders>
          </w:tcPr>
          <w:p w14:paraId="6C238131" w14:textId="77777777" w:rsidR="00987CDD" w:rsidRPr="009B546D" w:rsidRDefault="00987CDD" w:rsidP="00F432B9">
            <w:pPr>
              <w:widowControl w:val="0"/>
              <w:spacing w:after="80"/>
              <w:jc w:val="left"/>
              <w:rPr>
                <w:rFonts w:cstheme="minorHAnsi"/>
                <w:sz w:val="18"/>
                <w:szCs w:val="18"/>
              </w:rPr>
            </w:pPr>
          </w:p>
        </w:tc>
        <w:tc>
          <w:tcPr>
            <w:tcW w:w="2268" w:type="dxa"/>
            <w:gridSpan w:val="2"/>
            <w:tcBorders>
              <w:top w:val="nil"/>
              <w:left w:val="nil"/>
              <w:bottom w:val="nil"/>
              <w:right w:val="nil"/>
            </w:tcBorders>
          </w:tcPr>
          <w:p w14:paraId="654501D3" w14:textId="77777777" w:rsidR="00987CDD" w:rsidRPr="009B546D" w:rsidRDefault="00987CDD" w:rsidP="00F432B9">
            <w:pPr>
              <w:widowControl w:val="0"/>
              <w:spacing w:after="80"/>
              <w:jc w:val="left"/>
              <w:rPr>
                <w:rFonts w:cstheme="minorHAnsi"/>
                <w:sz w:val="18"/>
                <w:szCs w:val="18"/>
              </w:rPr>
            </w:pPr>
          </w:p>
        </w:tc>
      </w:tr>
      <w:tr w:rsidR="00987CDD" w:rsidRPr="009B546D" w14:paraId="6FFC3277" w14:textId="49AC9EFB" w:rsidTr="003F1E89">
        <w:tc>
          <w:tcPr>
            <w:tcW w:w="1985" w:type="dxa"/>
            <w:tcBorders>
              <w:top w:val="nil"/>
              <w:left w:val="nil"/>
              <w:bottom w:val="nil"/>
              <w:right w:val="nil"/>
            </w:tcBorders>
          </w:tcPr>
          <w:p w14:paraId="5E713324" w14:textId="0B37C682" w:rsidR="00987CDD" w:rsidRPr="009B546D" w:rsidRDefault="00987CDD" w:rsidP="00F432B9">
            <w:pPr>
              <w:widowControl w:val="0"/>
              <w:spacing w:after="80"/>
              <w:rPr>
                <w:rFonts w:cstheme="minorHAnsi"/>
                <w:b/>
                <w:sz w:val="18"/>
                <w:szCs w:val="18"/>
              </w:rPr>
            </w:pPr>
            <w:r w:rsidRPr="009B546D">
              <w:rPr>
                <w:rFonts w:cstheme="minorHAnsi"/>
                <w:b/>
                <w:sz w:val="18"/>
                <w:szCs w:val="18"/>
              </w:rPr>
              <w:t>Registrars:</w:t>
            </w:r>
          </w:p>
        </w:tc>
        <w:tc>
          <w:tcPr>
            <w:tcW w:w="2977" w:type="dxa"/>
            <w:gridSpan w:val="3"/>
            <w:tcBorders>
              <w:top w:val="nil"/>
              <w:left w:val="nil"/>
              <w:bottom w:val="nil"/>
              <w:right w:val="nil"/>
            </w:tcBorders>
          </w:tcPr>
          <w:p w14:paraId="37C3DCD9" w14:textId="75C70FE4" w:rsidR="00987CDD" w:rsidRPr="009B546D" w:rsidRDefault="00987CDD" w:rsidP="00F432B9">
            <w:pPr>
              <w:widowControl w:val="0"/>
              <w:spacing w:after="80"/>
              <w:jc w:val="left"/>
              <w:rPr>
                <w:rFonts w:cstheme="minorHAnsi"/>
                <w:sz w:val="18"/>
                <w:szCs w:val="18"/>
              </w:rPr>
            </w:pPr>
            <w:r w:rsidRPr="009B546D">
              <w:rPr>
                <w:rFonts w:cstheme="minorHAnsi"/>
                <w:sz w:val="18"/>
                <w:szCs w:val="18"/>
              </w:rPr>
              <w:t>Computershare Investor Services (Cayman) Limited</w:t>
            </w:r>
            <w:r w:rsidRPr="009B546D">
              <w:rPr>
                <w:rFonts w:cstheme="minorHAnsi"/>
                <w:sz w:val="18"/>
                <w:szCs w:val="18"/>
              </w:rPr>
              <w:br/>
              <w:t>The H&amp;H Trust Co. Ltd.</w:t>
            </w:r>
            <w:r w:rsidRPr="009B546D">
              <w:rPr>
                <w:rFonts w:cstheme="minorHAnsi"/>
                <w:sz w:val="18"/>
                <w:szCs w:val="18"/>
              </w:rPr>
              <w:br/>
              <w:t>Winward 1, Regatta Office Park</w:t>
            </w:r>
            <w:r w:rsidRPr="009B546D">
              <w:rPr>
                <w:rFonts w:cstheme="minorHAnsi"/>
                <w:sz w:val="18"/>
                <w:szCs w:val="18"/>
              </w:rPr>
              <w:br/>
              <w:t>West Bay Road</w:t>
            </w:r>
            <w:r w:rsidRPr="009B546D">
              <w:rPr>
                <w:rFonts w:cstheme="minorHAnsi"/>
                <w:sz w:val="18"/>
                <w:szCs w:val="18"/>
              </w:rPr>
              <w:br/>
              <w:t>Grand Cayman KY1-1103</w:t>
            </w:r>
            <w:r w:rsidRPr="009B546D">
              <w:rPr>
                <w:rFonts w:cstheme="minorHAnsi"/>
                <w:sz w:val="18"/>
                <w:szCs w:val="18"/>
              </w:rPr>
              <w:br/>
              <w:t>Cayman Island</w:t>
            </w:r>
          </w:p>
        </w:tc>
        <w:tc>
          <w:tcPr>
            <w:tcW w:w="2268" w:type="dxa"/>
            <w:gridSpan w:val="3"/>
            <w:tcBorders>
              <w:top w:val="nil"/>
              <w:left w:val="nil"/>
              <w:bottom w:val="nil"/>
              <w:right w:val="nil"/>
            </w:tcBorders>
          </w:tcPr>
          <w:p w14:paraId="4C2B0803" w14:textId="77777777" w:rsidR="00987CDD" w:rsidRPr="009B546D" w:rsidRDefault="00987CDD" w:rsidP="00496B89">
            <w:pPr>
              <w:widowControl w:val="0"/>
              <w:spacing w:after="80"/>
              <w:jc w:val="left"/>
              <w:rPr>
                <w:rFonts w:cstheme="minorHAnsi"/>
                <w:sz w:val="18"/>
                <w:szCs w:val="18"/>
              </w:rPr>
            </w:pPr>
          </w:p>
        </w:tc>
        <w:tc>
          <w:tcPr>
            <w:tcW w:w="2268" w:type="dxa"/>
            <w:gridSpan w:val="2"/>
            <w:tcBorders>
              <w:top w:val="nil"/>
              <w:left w:val="nil"/>
              <w:bottom w:val="nil"/>
              <w:right w:val="nil"/>
            </w:tcBorders>
          </w:tcPr>
          <w:p w14:paraId="7E5BE81C" w14:textId="77777777" w:rsidR="00987CDD" w:rsidRPr="009B546D" w:rsidRDefault="00987CDD" w:rsidP="00F432B9">
            <w:pPr>
              <w:widowControl w:val="0"/>
              <w:spacing w:after="80"/>
              <w:jc w:val="left"/>
              <w:rPr>
                <w:rFonts w:cstheme="minorHAnsi"/>
                <w:sz w:val="18"/>
                <w:szCs w:val="18"/>
              </w:rPr>
            </w:pPr>
          </w:p>
        </w:tc>
      </w:tr>
      <w:tr w:rsidR="00987CDD" w:rsidRPr="009B546D" w14:paraId="12EEBF57" w14:textId="6EBB5A77" w:rsidTr="003F1E89">
        <w:tc>
          <w:tcPr>
            <w:tcW w:w="1985" w:type="dxa"/>
            <w:tcBorders>
              <w:top w:val="nil"/>
              <w:left w:val="nil"/>
              <w:bottom w:val="nil"/>
              <w:right w:val="nil"/>
            </w:tcBorders>
          </w:tcPr>
          <w:p w14:paraId="392903EE" w14:textId="2C233A5D" w:rsidR="00987CDD" w:rsidRPr="009B546D" w:rsidRDefault="00987CDD" w:rsidP="00496B89">
            <w:pPr>
              <w:widowControl w:val="0"/>
              <w:spacing w:after="80"/>
              <w:rPr>
                <w:rFonts w:cstheme="minorHAnsi"/>
                <w:b/>
                <w:sz w:val="18"/>
                <w:szCs w:val="18"/>
              </w:rPr>
            </w:pPr>
            <w:r w:rsidRPr="009B546D">
              <w:rPr>
                <w:rFonts w:cstheme="minorHAnsi"/>
                <w:b/>
                <w:sz w:val="18"/>
                <w:szCs w:val="18"/>
              </w:rPr>
              <w:t>Principal Bankers:</w:t>
            </w:r>
          </w:p>
        </w:tc>
        <w:tc>
          <w:tcPr>
            <w:tcW w:w="2977" w:type="dxa"/>
            <w:gridSpan w:val="3"/>
            <w:tcBorders>
              <w:top w:val="nil"/>
              <w:left w:val="nil"/>
              <w:bottom w:val="nil"/>
              <w:right w:val="nil"/>
            </w:tcBorders>
          </w:tcPr>
          <w:p w14:paraId="75888F4F" w14:textId="5E82BA81" w:rsidR="00987CDD" w:rsidRPr="009B546D" w:rsidRDefault="00987CDD" w:rsidP="00F432B9">
            <w:pPr>
              <w:widowControl w:val="0"/>
              <w:spacing w:after="80"/>
              <w:jc w:val="left"/>
              <w:rPr>
                <w:rFonts w:cstheme="minorHAnsi"/>
                <w:sz w:val="18"/>
                <w:szCs w:val="18"/>
              </w:rPr>
            </w:pPr>
            <w:r w:rsidRPr="009B546D">
              <w:rPr>
                <w:rFonts w:cstheme="minorHAnsi"/>
                <w:sz w:val="18"/>
                <w:szCs w:val="18"/>
              </w:rPr>
              <w:t>RHB Bank Berhad</w:t>
            </w:r>
            <w:r w:rsidRPr="009B546D">
              <w:rPr>
                <w:rFonts w:cstheme="minorHAnsi"/>
                <w:sz w:val="18"/>
                <w:szCs w:val="18"/>
              </w:rPr>
              <w:br/>
              <w:t>90 Cecil Street</w:t>
            </w:r>
            <w:r w:rsidRPr="009B546D">
              <w:rPr>
                <w:rFonts w:cstheme="minorHAnsi"/>
                <w:sz w:val="18"/>
                <w:szCs w:val="18"/>
              </w:rPr>
              <w:br/>
              <w:t>#01-00</w:t>
            </w:r>
            <w:r w:rsidRPr="009B546D">
              <w:rPr>
                <w:rFonts w:cstheme="minorHAnsi"/>
                <w:sz w:val="18"/>
                <w:szCs w:val="18"/>
              </w:rPr>
              <w:br/>
              <w:t>Singapore 069531</w:t>
            </w:r>
          </w:p>
        </w:tc>
        <w:tc>
          <w:tcPr>
            <w:tcW w:w="2268" w:type="dxa"/>
            <w:gridSpan w:val="3"/>
            <w:tcBorders>
              <w:top w:val="nil"/>
              <w:left w:val="nil"/>
              <w:bottom w:val="nil"/>
              <w:right w:val="nil"/>
            </w:tcBorders>
          </w:tcPr>
          <w:p w14:paraId="1CBD3067" w14:textId="77777777" w:rsidR="00987CDD" w:rsidRPr="009B546D" w:rsidRDefault="00987CDD" w:rsidP="00F432B9">
            <w:pPr>
              <w:widowControl w:val="0"/>
              <w:spacing w:after="80"/>
              <w:jc w:val="left"/>
              <w:rPr>
                <w:rFonts w:cstheme="minorHAnsi"/>
                <w:sz w:val="18"/>
                <w:szCs w:val="18"/>
              </w:rPr>
            </w:pPr>
          </w:p>
        </w:tc>
        <w:tc>
          <w:tcPr>
            <w:tcW w:w="2268" w:type="dxa"/>
            <w:gridSpan w:val="2"/>
            <w:tcBorders>
              <w:top w:val="nil"/>
              <w:left w:val="nil"/>
              <w:bottom w:val="nil"/>
              <w:right w:val="nil"/>
            </w:tcBorders>
          </w:tcPr>
          <w:p w14:paraId="248A80FE" w14:textId="77777777" w:rsidR="00987CDD" w:rsidRPr="009B546D" w:rsidRDefault="00987CDD" w:rsidP="00F432B9">
            <w:pPr>
              <w:widowControl w:val="0"/>
              <w:spacing w:after="80"/>
              <w:jc w:val="left"/>
              <w:rPr>
                <w:rFonts w:cstheme="minorHAnsi"/>
                <w:sz w:val="18"/>
                <w:szCs w:val="18"/>
              </w:rPr>
            </w:pPr>
          </w:p>
        </w:tc>
      </w:tr>
      <w:bookmarkEnd w:id="17"/>
    </w:tbl>
    <w:p w14:paraId="361DF73F" w14:textId="77777777" w:rsidR="00D90E1F" w:rsidRPr="009B546D" w:rsidRDefault="00D90E1F" w:rsidP="00F432B9">
      <w:pPr>
        <w:widowControl w:val="0"/>
        <w:spacing w:line="240" w:lineRule="auto"/>
        <w:jc w:val="left"/>
        <w:rPr>
          <w:rFonts w:cstheme="minorHAnsi"/>
          <w:szCs w:val="20"/>
        </w:rPr>
      </w:pPr>
      <w:r w:rsidRPr="009B546D">
        <w:rPr>
          <w:rFonts w:cstheme="minorHAnsi"/>
          <w:szCs w:val="20"/>
        </w:rPr>
        <w:br w:type="page"/>
      </w:r>
    </w:p>
    <w:p w14:paraId="36A2F4DE" w14:textId="77777777" w:rsidR="00D90E1F" w:rsidRPr="009B546D" w:rsidRDefault="00D90E1F" w:rsidP="00F432B9">
      <w:pPr>
        <w:pStyle w:val="Heading1"/>
        <w:keepNext w:val="0"/>
        <w:widowControl w:val="0"/>
        <w:spacing w:line="240" w:lineRule="auto"/>
        <w:jc w:val="center"/>
        <w:rPr>
          <w:rFonts w:asciiTheme="minorHAnsi" w:hAnsiTheme="minorHAnsi" w:cstheme="minorHAnsi"/>
          <w:sz w:val="20"/>
          <w:szCs w:val="20"/>
        </w:rPr>
      </w:pPr>
      <w:bookmarkStart w:id="19" w:name="_Toc35456736"/>
      <w:r w:rsidRPr="009B546D">
        <w:rPr>
          <w:rFonts w:asciiTheme="minorHAnsi" w:hAnsiTheme="minorHAnsi" w:cstheme="minorHAnsi"/>
          <w:sz w:val="20"/>
          <w:szCs w:val="20"/>
        </w:rPr>
        <w:lastRenderedPageBreak/>
        <w:t>Part VII</w:t>
      </w:r>
      <w:r w:rsidRPr="009B546D">
        <w:rPr>
          <w:rFonts w:asciiTheme="minorHAnsi" w:hAnsiTheme="minorHAnsi" w:cstheme="minorHAnsi"/>
          <w:sz w:val="20"/>
          <w:szCs w:val="20"/>
        </w:rPr>
        <w:br/>
        <w:t>Letter from the Chairman of AIQ Limited</w:t>
      </w:r>
      <w:bookmarkEnd w:id="19"/>
    </w:p>
    <w:p w14:paraId="2498BF58" w14:textId="77777777" w:rsidR="00D90E1F" w:rsidRPr="009B546D" w:rsidRDefault="00D90E1F" w:rsidP="00F432B9">
      <w:pPr>
        <w:widowControl w:val="0"/>
        <w:spacing w:line="240" w:lineRule="auto"/>
        <w:rPr>
          <w:rFonts w:cstheme="minorHAnsi"/>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516"/>
        <w:gridCol w:w="2495"/>
      </w:tblGrid>
      <w:tr w:rsidR="00D90E1F" w:rsidRPr="009B546D" w14:paraId="27080C41" w14:textId="77777777" w:rsidTr="007B5E1A">
        <w:tc>
          <w:tcPr>
            <w:tcW w:w="3005" w:type="dxa"/>
          </w:tcPr>
          <w:p w14:paraId="12F14C84" w14:textId="77777777" w:rsidR="00D90E1F" w:rsidRPr="009B546D" w:rsidRDefault="00D90E1F" w:rsidP="00F432B9">
            <w:pPr>
              <w:widowControl w:val="0"/>
              <w:spacing w:after="160"/>
              <w:rPr>
                <w:rFonts w:cstheme="minorHAnsi"/>
                <w:i/>
                <w:szCs w:val="20"/>
              </w:rPr>
            </w:pPr>
            <w:r w:rsidRPr="009B546D">
              <w:rPr>
                <w:rFonts w:cstheme="minorHAnsi"/>
                <w:i/>
                <w:szCs w:val="20"/>
              </w:rPr>
              <w:t>Directors:</w:t>
            </w:r>
          </w:p>
        </w:tc>
        <w:tc>
          <w:tcPr>
            <w:tcW w:w="3516" w:type="dxa"/>
          </w:tcPr>
          <w:p w14:paraId="4E112A9C" w14:textId="77777777" w:rsidR="00D90E1F" w:rsidRPr="009B546D" w:rsidRDefault="00D90E1F" w:rsidP="00F432B9">
            <w:pPr>
              <w:widowControl w:val="0"/>
              <w:spacing w:after="160"/>
              <w:rPr>
                <w:rFonts w:cstheme="minorHAnsi"/>
                <w:szCs w:val="20"/>
              </w:rPr>
            </w:pPr>
          </w:p>
        </w:tc>
        <w:tc>
          <w:tcPr>
            <w:tcW w:w="2495" w:type="dxa"/>
          </w:tcPr>
          <w:p w14:paraId="039C8788" w14:textId="77777777" w:rsidR="00D90E1F" w:rsidRPr="009B546D" w:rsidRDefault="00D90E1F" w:rsidP="00EA2BB6">
            <w:pPr>
              <w:widowControl w:val="0"/>
              <w:spacing w:after="160"/>
              <w:jc w:val="right"/>
              <w:rPr>
                <w:rFonts w:cstheme="minorHAnsi"/>
                <w:i/>
                <w:szCs w:val="20"/>
              </w:rPr>
            </w:pPr>
            <w:r w:rsidRPr="009B546D">
              <w:rPr>
                <w:rFonts w:cstheme="minorHAnsi"/>
                <w:i/>
                <w:szCs w:val="20"/>
              </w:rPr>
              <w:t>Registered Office:</w:t>
            </w:r>
          </w:p>
        </w:tc>
      </w:tr>
      <w:tr w:rsidR="00D90E1F" w:rsidRPr="009B546D" w14:paraId="1770B967" w14:textId="77777777" w:rsidTr="007B5E1A">
        <w:tc>
          <w:tcPr>
            <w:tcW w:w="3005" w:type="dxa"/>
          </w:tcPr>
          <w:p w14:paraId="2F289EE7" w14:textId="77777777" w:rsidR="004E2025" w:rsidRDefault="00D90E1F" w:rsidP="00F432B9">
            <w:pPr>
              <w:widowControl w:val="0"/>
              <w:jc w:val="left"/>
              <w:rPr>
                <w:rFonts w:cstheme="minorHAnsi"/>
                <w:szCs w:val="20"/>
              </w:rPr>
            </w:pPr>
            <w:r w:rsidRPr="009B546D">
              <w:rPr>
                <w:rFonts w:cstheme="minorHAnsi"/>
                <w:szCs w:val="20"/>
              </w:rPr>
              <w:t>Graham Duncan</w:t>
            </w:r>
            <w:r w:rsidRPr="009B546D">
              <w:rPr>
                <w:rFonts w:cstheme="minorHAnsi"/>
                <w:szCs w:val="20"/>
              </w:rPr>
              <w:br/>
              <w:t>Lee Chong Liang (“</w:t>
            </w:r>
            <w:r w:rsidRPr="00EA2BB6">
              <w:rPr>
                <w:rFonts w:cstheme="minorHAnsi"/>
                <w:b/>
                <w:bCs/>
                <w:szCs w:val="20"/>
              </w:rPr>
              <w:t>Marcus</w:t>
            </w:r>
            <w:r w:rsidRPr="009B546D">
              <w:rPr>
                <w:rFonts w:cstheme="minorHAnsi"/>
                <w:szCs w:val="20"/>
              </w:rPr>
              <w:t>”)</w:t>
            </w:r>
          </w:p>
          <w:p w14:paraId="1E894E7F" w14:textId="4464D298" w:rsidR="00D90E1F" w:rsidRPr="009B546D" w:rsidRDefault="004E2025" w:rsidP="00F432B9">
            <w:pPr>
              <w:widowControl w:val="0"/>
              <w:jc w:val="left"/>
              <w:rPr>
                <w:rFonts w:cstheme="minorHAnsi"/>
                <w:szCs w:val="20"/>
              </w:rPr>
            </w:pPr>
            <w:r w:rsidRPr="009B546D">
              <w:rPr>
                <w:rFonts w:cstheme="minorHAnsi"/>
                <w:szCs w:val="20"/>
              </w:rPr>
              <w:t>Soon Beng Gee (“</w:t>
            </w:r>
            <w:r w:rsidRPr="00EA2BB6">
              <w:rPr>
                <w:rFonts w:cstheme="minorHAnsi"/>
                <w:b/>
                <w:bCs/>
                <w:szCs w:val="20"/>
              </w:rPr>
              <w:t>Nicholas</w:t>
            </w:r>
            <w:r w:rsidRPr="009B546D">
              <w:rPr>
                <w:rFonts w:cstheme="minorHAnsi"/>
                <w:szCs w:val="20"/>
              </w:rPr>
              <w:t>”)</w:t>
            </w:r>
            <w:r w:rsidR="00D90E1F" w:rsidRPr="009B546D">
              <w:rPr>
                <w:rFonts w:cstheme="minorHAnsi"/>
                <w:szCs w:val="20"/>
              </w:rPr>
              <w:br/>
              <w:t>Harry Chathli</w:t>
            </w:r>
          </w:p>
          <w:p w14:paraId="7ACAD4A7" w14:textId="736D2547" w:rsidR="000A501A" w:rsidRPr="009B546D" w:rsidRDefault="000A501A" w:rsidP="00F432B9">
            <w:pPr>
              <w:widowControl w:val="0"/>
              <w:jc w:val="left"/>
              <w:rPr>
                <w:rFonts w:cstheme="minorHAnsi"/>
                <w:szCs w:val="20"/>
              </w:rPr>
            </w:pPr>
          </w:p>
        </w:tc>
        <w:tc>
          <w:tcPr>
            <w:tcW w:w="3516" w:type="dxa"/>
          </w:tcPr>
          <w:p w14:paraId="19EEC8B3" w14:textId="77777777" w:rsidR="004E2025" w:rsidRDefault="00D90E1F" w:rsidP="00F432B9">
            <w:pPr>
              <w:widowControl w:val="0"/>
              <w:jc w:val="left"/>
              <w:rPr>
                <w:rFonts w:cstheme="minorHAnsi"/>
                <w:szCs w:val="20"/>
              </w:rPr>
            </w:pPr>
            <w:r w:rsidRPr="009B546D">
              <w:rPr>
                <w:rFonts w:cstheme="minorHAnsi"/>
                <w:szCs w:val="20"/>
              </w:rPr>
              <w:t>Independent Non-Executive Chairman</w:t>
            </w:r>
            <w:r w:rsidRPr="009B546D">
              <w:rPr>
                <w:rFonts w:cstheme="minorHAnsi"/>
                <w:szCs w:val="20"/>
              </w:rPr>
              <w:br/>
              <w:t>Executive Director</w:t>
            </w:r>
          </w:p>
          <w:p w14:paraId="7B1C6361" w14:textId="36154A6E" w:rsidR="00D90E1F" w:rsidRPr="009B546D" w:rsidRDefault="004E2025" w:rsidP="00F432B9">
            <w:pPr>
              <w:widowControl w:val="0"/>
              <w:jc w:val="left"/>
              <w:rPr>
                <w:rFonts w:cstheme="minorHAnsi"/>
                <w:szCs w:val="20"/>
              </w:rPr>
            </w:pPr>
            <w:r w:rsidRPr="009B546D">
              <w:rPr>
                <w:rFonts w:cstheme="minorHAnsi"/>
                <w:szCs w:val="20"/>
              </w:rPr>
              <w:t>Executive Director</w:t>
            </w:r>
            <w:r w:rsidR="00D90E1F" w:rsidRPr="009B546D">
              <w:rPr>
                <w:rFonts w:cstheme="minorHAnsi"/>
                <w:szCs w:val="20"/>
              </w:rPr>
              <w:br/>
              <w:t>Independent Non-Executive Director</w:t>
            </w:r>
          </w:p>
          <w:p w14:paraId="524D0FF7" w14:textId="3D3BF899" w:rsidR="000A501A" w:rsidRPr="009B546D" w:rsidRDefault="000A501A" w:rsidP="00F432B9">
            <w:pPr>
              <w:widowControl w:val="0"/>
              <w:jc w:val="left"/>
              <w:rPr>
                <w:rFonts w:cstheme="minorHAnsi"/>
                <w:szCs w:val="20"/>
              </w:rPr>
            </w:pPr>
          </w:p>
        </w:tc>
        <w:tc>
          <w:tcPr>
            <w:tcW w:w="2495" w:type="dxa"/>
          </w:tcPr>
          <w:p w14:paraId="716A55F6" w14:textId="77777777" w:rsidR="00D90E1F" w:rsidRPr="009B546D" w:rsidRDefault="00D90E1F" w:rsidP="00F432B9">
            <w:pPr>
              <w:widowControl w:val="0"/>
              <w:spacing w:after="160"/>
              <w:jc w:val="left"/>
              <w:rPr>
                <w:rFonts w:cstheme="minorHAnsi"/>
                <w:szCs w:val="20"/>
              </w:rPr>
            </w:pPr>
            <w:r w:rsidRPr="009B546D">
              <w:rPr>
                <w:rFonts w:cstheme="minorHAnsi"/>
                <w:szCs w:val="20"/>
              </w:rPr>
              <w:t>Genesis Building, 5</w:t>
            </w:r>
            <w:r w:rsidRPr="009B546D">
              <w:rPr>
                <w:rFonts w:cstheme="minorHAnsi"/>
                <w:szCs w:val="20"/>
                <w:vertAlign w:val="superscript"/>
              </w:rPr>
              <w:t>th</w:t>
            </w:r>
            <w:r w:rsidRPr="009B546D">
              <w:rPr>
                <w:rFonts w:cstheme="minorHAnsi"/>
                <w:szCs w:val="20"/>
              </w:rPr>
              <w:t xml:space="preserve"> Floor</w:t>
            </w:r>
            <w:r w:rsidRPr="009B546D">
              <w:rPr>
                <w:rFonts w:cstheme="minorHAnsi"/>
                <w:szCs w:val="20"/>
              </w:rPr>
              <w:br/>
              <w:t>Genesis Close, PO Box 446</w:t>
            </w:r>
            <w:r w:rsidRPr="009B546D">
              <w:rPr>
                <w:rFonts w:cstheme="minorHAnsi"/>
                <w:szCs w:val="20"/>
              </w:rPr>
              <w:br/>
              <w:t>Cayman Islands, KY1-1106</w:t>
            </w:r>
          </w:p>
        </w:tc>
      </w:tr>
    </w:tbl>
    <w:p w14:paraId="3A42F550" w14:textId="77777777" w:rsidR="000A501A" w:rsidRPr="009B546D" w:rsidRDefault="000A501A" w:rsidP="00F432B9">
      <w:pPr>
        <w:widowControl w:val="0"/>
        <w:spacing w:line="240" w:lineRule="auto"/>
        <w:rPr>
          <w:rFonts w:cstheme="minorHAnsi"/>
          <w:i/>
          <w:szCs w:val="20"/>
        </w:rPr>
      </w:pPr>
    </w:p>
    <w:p w14:paraId="5A8561C8" w14:textId="30EF37B5" w:rsidR="00D90E1F" w:rsidRPr="009B546D" w:rsidRDefault="00D90E1F" w:rsidP="00F432B9">
      <w:pPr>
        <w:widowControl w:val="0"/>
        <w:spacing w:line="240" w:lineRule="auto"/>
        <w:rPr>
          <w:rFonts w:cstheme="minorHAnsi"/>
          <w:i/>
          <w:szCs w:val="20"/>
        </w:rPr>
      </w:pPr>
      <w:r w:rsidRPr="009B546D">
        <w:rPr>
          <w:rFonts w:cstheme="minorHAnsi"/>
          <w:i/>
          <w:szCs w:val="20"/>
        </w:rPr>
        <w:t>To the holders of Existing Ordinary Shares</w:t>
      </w:r>
      <w:r w:rsidR="00B575FC">
        <w:rPr>
          <w:rFonts w:cstheme="minorHAnsi"/>
          <w:i/>
          <w:szCs w:val="20"/>
        </w:rPr>
        <w:t xml:space="preserve">                                  </w:t>
      </w:r>
      <w:r w:rsidR="007A0527">
        <w:rPr>
          <w:rFonts w:cstheme="minorHAnsi"/>
          <w:i/>
          <w:szCs w:val="20"/>
        </w:rPr>
        <w:t xml:space="preserve">                                            </w:t>
      </w:r>
      <w:r w:rsidR="00B575FC">
        <w:rPr>
          <w:rFonts w:cstheme="minorHAnsi"/>
          <w:i/>
          <w:szCs w:val="20"/>
        </w:rPr>
        <w:t xml:space="preserve">      </w:t>
      </w:r>
      <w:r w:rsidR="007A0527">
        <w:rPr>
          <w:rFonts w:cstheme="minorHAnsi"/>
          <w:i/>
          <w:szCs w:val="20"/>
        </w:rPr>
        <w:t xml:space="preserve">           </w:t>
      </w:r>
      <w:r w:rsidR="00B575FC">
        <w:rPr>
          <w:rFonts w:cstheme="minorHAnsi"/>
          <w:i/>
          <w:szCs w:val="20"/>
        </w:rPr>
        <w:t xml:space="preserve">   </w:t>
      </w:r>
      <w:r w:rsidR="007D7B13" w:rsidRPr="009B546D">
        <w:rPr>
          <w:rFonts w:cstheme="minorHAnsi"/>
          <w:i/>
          <w:szCs w:val="20"/>
        </w:rPr>
        <w:t xml:space="preserve"> </w:t>
      </w:r>
      <w:r w:rsidR="00A41325">
        <w:rPr>
          <w:rFonts w:cstheme="minorHAnsi"/>
          <w:iCs/>
          <w:szCs w:val="20"/>
        </w:rPr>
        <w:t>20</w:t>
      </w:r>
      <w:r w:rsidR="000E5ED9" w:rsidRPr="009B546D">
        <w:rPr>
          <w:rFonts w:cstheme="minorHAnsi"/>
          <w:iCs/>
          <w:szCs w:val="20"/>
        </w:rPr>
        <w:t xml:space="preserve"> </w:t>
      </w:r>
      <w:r w:rsidR="00AC4951" w:rsidRPr="009B546D">
        <w:rPr>
          <w:rFonts w:cstheme="minorHAnsi"/>
          <w:iCs/>
          <w:szCs w:val="20"/>
        </w:rPr>
        <w:t xml:space="preserve">March </w:t>
      </w:r>
      <w:r w:rsidR="000E5ED9" w:rsidRPr="009B546D">
        <w:rPr>
          <w:rFonts w:cstheme="minorHAnsi"/>
          <w:iCs/>
          <w:szCs w:val="20"/>
        </w:rPr>
        <w:t>2020</w:t>
      </w:r>
    </w:p>
    <w:p w14:paraId="4A052CCB" w14:textId="77777777" w:rsidR="00D90E1F" w:rsidRPr="009B546D" w:rsidRDefault="00D90E1F" w:rsidP="00F432B9">
      <w:pPr>
        <w:widowControl w:val="0"/>
        <w:spacing w:line="240" w:lineRule="auto"/>
        <w:rPr>
          <w:rFonts w:cstheme="minorHAnsi"/>
          <w:szCs w:val="20"/>
        </w:rPr>
      </w:pPr>
      <w:r w:rsidRPr="009B546D">
        <w:rPr>
          <w:rFonts w:cstheme="minorHAnsi"/>
          <w:szCs w:val="20"/>
        </w:rPr>
        <w:t>Dear Shareholder,</w:t>
      </w:r>
    </w:p>
    <w:p w14:paraId="43943A3E" w14:textId="73BAF7C6" w:rsidR="00D90E1F" w:rsidRPr="009B546D" w:rsidRDefault="00D90E1F" w:rsidP="00F432B9">
      <w:pPr>
        <w:widowControl w:val="0"/>
        <w:spacing w:line="240" w:lineRule="auto"/>
        <w:jc w:val="center"/>
        <w:rPr>
          <w:rFonts w:cstheme="minorHAnsi"/>
          <w:b/>
          <w:szCs w:val="20"/>
        </w:rPr>
      </w:pPr>
      <w:r w:rsidRPr="009B546D">
        <w:rPr>
          <w:rFonts w:cstheme="minorHAnsi"/>
          <w:b/>
          <w:szCs w:val="20"/>
        </w:rPr>
        <w:t xml:space="preserve">Proposed Acquisition of </w:t>
      </w:r>
      <w:r w:rsidR="00AF0C4A" w:rsidRPr="009B546D">
        <w:rPr>
          <w:rFonts w:cstheme="minorHAnsi"/>
          <w:b/>
          <w:szCs w:val="20"/>
        </w:rPr>
        <w:t>Alchemist Codes</w:t>
      </w:r>
      <w:r w:rsidRPr="009B546D">
        <w:rPr>
          <w:rFonts w:cstheme="minorHAnsi"/>
          <w:b/>
          <w:szCs w:val="20"/>
        </w:rPr>
        <w:t xml:space="preserve"> Sdn Bhd</w:t>
      </w:r>
    </w:p>
    <w:p w14:paraId="288B35D7" w14:textId="77777777" w:rsidR="00D90E1F" w:rsidRPr="009B546D" w:rsidRDefault="00D90E1F" w:rsidP="00F432B9">
      <w:pPr>
        <w:widowControl w:val="0"/>
        <w:spacing w:line="240" w:lineRule="auto"/>
        <w:jc w:val="center"/>
        <w:rPr>
          <w:rFonts w:cstheme="minorHAnsi"/>
          <w:b/>
          <w:szCs w:val="20"/>
        </w:rPr>
      </w:pPr>
      <w:r w:rsidRPr="009B546D">
        <w:rPr>
          <w:rFonts w:cstheme="minorHAnsi"/>
          <w:b/>
          <w:szCs w:val="20"/>
        </w:rPr>
        <w:t>Re-Admission of the Enlarged Share Capital to the Official List (by way of Standard Listing under Chapter 14 of the Listing Rules) and to trading on the London Stock Exchange’s Main Market for listed securities</w:t>
      </w:r>
    </w:p>
    <w:p w14:paraId="7F9D405C" w14:textId="77777777" w:rsidR="00D90E1F" w:rsidRPr="009B546D" w:rsidRDefault="00D90E1F" w:rsidP="00F432B9">
      <w:pPr>
        <w:pStyle w:val="Heading2"/>
        <w:keepNext w:val="0"/>
        <w:widowControl w:val="0"/>
        <w:numPr>
          <w:ilvl w:val="0"/>
          <w:numId w:val="10"/>
        </w:numPr>
        <w:spacing w:before="0" w:after="160" w:line="240" w:lineRule="auto"/>
        <w:rPr>
          <w:rFonts w:asciiTheme="minorHAnsi" w:hAnsiTheme="minorHAnsi" w:cstheme="minorHAnsi"/>
          <w:szCs w:val="20"/>
        </w:rPr>
      </w:pPr>
      <w:r w:rsidRPr="009B546D">
        <w:rPr>
          <w:rFonts w:asciiTheme="minorHAnsi" w:hAnsiTheme="minorHAnsi" w:cstheme="minorHAnsi"/>
          <w:szCs w:val="20"/>
        </w:rPr>
        <w:t>Introduction</w:t>
      </w:r>
    </w:p>
    <w:p w14:paraId="4EBAFFA8" w14:textId="6104370F" w:rsidR="00D90E1F" w:rsidRPr="009B546D" w:rsidRDefault="00D90E1F" w:rsidP="00F432B9">
      <w:pPr>
        <w:widowControl w:val="0"/>
        <w:spacing w:line="240" w:lineRule="auto"/>
        <w:rPr>
          <w:rFonts w:cstheme="minorHAnsi"/>
          <w:szCs w:val="20"/>
        </w:rPr>
      </w:pPr>
      <w:r w:rsidRPr="009B546D">
        <w:rPr>
          <w:rFonts w:cstheme="minorHAnsi"/>
          <w:szCs w:val="20"/>
        </w:rPr>
        <w:t xml:space="preserve">The Company announced on </w:t>
      </w:r>
      <w:r w:rsidR="004D722B">
        <w:rPr>
          <w:rFonts w:cstheme="minorHAnsi"/>
          <w:szCs w:val="20"/>
        </w:rPr>
        <w:t>16 September</w:t>
      </w:r>
      <w:r w:rsidR="009F37C0">
        <w:rPr>
          <w:rFonts w:cstheme="minorHAnsi"/>
          <w:szCs w:val="20"/>
        </w:rPr>
        <w:t xml:space="preserve"> 20</w:t>
      </w:r>
      <w:r w:rsidR="004D722B">
        <w:rPr>
          <w:rFonts w:cstheme="minorHAnsi"/>
          <w:szCs w:val="20"/>
        </w:rPr>
        <w:t>19</w:t>
      </w:r>
      <w:r w:rsidRPr="009B546D">
        <w:rPr>
          <w:rFonts w:cstheme="minorHAnsi"/>
          <w:szCs w:val="20"/>
        </w:rPr>
        <w:t xml:space="preserve"> that it had conditionally agreed to acquire the entire issued share capital of </w:t>
      </w:r>
      <w:r w:rsidR="00AF0C4A" w:rsidRPr="009B546D">
        <w:rPr>
          <w:rFonts w:cstheme="minorHAnsi"/>
          <w:szCs w:val="20"/>
        </w:rPr>
        <w:t>Alchemist Codes</w:t>
      </w:r>
      <w:r w:rsidRPr="009B546D">
        <w:rPr>
          <w:rFonts w:cstheme="minorHAnsi"/>
          <w:szCs w:val="20"/>
        </w:rPr>
        <w:t xml:space="preserve"> from the Sellers, the consideration for which is</w:t>
      </w:r>
      <w:r w:rsidR="00580EC1" w:rsidRPr="009B546D">
        <w:rPr>
          <w:rFonts w:cstheme="minorHAnsi"/>
          <w:szCs w:val="20"/>
        </w:rPr>
        <w:t xml:space="preserve"> approximately</w:t>
      </w:r>
      <w:r w:rsidRPr="009B546D">
        <w:rPr>
          <w:rFonts w:cstheme="minorHAnsi"/>
          <w:szCs w:val="20"/>
        </w:rPr>
        <w:t xml:space="preserve"> £</w:t>
      </w:r>
      <w:r w:rsidR="00971F0D" w:rsidRPr="009B546D">
        <w:rPr>
          <w:rFonts w:cstheme="minorHAnsi"/>
          <w:szCs w:val="20"/>
        </w:rPr>
        <w:t>2.3</w:t>
      </w:r>
      <w:r w:rsidRPr="009B546D">
        <w:rPr>
          <w:rFonts w:cstheme="minorHAnsi"/>
          <w:szCs w:val="20"/>
        </w:rPr>
        <w:t xml:space="preserve"> million</w:t>
      </w:r>
      <w:r w:rsidR="000E5ED9" w:rsidRPr="009B546D">
        <w:rPr>
          <w:rFonts w:cstheme="minorHAnsi"/>
          <w:szCs w:val="20"/>
        </w:rPr>
        <w:t>,</w:t>
      </w:r>
      <w:r w:rsidRPr="009B546D">
        <w:rPr>
          <w:rFonts w:cstheme="minorHAnsi"/>
          <w:szCs w:val="20"/>
        </w:rPr>
        <w:t xml:space="preserve"> to be satisfied by the issue and allotment to the Sellers of the Consideration Shares at the price of </w:t>
      </w:r>
      <w:r w:rsidR="00971F0D" w:rsidRPr="009B546D">
        <w:rPr>
          <w:rFonts w:cstheme="minorHAnsi"/>
          <w:szCs w:val="20"/>
        </w:rPr>
        <w:t>17.8p</w:t>
      </w:r>
      <w:r w:rsidRPr="009B546D">
        <w:rPr>
          <w:rFonts w:cstheme="minorHAnsi"/>
          <w:szCs w:val="20"/>
        </w:rPr>
        <w:t xml:space="preserve"> per Ordinary Share. The </w:t>
      </w:r>
      <w:r w:rsidR="00804BC6" w:rsidRPr="009B546D">
        <w:rPr>
          <w:rFonts w:cstheme="minorHAnsi"/>
          <w:szCs w:val="20"/>
        </w:rPr>
        <w:t>Proposed Acquisition</w:t>
      </w:r>
      <w:r w:rsidRPr="009B546D">
        <w:rPr>
          <w:rFonts w:cstheme="minorHAnsi"/>
          <w:szCs w:val="20"/>
        </w:rPr>
        <w:t xml:space="preserve"> is conditional, </w:t>
      </w:r>
      <w:r w:rsidRPr="009B546D">
        <w:rPr>
          <w:rFonts w:cstheme="minorHAnsi"/>
          <w:i/>
          <w:iCs/>
          <w:szCs w:val="20"/>
        </w:rPr>
        <w:t>inter alia</w:t>
      </w:r>
      <w:r w:rsidRPr="009B546D">
        <w:rPr>
          <w:rFonts w:cstheme="minorHAnsi"/>
          <w:szCs w:val="20"/>
        </w:rPr>
        <w:t xml:space="preserve">, upon Re-Admission and should it complete, the Enlarged Group </w:t>
      </w:r>
      <w:r w:rsidR="004A76A4" w:rsidRPr="009B546D">
        <w:rPr>
          <w:rFonts w:cstheme="minorHAnsi"/>
          <w:szCs w:val="20"/>
        </w:rPr>
        <w:t xml:space="preserve">will become </w:t>
      </w:r>
      <w:r w:rsidR="00A6149A" w:rsidRPr="009B546D">
        <w:rPr>
          <w:rFonts w:cstheme="minorHAnsi"/>
          <w:szCs w:val="20"/>
        </w:rPr>
        <w:t xml:space="preserve">a company </w:t>
      </w:r>
      <w:r w:rsidR="004A76A4" w:rsidRPr="009B546D">
        <w:rPr>
          <w:rFonts w:cstheme="minorHAnsi"/>
          <w:szCs w:val="20"/>
        </w:rPr>
        <w:t xml:space="preserve">focused on development of comprehensive information technology solutions and the development of an </w:t>
      </w:r>
      <w:r w:rsidR="00CA0EBC" w:rsidRPr="009B546D">
        <w:rPr>
          <w:rFonts w:cstheme="minorHAnsi"/>
          <w:szCs w:val="20"/>
        </w:rPr>
        <w:t>e-commerce</w:t>
      </w:r>
      <w:r w:rsidR="004A76A4" w:rsidRPr="009B546D">
        <w:rPr>
          <w:rFonts w:cstheme="minorHAnsi"/>
          <w:szCs w:val="20"/>
        </w:rPr>
        <w:t xml:space="preserve"> application called OCTAPLUS</w:t>
      </w:r>
      <w:r w:rsidR="00A6149A" w:rsidRPr="009B546D">
        <w:rPr>
          <w:rFonts w:cstheme="minorHAnsi"/>
          <w:szCs w:val="20"/>
        </w:rPr>
        <w:t>.</w:t>
      </w:r>
    </w:p>
    <w:p w14:paraId="76EEC225" w14:textId="7B678906" w:rsidR="00D90E1F" w:rsidRPr="009B546D" w:rsidRDefault="00D90E1F" w:rsidP="00F432B9">
      <w:pPr>
        <w:widowControl w:val="0"/>
        <w:spacing w:line="240" w:lineRule="auto"/>
        <w:rPr>
          <w:rFonts w:cstheme="minorHAnsi"/>
          <w:szCs w:val="20"/>
        </w:rPr>
      </w:pPr>
      <w:r w:rsidRPr="009B546D">
        <w:rPr>
          <w:rFonts w:cstheme="minorHAnsi"/>
          <w:szCs w:val="20"/>
        </w:rPr>
        <w:t xml:space="preserve">The purpose of this Prospectus is to explain the background to and reasons for the </w:t>
      </w:r>
      <w:r w:rsidR="00804BC6" w:rsidRPr="009B546D">
        <w:rPr>
          <w:rFonts w:cstheme="minorHAnsi"/>
          <w:szCs w:val="20"/>
        </w:rPr>
        <w:t>Proposed Acquisition</w:t>
      </w:r>
      <w:r w:rsidRPr="009B546D">
        <w:rPr>
          <w:rFonts w:cstheme="minorHAnsi"/>
          <w:szCs w:val="20"/>
        </w:rPr>
        <w:t xml:space="preserve">, which is in line with the Company’s strategy. The </w:t>
      </w:r>
      <w:r w:rsidR="00804BC6" w:rsidRPr="009B546D">
        <w:rPr>
          <w:rFonts w:cstheme="minorHAnsi"/>
          <w:szCs w:val="20"/>
        </w:rPr>
        <w:t>Proposed Acquisition</w:t>
      </w:r>
      <w:r w:rsidRPr="009B546D">
        <w:rPr>
          <w:rFonts w:cstheme="minorHAnsi"/>
          <w:szCs w:val="20"/>
        </w:rPr>
        <w:t xml:space="preserve">, if completed, will constitute a Reverse Takeover under the Listing Rules because of the size of </w:t>
      </w:r>
      <w:r w:rsidR="00AF0C4A" w:rsidRPr="009B546D">
        <w:rPr>
          <w:rFonts w:cstheme="minorHAnsi"/>
          <w:szCs w:val="20"/>
        </w:rPr>
        <w:t>Alchemist Codes</w:t>
      </w:r>
      <w:r w:rsidRPr="009B546D">
        <w:rPr>
          <w:rFonts w:cstheme="minorHAnsi"/>
          <w:szCs w:val="20"/>
        </w:rPr>
        <w:t xml:space="preserve"> in relation to that of the Company</w:t>
      </w:r>
      <w:r w:rsidR="000E5ED9" w:rsidRPr="009B546D">
        <w:rPr>
          <w:rFonts w:cstheme="minorHAnsi"/>
          <w:szCs w:val="20"/>
        </w:rPr>
        <w:t>,</w:t>
      </w:r>
      <w:r w:rsidRPr="009B546D">
        <w:rPr>
          <w:rFonts w:cstheme="minorHAnsi"/>
          <w:szCs w:val="20"/>
        </w:rPr>
        <w:t xml:space="preserve"> and the fact that it will give rise to a fundamental change to the business, board composition and voting control of the Company resulting in the Company becoming an operating company. However, the consideration for the </w:t>
      </w:r>
      <w:r w:rsidR="00804BC6" w:rsidRPr="009B546D">
        <w:rPr>
          <w:rFonts w:cstheme="minorHAnsi"/>
          <w:szCs w:val="20"/>
        </w:rPr>
        <w:t>Proposed Acquisition</w:t>
      </w:r>
      <w:r w:rsidRPr="009B546D">
        <w:rPr>
          <w:rFonts w:cstheme="minorHAnsi"/>
          <w:szCs w:val="20"/>
        </w:rPr>
        <w:t>, payable entirely in the Company’s shares</w:t>
      </w:r>
      <w:r w:rsidR="00D426F3" w:rsidRPr="009B546D">
        <w:rPr>
          <w:rFonts w:cstheme="minorHAnsi"/>
          <w:szCs w:val="20"/>
        </w:rPr>
        <w:t>,</w:t>
      </w:r>
      <w:r w:rsidRPr="009B546D">
        <w:rPr>
          <w:rFonts w:cstheme="minorHAnsi"/>
          <w:szCs w:val="20"/>
        </w:rPr>
        <w:t xml:space="preserve"> is capable of being effected under the Company’s existing share authorities and so shareholder approval is not required. </w:t>
      </w:r>
    </w:p>
    <w:p w14:paraId="409AF7C8" w14:textId="40176B86" w:rsidR="00D90E1F" w:rsidRPr="009B546D" w:rsidRDefault="00D90E1F" w:rsidP="00F432B9">
      <w:pPr>
        <w:pStyle w:val="Heading2"/>
        <w:keepNext w:val="0"/>
        <w:widowControl w:val="0"/>
        <w:numPr>
          <w:ilvl w:val="0"/>
          <w:numId w:val="10"/>
        </w:numPr>
        <w:spacing w:before="0" w:after="160" w:line="240" w:lineRule="auto"/>
        <w:rPr>
          <w:rFonts w:asciiTheme="minorHAnsi" w:hAnsiTheme="minorHAnsi" w:cstheme="minorHAnsi"/>
          <w:szCs w:val="20"/>
        </w:rPr>
      </w:pPr>
      <w:r w:rsidRPr="009B546D">
        <w:rPr>
          <w:rFonts w:asciiTheme="minorHAnsi" w:hAnsiTheme="minorHAnsi" w:cstheme="minorHAnsi"/>
          <w:szCs w:val="20"/>
        </w:rPr>
        <w:t xml:space="preserve">Details of the </w:t>
      </w:r>
      <w:r w:rsidR="00804BC6" w:rsidRPr="009B546D">
        <w:rPr>
          <w:rFonts w:asciiTheme="minorHAnsi" w:hAnsiTheme="minorHAnsi" w:cstheme="minorHAnsi"/>
          <w:szCs w:val="20"/>
        </w:rPr>
        <w:t>Proposed Acquisition</w:t>
      </w:r>
    </w:p>
    <w:p w14:paraId="40F50665" w14:textId="34F5FE31" w:rsidR="00D90E1F" w:rsidRPr="009B546D" w:rsidRDefault="00D90E1F" w:rsidP="00F432B9">
      <w:pPr>
        <w:widowControl w:val="0"/>
        <w:spacing w:line="240" w:lineRule="auto"/>
        <w:rPr>
          <w:rFonts w:cstheme="minorHAnsi"/>
          <w:szCs w:val="20"/>
        </w:rPr>
      </w:pPr>
      <w:r w:rsidRPr="009B546D">
        <w:rPr>
          <w:rFonts w:cstheme="minorHAnsi"/>
          <w:szCs w:val="20"/>
        </w:rPr>
        <w:t>On</w:t>
      </w:r>
      <w:r w:rsidR="00902A26" w:rsidRPr="009B546D">
        <w:rPr>
          <w:rFonts w:cstheme="minorHAnsi"/>
          <w:szCs w:val="20"/>
        </w:rPr>
        <w:t xml:space="preserve"> </w:t>
      </w:r>
      <w:r w:rsidR="00DB0E8E" w:rsidRPr="009B546D">
        <w:rPr>
          <w:rFonts w:cstheme="minorHAnsi"/>
          <w:szCs w:val="20"/>
        </w:rPr>
        <w:t>16 September</w:t>
      </w:r>
      <w:r w:rsidR="00902A26" w:rsidRPr="009B546D">
        <w:rPr>
          <w:rFonts w:cstheme="minorHAnsi"/>
          <w:szCs w:val="20"/>
        </w:rPr>
        <w:t xml:space="preserve"> 2019</w:t>
      </w:r>
      <w:r w:rsidRPr="009B546D">
        <w:rPr>
          <w:rFonts w:cstheme="minorHAnsi"/>
          <w:szCs w:val="20"/>
        </w:rPr>
        <w:t xml:space="preserve">, the Company announced that it had signed Head of Terms regarding the potential </w:t>
      </w:r>
      <w:r w:rsidR="00804BC6" w:rsidRPr="009B546D">
        <w:rPr>
          <w:rFonts w:cstheme="minorHAnsi"/>
          <w:szCs w:val="20"/>
        </w:rPr>
        <w:t>Proposed Acquisition</w:t>
      </w:r>
      <w:r w:rsidRPr="009B546D">
        <w:rPr>
          <w:rFonts w:cstheme="minorHAnsi"/>
          <w:szCs w:val="20"/>
        </w:rPr>
        <w:t xml:space="preserve"> of </w:t>
      </w:r>
      <w:r w:rsidR="00AF0C4A" w:rsidRPr="009B546D">
        <w:rPr>
          <w:rFonts w:cstheme="minorHAnsi"/>
          <w:szCs w:val="20"/>
        </w:rPr>
        <w:t>Alchemist Codes</w:t>
      </w:r>
      <w:r w:rsidRPr="009B546D">
        <w:rPr>
          <w:rFonts w:cstheme="minorHAnsi"/>
          <w:szCs w:val="20"/>
        </w:rPr>
        <w:t>.</w:t>
      </w:r>
      <w:r w:rsidR="00DB0E8E" w:rsidRPr="009B546D">
        <w:rPr>
          <w:rFonts w:cstheme="minorHAnsi"/>
          <w:szCs w:val="20"/>
        </w:rPr>
        <w:t xml:space="preserve"> </w:t>
      </w:r>
      <w:r w:rsidRPr="009B546D">
        <w:rPr>
          <w:rFonts w:cstheme="minorHAnsi"/>
          <w:szCs w:val="20"/>
        </w:rPr>
        <w:t>On</w:t>
      </w:r>
      <w:r w:rsidR="00902A26" w:rsidRPr="009B546D">
        <w:rPr>
          <w:rFonts w:cstheme="minorHAnsi"/>
          <w:szCs w:val="20"/>
        </w:rPr>
        <w:t xml:space="preserve"> </w:t>
      </w:r>
      <w:r w:rsidR="009F37C0">
        <w:rPr>
          <w:rFonts w:cstheme="minorHAnsi"/>
          <w:szCs w:val="20"/>
        </w:rPr>
        <w:t>20</w:t>
      </w:r>
      <w:r w:rsidR="00902A26" w:rsidRPr="009B546D">
        <w:rPr>
          <w:rFonts w:cstheme="minorHAnsi"/>
          <w:szCs w:val="20"/>
        </w:rPr>
        <w:t xml:space="preserve"> </w:t>
      </w:r>
      <w:r w:rsidR="00EB45DD" w:rsidRPr="009B546D">
        <w:rPr>
          <w:rFonts w:cstheme="minorHAnsi"/>
          <w:szCs w:val="20"/>
        </w:rPr>
        <w:t xml:space="preserve">March </w:t>
      </w:r>
      <w:r w:rsidR="00F54D9C" w:rsidRPr="009B546D">
        <w:rPr>
          <w:rFonts w:cstheme="minorHAnsi"/>
          <w:szCs w:val="20"/>
        </w:rPr>
        <w:t>2020</w:t>
      </w:r>
      <w:r w:rsidRPr="009B546D">
        <w:rPr>
          <w:rFonts w:cstheme="minorHAnsi"/>
          <w:szCs w:val="20"/>
        </w:rPr>
        <w:t xml:space="preserve">, the Company announced that it had signed </w:t>
      </w:r>
      <w:r w:rsidR="00DB0E8E" w:rsidRPr="009B546D">
        <w:rPr>
          <w:rFonts w:cstheme="minorHAnsi"/>
          <w:szCs w:val="20"/>
        </w:rPr>
        <w:t xml:space="preserve">a conditional </w:t>
      </w:r>
      <w:r w:rsidR="00481309" w:rsidRPr="009B546D">
        <w:rPr>
          <w:rFonts w:cstheme="minorHAnsi"/>
          <w:szCs w:val="20"/>
        </w:rPr>
        <w:t>Acquisition Agreement</w:t>
      </w:r>
      <w:r w:rsidR="00DB0E8E" w:rsidRPr="009B546D">
        <w:rPr>
          <w:rFonts w:cstheme="minorHAnsi"/>
          <w:szCs w:val="20"/>
        </w:rPr>
        <w:t xml:space="preserve"> </w:t>
      </w:r>
      <w:r w:rsidRPr="009B546D">
        <w:rPr>
          <w:rFonts w:cstheme="minorHAnsi"/>
          <w:szCs w:val="20"/>
        </w:rPr>
        <w:t xml:space="preserve">to acquire the entire issued share capital of </w:t>
      </w:r>
      <w:r w:rsidR="00AF0C4A" w:rsidRPr="009B546D">
        <w:rPr>
          <w:rFonts w:cstheme="minorHAnsi"/>
          <w:szCs w:val="20"/>
        </w:rPr>
        <w:t>Alchemist Codes</w:t>
      </w:r>
      <w:r w:rsidRPr="009B546D">
        <w:rPr>
          <w:rFonts w:cstheme="minorHAnsi"/>
          <w:szCs w:val="20"/>
        </w:rPr>
        <w:t>, a</w:t>
      </w:r>
      <w:r w:rsidR="00A6149A" w:rsidRPr="009B546D">
        <w:rPr>
          <w:rFonts w:cstheme="minorHAnsi"/>
          <w:szCs w:val="20"/>
        </w:rPr>
        <w:t xml:space="preserve"> Malaysia</w:t>
      </w:r>
      <w:r w:rsidR="00C01FF6" w:rsidRPr="009B546D">
        <w:rPr>
          <w:rFonts w:cstheme="minorHAnsi"/>
          <w:szCs w:val="20"/>
        </w:rPr>
        <w:t>n</w:t>
      </w:r>
      <w:r w:rsidR="00A6149A" w:rsidRPr="009B546D">
        <w:rPr>
          <w:rFonts w:cstheme="minorHAnsi"/>
          <w:szCs w:val="20"/>
        </w:rPr>
        <w:t xml:space="preserve"> based </w:t>
      </w:r>
      <w:r w:rsidR="009B6F42" w:rsidRPr="009B546D">
        <w:rPr>
          <w:rFonts w:cstheme="minorHAnsi"/>
          <w:szCs w:val="20"/>
        </w:rPr>
        <w:t xml:space="preserve">company focused on development of comprehensive information technology solutions and the development of an </w:t>
      </w:r>
      <w:r w:rsidR="00CA0EBC" w:rsidRPr="009B546D">
        <w:rPr>
          <w:rFonts w:cstheme="minorHAnsi"/>
          <w:szCs w:val="20"/>
        </w:rPr>
        <w:t>e-commerce</w:t>
      </w:r>
      <w:r w:rsidR="009B6F42" w:rsidRPr="009B546D">
        <w:rPr>
          <w:rFonts w:cstheme="minorHAnsi"/>
          <w:szCs w:val="20"/>
        </w:rPr>
        <w:t xml:space="preserve"> application called OCTAPLUS</w:t>
      </w:r>
      <w:r w:rsidRPr="009B546D">
        <w:rPr>
          <w:rFonts w:cstheme="minorHAnsi"/>
          <w:szCs w:val="20"/>
        </w:rPr>
        <w:t>.</w:t>
      </w:r>
    </w:p>
    <w:p w14:paraId="5494CEE5" w14:textId="5D9E21C1" w:rsidR="001B4E74" w:rsidRPr="009B546D" w:rsidRDefault="001B4E74" w:rsidP="00F432B9">
      <w:pPr>
        <w:widowControl w:val="0"/>
        <w:spacing w:line="240" w:lineRule="auto"/>
        <w:rPr>
          <w:rFonts w:cstheme="minorHAnsi"/>
          <w:szCs w:val="20"/>
        </w:rPr>
      </w:pPr>
      <w:r w:rsidRPr="009B546D">
        <w:rPr>
          <w:rFonts w:cstheme="minorHAnsi"/>
          <w:szCs w:val="20"/>
        </w:rPr>
        <w:t>The Sellers of Alchemist codes are:</w:t>
      </w:r>
    </w:p>
    <w:tbl>
      <w:tblPr>
        <w:tblW w:w="3520" w:type="dxa"/>
        <w:tblLook w:val="04A0" w:firstRow="1" w:lastRow="0" w:firstColumn="1" w:lastColumn="0" w:noHBand="0" w:noVBand="1"/>
      </w:tblPr>
      <w:tblGrid>
        <w:gridCol w:w="3520"/>
      </w:tblGrid>
      <w:tr w:rsidR="00B000B0" w:rsidRPr="009B546D" w14:paraId="397F725E" w14:textId="77777777" w:rsidTr="00B000B0">
        <w:trPr>
          <w:trHeight w:val="225"/>
        </w:trPr>
        <w:tc>
          <w:tcPr>
            <w:tcW w:w="3520" w:type="dxa"/>
            <w:tcBorders>
              <w:top w:val="nil"/>
              <w:left w:val="nil"/>
              <w:bottom w:val="nil"/>
              <w:right w:val="nil"/>
            </w:tcBorders>
            <w:shd w:val="clear" w:color="auto" w:fill="auto"/>
            <w:noWrap/>
            <w:vAlign w:val="bottom"/>
            <w:hideMark/>
          </w:tcPr>
          <w:p w14:paraId="1910EDCC" w14:textId="4920615A" w:rsidR="00B000B0" w:rsidRPr="009B546D" w:rsidRDefault="001F7270" w:rsidP="00EA2BB6">
            <w:pPr>
              <w:spacing w:after="0"/>
            </w:pPr>
            <w:r w:rsidRPr="009B546D">
              <w:t>Soctech Capital Fund</w:t>
            </w:r>
          </w:p>
        </w:tc>
      </w:tr>
      <w:tr w:rsidR="00B000B0" w:rsidRPr="009B546D" w14:paraId="3DEAFDE5" w14:textId="77777777" w:rsidTr="00B000B0">
        <w:trPr>
          <w:trHeight w:val="225"/>
        </w:trPr>
        <w:tc>
          <w:tcPr>
            <w:tcW w:w="3520" w:type="dxa"/>
            <w:tcBorders>
              <w:top w:val="nil"/>
              <w:left w:val="nil"/>
              <w:bottom w:val="nil"/>
              <w:right w:val="nil"/>
            </w:tcBorders>
            <w:shd w:val="clear" w:color="auto" w:fill="auto"/>
            <w:noWrap/>
            <w:vAlign w:val="bottom"/>
            <w:hideMark/>
          </w:tcPr>
          <w:p w14:paraId="69535B85" w14:textId="254EAEEC" w:rsidR="00B000B0" w:rsidRPr="009B546D" w:rsidRDefault="00B000B0" w:rsidP="00EA2BB6">
            <w:pPr>
              <w:spacing w:after="0"/>
            </w:pPr>
            <w:bookmarkStart w:id="20" w:name="_Toc30454822"/>
            <w:r w:rsidRPr="009B546D">
              <w:t>Teong Tiek Wah</w:t>
            </w:r>
            <w:bookmarkEnd w:id="20"/>
            <w:r w:rsidRPr="009B546D">
              <w:t xml:space="preserve"> </w:t>
            </w:r>
          </w:p>
        </w:tc>
      </w:tr>
      <w:tr w:rsidR="00B000B0" w:rsidRPr="009B546D" w14:paraId="571BDCC0" w14:textId="77777777" w:rsidTr="00B000B0">
        <w:trPr>
          <w:trHeight w:val="225"/>
        </w:trPr>
        <w:tc>
          <w:tcPr>
            <w:tcW w:w="3520" w:type="dxa"/>
            <w:tcBorders>
              <w:top w:val="nil"/>
              <w:left w:val="nil"/>
              <w:bottom w:val="nil"/>
              <w:right w:val="nil"/>
            </w:tcBorders>
            <w:shd w:val="clear" w:color="auto" w:fill="auto"/>
            <w:noWrap/>
            <w:vAlign w:val="bottom"/>
            <w:hideMark/>
          </w:tcPr>
          <w:p w14:paraId="7B1B0857" w14:textId="56994B68" w:rsidR="00B000B0" w:rsidRPr="009B546D" w:rsidRDefault="00B000B0" w:rsidP="00EA2BB6">
            <w:pPr>
              <w:spacing w:after="0"/>
            </w:pPr>
            <w:bookmarkStart w:id="21" w:name="_Toc30454823"/>
            <w:r w:rsidRPr="009B546D">
              <w:t>Charles Yong</w:t>
            </w:r>
            <w:r w:rsidR="005D5397" w:rsidRPr="009B546D">
              <w:t xml:space="preserve"> Kai </w:t>
            </w:r>
            <w:r w:rsidR="000C3A4F" w:rsidRPr="009B546D">
              <w:t>Y</w:t>
            </w:r>
            <w:r w:rsidR="005D5397" w:rsidRPr="009B546D">
              <w:t>ee</w:t>
            </w:r>
            <w:bookmarkEnd w:id="21"/>
            <w:r w:rsidRPr="009B546D">
              <w:t xml:space="preserve"> </w:t>
            </w:r>
          </w:p>
        </w:tc>
      </w:tr>
      <w:tr w:rsidR="00B000B0" w:rsidRPr="009B546D" w14:paraId="4577BFDE" w14:textId="77777777" w:rsidTr="00B000B0">
        <w:trPr>
          <w:trHeight w:val="225"/>
        </w:trPr>
        <w:tc>
          <w:tcPr>
            <w:tcW w:w="3520" w:type="dxa"/>
            <w:tcBorders>
              <w:top w:val="nil"/>
              <w:left w:val="nil"/>
              <w:bottom w:val="nil"/>
              <w:right w:val="nil"/>
            </w:tcBorders>
            <w:shd w:val="clear" w:color="auto" w:fill="auto"/>
            <w:noWrap/>
            <w:vAlign w:val="bottom"/>
            <w:hideMark/>
          </w:tcPr>
          <w:p w14:paraId="62F0A85C" w14:textId="5C256FD9" w:rsidR="00B000B0" w:rsidRPr="009B546D" w:rsidRDefault="00B000B0" w:rsidP="00EA2BB6">
            <w:pPr>
              <w:spacing w:after="0"/>
            </w:pPr>
            <w:bookmarkStart w:id="22" w:name="_Toc30454824"/>
            <w:r w:rsidRPr="009B546D">
              <w:t>Chau Hut Lim</w:t>
            </w:r>
            <w:bookmarkEnd w:id="22"/>
            <w:r w:rsidR="00B575FC">
              <w:t xml:space="preserve"> </w:t>
            </w:r>
          </w:p>
        </w:tc>
      </w:tr>
      <w:tr w:rsidR="00B000B0" w:rsidRPr="009B546D" w14:paraId="45DB3B69" w14:textId="77777777" w:rsidTr="00B000B0">
        <w:trPr>
          <w:trHeight w:val="225"/>
        </w:trPr>
        <w:tc>
          <w:tcPr>
            <w:tcW w:w="3520" w:type="dxa"/>
            <w:tcBorders>
              <w:top w:val="nil"/>
              <w:left w:val="nil"/>
              <w:bottom w:val="nil"/>
              <w:right w:val="nil"/>
            </w:tcBorders>
            <w:shd w:val="clear" w:color="auto" w:fill="auto"/>
            <w:noWrap/>
            <w:vAlign w:val="bottom"/>
            <w:hideMark/>
          </w:tcPr>
          <w:p w14:paraId="091BF950" w14:textId="2340ADB4" w:rsidR="00B000B0" w:rsidRPr="009B546D" w:rsidRDefault="00B000B0" w:rsidP="00EA2BB6">
            <w:pPr>
              <w:spacing w:after="0"/>
            </w:pPr>
            <w:bookmarkStart w:id="23" w:name="_Toc30454825"/>
            <w:r w:rsidRPr="009B546D">
              <w:t>Yu Song</w:t>
            </w:r>
            <w:bookmarkEnd w:id="23"/>
            <w:r w:rsidR="00B575FC">
              <w:t xml:space="preserve"> </w:t>
            </w:r>
          </w:p>
          <w:p w14:paraId="2F6BC44B" w14:textId="77777777" w:rsidR="003610CA" w:rsidRPr="009B546D" w:rsidRDefault="003610CA" w:rsidP="00EA2BB6">
            <w:pPr>
              <w:spacing w:after="0"/>
            </w:pPr>
          </w:p>
          <w:p w14:paraId="1E087773" w14:textId="2C6A67C7" w:rsidR="00973FA7" w:rsidRPr="009B546D" w:rsidRDefault="00973FA7" w:rsidP="00EA2BB6">
            <w:pPr>
              <w:spacing w:after="0"/>
            </w:pPr>
          </w:p>
        </w:tc>
      </w:tr>
    </w:tbl>
    <w:p w14:paraId="13031E18" w14:textId="104C57CA" w:rsidR="00D90E1F" w:rsidRPr="009B546D" w:rsidRDefault="00D90E1F" w:rsidP="00F432B9">
      <w:pPr>
        <w:widowControl w:val="0"/>
        <w:spacing w:line="240" w:lineRule="auto"/>
        <w:rPr>
          <w:rFonts w:cstheme="minorHAnsi"/>
          <w:szCs w:val="20"/>
        </w:rPr>
      </w:pPr>
      <w:r w:rsidRPr="009B546D">
        <w:rPr>
          <w:rFonts w:cstheme="minorHAnsi"/>
          <w:szCs w:val="20"/>
        </w:rPr>
        <w:t xml:space="preserve">The </w:t>
      </w:r>
      <w:r w:rsidR="00804BC6" w:rsidRPr="009B546D">
        <w:rPr>
          <w:rFonts w:cstheme="minorHAnsi"/>
          <w:szCs w:val="20"/>
        </w:rPr>
        <w:t>Proposed Acquisition</w:t>
      </w:r>
      <w:r w:rsidRPr="009B546D">
        <w:rPr>
          <w:rFonts w:cstheme="minorHAnsi"/>
          <w:szCs w:val="20"/>
        </w:rPr>
        <w:t xml:space="preserve"> constitutes a Reverse Takeover under the Listing Rules since, </w:t>
      </w:r>
      <w:r w:rsidRPr="009B546D">
        <w:rPr>
          <w:rFonts w:cstheme="minorHAnsi"/>
          <w:i/>
          <w:szCs w:val="20"/>
        </w:rPr>
        <w:t>inter alia</w:t>
      </w:r>
      <w:r w:rsidRPr="009B546D">
        <w:rPr>
          <w:rFonts w:cstheme="minorHAnsi"/>
          <w:szCs w:val="20"/>
        </w:rPr>
        <w:t>, in substance it results in a fundamental change in the business of the issuer.</w:t>
      </w:r>
    </w:p>
    <w:p w14:paraId="7B86AFCD" w14:textId="63367937" w:rsidR="00D90E1F" w:rsidRPr="009B546D" w:rsidRDefault="00D90E1F" w:rsidP="00F432B9">
      <w:pPr>
        <w:widowControl w:val="0"/>
        <w:spacing w:line="240" w:lineRule="auto"/>
        <w:rPr>
          <w:rFonts w:cstheme="minorHAnsi"/>
          <w:szCs w:val="20"/>
        </w:rPr>
      </w:pPr>
      <w:r w:rsidRPr="009B546D">
        <w:rPr>
          <w:rFonts w:cstheme="minorHAnsi"/>
          <w:szCs w:val="20"/>
        </w:rPr>
        <w:t xml:space="preserve">The consideration for the </w:t>
      </w:r>
      <w:r w:rsidR="00804BC6" w:rsidRPr="009B546D">
        <w:rPr>
          <w:rFonts w:cstheme="minorHAnsi"/>
          <w:szCs w:val="20"/>
        </w:rPr>
        <w:t>Proposed Acquisition</w:t>
      </w:r>
      <w:r w:rsidRPr="009B546D">
        <w:rPr>
          <w:rFonts w:cstheme="minorHAnsi"/>
          <w:szCs w:val="20"/>
        </w:rPr>
        <w:t xml:space="preserve"> is</w:t>
      </w:r>
      <w:r w:rsidR="00580EC1" w:rsidRPr="009B546D">
        <w:rPr>
          <w:rFonts w:cstheme="minorHAnsi"/>
          <w:szCs w:val="20"/>
        </w:rPr>
        <w:t xml:space="preserve"> approximately</w:t>
      </w:r>
      <w:r w:rsidRPr="009B546D">
        <w:rPr>
          <w:rFonts w:cstheme="minorHAnsi"/>
          <w:szCs w:val="20"/>
        </w:rPr>
        <w:t xml:space="preserve"> </w:t>
      </w:r>
      <w:r w:rsidR="003E6924" w:rsidRPr="009B546D">
        <w:rPr>
          <w:rFonts w:cstheme="minorHAnsi"/>
          <w:szCs w:val="20"/>
        </w:rPr>
        <w:t>£</w:t>
      </w:r>
      <w:r w:rsidR="00971F0D" w:rsidRPr="009B546D">
        <w:rPr>
          <w:rFonts w:cstheme="minorHAnsi"/>
          <w:szCs w:val="20"/>
        </w:rPr>
        <w:t xml:space="preserve">2.3 </w:t>
      </w:r>
      <w:r w:rsidRPr="009B546D">
        <w:rPr>
          <w:rFonts w:cstheme="minorHAnsi"/>
          <w:szCs w:val="20"/>
        </w:rPr>
        <w:t>million</w:t>
      </w:r>
      <w:r w:rsidR="004C6504" w:rsidRPr="009B546D">
        <w:rPr>
          <w:rFonts w:cstheme="minorHAnsi"/>
          <w:szCs w:val="20"/>
        </w:rPr>
        <w:t>,</w:t>
      </w:r>
      <w:r w:rsidRPr="009B546D">
        <w:rPr>
          <w:rFonts w:cstheme="minorHAnsi"/>
          <w:szCs w:val="20"/>
        </w:rPr>
        <w:t xml:space="preserve"> to be satisfied by the Company issuing </w:t>
      </w:r>
      <w:r w:rsidR="00043D57">
        <w:rPr>
          <w:rFonts w:cstheme="minorHAnsi"/>
          <w:szCs w:val="20"/>
        </w:rPr>
        <w:t xml:space="preserve">12,921,346 </w:t>
      </w:r>
      <w:r w:rsidRPr="009B546D">
        <w:rPr>
          <w:rFonts w:cstheme="minorHAnsi"/>
          <w:szCs w:val="20"/>
        </w:rPr>
        <w:t>Ordinary Shares in the capital of the Company</w:t>
      </w:r>
      <w:r w:rsidR="00BE2ED3" w:rsidRPr="009B546D">
        <w:rPr>
          <w:rFonts w:cstheme="minorHAnsi"/>
          <w:szCs w:val="20"/>
        </w:rPr>
        <w:t xml:space="preserve"> credited a</w:t>
      </w:r>
      <w:r w:rsidR="006E6E54" w:rsidRPr="009B546D">
        <w:rPr>
          <w:rFonts w:cstheme="minorHAnsi"/>
          <w:szCs w:val="20"/>
        </w:rPr>
        <w:t>s</w:t>
      </w:r>
      <w:r w:rsidR="00BE2ED3" w:rsidRPr="009B546D">
        <w:rPr>
          <w:rFonts w:cstheme="minorHAnsi"/>
          <w:szCs w:val="20"/>
        </w:rPr>
        <w:t xml:space="preserve"> fully paid</w:t>
      </w:r>
      <w:r w:rsidRPr="009B546D">
        <w:rPr>
          <w:rFonts w:cstheme="minorHAnsi"/>
          <w:szCs w:val="20"/>
        </w:rPr>
        <w:t xml:space="preserve"> to the shareholders of </w:t>
      </w:r>
      <w:r w:rsidR="00AF0C4A" w:rsidRPr="009B546D">
        <w:rPr>
          <w:rFonts w:cstheme="minorHAnsi"/>
          <w:szCs w:val="20"/>
        </w:rPr>
        <w:t>Alchemist Codes</w:t>
      </w:r>
      <w:r w:rsidRPr="009B546D">
        <w:rPr>
          <w:rFonts w:cstheme="minorHAnsi"/>
          <w:szCs w:val="20"/>
        </w:rPr>
        <w:t>.</w:t>
      </w:r>
      <w:r w:rsidR="003E6924" w:rsidRPr="009B546D">
        <w:rPr>
          <w:rFonts w:cstheme="minorHAnsi"/>
          <w:szCs w:val="20"/>
        </w:rPr>
        <w:t xml:space="preserve"> </w:t>
      </w:r>
      <w:r w:rsidRPr="009B546D">
        <w:rPr>
          <w:rFonts w:cstheme="minorHAnsi"/>
          <w:szCs w:val="20"/>
        </w:rPr>
        <w:t xml:space="preserve">The </w:t>
      </w:r>
      <w:r w:rsidR="00804BC6" w:rsidRPr="009B546D">
        <w:rPr>
          <w:rFonts w:cstheme="minorHAnsi"/>
          <w:szCs w:val="20"/>
        </w:rPr>
        <w:t>Proposed Acquisition</w:t>
      </w:r>
      <w:r w:rsidRPr="009B546D">
        <w:rPr>
          <w:rFonts w:cstheme="minorHAnsi"/>
          <w:szCs w:val="20"/>
        </w:rPr>
        <w:t xml:space="preserve">, which remains conditional, </w:t>
      </w:r>
      <w:r w:rsidRPr="009B546D">
        <w:rPr>
          <w:rFonts w:cstheme="minorHAnsi"/>
          <w:i/>
          <w:szCs w:val="20"/>
        </w:rPr>
        <w:t>inter alia</w:t>
      </w:r>
      <w:r w:rsidRPr="009B546D">
        <w:rPr>
          <w:rFonts w:cstheme="minorHAnsi"/>
          <w:szCs w:val="20"/>
        </w:rPr>
        <w:t xml:space="preserve">, on Re-Admission, was </w:t>
      </w:r>
      <w:r w:rsidRPr="009B546D">
        <w:rPr>
          <w:rFonts w:cstheme="minorHAnsi"/>
          <w:szCs w:val="20"/>
        </w:rPr>
        <w:lastRenderedPageBreak/>
        <w:t>approved by the Bo</w:t>
      </w:r>
      <w:r w:rsidRPr="004A10FC">
        <w:rPr>
          <w:rFonts w:cstheme="minorHAnsi"/>
          <w:szCs w:val="20"/>
        </w:rPr>
        <w:t xml:space="preserve">ard on </w:t>
      </w:r>
      <w:r w:rsidR="00E52211" w:rsidRPr="004A10FC">
        <w:rPr>
          <w:rFonts w:cstheme="minorHAnsi"/>
          <w:szCs w:val="20"/>
        </w:rPr>
        <w:t>22</w:t>
      </w:r>
      <w:r w:rsidR="00DD22B2" w:rsidRPr="004A10FC">
        <w:rPr>
          <w:rFonts w:cstheme="minorHAnsi"/>
          <w:szCs w:val="20"/>
        </w:rPr>
        <w:t xml:space="preserve"> January</w:t>
      </w:r>
      <w:r w:rsidRPr="004A10FC">
        <w:rPr>
          <w:rFonts w:cstheme="minorHAnsi"/>
          <w:szCs w:val="20"/>
        </w:rPr>
        <w:t xml:space="preserve"> 20</w:t>
      </w:r>
      <w:r w:rsidR="005679BA" w:rsidRPr="004A10FC">
        <w:rPr>
          <w:rFonts w:cstheme="minorHAnsi"/>
          <w:szCs w:val="20"/>
        </w:rPr>
        <w:t>20</w:t>
      </w:r>
      <w:r w:rsidRPr="004A10FC">
        <w:rPr>
          <w:rFonts w:cstheme="minorHAnsi"/>
          <w:szCs w:val="20"/>
        </w:rPr>
        <w:t>.</w:t>
      </w:r>
    </w:p>
    <w:p w14:paraId="79134EAB" w14:textId="3BD51091" w:rsidR="00D90E1F" w:rsidRPr="009B546D" w:rsidRDefault="00D90E1F" w:rsidP="00F432B9">
      <w:pPr>
        <w:widowControl w:val="0"/>
        <w:spacing w:line="240" w:lineRule="auto"/>
        <w:rPr>
          <w:rFonts w:cstheme="minorHAnsi"/>
          <w:szCs w:val="20"/>
        </w:rPr>
      </w:pPr>
      <w:r w:rsidRPr="009B546D">
        <w:rPr>
          <w:rFonts w:cstheme="minorHAnsi"/>
          <w:szCs w:val="20"/>
        </w:rPr>
        <w:t xml:space="preserve">All conditions having been satisfied or waived as appropriate, the </w:t>
      </w:r>
      <w:r w:rsidR="00804BC6" w:rsidRPr="009B546D">
        <w:rPr>
          <w:rFonts w:cstheme="minorHAnsi"/>
          <w:szCs w:val="20"/>
        </w:rPr>
        <w:t>Proposed Acquisition</w:t>
      </w:r>
      <w:r w:rsidRPr="009B546D">
        <w:rPr>
          <w:rFonts w:cstheme="minorHAnsi"/>
          <w:szCs w:val="20"/>
        </w:rPr>
        <w:t xml:space="preserve"> is expected to complete on </w:t>
      </w:r>
      <w:r w:rsidR="009F37C0">
        <w:rPr>
          <w:rFonts w:cstheme="minorHAnsi"/>
          <w:szCs w:val="20"/>
        </w:rPr>
        <w:t>26</w:t>
      </w:r>
      <w:r w:rsidR="001564CC" w:rsidRPr="009B546D">
        <w:rPr>
          <w:rFonts w:cstheme="minorHAnsi"/>
          <w:szCs w:val="20"/>
        </w:rPr>
        <w:t xml:space="preserve"> March</w:t>
      </w:r>
      <w:r w:rsidR="00F54D9C" w:rsidRPr="009B546D">
        <w:rPr>
          <w:rFonts w:cstheme="minorHAnsi"/>
          <w:szCs w:val="20"/>
        </w:rPr>
        <w:t xml:space="preserve"> 2020</w:t>
      </w:r>
      <w:r w:rsidRPr="009B546D">
        <w:rPr>
          <w:rFonts w:cstheme="minorHAnsi"/>
          <w:szCs w:val="20"/>
        </w:rPr>
        <w:t>, being the date of anticipated Re-Admission.</w:t>
      </w:r>
    </w:p>
    <w:p w14:paraId="36F01C47" w14:textId="5C9147A0" w:rsidR="00D90E1F" w:rsidRPr="009B546D" w:rsidRDefault="00D90E1F" w:rsidP="00F432B9">
      <w:pPr>
        <w:widowControl w:val="0"/>
        <w:spacing w:line="240" w:lineRule="auto"/>
        <w:rPr>
          <w:rFonts w:cstheme="minorHAnsi"/>
          <w:szCs w:val="20"/>
        </w:rPr>
      </w:pPr>
      <w:r w:rsidRPr="009B546D">
        <w:rPr>
          <w:rFonts w:cstheme="minorHAnsi"/>
          <w:szCs w:val="20"/>
        </w:rPr>
        <w:t xml:space="preserve">On Re-Admission, the Company will be the parent company for the Enlarged Group. The Enlarged Group will </w:t>
      </w:r>
      <w:r w:rsidR="00F6509C" w:rsidRPr="009B546D">
        <w:rPr>
          <w:rFonts w:cstheme="minorHAnsi"/>
          <w:szCs w:val="20"/>
        </w:rPr>
        <w:t>c</w:t>
      </w:r>
      <w:r w:rsidRPr="009B546D">
        <w:rPr>
          <w:rFonts w:cstheme="minorHAnsi"/>
          <w:szCs w:val="20"/>
        </w:rPr>
        <w:t>omprise the Company and its wholly</w:t>
      </w:r>
      <w:r w:rsidR="00973FA7" w:rsidRPr="009B546D">
        <w:rPr>
          <w:rFonts w:cstheme="minorHAnsi"/>
          <w:szCs w:val="20"/>
        </w:rPr>
        <w:t>-</w:t>
      </w:r>
      <w:r w:rsidRPr="009B546D">
        <w:rPr>
          <w:rFonts w:cstheme="minorHAnsi"/>
          <w:szCs w:val="20"/>
        </w:rPr>
        <w:t xml:space="preserve">owned subsidiary </w:t>
      </w:r>
      <w:r w:rsidR="00AF0C4A" w:rsidRPr="009B546D">
        <w:rPr>
          <w:rFonts w:cstheme="minorHAnsi"/>
          <w:szCs w:val="20"/>
        </w:rPr>
        <w:t>Alchemist Codes</w:t>
      </w:r>
      <w:r w:rsidRPr="009B546D">
        <w:rPr>
          <w:rFonts w:cstheme="minorHAnsi"/>
          <w:szCs w:val="20"/>
        </w:rPr>
        <w:t>.</w:t>
      </w:r>
      <w:r w:rsidR="003E6924" w:rsidRPr="009B546D">
        <w:rPr>
          <w:rFonts w:cstheme="minorHAnsi"/>
          <w:szCs w:val="20"/>
        </w:rPr>
        <w:t xml:space="preserve"> </w:t>
      </w:r>
      <w:r w:rsidRPr="009B546D">
        <w:rPr>
          <w:rFonts w:cstheme="minorHAnsi"/>
          <w:szCs w:val="20"/>
        </w:rPr>
        <w:t xml:space="preserve">A summary of the principal terms and conditions of the </w:t>
      </w:r>
      <w:r w:rsidR="00804BC6" w:rsidRPr="009B546D">
        <w:rPr>
          <w:rFonts w:cstheme="minorHAnsi"/>
          <w:szCs w:val="20"/>
        </w:rPr>
        <w:t>Proposed Acquisition</w:t>
      </w:r>
      <w:r w:rsidRPr="009B546D">
        <w:rPr>
          <w:rFonts w:cstheme="minorHAnsi"/>
          <w:szCs w:val="20"/>
        </w:rPr>
        <w:t xml:space="preserve"> are set out in paragraph </w:t>
      </w:r>
      <w:r w:rsidR="00973FA7" w:rsidRPr="009B546D">
        <w:rPr>
          <w:rFonts w:cstheme="minorHAnsi"/>
          <w:szCs w:val="20"/>
        </w:rPr>
        <w:t xml:space="preserve">12.1 </w:t>
      </w:r>
      <w:r w:rsidRPr="009B546D">
        <w:rPr>
          <w:rFonts w:cstheme="minorHAnsi"/>
          <w:szCs w:val="20"/>
        </w:rPr>
        <w:t xml:space="preserve">of Part </w:t>
      </w:r>
      <w:r w:rsidR="00973FA7" w:rsidRPr="009B546D">
        <w:rPr>
          <w:rFonts w:cstheme="minorHAnsi"/>
          <w:szCs w:val="20"/>
        </w:rPr>
        <w:t>XX</w:t>
      </w:r>
      <w:r w:rsidR="003E6924" w:rsidRPr="009B546D">
        <w:rPr>
          <w:rFonts w:cstheme="minorHAnsi"/>
          <w:szCs w:val="20"/>
        </w:rPr>
        <w:t xml:space="preserve"> </w:t>
      </w:r>
      <w:r w:rsidRPr="009B546D">
        <w:rPr>
          <w:rFonts w:cstheme="minorHAnsi"/>
          <w:szCs w:val="20"/>
        </w:rPr>
        <w:t>(</w:t>
      </w:r>
      <w:r w:rsidRPr="009B546D">
        <w:rPr>
          <w:rFonts w:cstheme="minorHAnsi"/>
          <w:i/>
          <w:szCs w:val="20"/>
        </w:rPr>
        <w:t>Additional Information</w:t>
      </w:r>
      <w:r w:rsidRPr="009B546D">
        <w:rPr>
          <w:rFonts w:cstheme="minorHAnsi"/>
          <w:szCs w:val="20"/>
        </w:rPr>
        <w:t>) of this Prospectus.</w:t>
      </w:r>
    </w:p>
    <w:p w14:paraId="3479AFED" w14:textId="48A891D6" w:rsidR="00D90E1F" w:rsidRPr="009B546D" w:rsidRDefault="00D90E1F" w:rsidP="00F432B9">
      <w:pPr>
        <w:pStyle w:val="Heading2"/>
        <w:keepNext w:val="0"/>
        <w:widowControl w:val="0"/>
        <w:numPr>
          <w:ilvl w:val="0"/>
          <w:numId w:val="10"/>
        </w:numPr>
        <w:spacing w:before="0" w:after="160" w:line="240" w:lineRule="auto"/>
        <w:rPr>
          <w:rFonts w:asciiTheme="minorHAnsi" w:hAnsiTheme="minorHAnsi" w:cstheme="minorHAnsi"/>
          <w:szCs w:val="20"/>
        </w:rPr>
      </w:pPr>
      <w:r w:rsidRPr="009B546D">
        <w:rPr>
          <w:rFonts w:asciiTheme="minorHAnsi" w:hAnsiTheme="minorHAnsi" w:cstheme="minorHAnsi"/>
          <w:szCs w:val="20"/>
        </w:rPr>
        <w:t xml:space="preserve">Background to, and reasons for, the </w:t>
      </w:r>
      <w:r w:rsidR="00804BC6" w:rsidRPr="009B546D">
        <w:rPr>
          <w:rFonts w:asciiTheme="minorHAnsi" w:hAnsiTheme="minorHAnsi" w:cstheme="minorHAnsi"/>
          <w:szCs w:val="20"/>
        </w:rPr>
        <w:t>Proposed Acquisition</w:t>
      </w:r>
      <w:r w:rsidRPr="009B546D">
        <w:rPr>
          <w:rFonts w:asciiTheme="minorHAnsi" w:hAnsiTheme="minorHAnsi" w:cstheme="minorHAnsi"/>
          <w:szCs w:val="20"/>
        </w:rPr>
        <w:t xml:space="preserve"> and the Enlarged Group’s Strategy</w:t>
      </w:r>
    </w:p>
    <w:p w14:paraId="3B5EF2A9" w14:textId="77777777" w:rsidR="00D90E1F" w:rsidRPr="009B546D" w:rsidRDefault="00D90E1F" w:rsidP="00F432B9">
      <w:pPr>
        <w:pStyle w:val="Heading2"/>
        <w:keepNext w:val="0"/>
        <w:widowControl w:val="0"/>
        <w:numPr>
          <w:ilvl w:val="1"/>
          <w:numId w:val="10"/>
        </w:numPr>
        <w:spacing w:before="0" w:after="160" w:line="240" w:lineRule="auto"/>
        <w:rPr>
          <w:rFonts w:asciiTheme="minorHAnsi" w:hAnsiTheme="minorHAnsi" w:cstheme="minorHAnsi"/>
          <w:szCs w:val="20"/>
        </w:rPr>
      </w:pPr>
      <w:r w:rsidRPr="009B546D">
        <w:rPr>
          <w:rFonts w:asciiTheme="minorHAnsi" w:hAnsiTheme="minorHAnsi" w:cstheme="minorHAnsi"/>
          <w:szCs w:val="20"/>
        </w:rPr>
        <w:t xml:space="preserve">Background </w:t>
      </w:r>
    </w:p>
    <w:p w14:paraId="449015E3" w14:textId="58C51D9F" w:rsidR="00D90E1F" w:rsidRPr="009B546D" w:rsidRDefault="00D90E1F" w:rsidP="00F432B9">
      <w:pPr>
        <w:widowControl w:val="0"/>
        <w:spacing w:line="240" w:lineRule="auto"/>
        <w:rPr>
          <w:rFonts w:cstheme="minorHAnsi"/>
          <w:szCs w:val="20"/>
        </w:rPr>
      </w:pPr>
      <w:r w:rsidRPr="009B546D">
        <w:rPr>
          <w:rFonts w:cstheme="minorHAnsi"/>
          <w:szCs w:val="20"/>
        </w:rPr>
        <w:t xml:space="preserve">The Company was admitted to the standard listing segment of the Official List with trading becoming effective on the Main Market with effect from </w:t>
      </w:r>
      <w:r w:rsidR="00F0043C" w:rsidRPr="009B546D">
        <w:rPr>
          <w:rFonts w:cstheme="minorHAnsi"/>
          <w:szCs w:val="20"/>
        </w:rPr>
        <w:t>9 January</w:t>
      </w:r>
      <w:r w:rsidR="00581449" w:rsidRPr="009B546D">
        <w:rPr>
          <w:rFonts w:cstheme="minorHAnsi"/>
          <w:szCs w:val="20"/>
        </w:rPr>
        <w:t xml:space="preserve"> </w:t>
      </w:r>
      <w:r w:rsidRPr="009B546D">
        <w:rPr>
          <w:rFonts w:cstheme="minorHAnsi"/>
          <w:szCs w:val="20"/>
        </w:rPr>
        <w:t>2018, having raised approximately £</w:t>
      </w:r>
      <w:r w:rsidR="00F0043C" w:rsidRPr="009B546D">
        <w:rPr>
          <w:rFonts w:cstheme="minorHAnsi"/>
          <w:szCs w:val="20"/>
        </w:rPr>
        <w:t>4</w:t>
      </w:r>
      <w:r w:rsidRPr="009B546D">
        <w:rPr>
          <w:rFonts w:cstheme="minorHAnsi"/>
          <w:szCs w:val="20"/>
        </w:rPr>
        <w:t>million to pursue its strategy. This strategy involved the investigation of several opportunities to acquire a business which would have required further funding for expansion in conjunction with a public quotation for its shares on terms which would be beneficial to existing Shareholders, as well as the management, employees and shareholders of the business being acquired. The Existing Directors also stated that they would consider a series of acquisitions within a specific business sector</w:t>
      </w:r>
      <w:r w:rsidR="006E699D" w:rsidRPr="009B546D">
        <w:rPr>
          <w:rFonts w:cstheme="minorHAnsi"/>
          <w:szCs w:val="20"/>
        </w:rPr>
        <w:t>,</w:t>
      </w:r>
      <w:r w:rsidRPr="009B546D">
        <w:rPr>
          <w:rFonts w:cstheme="minorHAnsi"/>
          <w:szCs w:val="20"/>
        </w:rPr>
        <w:t xml:space="preserve"> where businesses of the same nature would benefit from a group structure</w:t>
      </w:r>
      <w:r w:rsidR="007F2FA0" w:rsidRPr="009B546D">
        <w:rPr>
          <w:rFonts w:cstheme="minorHAnsi"/>
          <w:szCs w:val="20"/>
        </w:rPr>
        <w:t>,</w:t>
      </w:r>
      <w:r w:rsidRPr="009B546D">
        <w:rPr>
          <w:rFonts w:cstheme="minorHAnsi"/>
          <w:szCs w:val="20"/>
        </w:rPr>
        <w:t xml:space="preserve"> and that they intended to investigate potential targets in the e-commerce services sector.</w:t>
      </w:r>
    </w:p>
    <w:p w14:paraId="66A46CCB" w14:textId="015835EB" w:rsidR="00D90E1F" w:rsidRPr="009B546D" w:rsidRDefault="00D90E1F" w:rsidP="00F432B9">
      <w:pPr>
        <w:widowControl w:val="0"/>
        <w:spacing w:line="240" w:lineRule="auto"/>
        <w:rPr>
          <w:rFonts w:cstheme="minorHAnsi"/>
          <w:szCs w:val="20"/>
        </w:rPr>
      </w:pPr>
      <w:r w:rsidRPr="009B546D">
        <w:rPr>
          <w:rFonts w:cstheme="minorHAnsi"/>
          <w:szCs w:val="20"/>
        </w:rPr>
        <w:t xml:space="preserve">The Company has now entered </w:t>
      </w:r>
      <w:r w:rsidRPr="001F40FF">
        <w:rPr>
          <w:rFonts w:cstheme="minorHAnsi"/>
          <w:szCs w:val="20"/>
        </w:rPr>
        <w:t>into an agreement to make t</w:t>
      </w:r>
      <w:r w:rsidRPr="00043D57">
        <w:rPr>
          <w:rFonts w:cstheme="minorHAnsi"/>
          <w:szCs w:val="20"/>
        </w:rPr>
        <w:t xml:space="preserve">he </w:t>
      </w:r>
      <w:r w:rsidR="00804BC6" w:rsidRPr="00043D57">
        <w:rPr>
          <w:rFonts w:cstheme="minorHAnsi"/>
          <w:szCs w:val="20"/>
        </w:rPr>
        <w:t>Proposed Acquisition</w:t>
      </w:r>
      <w:r w:rsidRPr="00665948">
        <w:rPr>
          <w:rFonts w:cstheme="minorHAnsi"/>
          <w:szCs w:val="20"/>
        </w:rPr>
        <w:t xml:space="preserve"> for a consideration of </w:t>
      </w:r>
      <w:r w:rsidR="00580EC1" w:rsidRPr="00665948">
        <w:rPr>
          <w:rFonts w:cstheme="minorHAnsi"/>
          <w:szCs w:val="20"/>
        </w:rPr>
        <w:t xml:space="preserve">approximately </w:t>
      </w:r>
      <w:r w:rsidRPr="00665948">
        <w:rPr>
          <w:rFonts w:cstheme="minorHAnsi"/>
          <w:szCs w:val="20"/>
        </w:rPr>
        <w:t>£</w:t>
      </w:r>
      <w:r w:rsidR="00DD22B2" w:rsidRPr="007C2753">
        <w:rPr>
          <w:rFonts w:cstheme="minorHAnsi"/>
          <w:szCs w:val="20"/>
        </w:rPr>
        <w:t>2.3</w:t>
      </w:r>
      <w:r w:rsidR="00570314" w:rsidRPr="007C2753">
        <w:rPr>
          <w:rFonts w:cstheme="minorHAnsi"/>
          <w:szCs w:val="20"/>
        </w:rPr>
        <w:t xml:space="preserve"> </w:t>
      </w:r>
      <w:r w:rsidRPr="00B6610A">
        <w:rPr>
          <w:rFonts w:cstheme="minorHAnsi"/>
          <w:szCs w:val="20"/>
        </w:rPr>
        <w:t>million</w:t>
      </w:r>
      <w:r w:rsidR="00346D53" w:rsidRPr="00D42879">
        <w:rPr>
          <w:rFonts w:cstheme="minorHAnsi"/>
          <w:szCs w:val="20"/>
        </w:rPr>
        <w:t>,</w:t>
      </w:r>
      <w:r w:rsidRPr="0023681A">
        <w:rPr>
          <w:rFonts w:cstheme="minorHAnsi"/>
          <w:szCs w:val="20"/>
        </w:rPr>
        <w:t xml:space="preserve"> to be satisfied by the issue of the </w:t>
      </w:r>
      <w:r w:rsidR="00043D57">
        <w:rPr>
          <w:rFonts w:cstheme="minorHAnsi"/>
          <w:szCs w:val="20"/>
        </w:rPr>
        <w:t xml:space="preserve">12,921,346 </w:t>
      </w:r>
      <w:r w:rsidRPr="00043D57">
        <w:rPr>
          <w:rFonts w:cstheme="minorHAnsi"/>
          <w:szCs w:val="20"/>
        </w:rPr>
        <w:t>Consideration Shares</w:t>
      </w:r>
      <w:r w:rsidR="00790E85" w:rsidRPr="00043D57">
        <w:rPr>
          <w:rFonts w:cstheme="minorHAnsi"/>
          <w:szCs w:val="20"/>
        </w:rPr>
        <w:t xml:space="preserve"> </w:t>
      </w:r>
      <w:r w:rsidR="006E6E54" w:rsidRPr="00665948">
        <w:rPr>
          <w:rFonts w:cstheme="minorHAnsi"/>
          <w:szCs w:val="20"/>
        </w:rPr>
        <w:t>credit as fully paid</w:t>
      </w:r>
      <w:r w:rsidRPr="00665948">
        <w:rPr>
          <w:rFonts w:cstheme="minorHAnsi"/>
          <w:szCs w:val="20"/>
        </w:rPr>
        <w:t xml:space="preserve">, which when issued will represent approximately </w:t>
      </w:r>
      <w:r w:rsidR="009B67D2" w:rsidRPr="00665948">
        <w:rPr>
          <w:rFonts w:cstheme="minorHAnsi"/>
          <w:szCs w:val="20"/>
        </w:rPr>
        <w:t>2</w:t>
      </w:r>
      <w:r w:rsidR="001F40FF" w:rsidRPr="00EA2BB6">
        <w:rPr>
          <w:rFonts w:cstheme="minorHAnsi"/>
          <w:szCs w:val="20"/>
        </w:rPr>
        <w:t>0</w:t>
      </w:r>
      <w:r w:rsidR="009B67D2" w:rsidRPr="00043D57">
        <w:rPr>
          <w:rFonts w:cstheme="minorHAnsi"/>
          <w:szCs w:val="20"/>
        </w:rPr>
        <w:t xml:space="preserve"> </w:t>
      </w:r>
      <w:r w:rsidRPr="00043D57">
        <w:rPr>
          <w:rFonts w:cstheme="minorHAnsi"/>
          <w:szCs w:val="20"/>
        </w:rPr>
        <w:t>per cent. of the Enlarged Share Capital</w:t>
      </w:r>
      <w:r w:rsidRPr="00665948">
        <w:rPr>
          <w:rFonts w:cstheme="minorHAnsi"/>
          <w:szCs w:val="20"/>
        </w:rPr>
        <w:t>. The</w:t>
      </w:r>
      <w:r w:rsidRPr="009B546D">
        <w:rPr>
          <w:rFonts w:cstheme="minorHAnsi"/>
          <w:szCs w:val="20"/>
        </w:rPr>
        <w:t xml:space="preserve"> Existing Directors believe that the </w:t>
      </w:r>
      <w:r w:rsidR="00804BC6" w:rsidRPr="009B546D">
        <w:rPr>
          <w:rFonts w:cstheme="minorHAnsi"/>
          <w:szCs w:val="20"/>
        </w:rPr>
        <w:t>Proposed Acquisition</w:t>
      </w:r>
      <w:r w:rsidRPr="009B546D">
        <w:rPr>
          <w:rFonts w:cstheme="minorHAnsi"/>
          <w:szCs w:val="20"/>
        </w:rPr>
        <w:t xml:space="preserve"> is within the Company’s strategy and is in a sector in which further acquisitions may be considered.</w:t>
      </w:r>
    </w:p>
    <w:p w14:paraId="4CEEA4F3" w14:textId="63FFB9BB" w:rsidR="00D90E1F" w:rsidRPr="009B546D" w:rsidRDefault="00D90E1F" w:rsidP="00F432B9">
      <w:pPr>
        <w:pStyle w:val="Heading2"/>
        <w:keepNext w:val="0"/>
        <w:widowControl w:val="0"/>
        <w:numPr>
          <w:ilvl w:val="1"/>
          <w:numId w:val="10"/>
        </w:numPr>
        <w:spacing w:before="0" w:after="160" w:line="240" w:lineRule="auto"/>
        <w:rPr>
          <w:rFonts w:asciiTheme="minorHAnsi" w:hAnsiTheme="minorHAnsi" w:cstheme="minorHAnsi"/>
          <w:szCs w:val="20"/>
        </w:rPr>
      </w:pPr>
      <w:r w:rsidRPr="009B546D">
        <w:rPr>
          <w:rFonts w:asciiTheme="minorHAnsi" w:hAnsiTheme="minorHAnsi" w:cstheme="minorHAnsi"/>
          <w:szCs w:val="20"/>
        </w:rPr>
        <w:t xml:space="preserve">Reasons for the </w:t>
      </w:r>
      <w:r w:rsidR="00804BC6" w:rsidRPr="009B546D">
        <w:rPr>
          <w:rFonts w:asciiTheme="minorHAnsi" w:hAnsiTheme="minorHAnsi" w:cstheme="minorHAnsi"/>
          <w:szCs w:val="20"/>
        </w:rPr>
        <w:t>Proposed Acquisition</w:t>
      </w:r>
    </w:p>
    <w:p w14:paraId="5AC9873E" w14:textId="521A1329" w:rsidR="001116E5" w:rsidRPr="009B546D" w:rsidRDefault="00D90E1F" w:rsidP="00496B89">
      <w:pPr>
        <w:pStyle w:val="au"/>
        <w:spacing w:before="0" w:beforeAutospacing="0" w:after="120" w:afterAutospacing="0"/>
        <w:jc w:val="both"/>
        <w:rPr>
          <w:rFonts w:asciiTheme="minorHAnsi" w:eastAsiaTheme="minorHAnsi" w:hAnsiTheme="minorHAnsi" w:cstheme="minorHAnsi"/>
          <w:sz w:val="20"/>
          <w:szCs w:val="20"/>
          <w:lang w:eastAsia="en-US"/>
        </w:rPr>
      </w:pPr>
      <w:r w:rsidRPr="009B546D">
        <w:rPr>
          <w:rFonts w:asciiTheme="minorHAnsi" w:eastAsiaTheme="minorHAnsi" w:hAnsiTheme="minorHAnsi" w:cstheme="minorHAnsi"/>
          <w:sz w:val="20"/>
          <w:szCs w:val="20"/>
          <w:lang w:eastAsia="en-US"/>
        </w:rPr>
        <w:t xml:space="preserve">The Company has been focused on the e-commerce sector to identify businesses, assets and/or projects that are available at attractive valuations and hold opportunities to unlock embedded value. The Existing Directors identified several potential acquisition targets and have drawn on the expertise of a number of key advisers to review these targets. Following financial and legal due diligence, the Existing Directors believe that </w:t>
      </w:r>
      <w:r w:rsidR="00AF0C4A" w:rsidRPr="009B546D">
        <w:rPr>
          <w:rFonts w:asciiTheme="minorHAnsi" w:eastAsiaTheme="minorHAnsi" w:hAnsiTheme="minorHAnsi" w:cstheme="minorHAnsi"/>
          <w:sz w:val="20"/>
          <w:szCs w:val="20"/>
          <w:lang w:eastAsia="en-US"/>
        </w:rPr>
        <w:t>Alchemist Codes</w:t>
      </w:r>
      <w:r w:rsidRPr="009B546D">
        <w:rPr>
          <w:rFonts w:asciiTheme="minorHAnsi" w:eastAsiaTheme="minorHAnsi" w:hAnsiTheme="minorHAnsi" w:cstheme="minorHAnsi"/>
          <w:sz w:val="20"/>
          <w:szCs w:val="20"/>
          <w:lang w:eastAsia="en-US"/>
        </w:rPr>
        <w:t xml:space="preserve"> represents the most suitable acquisition target for the Company.</w:t>
      </w:r>
      <w:r w:rsidR="001116E5" w:rsidRPr="009B546D">
        <w:rPr>
          <w:rFonts w:asciiTheme="minorHAnsi" w:eastAsiaTheme="minorHAnsi" w:hAnsiTheme="minorHAnsi" w:cstheme="minorHAnsi"/>
          <w:sz w:val="20"/>
          <w:szCs w:val="20"/>
          <w:lang w:eastAsia="en-US"/>
        </w:rPr>
        <w:t xml:space="preserve"> In summary, the </w:t>
      </w:r>
      <w:r w:rsidR="00F232C2" w:rsidRPr="009B546D">
        <w:rPr>
          <w:rFonts w:asciiTheme="minorHAnsi" w:eastAsiaTheme="minorHAnsi" w:hAnsiTheme="minorHAnsi" w:cstheme="minorHAnsi"/>
          <w:sz w:val="20"/>
          <w:szCs w:val="20"/>
          <w:lang w:eastAsia="en-US"/>
        </w:rPr>
        <w:t xml:space="preserve">Existing Directors believe that the </w:t>
      </w:r>
      <w:r w:rsidR="00804BC6" w:rsidRPr="009B546D">
        <w:rPr>
          <w:rFonts w:asciiTheme="minorHAnsi" w:eastAsiaTheme="minorHAnsi" w:hAnsiTheme="minorHAnsi" w:cstheme="minorHAnsi"/>
          <w:sz w:val="20"/>
          <w:szCs w:val="20"/>
          <w:lang w:eastAsia="en-US"/>
        </w:rPr>
        <w:t>Proposed</w:t>
      </w:r>
      <w:r w:rsidR="007D7B13" w:rsidRPr="009B546D">
        <w:rPr>
          <w:rFonts w:asciiTheme="minorHAnsi" w:eastAsiaTheme="minorHAnsi" w:hAnsiTheme="minorHAnsi" w:cstheme="minorHAnsi"/>
          <w:sz w:val="20"/>
          <w:szCs w:val="20"/>
          <w:lang w:eastAsia="en-US"/>
        </w:rPr>
        <w:t xml:space="preserve"> </w:t>
      </w:r>
      <w:r w:rsidR="00804BC6" w:rsidRPr="009B546D">
        <w:rPr>
          <w:rFonts w:asciiTheme="minorHAnsi" w:eastAsiaTheme="minorHAnsi" w:hAnsiTheme="minorHAnsi" w:cstheme="minorHAnsi"/>
          <w:sz w:val="20"/>
          <w:szCs w:val="20"/>
          <w:lang w:eastAsia="en-US"/>
        </w:rPr>
        <w:t>Acquisition</w:t>
      </w:r>
      <w:r w:rsidR="001116E5" w:rsidRPr="009B546D">
        <w:rPr>
          <w:rFonts w:asciiTheme="minorHAnsi" w:eastAsiaTheme="minorHAnsi" w:hAnsiTheme="minorHAnsi" w:cstheme="minorHAnsi"/>
          <w:sz w:val="20"/>
          <w:szCs w:val="20"/>
          <w:lang w:eastAsia="en-US"/>
        </w:rPr>
        <w:t xml:space="preserve"> would be in the best interests </w:t>
      </w:r>
      <w:r w:rsidR="003D3BA4" w:rsidRPr="009B546D">
        <w:rPr>
          <w:rFonts w:asciiTheme="minorHAnsi" w:eastAsiaTheme="minorHAnsi" w:hAnsiTheme="minorHAnsi" w:cstheme="minorHAnsi"/>
          <w:sz w:val="20"/>
          <w:szCs w:val="20"/>
          <w:lang w:eastAsia="en-US"/>
        </w:rPr>
        <w:t>of</w:t>
      </w:r>
      <w:r w:rsidR="001116E5" w:rsidRPr="009B546D">
        <w:rPr>
          <w:rFonts w:asciiTheme="minorHAnsi" w:eastAsiaTheme="minorHAnsi" w:hAnsiTheme="minorHAnsi" w:cstheme="minorHAnsi"/>
          <w:sz w:val="20"/>
          <w:szCs w:val="20"/>
          <w:lang w:eastAsia="en-US"/>
        </w:rPr>
        <w:t xml:space="preserve"> the </w:t>
      </w:r>
      <w:r w:rsidR="00F232C2" w:rsidRPr="009B546D">
        <w:rPr>
          <w:rFonts w:asciiTheme="minorHAnsi" w:eastAsiaTheme="minorHAnsi" w:hAnsiTheme="minorHAnsi" w:cstheme="minorHAnsi"/>
          <w:sz w:val="20"/>
          <w:szCs w:val="20"/>
          <w:lang w:eastAsia="en-US"/>
        </w:rPr>
        <w:t>S</w:t>
      </w:r>
      <w:r w:rsidR="001116E5" w:rsidRPr="009B546D">
        <w:rPr>
          <w:rFonts w:asciiTheme="minorHAnsi" w:eastAsiaTheme="minorHAnsi" w:hAnsiTheme="minorHAnsi" w:cstheme="minorHAnsi"/>
          <w:sz w:val="20"/>
          <w:szCs w:val="20"/>
          <w:lang w:eastAsia="en-US"/>
        </w:rPr>
        <w:t xml:space="preserve">hareholders for the following reasons outlined below: </w:t>
      </w:r>
    </w:p>
    <w:p w14:paraId="00563177" w14:textId="7D50F1E5" w:rsidR="001116E5" w:rsidRPr="009B546D" w:rsidRDefault="00F232C2"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bookmarkStart w:id="24" w:name="_Hlk26370800"/>
      <w:r w:rsidRPr="009B546D">
        <w:rPr>
          <w:rFonts w:asciiTheme="minorHAnsi" w:eastAsiaTheme="minorHAnsi" w:hAnsiTheme="minorHAnsi" w:cstheme="minorHAnsi"/>
          <w:kern w:val="0"/>
          <w:sz w:val="20"/>
          <w:szCs w:val="20"/>
          <w:lang w:eastAsia="en-US"/>
        </w:rPr>
        <w:t>a</w:t>
      </w:r>
      <w:r w:rsidR="001116E5" w:rsidRPr="009B546D">
        <w:rPr>
          <w:rFonts w:asciiTheme="minorHAnsi" w:eastAsiaTheme="minorHAnsi" w:hAnsiTheme="minorHAnsi" w:cstheme="minorHAnsi"/>
          <w:kern w:val="0"/>
          <w:sz w:val="20"/>
          <w:szCs w:val="20"/>
          <w:lang w:eastAsia="en-US"/>
        </w:rPr>
        <w:t xml:space="preserve">llows the Company to acquire </w:t>
      </w:r>
      <w:r w:rsidR="00931E4E" w:rsidRPr="009B546D">
        <w:rPr>
          <w:rFonts w:asciiTheme="minorHAnsi" w:eastAsiaTheme="minorHAnsi" w:hAnsiTheme="minorHAnsi" w:cstheme="minorHAnsi"/>
          <w:kern w:val="0"/>
          <w:sz w:val="20"/>
          <w:szCs w:val="20"/>
          <w:lang w:eastAsia="en-US"/>
        </w:rPr>
        <w:t>a</w:t>
      </w:r>
      <w:r w:rsidR="00F2300C" w:rsidRPr="009B546D">
        <w:rPr>
          <w:rFonts w:asciiTheme="minorHAnsi" w:eastAsiaTheme="minorHAnsi" w:hAnsiTheme="minorHAnsi" w:cstheme="minorHAnsi"/>
          <w:kern w:val="0"/>
          <w:sz w:val="20"/>
          <w:szCs w:val="20"/>
          <w:lang w:eastAsia="en-US"/>
        </w:rPr>
        <w:t>n</w:t>
      </w:r>
      <w:r w:rsidR="001116E5" w:rsidRPr="009B546D">
        <w:rPr>
          <w:rFonts w:asciiTheme="minorHAnsi" w:eastAsiaTheme="minorHAnsi" w:hAnsiTheme="minorHAnsi" w:cstheme="minorHAnsi"/>
          <w:kern w:val="0"/>
          <w:sz w:val="20"/>
          <w:szCs w:val="20"/>
          <w:lang w:eastAsia="en-US"/>
        </w:rPr>
        <w:t xml:space="preserve"> </w:t>
      </w:r>
      <w:r w:rsidRPr="009B546D">
        <w:rPr>
          <w:rFonts w:asciiTheme="minorHAnsi" w:eastAsiaTheme="minorHAnsi" w:hAnsiTheme="minorHAnsi" w:cstheme="minorHAnsi"/>
          <w:kern w:val="0"/>
          <w:sz w:val="20"/>
          <w:szCs w:val="20"/>
          <w:lang w:eastAsia="en-US"/>
        </w:rPr>
        <w:t>e</w:t>
      </w:r>
      <w:r w:rsidR="00F2300C" w:rsidRPr="009B546D">
        <w:rPr>
          <w:rFonts w:asciiTheme="minorHAnsi" w:eastAsiaTheme="minorHAnsi" w:hAnsiTheme="minorHAnsi" w:cstheme="minorHAnsi"/>
          <w:kern w:val="0"/>
          <w:sz w:val="20"/>
          <w:szCs w:val="20"/>
          <w:lang w:eastAsia="en-US"/>
        </w:rPr>
        <w:t>-</w:t>
      </w:r>
      <w:r w:rsidRPr="009B546D">
        <w:rPr>
          <w:rFonts w:asciiTheme="minorHAnsi" w:eastAsiaTheme="minorHAnsi" w:hAnsiTheme="minorHAnsi" w:cstheme="minorHAnsi"/>
          <w:kern w:val="0"/>
          <w:sz w:val="20"/>
          <w:szCs w:val="20"/>
          <w:lang w:eastAsia="en-US"/>
        </w:rPr>
        <w:t>c</w:t>
      </w:r>
      <w:r w:rsidR="00F2300C" w:rsidRPr="009B546D">
        <w:rPr>
          <w:rFonts w:asciiTheme="minorHAnsi" w:eastAsiaTheme="minorHAnsi" w:hAnsiTheme="minorHAnsi" w:cstheme="minorHAnsi"/>
          <w:kern w:val="0"/>
          <w:sz w:val="20"/>
          <w:szCs w:val="20"/>
          <w:lang w:eastAsia="en-US"/>
        </w:rPr>
        <w:t xml:space="preserve">ommerce </w:t>
      </w:r>
      <w:r w:rsidR="001116E5" w:rsidRPr="009B546D">
        <w:rPr>
          <w:rFonts w:asciiTheme="minorHAnsi" w:eastAsiaTheme="minorHAnsi" w:hAnsiTheme="minorHAnsi" w:cstheme="minorHAnsi"/>
          <w:kern w:val="0"/>
          <w:sz w:val="20"/>
          <w:szCs w:val="20"/>
          <w:lang w:eastAsia="en-US"/>
        </w:rPr>
        <w:t xml:space="preserve">business at a strategic time when demand for </w:t>
      </w:r>
      <w:r w:rsidR="00CA0EBC" w:rsidRPr="009B546D">
        <w:rPr>
          <w:rFonts w:asciiTheme="minorHAnsi" w:eastAsiaTheme="minorHAnsi" w:hAnsiTheme="minorHAnsi" w:cstheme="minorHAnsi"/>
          <w:kern w:val="0"/>
          <w:sz w:val="20"/>
          <w:szCs w:val="20"/>
          <w:lang w:eastAsia="en-US"/>
        </w:rPr>
        <w:t>e-commerce</w:t>
      </w:r>
      <w:r w:rsidR="005C6C7D" w:rsidRPr="009B546D">
        <w:rPr>
          <w:rFonts w:asciiTheme="minorHAnsi" w:eastAsiaTheme="minorHAnsi" w:hAnsiTheme="minorHAnsi" w:cstheme="minorHAnsi"/>
          <w:kern w:val="0"/>
          <w:sz w:val="20"/>
          <w:szCs w:val="20"/>
          <w:lang w:eastAsia="en-US"/>
        </w:rPr>
        <w:t xml:space="preserve"> </w:t>
      </w:r>
      <w:r w:rsidR="00F2300C" w:rsidRPr="009B546D">
        <w:rPr>
          <w:rFonts w:asciiTheme="minorHAnsi" w:eastAsiaTheme="minorHAnsi" w:hAnsiTheme="minorHAnsi" w:cstheme="minorHAnsi"/>
          <w:kern w:val="0"/>
          <w:sz w:val="20"/>
          <w:szCs w:val="20"/>
          <w:lang w:eastAsia="en-US"/>
        </w:rPr>
        <w:t xml:space="preserve">based services </w:t>
      </w:r>
      <w:r w:rsidR="001116E5" w:rsidRPr="009B546D">
        <w:rPr>
          <w:rFonts w:asciiTheme="minorHAnsi" w:eastAsiaTheme="minorHAnsi" w:hAnsiTheme="minorHAnsi" w:cstheme="minorHAnsi"/>
          <w:kern w:val="0"/>
          <w:sz w:val="20"/>
          <w:szCs w:val="20"/>
          <w:lang w:eastAsia="en-US"/>
        </w:rPr>
        <w:t xml:space="preserve">have increased; </w:t>
      </w:r>
    </w:p>
    <w:p w14:paraId="406DD81B" w14:textId="77777777" w:rsidR="00576688" w:rsidRPr="009B546D" w:rsidRDefault="00576688"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t>to enhance Alchemist Codes’s ability to attract and retain new staff;</w:t>
      </w:r>
    </w:p>
    <w:p w14:paraId="5108600B" w14:textId="0EBEF455" w:rsidR="00576688" w:rsidRPr="009B546D" w:rsidRDefault="00576688"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t xml:space="preserve">because the Directors believe the market is currently stressed and valuations of businesses are quite low, this will create acquisition opportunities and hence the listing will provide a potentially attractive acquisition currency, for use were any suitable acquisition opportunity to arise; </w:t>
      </w:r>
    </w:p>
    <w:p w14:paraId="2607FF66" w14:textId="2DD248EB" w:rsidR="00921055" w:rsidRPr="009B546D" w:rsidRDefault="000F126C"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t>a</w:t>
      </w:r>
      <w:r w:rsidR="00F2300C" w:rsidRPr="009B546D">
        <w:rPr>
          <w:rFonts w:asciiTheme="minorHAnsi" w:eastAsiaTheme="minorHAnsi" w:hAnsiTheme="minorHAnsi" w:cstheme="minorHAnsi"/>
          <w:kern w:val="0"/>
          <w:sz w:val="20"/>
          <w:szCs w:val="20"/>
          <w:lang w:eastAsia="en-US"/>
        </w:rPr>
        <w:t xml:space="preserve">llows the Company to assist </w:t>
      </w:r>
      <w:r w:rsidR="00A67228" w:rsidRPr="009B546D">
        <w:rPr>
          <w:rFonts w:asciiTheme="minorHAnsi" w:eastAsiaTheme="minorHAnsi" w:hAnsiTheme="minorHAnsi" w:cstheme="minorHAnsi"/>
          <w:kern w:val="0"/>
          <w:sz w:val="20"/>
          <w:szCs w:val="20"/>
          <w:lang w:eastAsia="en-US"/>
        </w:rPr>
        <w:t xml:space="preserve">Alchemist Codes </w:t>
      </w:r>
      <w:r w:rsidR="00F2300C" w:rsidRPr="009B546D">
        <w:rPr>
          <w:rFonts w:asciiTheme="minorHAnsi" w:eastAsiaTheme="minorHAnsi" w:hAnsiTheme="minorHAnsi" w:cstheme="minorHAnsi"/>
          <w:kern w:val="0"/>
          <w:sz w:val="20"/>
          <w:szCs w:val="20"/>
          <w:lang w:eastAsia="en-US"/>
        </w:rPr>
        <w:t>in the roll out of OC</w:t>
      </w:r>
      <w:r w:rsidR="00A67228" w:rsidRPr="009B546D">
        <w:rPr>
          <w:rFonts w:asciiTheme="minorHAnsi" w:eastAsiaTheme="minorHAnsi" w:hAnsiTheme="minorHAnsi" w:cstheme="minorHAnsi"/>
          <w:kern w:val="0"/>
          <w:sz w:val="20"/>
          <w:szCs w:val="20"/>
          <w:lang w:eastAsia="en-US"/>
        </w:rPr>
        <w:t>TAPLUS platform</w:t>
      </w:r>
      <w:r w:rsidR="005F1EE3" w:rsidRPr="009B546D">
        <w:rPr>
          <w:rFonts w:asciiTheme="minorHAnsi" w:eastAsiaTheme="minorHAnsi" w:hAnsiTheme="minorHAnsi" w:cstheme="minorHAnsi"/>
          <w:kern w:val="0"/>
          <w:sz w:val="20"/>
          <w:szCs w:val="20"/>
          <w:lang w:eastAsia="en-US"/>
        </w:rPr>
        <w:t xml:space="preserve"> in a</w:t>
      </w:r>
      <w:r w:rsidRPr="009B546D">
        <w:rPr>
          <w:rFonts w:asciiTheme="minorHAnsi" w:eastAsiaTheme="minorHAnsi" w:hAnsiTheme="minorHAnsi" w:cstheme="minorHAnsi"/>
          <w:kern w:val="0"/>
          <w:sz w:val="20"/>
          <w:szCs w:val="20"/>
          <w:lang w:eastAsia="en-US"/>
        </w:rPr>
        <w:t>n</w:t>
      </w:r>
      <w:r w:rsidR="005F1EE3" w:rsidRPr="009B546D">
        <w:rPr>
          <w:rFonts w:asciiTheme="minorHAnsi" w:eastAsiaTheme="minorHAnsi" w:hAnsiTheme="minorHAnsi" w:cstheme="minorHAnsi"/>
          <w:kern w:val="0"/>
          <w:sz w:val="20"/>
          <w:szCs w:val="20"/>
          <w:lang w:eastAsia="en-US"/>
        </w:rPr>
        <w:t xml:space="preserve"> </w:t>
      </w:r>
      <w:r w:rsidR="00C65B08" w:rsidRPr="009B546D">
        <w:rPr>
          <w:rFonts w:asciiTheme="minorHAnsi" w:eastAsiaTheme="minorHAnsi" w:hAnsiTheme="minorHAnsi" w:cstheme="minorHAnsi"/>
          <w:kern w:val="0"/>
          <w:sz w:val="20"/>
          <w:szCs w:val="20"/>
          <w:lang w:eastAsia="en-US"/>
        </w:rPr>
        <w:t>environment without many competitors with scale;</w:t>
      </w:r>
    </w:p>
    <w:p w14:paraId="6EDCA477" w14:textId="031A8807" w:rsidR="001116E5" w:rsidRPr="009B546D" w:rsidRDefault="000F126C"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t>a</w:t>
      </w:r>
      <w:r w:rsidR="001116E5" w:rsidRPr="009B546D">
        <w:rPr>
          <w:rFonts w:asciiTheme="minorHAnsi" w:eastAsiaTheme="minorHAnsi" w:hAnsiTheme="minorHAnsi" w:cstheme="minorHAnsi"/>
          <w:kern w:val="0"/>
          <w:sz w:val="20"/>
          <w:szCs w:val="20"/>
          <w:lang w:eastAsia="en-US"/>
        </w:rPr>
        <w:t xml:space="preserve">llows </w:t>
      </w:r>
      <w:r w:rsidR="004F14E3" w:rsidRPr="009B546D">
        <w:rPr>
          <w:rFonts w:asciiTheme="minorHAnsi" w:eastAsiaTheme="minorHAnsi" w:hAnsiTheme="minorHAnsi" w:cstheme="minorHAnsi"/>
          <w:kern w:val="0"/>
          <w:sz w:val="20"/>
          <w:szCs w:val="20"/>
          <w:lang w:eastAsia="en-US"/>
        </w:rPr>
        <w:t>Alchemist Codes</w:t>
      </w:r>
      <w:r w:rsidR="001116E5" w:rsidRPr="009B546D">
        <w:rPr>
          <w:rFonts w:asciiTheme="minorHAnsi" w:eastAsiaTheme="minorHAnsi" w:hAnsiTheme="minorHAnsi" w:cstheme="minorHAnsi"/>
          <w:kern w:val="0"/>
          <w:sz w:val="20"/>
          <w:szCs w:val="20"/>
          <w:lang w:eastAsia="en-US"/>
        </w:rPr>
        <w:t xml:space="preserve"> the access to raising equity should further funds be required for acquisitions or any future organic development beyond the Enlarged Group’s present plans; and</w:t>
      </w:r>
    </w:p>
    <w:p w14:paraId="7A3AEC1E" w14:textId="79362910" w:rsidR="00D90E1F" w:rsidRPr="009B546D" w:rsidRDefault="000F126C"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t>i</w:t>
      </w:r>
      <w:r w:rsidR="001116E5" w:rsidRPr="009B546D">
        <w:rPr>
          <w:rFonts w:asciiTheme="minorHAnsi" w:eastAsiaTheme="minorHAnsi" w:hAnsiTheme="minorHAnsi" w:cstheme="minorHAnsi"/>
          <w:kern w:val="0"/>
          <w:sz w:val="20"/>
          <w:szCs w:val="20"/>
          <w:lang w:eastAsia="en-US"/>
        </w:rPr>
        <w:t>ncreases the Company’s network of high level</w:t>
      </w:r>
      <w:r w:rsidR="00267D4C" w:rsidRPr="009B546D">
        <w:rPr>
          <w:rFonts w:asciiTheme="minorHAnsi" w:eastAsiaTheme="minorHAnsi" w:hAnsiTheme="minorHAnsi" w:cstheme="minorHAnsi"/>
          <w:kern w:val="0"/>
          <w:sz w:val="20"/>
          <w:szCs w:val="20"/>
          <w:lang w:eastAsia="en-US"/>
        </w:rPr>
        <w:t xml:space="preserve"> </w:t>
      </w:r>
      <w:r w:rsidR="001116E5" w:rsidRPr="009B546D">
        <w:rPr>
          <w:rFonts w:asciiTheme="minorHAnsi" w:eastAsiaTheme="minorHAnsi" w:hAnsiTheme="minorHAnsi" w:cstheme="minorHAnsi"/>
          <w:kern w:val="0"/>
          <w:sz w:val="20"/>
          <w:szCs w:val="20"/>
          <w:lang w:eastAsia="en-US"/>
        </w:rPr>
        <w:t>industry and technical relationships, to support the Company’s current and future activities, many of which are in emerging markets.</w:t>
      </w:r>
    </w:p>
    <w:bookmarkEnd w:id="24"/>
    <w:p w14:paraId="1768D350" w14:textId="77777777" w:rsidR="00D90E1F" w:rsidRPr="009B546D" w:rsidRDefault="00D90E1F" w:rsidP="00F432B9">
      <w:pPr>
        <w:pStyle w:val="Heading2"/>
        <w:keepNext w:val="0"/>
        <w:widowControl w:val="0"/>
        <w:numPr>
          <w:ilvl w:val="1"/>
          <w:numId w:val="10"/>
        </w:numPr>
        <w:spacing w:before="0" w:after="160" w:line="240" w:lineRule="auto"/>
        <w:rPr>
          <w:rFonts w:asciiTheme="minorHAnsi" w:hAnsiTheme="minorHAnsi" w:cstheme="minorHAnsi"/>
          <w:szCs w:val="20"/>
        </w:rPr>
      </w:pPr>
      <w:r w:rsidRPr="009B546D">
        <w:rPr>
          <w:rFonts w:asciiTheme="minorHAnsi" w:hAnsiTheme="minorHAnsi" w:cstheme="minorHAnsi"/>
          <w:szCs w:val="20"/>
        </w:rPr>
        <w:t>The Enlarged Group’s Strategy</w:t>
      </w:r>
    </w:p>
    <w:p w14:paraId="2B7F6A32" w14:textId="1231BB61" w:rsidR="00D90E1F" w:rsidRPr="009B546D" w:rsidRDefault="00D90E1F" w:rsidP="00F432B9">
      <w:pPr>
        <w:widowControl w:val="0"/>
        <w:spacing w:line="240" w:lineRule="auto"/>
        <w:ind w:left="360"/>
        <w:rPr>
          <w:rFonts w:cstheme="minorHAnsi"/>
          <w:szCs w:val="20"/>
        </w:rPr>
      </w:pPr>
      <w:r w:rsidRPr="009B546D">
        <w:rPr>
          <w:rFonts w:cstheme="minorHAnsi"/>
          <w:szCs w:val="20"/>
        </w:rPr>
        <w:t>The Enlarged Group’s strategy will focus o</w:t>
      </w:r>
      <w:r w:rsidR="00FF32D9" w:rsidRPr="009B546D">
        <w:rPr>
          <w:rFonts w:cstheme="minorHAnsi"/>
          <w:szCs w:val="20"/>
        </w:rPr>
        <w:t>n:</w:t>
      </w:r>
    </w:p>
    <w:p w14:paraId="04913756" w14:textId="31848726" w:rsidR="00FF32D9" w:rsidRPr="009B546D" w:rsidRDefault="00E32138" w:rsidP="00496B89">
      <w:pPr>
        <w:pStyle w:val="ListParagraph"/>
        <w:widowControl/>
        <w:numPr>
          <w:ilvl w:val="0"/>
          <w:numId w:val="13"/>
        </w:numPr>
        <w:spacing w:after="120"/>
        <w:rPr>
          <w:rFonts w:asciiTheme="minorHAnsi" w:eastAsiaTheme="minorHAnsi" w:hAnsiTheme="minorHAnsi" w:cstheme="minorHAnsi"/>
          <w:kern w:val="0"/>
          <w:sz w:val="20"/>
          <w:szCs w:val="20"/>
          <w:lang w:eastAsia="en-US"/>
        </w:rPr>
      </w:pPr>
      <w:bookmarkStart w:id="25" w:name="_Hlk26370775"/>
      <w:r w:rsidRPr="009B546D">
        <w:rPr>
          <w:rFonts w:asciiTheme="minorHAnsi" w:eastAsiaTheme="minorHAnsi" w:hAnsiTheme="minorHAnsi" w:cstheme="minorHAnsi"/>
          <w:kern w:val="0"/>
          <w:sz w:val="20"/>
          <w:szCs w:val="20"/>
          <w:lang w:eastAsia="en-US"/>
        </w:rPr>
        <w:t>growing the</w:t>
      </w:r>
      <w:r w:rsidR="00FF32D9" w:rsidRPr="009B546D">
        <w:rPr>
          <w:rFonts w:asciiTheme="minorHAnsi" w:eastAsiaTheme="minorHAnsi" w:hAnsiTheme="minorHAnsi" w:cstheme="minorHAnsi"/>
          <w:kern w:val="0"/>
          <w:sz w:val="20"/>
          <w:szCs w:val="20"/>
          <w:lang w:eastAsia="en-US"/>
        </w:rPr>
        <w:t xml:space="preserve"> registered userbase of OCTAPLUS to 20,000 within 6 months of launch in Q1 2020 via social media based marketing;</w:t>
      </w:r>
    </w:p>
    <w:p w14:paraId="520497A3" w14:textId="3D911CD7" w:rsidR="00FF32D9" w:rsidRPr="009B546D" w:rsidRDefault="00220B21"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t>m</w:t>
      </w:r>
      <w:r w:rsidR="00FF32D9" w:rsidRPr="009B546D">
        <w:rPr>
          <w:rFonts w:asciiTheme="minorHAnsi" w:eastAsiaTheme="minorHAnsi" w:hAnsiTheme="minorHAnsi" w:cstheme="minorHAnsi"/>
          <w:kern w:val="0"/>
          <w:sz w:val="20"/>
          <w:szCs w:val="20"/>
          <w:lang w:eastAsia="en-US"/>
        </w:rPr>
        <w:t>aintain</w:t>
      </w:r>
      <w:r w:rsidR="00E32138" w:rsidRPr="009B546D">
        <w:rPr>
          <w:rFonts w:asciiTheme="minorHAnsi" w:eastAsiaTheme="minorHAnsi" w:hAnsiTheme="minorHAnsi" w:cstheme="minorHAnsi"/>
          <w:kern w:val="0"/>
          <w:sz w:val="20"/>
          <w:szCs w:val="20"/>
          <w:lang w:eastAsia="en-US"/>
        </w:rPr>
        <w:t>ing the</w:t>
      </w:r>
      <w:r w:rsidR="00FF32D9" w:rsidRPr="009B546D">
        <w:rPr>
          <w:rFonts w:asciiTheme="minorHAnsi" w:eastAsiaTheme="minorHAnsi" w:hAnsiTheme="minorHAnsi" w:cstheme="minorHAnsi"/>
          <w:kern w:val="0"/>
          <w:sz w:val="20"/>
          <w:szCs w:val="20"/>
          <w:lang w:eastAsia="en-US"/>
        </w:rPr>
        <w:t xml:space="preserve"> status quo on chat application development with incremental improvements;</w:t>
      </w:r>
    </w:p>
    <w:p w14:paraId="153A274D" w14:textId="444179B9" w:rsidR="00FF32D9" w:rsidRPr="009B546D" w:rsidRDefault="00220B21"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t>i</w:t>
      </w:r>
      <w:r w:rsidR="00FF32D9" w:rsidRPr="009B546D">
        <w:rPr>
          <w:rFonts w:asciiTheme="minorHAnsi" w:eastAsiaTheme="minorHAnsi" w:hAnsiTheme="minorHAnsi" w:cstheme="minorHAnsi"/>
          <w:kern w:val="0"/>
          <w:sz w:val="20"/>
          <w:szCs w:val="20"/>
          <w:lang w:eastAsia="en-US"/>
        </w:rPr>
        <w:t>ncrea</w:t>
      </w:r>
      <w:r w:rsidR="00E32138" w:rsidRPr="009B546D">
        <w:rPr>
          <w:rFonts w:asciiTheme="minorHAnsi" w:eastAsiaTheme="minorHAnsi" w:hAnsiTheme="minorHAnsi" w:cstheme="minorHAnsi"/>
          <w:kern w:val="0"/>
          <w:sz w:val="20"/>
          <w:szCs w:val="20"/>
          <w:lang w:eastAsia="en-US"/>
        </w:rPr>
        <w:t>sing the</w:t>
      </w:r>
      <w:r w:rsidR="00FF32D9" w:rsidRPr="009B546D">
        <w:rPr>
          <w:rFonts w:asciiTheme="minorHAnsi" w:eastAsiaTheme="minorHAnsi" w:hAnsiTheme="minorHAnsi" w:cstheme="minorHAnsi"/>
          <w:kern w:val="0"/>
          <w:sz w:val="20"/>
          <w:szCs w:val="20"/>
          <w:lang w:eastAsia="en-US"/>
        </w:rPr>
        <w:t xml:space="preserve"> registered user stickiness of OCTAPLUS; </w:t>
      </w:r>
    </w:p>
    <w:p w14:paraId="73027BB4" w14:textId="7762DA65" w:rsidR="00FF32D9" w:rsidRPr="009B546D" w:rsidRDefault="00E32138"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t xml:space="preserve">raising the </w:t>
      </w:r>
      <w:r w:rsidR="00FF32D9" w:rsidRPr="009B546D">
        <w:rPr>
          <w:rFonts w:asciiTheme="minorHAnsi" w:eastAsiaTheme="minorHAnsi" w:hAnsiTheme="minorHAnsi" w:cstheme="minorHAnsi"/>
          <w:kern w:val="0"/>
          <w:sz w:val="20"/>
          <w:szCs w:val="20"/>
          <w:lang w:eastAsia="en-US"/>
        </w:rPr>
        <w:t xml:space="preserve">Alchemist Codes and OCTAPLUS profile and awareness through global marketing; </w:t>
      </w:r>
    </w:p>
    <w:p w14:paraId="4B52C424" w14:textId="39971D10" w:rsidR="00FF32D9" w:rsidRPr="009B546D" w:rsidRDefault="008322F1"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lastRenderedPageBreak/>
        <w:t>recruiting</w:t>
      </w:r>
      <w:r w:rsidR="00FF32D9" w:rsidRPr="009B546D">
        <w:rPr>
          <w:rFonts w:asciiTheme="minorHAnsi" w:eastAsiaTheme="minorHAnsi" w:hAnsiTheme="minorHAnsi" w:cstheme="minorHAnsi"/>
          <w:kern w:val="0"/>
          <w:sz w:val="20"/>
          <w:szCs w:val="20"/>
          <w:lang w:eastAsia="en-US"/>
        </w:rPr>
        <w:t xml:space="preserve"> industry experts in areas </w:t>
      </w:r>
      <w:r w:rsidR="00F0614B" w:rsidRPr="009B546D">
        <w:rPr>
          <w:rFonts w:asciiTheme="minorHAnsi" w:eastAsiaTheme="minorHAnsi" w:hAnsiTheme="minorHAnsi" w:cstheme="minorHAnsi"/>
          <w:kern w:val="0"/>
          <w:sz w:val="20"/>
          <w:szCs w:val="20"/>
          <w:lang w:eastAsia="en-US"/>
        </w:rPr>
        <w:t>including</w:t>
      </w:r>
      <w:r w:rsidR="00FF32D9" w:rsidRPr="009B546D">
        <w:rPr>
          <w:rFonts w:asciiTheme="minorHAnsi" w:eastAsiaTheme="minorHAnsi" w:hAnsiTheme="minorHAnsi" w:cstheme="minorHAnsi"/>
          <w:kern w:val="0"/>
          <w:sz w:val="20"/>
          <w:szCs w:val="20"/>
          <w:lang w:eastAsia="en-US"/>
        </w:rPr>
        <w:t xml:space="preserve"> </w:t>
      </w:r>
      <w:r w:rsidR="00F0614B" w:rsidRPr="009B546D">
        <w:rPr>
          <w:rFonts w:asciiTheme="minorHAnsi" w:eastAsiaTheme="minorHAnsi" w:hAnsiTheme="minorHAnsi" w:cstheme="minorHAnsi"/>
          <w:kern w:val="0"/>
          <w:sz w:val="20"/>
          <w:szCs w:val="20"/>
          <w:lang w:eastAsia="en-US"/>
        </w:rPr>
        <w:t>AI</w:t>
      </w:r>
      <w:r w:rsidR="00FF32D9" w:rsidRPr="009B546D">
        <w:rPr>
          <w:rFonts w:asciiTheme="minorHAnsi" w:eastAsiaTheme="minorHAnsi" w:hAnsiTheme="minorHAnsi" w:cstheme="minorHAnsi"/>
          <w:kern w:val="0"/>
          <w:sz w:val="20"/>
          <w:szCs w:val="20"/>
          <w:lang w:eastAsia="en-US"/>
        </w:rPr>
        <w:t xml:space="preserve">, </w:t>
      </w:r>
      <w:r w:rsidR="00F0614B" w:rsidRPr="009B546D">
        <w:rPr>
          <w:rFonts w:asciiTheme="minorHAnsi" w:eastAsiaTheme="minorHAnsi" w:hAnsiTheme="minorHAnsi" w:cstheme="minorHAnsi"/>
          <w:kern w:val="0"/>
          <w:sz w:val="20"/>
          <w:szCs w:val="20"/>
          <w:lang w:eastAsia="en-US"/>
        </w:rPr>
        <w:t>e</w:t>
      </w:r>
      <w:r w:rsidR="00FF32D9" w:rsidRPr="009B546D">
        <w:rPr>
          <w:rFonts w:asciiTheme="minorHAnsi" w:eastAsiaTheme="minorHAnsi" w:hAnsiTheme="minorHAnsi" w:cstheme="minorHAnsi"/>
          <w:kern w:val="0"/>
          <w:sz w:val="20"/>
          <w:szCs w:val="20"/>
          <w:lang w:eastAsia="en-US"/>
        </w:rPr>
        <w:t xml:space="preserve">-commerce, sales and marketing, software technical, internet technical support, creative and visual designers and </w:t>
      </w:r>
      <w:r w:rsidR="00F0614B" w:rsidRPr="009B546D">
        <w:rPr>
          <w:rFonts w:asciiTheme="minorHAnsi" w:eastAsiaTheme="minorHAnsi" w:hAnsiTheme="minorHAnsi" w:cstheme="minorHAnsi"/>
          <w:kern w:val="0"/>
          <w:sz w:val="20"/>
          <w:szCs w:val="20"/>
          <w:lang w:eastAsia="en-US"/>
        </w:rPr>
        <w:t>e</w:t>
      </w:r>
      <w:r w:rsidR="00FF32D9" w:rsidRPr="009B546D">
        <w:rPr>
          <w:rFonts w:asciiTheme="minorHAnsi" w:eastAsiaTheme="minorHAnsi" w:hAnsiTheme="minorHAnsi" w:cstheme="minorHAnsi"/>
          <w:kern w:val="0"/>
          <w:sz w:val="20"/>
          <w:szCs w:val="20"/>
          <w:lang w:eastAsia="en-US"/>
        </w:rPr>
        <w:t xml:space="preserve">-commerce focused legal specialist; </w:t>
      </w:r>
    </w:p>
    <w:p w14:paraId="22F0794F" w14:textId="268872AA" w:rsidR="00FF32D9" w:rsidRPr="009B546D" w:rsidRDefault="008322F1"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t xml:space="preserve">securing </w:t>
      </w:r>
      <w:r w:rsidR="00FF32D9" w:rsidRPr="009B546D">
        <w:rPr>
          <w:rFonts w:asciiTheme="minorHAnsi" w:eastAsiaTheme="minorHAnsi" w:hAnsiTheme="minorHAnsi" w:cstheme="minorHAnsi"/>
          <w:kern w:val="0"/>
          <w:sz w:val="20"/>
          <w:szCs w:val="20"/>
          <w:lang w:eastAsia="en-US"/>
        </w:rPr>
        <w:t>intellectual proprietary rights in data scraping and crawling, data analytical methodology, artificial Data Mining technology;</w:t>
      </w:r>
    </w:p>
    <w:p w14:paraId="7E6A96A0" w14:textId="062F81AC" w:rsidR="00FF32D9" w:rsidRPr="009B546D" w:rsidRDefault="008322F1"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t>expanding</w:t>
      </w:r>
      <w:r w:rsidR="00FF32D9" w:rsidRPr="009B546D">
        <w:rPr>
          <w:rFonts w:asciiTheme="minorHAnsi" w:eastAsiaTheme="minorHAnsi" w:hAnsiTheme="minorHAnsi" w:cstheme="minorHAnsi"/>
          <w:kern w:val="0"/>
          <w:sz w:val="20"/>
          <w:szCs w:val="20"/>
          <w:lang w:eastAsia="en-US"/>
        </w:rPr>
        <w:t xml:space="preserve"> OCTAPLUS into other consumer categories such as electronics and media</w:t>
      </w:r>
      <w:r w:rsidR="00973FA7" w:rsidRPr="009B546D">
        <w:rPr>
          <w:rFonts w:asciiTheme="minorHAnsi" w:eastAsiaTheme="minorHAnsi" w:hAnsiTheme="minorHAnsi" w:cstheme="minorHAnsi"/>
          <w:kern w:val="0"/>
          <w:sz w:val="20"/>
          <w:szCs w:val="20"/>
          <w:lang w:eastAsia="en-US"/>
        </w:rPr>
        <w:t>;</w:t>
      </w:r>
      <w:r w:rsidR="00FF32D9" w:rsidRPr="009B546D">
        <w:rPr>
          <w:rFonts w:asciiTheme="minorHAnsi" w:eastAsiaTheme="minorHAnsi" w:hAnsiTheme="minorHAnsi" w:cstheme="minorHAnsi"/>
          <w:kern w:val="0"/>
          <w:sz w:val="20"/>
          <w:szCs w:val="20"/>
          <w:lang w:eastAsia="en-US"/>
        </w:rPr>
        <w:t xml:space="preserve"> </w:t>
      </w:r>
    </w:p>
    <w:p w14:paraId="5A216A8A" w14:textId="2B2A16EF" w:rsidR="00FF32D9" w:rsidRPr="009B546D" w:rsidRDefault="008322F1"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bookmarkStart w:id="26" w:name="_Hlk25849044"/>
      <w:r w:rsidRPr="009B546D">
        <w:rPr>
          <w:rFonts w:asciiTheme="minorHAnsi" w:eastAsiaTheme="minorHAnsi" w:hAnsiTheme="minorHAnsi" w:cstheme="minorHAnsi"/>
          <w:kern w:val="0"/>
          <w:sz w:val="20"/>
          <w:szCs w:val="20"/>
          <w:lang w:eastAsia="en-US"/>
        </w:rPr>
        <w:t xml:space="preserve">expanding </w:t>
      </w:r>
      <w:r w:rsidR="00FF32D9" w:rsidRPr="009B546D">
        <w:rPr>
          <w:rFonts w:asciiTheme="minorHAnsi" w:eastAsiaTheme="minorHAnsi" w:hAnsiTheme="minorHAnsi" w:cstheme="minorHAnsi"/>
          <w:kern w:val="0"/>
          <w:sz w:val="20"/>
          <w:szCs w:val="20"/>
          <w:lang w:eastAsia="en-US"/>
        </w:rPr>
        <w:t>internationally into Europe and UK; and</w:t>
      </w:r>
    </w:p>
    <w:bookmarkEnd w:id="26"/>
    <w:p w14:paraId="18EE2F17" w14:textId="2C7FCC2F" w:rsidR="00FF32D9" w:rsidRPr="000F4179" w:rsidRDefault="008322F1" w:rsidP="00EA2BB6">
      <w:pPr>
        <w:pStyle w:val="ListParagraph"/>
        <w:widowControl/>
        <w:numPr>
          <w:ilvl w:val="0"/>
          <w:numId w:val="13"/>
        </w:numPr>
        <w:spacing w:after="120"/>
        <w:rPr>
          <w:rFonts w:cstheme="minorHAnsi"/>
          <w:szCs w:val="20"/>
        </w:rPr>
      </w:pPr>
      <w:r w:rsidRPr="009B546D">
        <w:rPr>
          <w:rFonts w:asciiTheme="minorHAnsi" w:eastAsiaTheme="minorHAnsi" w:hAnsiTheme="minorHAnsi" w:cstheme="minorHAnsi"/>
          <w:kern w:val="0"/>
          <w:sz w:val="20"/>
          <w:szCs w:val="20"/>
          <w:lang w:eastAsia="en-US"/>
        </w:rPr>
        <w:t xml:space="preserve">undertaking </w:t>
      </w:r>
      <w:r w:rsidR="00FF32D9" w:rsidRPr="009B546D">
        <w:rPr>
          <w:rFonts w:asciiTheme="minorHAnsi" w:eastAsiaTheme="minorHAnsi" w:hAnsiTheme="minorHAnsi" w:cstheme="minorHAnsi"/>
          <w:kern w:val="0"/>
          <w:sz w:val="20"/>
          <w:szCs w:val="20"/>
          <w:lang w:eastAsia="en-US"/>
        </w:rPr>
        <w:t>M&amp;A projects to enhance growth.</w:t>
      </w:r>
      <w:bookmarkEnd w:id="25"/>
    </w:p>
    <w:p w14:paraId="5219DA9A" w14:textId="77777777" w:rsidR="00D90E1F" w:rsidRPr="009B546D" w:rsidRDefault="00D90E1F" w:rsidP="00F432B9">
      <w:pPr>
        <w:pStyle w:val="Heading2"/>
        <w:keepNext w:val="0"/>
        <w:widowControl w:val="0"/>
        <w:numPr>
          <w:ilvl w:val="0"/>
          <w:numId w:val="10"/>
        </w:numPr>
        <w:spacing w:before="0" w:after="160" w:line="240" w:lineRule="auto"/>
        <w:rPr>
          <w:rFonts w:asciiTheme="minorHAnsi" w:hAnsiTheme="minorHAnsi" w:cstheme="minorHAnsi"/>
          <w:szCs w:val="20"/>
        </w:rPr>
      </w:pPr>
      <w:r w:rsidRPr="009B546D">
        <w:rPr>
          <w:rFonts w:asciiTheme="minorHAnsi" w:hAnsiTheme="minorHAnsi" w:cstheme="minorHAnsi"/>
          <w:szCs w:val="20"/>
        </w:rPr>
        <w:t>Summary financial information</w:t>
      </w:r>
    </w:p>
    <w:p w14:paraId="44E42900" w14:textId="01CCCCE1" w:rsidR="00D90E1F" w:rsidRPr="009B546D" w:rsidRDefault="00D90E1F" w:rsidP="00F432B9">
      <w:pPr>
        <w:widowControl w:val="0"/>
        <w:spacing w:line="240" w:lineRule="auto"/>
        <w:rPr>
          <w:rFonts w:cstheme="minorHAnsi"/>
          <w:szCs w:val="20"/>
        </w:rPr>
      </w:pPr>
      <w:r w:rsidRPr="009B546D">
        <w:rPr>
          <w:rFonts w:cstheme="minorHAnsi"/>
          <w:szCs w:val="20"/>
        </w:rPr>
        <w:t xml:space="preserve">Financial information relating to the Company and a </w:t>
      </w:r>
      <w:r w:rsidRPr="009B546D">
        <w:rPr>
          <w:rFonts w:cstheme="minorHAnsi"/>
          <w:i/>
          <w:iCs/>
          <w:szCs w:val="20"/>
        </w:rPr>
        <w:t>pro forma</w:t>
      </w:r>
      <w:r w:rsidRPr="009B546D">
        <w:rPr>
          <w:rFonts w:cstheme="minorHAnsi"/>
          <w:szCs w:val="20"/>
        </w:rPr>
        <w:t xml:space="preserve"> balance sheet of the Enlarged Group immediately following completion of the </w:t>
      </w:r>
      <w:r w:rsidR="00804BC6" w:rsidRPr="009B546D">
        <w:rPr>
          <w:rFonts w:cstheme="minorHAnsi"/>
          <w:szCs w:val="20"/>
        </w:rPr>
        <w:t>Proposed Acquisition</w:t>
      </w:r>
      <w:r w:rsidRPr="009B546D">
        <w:rPr>
          <w:rFonts w:cstheme="minorHAnsi"/>
          <w:szCs w:val="20"/>
        </w:rPr>
        <w:t xml:space="preserve"> is set out in Part</w:t>
      </w:r>
      <w:r w:rsidR="00185727" w:rsidRPr="009B546D">
        <w:rPr>
          <w:rFonts w:cstheme="minorHAnsi"/>
          <w:szCs w:val="20"/>
        </w:rPr>
        <w:t xml:space="preserve"> </w:t>
      </w:r>
      <w:r w:rsidR="002D5D31" w:rsidRPr="009B546D">
        <w:rPr>
          <w:rFonts w:cstheme="minorHAnsi"/>
          <w:szCs w:val="20"/>
        </w:rPr>
        <w:t>XV</w:t>
      </w:r>
      <w:r w:rsidR="00126931">
        <w:rPr>
          <w:rFonts w:cstheme="minorHAnsi"/>
          <w:szCs w:val="20"/>
        </w:rPr>
        <w:t>I</w:t>
      </w:r>
      <w:r w:rsidR="00185727" w:rsidRPr="009B546D">
        <w:rPr>
          <w:rFonts w:cstheme="minorHAnsi"/>
          <w:szCs w:val="20"/>
        </w:rPr>
        <w:t xml:space="preserve"> </w:t>
      </w:r>
      <w:r w:rsidRPr="009B546D">
        <w:rPr>
          <w:rFonts w:cstheme="minorHAnsi"/>
          <w:szCs w:val="20"/>
        </w:rPr>
        <w:t>and</w:t>
      </w:r>
      <w:r w:rsidR="00185727" w:rsidRPr="009B546D">
        <w:rPr>
          <w:rFonts w:cstheme="minorHAnsi"/>
          <w:szCs w:val="20"/>
        </w:rPr>
        <w:t xml:space="preserve"> </w:t>
      </w:r>
      <w:r w:rsidR="002D5D31" w:rsidRPr="009B546D">
        <w:rPr>
          <w:rFonts w:cstheme="minorHAnsi"/>
          <w:szCs w:val="20"/>
        </w:rPr>
        <w:t>XVI</w:t>
      </w:r>
      <w:r w:rsidR="002963F3">
        <w:rPr>
          <w:rFonts w:cstheme="minorHAnsi"/>
          <w:szCs w:val="20"/>
        </w:rPr>
        <w:t>I</w:t>
      </w:r>
      <w:r w:rsidR="00185727" w:rsidRPr="009B546D">
        <w:rPr>
          <w:rFonts w:cstheme="minorHAnsi"/>
          <w:szCs w:val="20"/>
        </w:rPr>
        <w:t xml:space="preserve"> of</w:t>
      </w:r>
      <w:r w:rsidRPr="009B546D">
        <w:rPr>
          <w:rFonts w:cstheme="minorHAnsi"/>
          <w:szCs w:val="20"/>
        </w:rPr>
        <w:t xml:space="preserve"> this Prospectus.</w:t>
      </w:r>
    </w:p>
    <w:p w14:paraId="0005C3CA" w14:textId="049887A3" w:rsidR="00D90E1F" w:rsidRPr="009B546D" w:rsidRDefault="00D90E1F" w:rsidP="00F432B9">
      <w:pPr>
        <w:widowControl w:val="0"/>
        <w:spacing w:line="240" w:lineRule="auto"/>
        <w:rPr>
          <w:rFonts w:cstheme="minorHAnsi"/>
          <w:szCs w:val="20"/>
        </w:rPr>
      </w:pPr>
      <w:r w:rsidRPr="009B546D">
        <w:rPr>
          <w:rFonts w:cstheme="minorHAnsi"/>
          <w:szCs w:val="20"/>
        </w:rPr>
        <w:t xml:space="preserve">The financial information relating to </w:t>
      </w:r>
      <w:r w:rsidR="00AF0C4A" w:rsidRPr="009B546D">
        <w:rPr>
          <w:rFonts w:cstheme="minorHAnsi"/>
          <w:szCs w:val="20"/>
        </w:rPr>
        <w:t>Alchemist Codes</w:t>
      </w:r>
      <w:r w:rsidRPr="009B546D">
        <w:rPr>
          <w:rFonts w:cstheme="minorHAnsi"/>
          <w:szCs w:val="20"/>
        </w:rPr>
        <w:t xml:space="preserve"> is set out in Part </w:t>
      </w:r>
      <w:r w:rsidR="00AD5F97" w:rsidRPr="009B546D">
        <w:rPr>
          <w:rFonts w:cstheme="minorHAnsi"/>
          <w:szCs w:val="20"/>
        </w:rPr>
        <w:t>XIV</w:t>
      </w:r>
      <w:r w:rsidRPr="009B546D">
        <w:rPr>
          <w:rFonts w:cstheme="minorHAnsi"/>
          <w:szCs w:val="20"/>
        </w:rPr>
        <w:t xml:space="preserve"> of this Prospectus.</w:t>
      </w:r>
    </w:p>
    <w:p w14:paraId="43354BA5" w14:textId="77777777" w:rsidR="00D90E1F" w:rsidRPr="009B546D" w:rsidRDefault="00D90E1F" w:rsidP="00F432B9">
      <w:pPr>
        <w:pStyle w:val="Heading2"/>
        <w:keepNext w:val="0"/>
        <w:widowControl w:val="0"/>
        <w:numPr>
          <w:ilvl w:val="0"/>
          <w:numId w:val="10"/>
        </w:numPr>
        <w:spacing w:before="0" w:after="160" w:line="240" w:lineRule="auto"/>
        <w:rPr>
          <w:rFonts w:asciiTheme="minorHAnsi" w:hAnsiTheme="minorHAnsi" w:cstheme="minorHAnsi"/>
          <w:szCs w:val="20"/>
        </w:rPr>
      </w:pPr>
      <w:r w:rsidRPr="009B546D">
        <w:rPr>
          <w:rFonts w:asciiTheme="minorHAnsi" w:hAnsiTheme="minorHAnsi" w:cstheme="minorHAnsi"/>
          <w:szCs w:val="20"/>
        </w:rPr>
        <w:t>Directors and Senior Management</w:t>
      </w:r>
    </w:p>
    <w:p w14:paraId="6EA3DAF2" w14:textId="5C141DD1" w:rsidR="00D90E1F" w:rsidRPr="009B546D" w:rsidRDefault="00D90E1F" w:rsidP="00F432B9">
      <w:pPr>
        <w:widowControl w:val="0"/>
        <w:spacing w:line="240" w:lineRule="auto"/>
        <w:rPr>
          <w:rFonts w:cstheme="minorHAnsi"/>
          <w:szCs w:val="20"/>
        </w:rPr>
      </w:pPr>
      <w:r w:rsidRPr="009B546D">
        <w:rPr>
          <w:rFonts w:cstheme="minorHAnsi"/>
          <w:szCs w:val="20"/>
        </w:rPr>
        <w:t xml:space="preserve">The current Board comprises Graham Duncan (Independent Non-Executive Chairman), Soon Beng Gee (Executive Director), Lee Chong Liang (Executive Director) and Harry Chathli (Independent Non-Executive Director). </w:t>
      </w:r>
    </w:p>
    <w:p w14:paraId="1F13663C" w14:textId="0AC8C0E8" w:rsidR="00D90E1F" w:rsidRPr="009B546D" w:rsidRDefault="00D90E1F" w:rsidP="00F432B9">
      <w:pPr>
        <w:widowControl w:val="0"/>
        <w:spacing w:line="240" w:lineRule="auto"/>
        <w:rPr>
          <w:rFonts w:cstheme="minorHAnsi"/>
          <w:szCs w:val="20"/>
        </w:rPr>
      </w:pPr>
      <w:r w:rsidRPr="009B546D">
        <w:rPr>
          <w:rFonts w:cstheme="minorHAnsi"/>
          <w:szCs w:val="20"/>
        </w:rPr>
        <w:t xml:space="preserve">Upon completion of the </w:t>
      </w:r>
      <w:r w:rsidR="00804BC6" w:rsidRPr="009B546D">
        <w:rPr>
          <w:rFonts w:cstheme="minorHAnsi"/>
          <w:szCs w:val="20"/>
        </w:rPr>
        <w:t>Proposed Acquisition</w:t>
      </w:r>
      <w:r w:rsidR="008322F1" w:rsidRPr="009B546D">
        <w:rPr>
          <w:rFonts w:cstheme="minorHAnsi"/>
          <w:szCs w:val="20"/>
        </w:rPr>
        <w:t>,</w:t>
      </w:r>
      <w:r w:rsidRPr="009B546D">
        <w:rPr>
          <w:rFonts w:cstheme="minorHAnsi"/>
          <w:szCs w:val="20"/>
        </w:rPr>
        <w:t xml:space="preserve"> </w:t>
      </w:r>
      <w:r w:rsidR="00571C78">
        <w:rPr>
          <w:rFonts w:cstheme="minorHAnsi"/>
          <w:szCs w:val="20"/>
        </w:rPr>
        <w:t xml:space="preserve">Nicholas will change his position to Non-Executive Director. </w:t>
      </w:r>
      <w:r w:rsidR="00D476F7">
        <w:rPr>
          <w:rFonts w:cstheme="minorHAnsi"/>
          <w:szCs w:val="20"/>
        </w:rPr>
        <w:t>In</w:t>
      </w:r>
      <w:r w:rsidR="00CD50AA">
        <w:rPr>
          <w:rFonts w:cstheme="minorHAnsi"/>
          <w:szCs w:val="20"/>
        </w:rPr>
        <w:t xml:space="preserve"> addition,</w:t>
      </w:r>
      <w:r w:rsidR="00571C78">
        <w:rPr>
          <w:rFonts w:cstheme="minorHAnsi"/>
          <w:szCs w:val="20"/>
        </w:rPr>
        <w:t xml:space="preserve"> </w:t>
      </w:r>
      <w:r w:rsidRPr="009B546D">
        <w:rPr>
          <w:rFonts w:cstheme="minorHAnsi"/>
          <w:szCs w:val="20"/>
        </w:rPr>
        <w:t>the Proposed Director Charles Yong Kai Yee, will be appointed to the Board</w:t>
      </w:r>
      <w:r w:rsidR="00571C78">
        <w:rPr>
          <w:rFonts w:cstheme="minorHAnsi"/>
          <w:szCs w:val="20"/>
        </w:rPr>
        <w:t xml:space="preserve"> as an </w:t>
      </w:r>
      <w:r w:rsidR="00CD50AA">
        <w:rPr>
          <w:rFonts w:cstheme="minorHAnsi"/>
          <w:szCs w:val="20"/>
        </w:rPr>
        <w:t>E</w:t>
      </w:r>
      <w:r w:rsidR="00571C78">
        <w:rPr>
          <w:rFonts w:cstheme="minorHAnsi"/>
          <w:szCs w:val="20"/>
        </w:rPr>
        <w:t xml:space="preserve">xecutive </w:t>
      </w:r>
      <w:r w:rsidR="00CD50AA">
        <w:rPr>
          <w:rFonts w:cstheme="minorHAnsi"/>
          <w:szCs w:val="20"/>
        </w:rPr>
        <w:t>D</w:t>
      </w:r>
      <w:r w:rsidR="00571C78">
        <w:rPr>
          <w:rFonts w:cstheme="minorHAnsi"/>
          <w:szCs w:val="20"/>
        </w:rPr>
        <w:t>irector</w:t>
      </w:r>
      <w:r w:rsidRPr="009B546D">
        <w:rPr>
          <w:rFonts w:cstheme="minorHAnsi"/>
          <w:szCs w:val="20"/>
        </w:rPr>
        <w:t xml:space="preserve">. </w:t>
      </w:r>
    </w:p>
    <w:p w14:paraId="4645CA10" w14:textId="77777777" w:rsidR="00D90E1F" w:rsidRPr="009B546D" w:rsidRDefault="00D90E1F" w:rsidP="00F432B9">
      <w:pPr>
        <w:widowControl w:val="0"/>
        <w:spacing w:line="240" w:lineRule="auto"/>
        <w:rPr>
          <w:rFonts w:cstheme="minorHAnsi"/>
          <w:szCs w:val="20"/>
        </w:rPr>
      </w:pPr>
      <w:r w:rsidRPr="009B546D">
        <w:rPr>
          <w:rFonts w:cstheme="minorHAnsi"/>
          <w:szCs w:val="20"/>
        </w:rPr>
        <w:t>Accordingly, the Board on Re-Admission will comprise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5"/>
      </w:tblGrid>
      <w:tr w:rsidR="00D90E1F" w:rsidRPr="009B546D" w14:paraId="7C97C53D" w14:textId="77777777" w:rsidTr="006E1D0B">
        <w:tc>
          <w:tcPr>
            <w:tcW w:w="4392" w:type="dxa"/>
          </w:tcPr>
          <w:p w14:paraId="7E659F7A" w14:textId="77777777" w:rsidR="00D90E1F" w:rsidRPr="009B546D" w:rsidRDefault="00D90E1F" w:rsidP="00F432B9">
            <w:pPr>
              <w:widowControl w:val="0"/>
              <w:spacing w:after="160"/>
              <w:rPr>
                <w:rFonts w:cstheme="minorHAnsi"/>
                <w:szCs w:val="20"/>
              </w:rPr>
            </w:pPr>
            <w:r w:rsidRPr="009B546D">
              <w:rPr>
                <w:rFonts w:cstheme="minorHAnsi"/>
                <w:szCs w:val="20"/>
              </w:rPr>
              <w:t>Graham Duncan</w:t>
            </w:r>
          </w:p>
        </w:tc>
        <w:tc>
          <w:tcPr>
            <w:tcW w:w="4395" w:type="dxa"/>
          </w:tcPr>
          <w:p w14:paraId="1BA3F918" w14:textId="77777777" w:rsidR="00D90E1F" w:rsidRPr="009B546D" w:rsidRDefault="00D90E1F" w:rsidP="00F432B9">
            <w:pPr>
              <w:widowControl w:val="0"/>
              <w:spacing w:after="160"/>
              <w:rPr>
                <w:rFonts w:cstheme="minorHAnsi"/>
                <w:szCs w:val="20"/>
              </w:rPr>
            </w:pPr>
            <w:r w:rsidRPr="009B546D">
              <w:rPr>
                <w:rFonts w:cstheme="minorHAnsi"/>
                <w:szCs w:val="20"/>
              </w:rPr>
              <w:t>Independent Non-Executive Chairman</w:t>
            </w:r>
          </w:p>
        </w:tc>
      </w:tr>
      <w:tr w:rsidR="00D90E1F" w:rsidRPr="009B546D" w14:paraId="50F80E78" w14:textId="77777777" w:rsidTr="006E1D0B">
        <w:tc>
          <w:tcPr>
            <w:tcW w:w="4392" w:type="dxa"/>
          </w:tcPr>
          <w:p w14:paraId="3C219472" w14:textId="77777777" w:rsidR="00D90E1F" w:rsidRPr="009B546D" w:rsidRDefault="00D90E1F" w:rsidP="00F432B9">
            <w:pPr>
              <w:widowControl w:val="0"/>
              <w:spacing w:after="160"/>
              <w:rPr>
                <w:rFonts w:cstheme="minorHAnsi"/>
                <w:szCs w:val="20"/>
              </w:rPr>
            </w:pPr>
            <w:r w:rsidRPr="009B546D">
              <w:rPr>
                <w:rFonts w:cstheme="minorHAnsi"/>
                <w:szCs w:val="20"/>
              </w:rPr>
              <w:t>Lee Chong Liang (“</w:t>
            </w:r>
            <w:r w:rsidRPr="00EA2BB6">
              <w:rPr>
                <w:rFonts w:cstheme="minorHAnsi"/>
                <w:b/>
                <w:bCs/>
                <w:szCs w:val="20"/>
              </w:rPr>
              <w:t>Marcus</w:t>
            </w:r>
            <w:r w:rsidRPr="009B546D">
              <w:rPr>
                <w:rFonts w:cstheme="minorHAnsi"/>
                <w:szCs w:val="20"/>
              </w:rPr>
              <w:t>”)</w:t>
            </w:r>
          </w:p>
        </w:tc>
        <w:tc>
          <w:tcPr>
            <w:tcW w:w="4395" w:type="dxa"/>
          </w:tcPr>
          <w:p w14:paraId="6F48A53D" w14:textId="77777777" w:rsidR="00D90E1F" w:rsidRPr="009B546D" w:rsidRDefault="00D90E1F" w:rsidP="00F432B9">
            <w:pPr>
              <w:widowControl w:val="0"/>
              <w:spacing w:after="160"/>
              <w:rPr>
                <w:rFonts w:cstheme="minorHAnsi"/>
                <w:szCs w:val="20"/>
              </w:rPr>
            </w:pPr>
            <w:r w:rsidRPr="009B546D">
              <w:rPr>
                <w:rFonts w:cstheme="minorHAnsi"/>
                <w:szCs w:val="20"/>
              </w:rPr>
              <w:t>Executive Director</w:t>
            </w:r>
          </w:p>
        </w:tc>
      </w:tr>
      <w:tr w:rsidR="00D90E1F" w:rsidRPr="009B546D" w14:paraId="7236E5A6" w14:textId="77777777" w:rsidTr="00EA2BB6">
        <w:trPr>
          <w:trHeight w:val="183"/>
        </w:trPr>
        <w:tc>
          <w:tcPr>
            <w:tcW w:w="4392" w:type="dxa"/>
          </w:tcPr>
          <w:p w14:paraId="574FEE6E" w14:textId="77777777" w:rsidR="00D90E1F" w:rsidRPr="009B546D" w:rsidRDefault="00D90E1F" w:rsidP="00F432B9">
            <w:pPr>
              <w:widowControl w:val="0"/>
              <w:spacing w:after="160"/>
              <w:rPr>
                <w:rFonts w:cstheme="minorHAnsi"/>
                <w:szCs w:val="20"/>
              </w:rPr>
            </w:pPr>
            <w:r w:rsidRPr="009B546D">
              <w:rPr>
                <w:rFonts w:cstheme="minorHAnsi"/>
                <w:szCs w:val="20"/>
              </w:rPr>
              <w:t>Charles Yong Kai Yee</w:t>
            </w:r>
          </w:p>
        </w:tc>
        <w:tc>
          <w:tcPr>
            <w:tcW w:w="4395" w:type="dxa"/>
          </w:tcPr>
          <w:p w14:paraId="307ACDD3" w14:textId="77777777" w:rsidR="00D90E1F" w:rsidRPr="009B546D" w:rsidRDefault="00D90E1F" w:rsidP="00F432B9">
            <w:pPr>
              <w:widowControl w:val="0"/>
              <w:spacing w:after="160"/>
              <w:rPr>
                <w:rFonts w:cstheme="minorHAnsi"/>
                <w:szCs w:val="20"/>
              </w:rPr>
            </w:pPr>
            <w:r w:rsidRPr="009B546D">
              <w:rPr>
                <w:rFonts w:cstheme="minorHAnsi"/>
                <w:szCs w:val="20"/>
              </w:rPr>
              <w:t>Executive Director</w:t>
            </w:r>
          </w:p>
        </w:tc>
      </w:tr>
      <w:tr w:rsidR="00CD50AA" w:rsidRPr="009B546D" w14:paraId="67AAE306" w14:textId="77777777" w:rsidTr="006E1D0B">
        <w:tc>
          <w:tcPr>
            <w:tcW w:w="4392" w:type="dxa"/>
          </w:tcPr>
          <w:p w14:paraId="3F1514E1" w14:textId="529D3FEC" w:rsidR="00CD50AA" w:rsidRPr="009B546D" w:rsidRDefault="00CD50AA" w:rsidP="00CD50AA">
            <w:pPr>
              <w:widowControl w:val="0"/>
              <w:spacing w:after="160"/>
              <w:rPr>
                <w:rFonts w:cstheme="minorHAnsi"/>
                <w:szCs w:val="20"/>
              </w:rPr>
            </w:pPr>
            <w:r w:rsidRPr="009B546D">
              <w:rPr>
                <w:rFonts w:cstheme="minorHAnsi"/>
                <w:szCs w:val="20"/>
              </w:rPr>
              <w:t>Soon Beng Gee (“</w:t>
            </w:r>
            <w:r w:rsidRPr="00EA2BB6">
              <w:rPr>
                <w:rFonts w:cstheme="minorHAnsi"/>
                <w:b/>
                <w:bCs/>
                <w:szCs w:val="20"/>
              </w:rPr>
              <w:t>Nicholas</w:t>
            </w:r>
            <w:r w:rsidRPr="009B546D">
              <w:rPr>
                <w:rFonts w:cstheme="minorHAnsi"/>
                <w:szCs w:val="20"/>
              </w:rPr>
              <w:t>”)</w:t>
            </w:r>
          </w:p>
        </w:tc>
        <w:tc>
          <w:tcPr>
            <w:tcW w:w="4395" w:type="dxa"/>
          </w:tcPr>
          <w:p w14:paraId="26CED415" w14:textId="75AA310D" w:rsidR="00CD50AA" w:rsidRPr="009B546D" w:rsidRDefault="00CD50AA" w:rsidP="00CD50AA">
            <w:pPr>
              <w:widowControl w:val="0"/>
              <w:spacing w:after="160"/>
              <w:rPr>
                <w:rFonts w:cstheme="minorHAnsi"/>
                <w:szCs w:val="20"/>
              </w:rPr>
            </w:pPr>
            <w:r w:rsidRPr="009B546D">
              <w:rPr>
                <w:rFonts w:cstheme="minorHAnsi"/>
                <w:szCs w:val="20"/>
              </w:rPr>
              <w:t>Non-Executive Director</w:t>
            </w:r>
          </w:p>
        </w:tc>
      </w:tr>
      <w:tr w:rsidR="00CD50AA" w:rsidRPr="009B546D" w14:paraId="02DF4B2B" w14:textId="77777777" w:rsidTr="006E1D0B">
        <w:tc>
          <w:tcPr>
            <w:tcW w:w="4392" w:type="dxa"/>
          </w:tcPr>
          <w:p w14:paraId="121205DD" w14:textId="15F2DBD0" w:rsidR="00CD50AA" w:rsidRPr="009B546D" w:rsidDel="00CD50AA" w:rsidRDefault="00CD50AA" w:rsidP="00CD50AA">
            <w:pPr>
              <w:widowControl w:val="0"/>
              <w:rPr>
                <w:rFonts w:cstheme="minorHAnsi"/>
                <w:szCs w:val="20"/>
              </w:rPr>
            </w:pPr>
            <w:r>
              <w:rPr>
                <w:rFonts w:cstheme="minorHAnsi"/>
                <w:szCs w:val="20"/>
              </w:rPr>
              <w:t>Harry Cha</w:t>
            </w:r>
            <w:r w:rsidR="000A58A2">
              <w:rPr>
                <w:rFonts w:cstheme="minorHAnsi"/>
                <w:szCs w:val="20"/>
              </w:rPr>
              <w:t>thli</w:t>
            </w:r>
          </w:p>
        </w:tc>
        <w:tc>
          <w:tcPr>
            <w:tcW w:w="4395" w:type="dxa"/>
          </w:tcPr>
          <w:p w14:paraId="5877B172" w14:textId="711FF054" w:rsidR="00CD50AA" w:rsidRPr="009B546D" w:rsidDel="00CD50AA" w:rsidRDefault="000A58A2" w:rsidP="00CD50AA">
            <w:pPr>
              <w:widowControl w:val="0"/>
              <w:rPr>
                <w:rFonts w:cstheme="minorHAnsi"/>
                <w:szCs w:val="20"/>
              </w:rPr>
            </w:pPr>
            <w:r>
              <w:rPr>
                <w:rFonts w:cstheme="minorHAnsi"/>
                <w:szCs w:val="20"/>
              </w:rPr>
              <w:t>Independent Non-Executive Director</w:t>
            </w:r>
          </w:p>
        </w:tc>
      </w:tr>
      <w:tr w:rsidR="00CD50AA" w:rsidRPr="009B546D" w14:paraId="4556BB27" w14:textId="77777777" w:rsidTr="006E1D0B">
        <w:tc>
          <w:tcPr>
            <w:tcW w:w="4392" w:type="dxa"/>
          </w:tcPr>
          <w:p w14:paraId="01D98B35" w14:textId="1D28A447" w:rsidR="00CD50AA" w:rsidRPr="009B546D" w:rsidRDefault="00CD50AA" w:rsidP="00CD50AA">
            <w:pPr>
              <w:widowControl w:val="0"/>
              <w:rPr>
                <w:rFonts w:cstheme="minorHAnsi"/>
                <w:szCs w:val="20"/>
              </w:rPr>
            </w:pPr>
          </w:p>
        </w:tc>
        <w:tc>
          <w:tcPr>
            <w:tcW w:w="4395" w:type="dxa"/>
          </w:tcPr>
          <w:p w14:paraId="11BE1C77" w14:textId="3B3308A4" w:rsidR="00CD50AA" w:rsidRPr="009B546D" w:rsidRDefault="00CD50AA" w:rsidP="00CD50AA">
            <w:pPr>
              <w:widowControl w:val="0"/>
              <w:rPr>
                <w:rFonts w:cstheme="minorHAnsi"/>
                <w:szCs w:val="20"/>
              </w:rPr>
            </w:pPr>
          </w:p>
        </w:tc>
      </w:tr>
    </w:tbl>
    <w:p w14:paraId="43A7ED73" w14:textId="77777777" w:rsidR="006E1D0B" w:rsidRPr="00EA2BB6" w:rsidRDefault="006E1D0B" w:rsidP="00F432B9">
      <w:pPr>
        <w:widowControl w:val="0"/>
        <w:spacing w:line="240" w:lineRule="auto"/>
        <w:rPr>
          <w:rFonts w:cstheme="minorHAnsi"/>
          <w:b/>
          <w:bCs/>
          <w:szCs w:val="20"/>
        </w:rPr>
      </w:pPr>
    </w:p>
    <w:p w14:paraId="21D43C44" w14:textId="6BD65F79" w:rsidR="00D90E1F" w:rsidRPr="009B546D" w:rsidRDefault="00DB3179" w:rsidP="00F432B9">
      <w:pPr>
        <w:widowControl w:val="0"/>
        <w:spacing w:line="240" w:lineRule="auto"/>
        <w:rPr>
          <w:rFonts w:cstheme="minorHAnsi"/>
          <w:szCs w:val="20"/>
        </w:rPr>
      </w:pPr>
      <w:r w:rsidRPr="009B546D">
        <w:rPr>
          <w:rFonts w:cstheme="minorHAnsi"/>
          <w:szCs w:val="20"/>
        </w:rPr>
        <w:t xml:space="preserve">A </w:t>
      </w:r>
      <w:r w:rsidR="00D90E1F" w:rsidRPr="009B546D">
        <w:rPr>
          <w:rFonts w:cstheme="minorHAnsi"/>
          <w:szCs w:val="20"/>
        </w:rPr>
        <w:t>biograph</w:t>
      </w:r>
      <w:r w:rsidRPr="009B546D">
        <w:rPr>
          <w:rFonts w:cstheme="minorHAnsi"/>
          <w:szCs w:val="20"/>
        </w:rPr>
        <w:t>y</w:t>
      </w:r>
      <w:r w:rsidR="00D90E1F" w:rsidRPr="009B546D">
        <w:rPr>
          <w:rFonts w:cstheme="minorHAnsi"/>
          <w:szCs w:val="20"/>
        </w:rPr>
        <w:t xml:space="preserve"> of the </w:t>
      </w:r>
      <w:r w:rsidR="00AB1054" w:rsidRPr="009B546D">
        <w:rPr>
          <w:rFonts w:cstheme="minorHAnsi"/>
          <w:szCs w:val="20"/>
        </w:rPr>
        <w:t>Proposed Director</w:t>
      </w:r>
      <w:r w:rsidR="00D90E1F" w:rsidRPr="009B546D">
        <w:rPr>
          <w:rFonts w:cstheme="minorHAnsi"/>
          <w:szCs w:val="20"/>
        </w:rPr>
        <w:t xml:space="preserve"> on Re-Admission</w:t>
      </w:r>
      <w:r w:rsidR="008322F1" w:rsidRPr="009B546D">
        <w:rPr>
          <w:rFonts w:cstheme="minorHAnsi"/>
          <w:szCs w:val="20"/>
        </w:rPr>
        <w:t>,</w:t>
      </w:r>
      <w:r w:rsidR="00D90E1F" w:rsidRPr="009B546D">
        <w:rPr>
          <w:rFonts w:cstheme="minorHAnsi"/>
          <w:szCs w:val="20"/>
        </w:rPr>
        <w:t xml:space="preserve"> together with information on Senior Management</w:t>
      </w:r>
      <w:r w:rsidR="008322F1" w:rsidRPr="009B546D">
        <w:rPr>
          <w:rFonts w:cstheme="minorHAnsi"/>
          <w:szCs w:val="20"/>
        </w:rPr>
        <w:t>,</w:t>
      </w:r>
      <w:r w:rsidR="00D90E1F" w:rsidRPr="009B546D">
        <w:rPr>
          <w:rFonts w:cstheme="minorHAnsi"/>
          <w:szCs w:val="20"/>
        </w:rPr>
        <w:t xml:space="preserve"> are set out in Part </w:t>
      </w:r>
      <w:r w:rsidR="00FD11F8" w:rsidRPr="009B546D">
        <w:rPr>
          <w:rFonts w:cstheme="minorHAnsi"/>
          <w:szCs w:val="20"/>
        </w:rPr>
        <w:t>X</w:t>
      </w:r>
      <w:r w:rsidR="000042C3" w:rsidRPr="009B546D">
        <w:rPr>
          <w:rFonts w:cstheme="minorHAnsi"/>
          <w:szCs w:val="20"/>
        </w:rPr>
        <w:t xml:space="preserve"> o</w:t>
      </w:r>
      <w:r w:rsidR="00D90E1F" w:rsidRPr="009B546D">
        <w:rPr>
          <w:rFonts w:cstheme="minorHAnsi"/>
          <w:szCs w:val="20"/>
        </w:rPr>
        <w:t xml:space="preserve">f this Prospectus. Paragraph </w:t>
      </w:r>
      <w:r w:rsidR="00BD1F12" w:rsidRPr="009B546D">
        <w:rPr>
          <w:rFonts w:cstheme="minorHAnsi"/>
          <w:szCs w:val="20"/>
        </w:rPr>
        <w:t xml:space="preserve">5 </w:t>
      </w:r>
      <w:r w:rsidR="00D90E1F" w:rsidRPr="009B546D">
        <w:rPr>
          <w:rFonts w:cstheme="minorHAnsi"/>
          <w:szCs w:val="20"/>
        </w:rPr>
        <w:t xml:space="preserve">of Part </w:t>
      </w:r>
      <w:r w:rsidR="00BD1F12" w:rsidRPr="009B546D">
        <w:rPr>
          <w:rFonts w:cstheme="minorHAnsi"/>
          <w:szCs w:val="20"/>
        </w:rPr>
        <w:t xml:space="preserve">XX </w:t>
      </w:r>
      <w:r w:rsidR="00D90E1F" w:rsidRPr="009B546D">
        <w:rPr>
          <w:rFonts w:cstheme="minorHAnsi"/>
          <w:szCs w:val="20"/>
        </w:rPr>
        <w:t xml:space="preserve">of this Prospectus contains further details of directorships and partnerships, and certain other important information regarding the </w:t>
      </w:r>
      <w:r w:rsidR="00AB1054" w:rsidRPr="009B546D">
        <w:rPr>
          <w:rFonts w:cstheme="minorHAnsi"/>
          <w:szCs w:val="20"/>
        </w:rPr>
        <w:t>Proposed Director</w:t>
      </w:r>
      <w:r w:rsidR="00D90E1F" w:rsidRPr="009B546D">
        <w:rPr>
          <w:rFonts w:cstheme="minorHAnsi"/>
          <w:szCs w:val="20"/>
        </w:rPr>
        <w:t>.</w:t>
      </w:r>
    </w:p>
    <w:p w14:paraId="7D96DC15" w14:textId="77777777" w:rsidR="00D90E1F" w:rsidRPr="009B546D" w:rsidRDefault="00D90E1F" w:rsidP="00F432B9">
      <w:pPr>
        <w:pStyle w:val="Heading2"/>
        <w:keepNext w:val="0"/>
        <w:widowControl w:val="0"/>
        <w:numPr>
          <w:ilvl w:val="0"/>
          <w:numId w:val="10"/>
        </w:numPr>
        <w:spacing w:before="0" w:after="160" w:line="240" w:lineRule="auto"/>
        <w:rPr>
          <w:rFonts w:asciiTheme="minorHAnsi" w:hAnsiTheme="minorHAnsi" w:cstheme="minorHAnsi"/>
          <w:szCs w:val="20"/>
        </w:rPr>
      </w:pPr>
      <w:r w:rsidRPr="009B546D">
        <w:rPr>
          <w:rFonts w:asciiTheme="minorHAnsi" w:hAnsiTheme="minorHAnsi" w:cstheme="minorHAnsi"/>
          <w:szCs w:val="20"/>
        </w:rPr>
        <w:t>Dividend policy</w:t>
      </w:r>
    </w:p>
    <w:p w14:paraId="1F86028C" w14:textId="25CE5C31" w:rsidR="00D90E1F" w:rsidRPr="009B546D" w:rsidRDefault="00D90E1F" w:rsidP="00F432B9">
      <w:pPr>
        <w:widowControl w:val="0"/>
        <w:spacing w:line="240" w:lineRule="auto"/>
        <w:rPr>
          <w:rFonts w:cstheme="minorHAnsi"/>
          <w:szCs w:val="20"/>
        </w:rPr>
      </w:pPr>
      <w:r w:rsidRPr="009B546D">
        <w:rPr>
          <w:rFonts w:cstheme="minorHAnsi"/>
          <w:szCs w:val="20"/>
        </w:rPr>
        <w:t xml:space="preserve">Following the </w:t>
      </w:r>
      <w:r w:rsidR="00804BC6" w:rsidRPr="009B546D">
        <w:rPr>
          <w:rFonts w:cstheme="minorHAnsi"/>
          <w:szCs w:val="20"/>
        </w:rPr>
        <w:t>Proposed Acquisition</w:t>
      </w:r>
      <w:r w:rsidRPr="009B546D">
        <w:rPr>
          <w:rFonts w:cstheme="minorHAnsi"/>
          <w:szCs w:val="20"/>
        </w:rPr>
        <w:t xml:space="preserve">, the Company has no current plans to pay dividends. This policy may be reviewed in the short term. The </w:t>
      </w:r>
      <w:r w:rsidR="00AB1054" w:rsidRPr="009B546D">
        <w:rPr>
          <w:rFonts w:cstheme="minorHAnsi"/>
          <w:szCs w:val="20"/>
        </w:rPr>
        <w:t>Director</w:t>
      </w:r>
      <w:r w:rsidR="00A71244" w:rsidRPr="009B546D">
        <w:rPr>
          <w:rFonts w:cstheme="minorHAnsi"/>
          <w:szCs w:val="20"/>
        </w:rPr>
        <w:t>s</w:t>
      </w:r>
      <w:r w:rsidRPr="009B546D">
        <w:rPr>
          <w:rFonts w:cstheme="minorHAnsi"/>
          <w:szCs w:val="20"/>
        </w:rPr>
        <w:t xml:space="preserve"> recognise the importance of dividends to investors</w:t>
      </w:r>
      <w:r w:rsidR="00F323BC">
        <w:rPr>
          <w:rFonts w:cstheme="minorHAnsi"/>
          <w:szCs w:val="20"/>
        </w:rPr>
        <w:t>,</w:t>
      </w:r>
      <w:r w:rsidRPr="009B546D">
        <w:rPr>
          <w:rFonts w:cstheme="minorHAnsi"/>
          <w:szCs w:val="20"/>
        </w:rPr>
        <w:t xml:space="preserve"> as the Company’s business develops</w:t>
      </w:r>
      <w:r w:rsidR="008322F1" w:rsidRPr="009B546D">
        <w:rPr>
          <w:rFonts w:cstheme="minorHAnsi"/>
          <w:szCs w:val="20"/>
        </w:rPr>
        <w:t>,</w:t>
      </w:r>
      <w:r w:rsidRPr="009B546D">
        <w:rPr>
          <w:rFonts w:cstheme="minorHAnsi"/>
          <w:szCs w:val="20"/>
        </w:rPr>
        <w:t xml:space="preserve"> will keep under review the desirability of paying dividends.</w:t>
      </w:r>
    </w:p>
    <w:p w14:paraId="731C8481" w14:textId="24345A91" w:rsidR="00D90E1F" w:rsidRPr="009B546D" w:rsidRDefault="00AB1054" w:rsidP="00F432B9">
      <w:pPr>
        <w:pStyle w:val="Heading2"/>
        <w:keepNext w:val="0"/>
        <w:widowControl w:val="0"/>
        <w:numPr>
          <w:ilvl w:val="0"/>
          <w:numId w:val="10"/>
        </w:numPr>
        <w:spacing w:before="0" w:after="160" w:line="240" w:lineRule="auto"/>
        <w:rPr>
          <w:rFonts w:asciiTheme="minorHAnsi" w:hAnsiTheme="minorHAnsi" w:cstheme="minorHAnsi"/>
          <w:szCs w:val="20"/>
        </w:rPr>
      </w:pPr>
      <w:r w:rsidRPr="009B546D">
        <w:rPr>
          <w:rFonts w:asciiTheme="minorHAnsi" w:hAnsiTheme="minorHAnsi" w:cstheme="minorHAnsi"/>
          <w:szCs w:val="20"/>
        </w:rPr>
        <w:t>Re-</w:t>
      </w:r>
      <w:r w:rsidR="00D90E1F" w:rsidRPr="009B546D">
        <w:rPr>
          <w:rFonts w:asciiTheme="minorHAnsi" w:hAnsiTheme="minorHAnsi" w:cstheme="minorHAnsi"/>
          <w:szCs w:val="20"/>
        </w:rPr>
        <w:t xml:space="preserve">Admission, dealings and settlement of New Ordinary Shares </w:t>
      </w:r>
    </w:p>
    <w:p w14:paraId="28144C4A" w14:textId="34BA14AF" w:rsidR="00D90E1F" w:rsidRPr="009B546D" w:rsidRDefault="00D90E1F" w:rsidP="00F432B9">
      <w:pPr>
        <w:spacing w:line="240" w:lineRule="auto"/>
        <w:rPr>
          <w:rFonts w:cstheme="minorHAnsi"/>
          <w:szCs w:val="20"/>
        </w:rPr>
      </w:pPr>
      <w:r w:rsidRPr="009B546D">
        <w:rPr>
          <w:rFonts w:cstheme="minorHAnsi"/>
          <w:szCs w:val="20"/>
        </w:rPr>
        <w:t xml:space="preserve">As the </w:t>
      </w:r>
      <w:r w:rsidR="00804BC6" w:rsidRPr="009B546D">
        <w:rPr>
          <w:rFonts w:cstheme="minorHAnsi"/>
          <w:szCs w:val="20"/>
        </w:rPr>
        <w:t>Proposed Acquisition</w:t>
      </w:r>
      <w:r w:rsidRPr="009B546D">
        <w:rPr>
          <w:rFonts w:cstheme="minorHAnsi"/>
          <w:szCs w:val="20"/>
        </w:rPr>
        <w:t xml:space="preserve"> is classified as a </w:t>
      </w:r>
      <w:r w:rsidR="00F64E41" w:rsidRPr="009B546D">
        <w:rPr>
          <w:rFonts w:cstheme="minorHAnsi"/>
          <w:szCs w:val="20"/>
        </w:rPr>
        <w:t xml:space="preserve">Reverse Takeover </w:t>
      </w:r>
      <w:r w:rsidR="00BB43D6" w:rsidRPr="009B546D">
        <w:rPr>
          <w:rFonts w:cstheme="minorHAnsi"/>
          <w:szCs w:val="20"/>
        </w:rPr>
        <w:t>(“</w:t>
      </w:r>
      <w:r w:rsidR="00BB43D6" w:rsidRPr="009B546D">
        <w:rPr>
          <w:rFonts w:cstheme="minorHAnsi"/>
          <w:b/>
          <w:bCs/>
          <w:szCs w:val="20"/>
        </w:rPr>
        <w:t>RTO</w:t>
      </w:r>
      <w:r w:rsidR="00BB43D6" w:rsidRPr="009B546D">
        <w:rPr>
          <w:rFonts w:cstheme="minorHAnsi"/>
          <w:szCs w:val="20"/>
        </w:rPr>
        <w:t xml:space="preserve">”) </w:t>
      </w:r>
      <w:r w:rsidRPr="009B546D">
        <w:rPr>
          <w:rFonts w:cstheme="minorHAnsi"/>
          <w:szCs w:val="20"/>
        </w:rPr>
        <w:t>for the purposes of the Listing Rules, upon Completion the listing of the Exis</w:t>
      </w:r>
      <w:r w:rsidR="007E676B" w:rsidRPr="009B546D">
        <w:rPr>
          <w:rFonts w:cstheme="minorHAnsi"/>
          <w:szCs w:val="20"/>
        </w:rPr>
        <w:t xml:space="preserve">ting </w:t>
      </w:r>
      <w:r w:rsidRPr="009B546D">
        <w:rPr>
          <w:rFonts w:cstheme="minorHAnsi"/>
          <w:szCs w:val="20"/>
        </w:rPr>
        <w:t>Ordinary Shares to the standard listing segment of the Official List will be cancelled. Prior to Completion, applications will be made to the FCA and the London Stock Exchange for the New Ordinary Shares to be admitted and the Existing Ordinary Shares to be re-admitted to the standard listing segment of the Official List and to trading on the Main Market. It is expected that Re-Admission will become effective, and that dealings for normal settlement of the New Ordinary Shares will commence, at 8.00 a.m. on the business day following the date of Completion.</w:t>
      </w:r>
    </w:p>
    <w:p w14:paraId="2DBF7D70" w14:textId="77777777" w:rsidR="00D90E1F" w:rsidRPr="009B546D" w:rsidRDefault="00D90E1F" w:rsidP="00F432B9">
      <w:pPr>
        <w:spacing w:line="240" w:lineRule="auto"/>
        <w:rPr>
          <w:rFonts w:cstheme="minorHAnsi"/>
          <w:szCs w:val="20"/>
        </w:rPr>
      </w:pPr>
      <w:r w:rsidRPr="009B546D">
        <w:rPr>
          <w:rFonts w:cstheme="minorHAnsi"/>
          <w:szCs w:val="20"/>
        </w:rPr>
        <w:t xml:space="preserve">The New Ordinary Shares will be issued credited as fully paid and will rank </w:t>
      </w:r>
      <w:r w:rsidRPr="009B546D">
        <w:rPr>
          <w:rFonts w:cstheme="minorHAnsi"/>
          <w:i/>
          <w:szCs w:val="20"/>
        </w:rPr>
        <w:t>pari passu</w:t>
      </w:r>
      <w:r w:rsidRPr="009B546D">
        <w:rPr>
          <w:rFonts w:cstheme="minorHAnsi"/>
          <w:szCs w:val="20"/>
        </w:rPr>
        <w:t xml:space="preserve"> in all respects with the Existing Ordinary Shares, including the right to receive dividends and other distributions declared, made or paid on Ordinary Shares by reference to a record date falling after Completion. The New Ordinary Shares will be issued in registered form and will trade under the same ISIN number as the Existing Ordinary Shares.</w:t>
      </w:r>
    </w:p>
    <w:p w14:paraId="263C0143" w14:textId="78268D5E" w:rsidR="00D90E1F" w:rsidRPr="009B546D" w:rsidRDefault="00D90E1F" w:rsidP="00F432B9">
      <w:pPr>
        <w:spacing w:line="240" w:lineRule="auto"/>
        <w:rPr>
          <w:rFonts w:cstheme="minorHAnsi"/>
          <w:szCs w:val="20"/>
        </w:rPr>
      </w:pPr>
      <w:r w:rsidRPr="009B546D">
        <w:rPr>
          <w:rFonts w:cstheme="minorHAnsi"/>
          <w:szCs w:val="20"/>
        </w:rPr>
        <w:lastRenderedPageBreak/>
        <w:t xml:space="preserve">Fractions of New Ordinary Shares will not be allotted or issued pursuant to the </w:t>
      </w:r>
      <w:r w:rsidR="00804BC6" w:rsidRPr="009B546D">
        <w:rPr>
          <w:rFonts w:cstheme="minorHAnsi"/>
          <w:szCs w:val="20"/>
        </w:rPr>
        <w:t>Proposed Acquisition</w:t>
      </w:r>
      <w:r w:rsidRPr="009B546D">
        <w:rPr>
          <w:rFonts w:cstheme="minorHAnsi"/>
          <w:szCs w:val="20"/>
        </w:rPr>
        <w:t>.</w:t>
      </w:r>
    </w:p>
    <w:p w14:paraId="67093D6E" w14:textId="5AC2E348" w:rsidR="00D90E1F" w:rsidRPr="009B546D" w:rsidRDefault="00D90E1F" w:rsidP="00F432B9">
      <w:pPr>
        <w:pStyle w:val="Heading2"/>
        <w:keepNext w:val="0"/>
        <w:widowControl w:val="0"/>
        <w:numPr>
          <w:ilvl w:val="0"/>
          <w:numId w:val="10"/>
        </w:numPr>
        <w:spacing w:before="0" w:after="160" w:line="240" w:lineRule="auto"/>
        <w:rPr>
          <w:rFonts w:asciiTheme="minorHAnsi" w:hAnsiTheme="minorHAnsi" w:cstheme="minorHAnsi"/>
          <w:szCs w:val="20"/>
        </w:rPr>
      </w:pPr>
      <w:r w:rsidRPr="00384557">
        <w:rPr>
          <w:rFonts w:asciiTheme="minorHAnsi" w:hAnsiTheme="minorHAnsi" w:cstheme="minorHAnsi"/>
          <w:szCs w:val="20"/>
        </w:rPr>
        <w:t>Taxation</w:t>
      </w:r>
    </w:p>
    <w:p w14:paraId="688699D9" w14:textId="0AD0022C" w:rsidR="00D90E1F" w:rsidRPr="009B546D" w:rsidRDefault="00D90E1F" w:rsidP="00F432B9">
      <w:pPr>
        <w:widowControl w:val="0"/>
        <w:spacing w:line="240" w:lineRule="auto"/>
        <w:rPr>
          <w:rFonts w:cstheme="minorHAnsi"/>
          <w:szCs w:val="20"/>
        </w:rPr>
      </w:pPr>
      <w:r w:rsidRPr="009B546D">
        <w:rPr>
          <w:rFonts w:cstheme="minorHAnsi"/>
          <w:szCs w:val="20"/>
        </w:rPr>
        <w:t>General information relating to UK taxation with regards to the Re-Admission is summarised in Part</w:t>
      </w:r>
      <w:r w:rsidR="005A0916" w:rsidRPr="009B546D">
        <w:rPr>
          <w:rFonts w:cstheme="minorHAnsi"/>
          <w:szCs w:val="20"/>
        </w:rPr>
        <w:t xml:space="preserve"> </w:t>
      </w:r>
      <w:r w:rsidR="00356075" w:rsidRPr="009B546D">
        <w:rPr>
          <w:rFonts w:cstheme="minorHAnsi"/>
          <w:szCs w:val="20"/>
        </w:rPr>
        <w:t>XVII</w:t>
      </w:r>
      <w:r w:rsidR="002963F3">
        <w:rPr>
          <w:rFonts w:cstheme="minorHAnsi"/>
          <w:szCs w:val="20"/>
        </w:rPr>
        <w:t>I</w:t>
      </w:r>
      <w:r w:rsidR="00356075" w:rsidRPr="009B546D">
        <w:rPr>
          <w:rFonts w:cstheme="minorHAnsi"/>
          <w:szCs w:val="20"/>
        </w:rPr>
        <w:t xml:space="preserve"> </w:t>
      </w:r>
      <w:r w:rsidRPr="009B546D">
        <w:rPr>
          <w:rFonts w:cstheme="minorHAnsi"/>
          <w:szCs w:val="20"/>
        </w:rPr>
        <w:t>of this Prospectus. A Shareholder who is in any doubt as to his or her tax position or is subject to a tax jurisdiction other than the UK, should consult his or her professional advisers immediately.</w:t>
      </w:r>
    </w:p>
    <w:p w14:paraId="0EC90176" w14:textId="77777777" w:rsidR="00D90E1F" w:rsidRPr="009B546D" w:rsidRDefault="00D90E1F" w:rsidP="00F432B9">
      <w:pPr>
        <w:pStyle w:val="Heading2"/>
        <w:keepNext w:val="0"/>
        <w:widowControl w:val="0"/>
        <w:numPr>
          <w:ilvl w:val="0"/>
          <w:numId w:val="10"/>
        </w:numPr>
        <w:spacing w:before="0" w:after="160" w:line="240" w:lineRule="auto"/>
        <w:rPr>
          <w:rFonts w:asciiTheme="minorHAnsi" w:hAnsiTheme="minorHAnsi" w:cstheme="minorHAnsi"/>
          <w:szCs w:val="20"/>
        </w:rPr>
      </w:pPr>
      <w:r w:rsidRPr="009B546D">
        <w:rPr>
          <w:rFonts w:asciiTheme="minorHAnsi" w:hAnsiTheme="minorHAnsi" w:cstheme="minorHAnsi"/>
          <w:szCs w:val="20"/>
        </w:rPr>
        <w:t>Further information</w:t>
      </w:r>
    </w:p>
    <w:p w14:paraId="5049C75C" w14:textId="62FC1D92" w:rsidR="00D90E1F" w:rsidRPr="009B546D" w:rsidRDefault="00D90E1F" w:rsidP="00F432B9">
      <w:pPr>
        <w:widowControl w:val="0"/>
        <w:spacing w:line="240" w:lineRule="auto"/>
        <w:rPr>
          <w:rFonts w:cstheme="minorHAnsi"/>
          <w:szCs w:val="20"/>
        </w:rPr>
      </w:pPr>
      <w:r w:rsidRPr="009B546D">
        <w:rPr>
          <w:rFonts w:cstheme="minorHAnsi"/>
          <w:szCs w:val="20"/>
        </w:rPr>
        <w:t xml:space="preserve">Your attention is drawn to the Part </w:t>
      </w:r>
      <w:r w:rsidR="00A46D4C" w:rsidRPr="009B546D">
        <w:rPr>
          <w:rFonts w:cstheme="minorHAnsi"/>
          <w:szCs w:val="20"/>
        </w:rPr>
        <w:t xml:space="preserve">II </w:t>
      </w:r>
      <w:r w:rsidRPr="009B546D">
        <w:rPr>
          <w:rFonts w:cstheme="minorHAnsi"/>
          <w:szCs w:val="20"/>
        </w:rPr>
        <w:t>(</w:t>
      </w:r>
      <w:r w:rsidRPr="009B546D">
        <w:rPr>
          <w:rFonts w:cstheme="minorHAnsi"/>
          <w:i/>
          <w:szCs w:val="20"/>
        </w:rPr>
        <w:t>Risk Factors</w:t>
      </w:r>
      <w:r w:rsidRPr="009B546D">
        <w:rPr>
          <w:rFonts w:cstheme="minorHAnsi"/>
          <w:szCs w:val="20"/>
        </w:rPr>
        <w:t xml:space="preserve">) of this Prospectus, which sets out the material risks which the Directors consider that you should consider. Your attention is also drawn to Part </w:t>
      </w:r>
      <w:r w:rsidR="00257BA4" w:rsidRPr="009B546D">
        <w:rPr>
          <w:rFonts w:cstheme="minorHAnsi"/>
          <w:szCs w:val="20"/>
        </w:rPr>
        <w:t>XX (</w:t>
      </w:r>
      <w:r w:rsidRPr="009B546D">
        <w:rPr>
          <w:rFonts w:cstheme="minorHAnsi"/>
          <w:i/>
          <w:szCs w:val="20"/>
        </w:rPr>
        <w:t>Additional Information</w:t>
      </w:r>
      <w:r w:rsidRPr="009B546D">
        <w:rPr>
          <w:rFonts w:cstheme="minorHAnsi"/>
          <w:szCs w:val="20"/>
        </w:rPr>
        <w:t>) of this Prospectus.</w:t>
      </w:r>
    </w:p>
    <w:p w14:paraId="3971F6CE" w14:textId="77777777" w:rsidR="00D90E1F" w:rsidRPr="009B546D" w:rsidRDefault="00D90E1F" w:rsidP="00F432B9">
      <w:pPr>
        <w:widowControl w:val="0"/>
        <w:spacing w:line="240" w:lineRule="auto"/>
        <w:rPr>
          <w:rFonts w:cstheme="minorHAnsi"/>
          <w:szCs w:val="20"/>
        </w:rPr>
      </w:pPr>
      <w:r w:rsidRPr="009B546D">
        <w:rPr>
          <w:rFonts w:cstheme="minorHAnsi"/>
          <w:szCs w:val="20"/>
        </w:rPr>
        <w:t>Yours faithfully,</w:t>
      </w:r>
    </w:p>
    <w:p w14:paraId="64160344" w14:textId="77777777" w:rsidR="00D90E1F" w:rsidRPr="009B546D" w:rsidRDefault="00D90E1F" w:rsidP="00F432B9">
      <w:pPr>
        <w:widowControl w:val="0"/>
        <w:spacing w:line="240" w:lineRule="auto"/>
        <w:jc w:val="left"/>
        <w:rPr>
          <w:rFonts w:cstheme="minorHAnsi"/>
          <w:szCs w:val="20"/>
        </w:rPr>
      </w:pPr>
      <w:r w:rsidRPr="009B546D">
        <w:rPr>
          <w:rFonts w:cstheme="minorHAnsi"/>
          <w:szCs w:val="20"/>
        </w:rPr>
        <w:t>Graham Duncan</w:t>
      </w:r>
      <w:r w:rsidRPr="009B546D">
        <w:rPr>
          <w:rFonts w:cstheme="minorHAnsi"/>
          <w:szCs w:val="20"/>
        </w:rPr>
        <w:br/>
      </w:r>
      <w:r w:rsidRPr="009B546D">
        <w:rPr>
          <w:rFonts w:cstheme="minorHAnsi"/>
          <w:i/>
          <w:iCs/>
          <w:szCs w:val="20"/>
        </w:rPr>
        <w:t>Independent Non-Executive Chairman</w:t>
      </w:r>
      <w:r w:rsidRPr="009B546D">
        <w:rPr>
          <w:rFonts w:cstheme="minorHAnsi"/>
          <w:szCs w:val="20"/>
        </w:rPr>
        <w:br w:type="page"/>
      </w:r>
    </w:p>
    <w:p w14:paraId="3B883E04" w14:textId="267BBB06" w:rsidR="00D90E1F" w:rsidRPr="009B546D" w:rsidRDefault="00D90E1F" w:rsidP="00F432B9">
      <w:pPr>
        <w:pStyle w:val="Heading1"/>
        <w:keepNext w:val="0"/>
        <w:widowControl w:val="0"/>
        <w:spacing w:line="240" w:lineRule="auto"/>
        <w:jc w:val="center"/>
        <w:rPr>
          <w:rFonts w:asciiTheme="minorHAnsi" w:hAnsiTheme="minorHAnsi" w:cstheme="minorHAnsi"/>
          <w:sz w:val="20"/>
          <w:szCs w:val="20"/>
        </w:rPr>
      </w:pPr>
      <w:bookmarkStart w:id="27" w:name="_Toc35456737"/>
      <w:r w:rsidRPr="009B546D">
        <w:rPr>
          <w:rFonts w:asciiTheme="minorHAnsi" w:hAnsiTheme="minorHAnsi" w:cstheme="minorHAnsi"/>
          <w:sz w:val="20"/>
          <w:szCs w:val="20"/>
        </w:rPr>
        <w:lastRenderedPageBreak/>
        <w:t xml:space="preserve">Part </w:t>
      </w:r>
      <w:r w:rsidR="006E6E54" w:rsidRPr="009B546D">
        <w:rPr>
          <w:rFonts w:asciiTheme="minorHAnsi" w:hAnsiTheme="minorHAnsi" w:cstheme="minorHAnsi"/>
          <w:sz w:val="20"/>
          <w:szCs w:val="20"/>
        </w:rPr>
        <w:t>VIII</w:t>
      </w:r>
      <w:r w:rsidRPr="009B546D">
        <w:rPr>
          <w:rFonts w:asciiTheme="minorHAnsi" w:hAnsiTheme="minorHAnsi" w:cstheme="minorHAnsi"/>
          <w:sz w:val="20"/>
          <w:szCs w:val="20"/>
        </w:rPr>
        <w:br/>
        <w:t>Information on the Company</w:t>
      </w:r>
      <w:bookmarkEnd w:id="27"/>
    </w:p>
    <w:p w14:paraId="74BFF205" w14:textId="77777777" w:rsidR="00D90E1F" w:rsidRPr="009B546D" w:rsidRDefault="00D90E1F" w:rsidP="00F432B9">
      <w:pPr>
        <w:pStyle w:val="Heading2"/>
        <w:keepNext w:val="0"/>
        <w:widowControl w:val="0"/>
        <w:spacing w:before="0" w:after="160" w:line="240" w:lineRule="auto"/>
        <w:rPr>
          <w:rFonts w:asciiTheme="minorHAnsi" w:hAnsiTheme="minorHAnsi" w:cstheme="minorHAnsi"/>
          <w:szCs w:val="20"/>
        </w:rPr>
      </w:pPr>
      <w:r w:rsidRPr="009B546D">
        <w:rPr>
          <w:rFonts w:asciiTheme="minorHAnsi" w:hAnsiTheme="minorHAnsi" w:cstheme="minorHAnsi"/>
          <w:szCs w:val="20"/>
        </w:rPr>
        <w:t>Introduction</w:t>
      </w:r>
    </w:p>
    <w:p w14:paraId="02B4B077" w14:textId="77777777" w:rsidR="00D90E1F" w:rsidRPr="009B546D" w:rsidRDefault="00D90E1F" w:rsidP="00F432B9">
      <w:pPr>
        <w:widowControl w:val="0"/>
        <w:spacing w:line="240" w:lineRule="auto"/>
        <w:rPr>
          <w:rFonts w:cstheme="minorHAnsi"/>
          <w:szCs w:val="20"/>
        </w:rPr>
      </w:pPr>
      <w:r w:rsidRPr="009B546D">
        <w:rPr>
          <w:rFonts w:cstheme="minorHAnsi"/>
          <w:szCs w:val="20"/>
        </w:rPr>
        <w:t>The Company was incorporated as an exempted company with limited liability under the laws of the Cayman Islands on 11 October 2017 under the Companies Law with the name AIQ Limited. The Company’s registered number is 327983. The Company was formed as a special purpose acquisition company to identify and complete an acquisition of a company or business in the e-commerce sector.</w:t>
      </w:r>
    </w:p>
    <w:p w14:paraId="68E28870" w14:textId="4AB6CD31" w:rsidR="00D90E1F" w:rsidRPr="009B546D" w:rsidRDefault="00D90E1F" w:rsidP="00F432B9">
      <w:pPr>
        <w:widowControl w:val="0"/>
        <w:spacing w:line="240" w:lineRule="auto"/>
        <w:rPr>
          <w:rFonts w:cstheme="minorHAnsi"/>
          <w:szCs w:val="20"/>
        </w:rPr>
      </w:pPr>
      <w:r w:rsidRPr="009B546D">
        <w:rPr>
          <w:rFonts w:cstheme="minorHAnsi"/>
          <w:szCs w:val="20"/>
        </w:rPr>
        <w:t>The Company was admitted to the standard listing segment of the Official List in accordance with Chapter 14 of the Listing Rules and to trading on the Main Market on 9 January 2018. The Company raised a total of £</w:t>
      </w:r>
      <w:r w:rsidR="00F7296A" w:rsidRPr="009B546D">
        <w:rPr>
          <w:rFonts w:cstheme="minorHAnsi"/>
          <w:szCs w:val="20"/>
        </w:rPr>
        <w:t>4</w:t>
      </w:r>
      <w:r w:rsidRPr="009B546D">
        <w:rPr>
          <w:rFonts w:cstheme="minorHAnsi"/>
          <w:szCs w:val="20"/>
        </w:rPr>
        <w:t xml:space="preserve"> million (before expenses) in conjunction with the Listing and the formation of the Company</w:t>
      </w:r>
      <w:r w:rsidR="00AB1054" w:rsidRPr="009B546D">
        <w:rPr>
          <w:rFonts w:cstheme="minorHAnsi"/>
          <w:szCs w:val="20"/>
        </w:rPr>
        <w:t>.</w:t>
      </w:r>
    </w:p>
    <w:p w14:paraId="55992E45" w14:textId="24A6A424" w:rsidR="00D90E1F" w:rsidRPr="009B546D" w:rsidRDefault="00D90E1F" w:rsidP="00F432B9">
      <w:pPr>
        <w:widowControl w:val="0"/>
        <w:spacing w:line="240" w:lineRule="auto"/>
        <w:rPr>
          <w:rFonts w:cstheme="minorHAnsi"/>
          <w:szCs w:val="20"/>
        </w:rPr>
      </w:pPr>
      <w:r w:rsidRPr="009B546D">
        <w:rPr>
          <w:rFonts w:cstheme="minorHAnsi"/>
          <w:szCs w:val="20"/>
        </w:rPr>
        <w:t xml:space="preserve">On 16 September 2019, the Ordinary Shares were suspended from trading following the Company’s announcement that it had entered into a non-binding Heads of Terms with </w:t>
      </w:r>
      <w:r w:rsidR="00AF0C4A" w:rsidRPr="009B546D">
        <w:rPr>
          <w:rFonts w:cstheme="minorHAnsi"/>
          <w:szCs w:val="20"/>
        </w:rPr>
        <w:t>Alchemist Codes</w:t>
      </w:r>
      <w:r w:rsidRPr="009B546D">
        <w:rPr>
          <w:rFonts w:cstheme="minorHAnsi"/>
          <w:szCs w:val="20"/>
        </w:rPr>
        <w:t xml:space="preserve"> regarding a possible acquisition of the entire issued share capital of </w:t>
      </w:r>
      <w:r w:rsidR="00AF0C4A" w:rsidRPr="009B546D">
        <w:rPr>
          <w:rFonts w:cstheme="minorHAnsi"/>
          <w:szCs w:val="20"/>
        </w:rPr>
        <w:t>Alchemist Codes</w:t>
      </w:r>
      <w:r w:rsidRPr="009B546D">
        <w:rPr>
          <w:rFonts w:cstheme="minorHAnsi"/>
          <w:szCs w:val="20"/>
        </w:rPr>
        <w:t>. The Ordinary Shares have remained suspended since 16 September 2019.</w:t>
      </w:r>
    </w:p>
    <w:p w14:paraId="7090E807" w14:textId="05CC8262" w:rsidR="00D90E1F" w:rsidRPr="009B546D" w:rsidRDefault="00D90E1F" w:rsidP="00F432B9">
      <w:pPr>
        <w:pStyle w:val="Heading2"/>
        <w:keepNext w:val="0"/>
        <w:widowControl w:val="0"/>
        <w:spacing w:before="0" w:after="160" w:line="240" w:lineRule="auto"/>
        <w:rPr>
          <w:rFonts w:asciiTheme="minorHAnsi" w:hAnsiTheme="minorHAnsi" w:cstheme="minorHAnsi"/>
          <w:szCs w:val="20"/>
        </w:rPr>
      </w:pPr>
      <w:r w:rsidRPr="00384557">
        <w:rPr>
          <w:rFonts w:asciiTheme="minorHAnsi" w:hAnsiTheme="minorHAnsi" w:cstheme="minorHAnsi"/>
          <w:szCs w:val="20"/>
        </w:rPr>
        <w:t xml:space="preserve">The </w:t>
      </w:r>
      <w:r w:rsidR="00804BC6" w:rsidRPr="009B546D">
        <w:rPr>
          <w:rFonts w:asciiTheme="minorHAnsi" w:hAnsiTheme="minorHAnsi" w:cstheme="minorHAnsi"/>
          <w:szCs w:val="20"/>
        </w:rPr>
        <w:t>Proposed Acquisition</w:t>
      </w:r>
      <w:r w:rsidRPr="009B546D">
        <w:rPr>
          <w:rFonts w:asciiTheme="minorHAnsi" w:hAnsiTheme="minorHAnsi" w:cstheme="minorHAnsi"/>
          <w:szCs w:val="20"/>
        </w:rPr>
        <w:t xml:space="preserve"> </w:t>
      </w:r>
    </w:p>
    <w:p w14:paraId="02224204" w14:textId="4753564C" w:rsidR="00D90E1F" w:rsidRPr="009B546D" w:rsidRDefault="00D90E1F" w:rsidP="00F432B9">
      <w:pPr>
        <w:widowControl w:val="0"/>
        <w:spacing w:line="240" w:lineRule="auto"/>
        <w:rPr>
          <w:rFonts w:cstheme="minorHAnsi"/>
          <w:szCs w:val="20"/>
        </w:rPr>
      </w:pPr>
      <w:r w:rsidRPr="009B546D">
        <w:rPr>
          <w:rFonts w:cstheme="minorHAnsi"/>
          <w:szCs w:val="20"/>
        </w:rPr>
        <w:t xml:space="preserve">The Company has conditionally agreed to acquire the entire issued share capital of </w:t>
      </w:r>
      <w:r w:rsidR="00AF0C4A" w:rsidRPr="009B546D">
        <w:rPr>
          <w:rFonts w:cstheme="minorHAnsi"/>
          <w:szCs w:val="20"/>
        </w:rPr>
        <w:t>Alchemist Codes</w:t>
      </w:r>
      <w:r w:rsidRPr="009B546D">
        <w:rPr>
          <w:rFonts w:cstheme="minorHAnsi"/>
          <w:szCs w:val="20"/>
        </w:rPr>
        <w:t xml:space="preserve"> in exchange for the issue of the Consideration Shares to the Sellers which will represent </w:t>
      </w:r>
      <w:r w:rsidR="00CC298E" w:rsidRPr="009B546D">
        <w:rPr>
          <w:rFonts w:cstheme="minorHAnsi"/>
          <w:szCs w:val="20"/>
        </w:rPr>
        <w:t>24.93</w:t>
      </w:r>
      <w:r w:rsidR="001E7927" w:rsidRPr="009B546D">
        <w:rPr>
          <w:rFonts w:cstheme="minorHAnsi"/>
          <w:szCs w:val="20"/>
        </w:rPr>
        <w:t xml:space="preserve"> </w:t>
      </w:r>
      <w:r w:rsidR="000E1D44" w:rsidRPr="009B546D">
        <w:rPr>
          <w:rFonts w:cstheme="minorHAnsi"/>
          <w:szCs w:val="20"/>
        </w:rPr>
        <w:t>per</w:t>
      </w:r>
      <w:r w:rsidRPr="009B546D">
        <w:rPr>
          <w:rFonts w:cstheme="minorHAnsi"/>
          <w:szCs w:val="20"/>
        </w:rPr>
        <w:t xml:space="preserve"> cent. of the Enlarged Share Capital. Further terms of the </w:t>
      </w:r>
      <w:r w:rsidR="00804BC6" w:rsidRPr="009B546D">
        <w:rPr>
          <w:rFonts w:cstheme="minorHAnsi"/>
          <w:szCs w:val="20"/>
        </w:rPr>
        <w:t>Proposed Acquisition</w:t>
      </w:r>
      <w:r w:rsidRPr="009B546D">
        <w:rPr>
          <w:rFonts w:cstheme="minorHAnsi"/>
          <w:szCs w:val="20"/>
        </w:rPr>
        <w:t xml:space="preserve"> are set out in Part </w:t>
      </w:r>
      <w:r w:rsidR="00356075" w:rsidRPr="009B546D">
        <w:rPr>
          <w:rFonts w:cstheme="minorHAnsi"/>
          <w:szCs w:val="20"/>
        </w:rPr>
        <w:t>VII</w:t>
      </w:r>
      <w:r w:rsidRPr="009B546D">
        <w:rPr>
          <w:rFonts w:cstheme="minorHAnsi"/>
          <w:szCs w:val="20"/>
        </w:rPr>
        <w:t xml:space="preserve"> (</w:t>
      </w:r>
      <w:r w:rsidRPr="009B546D">
        <w:rPr>
          <w:rFonts w:cstheme="minorHAnsi"/>
          <w:i/>
          <w:szCs w:val="20"/>
        </w:rPr>
        <w:t>Chairman’s Letter</w:t>
      </w:r>
      <w:r w:rsidRPr="009B546D">
        <w:rPr>
          <w:rFonts w:cstheme="minorHAnsi"/>
          <w:szCs w:val="20"/>
        </w:rPr>
        <w:t xml:space="preserve">) of this Prospectus. </w:t>
      </w:r>
    </w:p>
    <w:p w14:paraId="774B5576" w14:textId="10F61327" w:rsidR="00D90E1F" w:rsidRPr="009B546D" w:rsidRDefault="00D90E1F" w:rsidP="00F432B9">
      <w:pPr>
        <w:widowControl w:val="0"/>
        <w:spacing w:line="240" w:lineRule="auto"/>
        <w:rPr>
          <w:rFonts w:cstheme="minorHAnsi"/>
          <w:szCs w:val="20"/>
        </w:rPr>
      </w:pPr>
      <w:r w:rsidRPr="00384557">
        <w:rPr>
          <w:rFonts w:cstheme="minorHAnsi"/>
          <w:szCs w:val="20"/>
        </w:rPr>
        <w:t xml:space="preserve">Save for the </w:t>
      </w:r>
      <w:r w:rsidR="00804BC6" w:rsidRPr="009B546D">
        <w:rPr>
          <w:rFonts w:cstheme="minorHAnsi"/>
          <w:szCs w:val="20"/>
        </w:rPr>
        <w:t>Proposed Acquisition</w:t>
      </w:r>
      <w:r w:rsidRPr="009B546D">
        <w:rPr>
          <w:rFonts w:cstheme="minorHAnsi"/>
          <w:szCs w:val="20"/>
        </w:rPr>
        <w:t>, there are no investments in progress and there are no further investments on which the Directors have already made firm commitments which are significant to the Company.</w:t>
      </w:r>
    </w:p>
    <w:p w14:paraId="201A910C" w14:textId="0A887C93" w:rsidR="00D90E1F" w:rsidRPr="009B546D" w:rsidRDefault="00D90E1F" w:rsidP="00F432B9">
      <w:pPr>
        <w:widowControl w:val="0"/>
        <w:spacing w:line="240" w:lineRule="auto"/>
        <w:rPr>
          <w:rFonts w:cstheme="minorHAnsi"/>
          <w:szCs w:val="20"/>
        </w:rPr>
      </w:pPr>
      <w:r w:rsidRPr="009B546D">
        <w:rPr>
          <w:rFonts w:cstheme="minorHAnsi"/>
          <w:szCs w:val="20"/>
        </w:rPr>
        <w:t xml:space="preserve">The </w:t>
      </w:r>
      <w:r w:rsidR="00804BC6" w:rsidRPr="009B546D">
        <w:rPr>
          <w:rFonts w:cstheme="minorHAnsi"/>
          <w:szCs w:val="20"/>
        </w:rPr>
        <w:t>Proposed Acquisition</w:t>
      </w:r>
      <w:r w:rsidRPr="009B546D">
        <w:rPr>
          <w:rFonts w:cstheme="minorHAnsi"/>
          <w:szCs w:val="20"/>
        </w:rPr>
        <w:t xml:space="preserve"> constitutes a </w:t>
      </w:r>
      <w:r w:rsidR="000E1D44" w:rsidRPr="009B546D">
        <w:rPr>
          <w:rFonts w:cstheme="minorHAnsi"/>
          <w:szCs w:val="20"/>
        </w:rPr>
        <w:t>Reverse Takeover</w:t>
      </w:r>
      <w:r w:rsidRPr="009B546D">
        <w:rPr>
          <w:rFonts w:cstheme="minorHAnsi"/>
          <w:szCs w:val="20"/>
        </w:rPr>
        <w:t xml:space="preserve"> under the Listing Rules since, </w:t>
      </w:r>
      <w:r w:rsidRPr="009B546D">
        <w:rPr>
          <w:rFonts w:cstheme="minorHAnsi"/>
          <w:i/>
          <w:szCs w:val="20"/>
        </w:rPr>
        <w:t>inter alia</w:t>
      </w:r>
      <w:r w:rsidRPr="009B546D">
        <w:rPr>
          <w:rFonts w:cstheme="minorHAnsi"/>
          <w:szCs w:val="20"/>
        </w:rPr>
        <w:t>, in substance it results in a fundamental change in the business of the Company.</w:t>
      </w:r>
      <w:r w:rsidR="007D7B13" w:rsidRPr="009B546D">
        <w:rPr>
          <w:rFonts w:cstheme="minorHAnsi"/>
          <w:szCs w:val="20"/>
        </w:rPr>
        <w:t xml:space="preserve"> </w:t>
      </w:r>
      <w:r w:rsidRPr="009B546D">
        <w:rPr>
          <w:rFonts w:cstheme="minorHAnsi"/>
          <w:szCs w:val="20"/>
        </w:rPr>
        <w:t xml:space="preserve">In accordance with Listing Rule 5.6.19G, the FCA is expected to cancel the listing of the Existing Ordinary Shares immediately before 8.00 a.m. (London time) on </w:t>
      </w:r>
      <w:r w:rsidR="009F37C0">
        <w:rPr>
          <w:rFonts w:cstheme="minorHAnsi"/>
          <w:szCs w:val="20"/>
        </w:rPr>
        <w:t>26</w:t>
      </w:r>
      <w:r w:rsidRPr="009B546D">
        <w:rPr>
          <w:rFonts w:cstheme="minorHAnsi"/>
          <w:szCs w:val="20"/>
        </w:rPr>
        <w:t xml:space="preserve"> </w:t>
      </w:r>
      <w:r w:rsidR="00476902" w:rsidRPr="009B546D">
        <w:rPr>
          <w:rFonts w:cstheme="minorHAnsi"/>
          <w:szCs w:val="20"/>
        </w:rPr>
        <w:t xml:space="preserve">March </w:t>
      </w:r>
      <w:r w:rsidR="00F54D9C" w:rsidRPr="009B546D">
        <w:rPr>
          <w:rFonts w:cstheme="minorHAnsi"/>
          <w:szCs w:val="20"/>
        </w:rPr>
        <w:t>2020</w:t>
      </w:r>
      <w:r w:rsidRPr="009B546D">
        <w:rPr>
          <w:rFonts w:cstheme="minorHAnsi"/>
          <w:szCs w:val="20"/>
        </w:rPr>
        <w:t>.</w:t>
      </w:r>
    </w:p>
    <w:p w14:paraId="363B499C" w14:textId="311FBCEA" w:rsidR="00D90E1F" w:rsidRPr="009B546D" w:rsidRDefault="00D90E1F" w:rsidP="00F432B9">
      <w:pPr>
        <w:widowControl w:val="0"/>
        <w:spacing w:line="240" w:lineRule="auto"/>
        <w:rPr>
          <w:rFonts w:cstheme="minorHAnsi"/>
          <w:szCs w:val="20"/>
        </w:rPr>
      </w:pPr>
      <w:r w:rsidRPr="009B546D">
        <w:rPr>
          <w:rFonts w:cstheme="minorHAnsi"/>
          <w:szCs w:val="20"/>
        </w:rPr>
        <w:t xml:space="preserve">Applications will be made for the Existing Ordinary Shares to be re-admitted and the Consideration Shares to be admitted to the standard listing segment of the Official List in accordance with Chapter 14 of the Listing Rules and to trading on the Main Market. It is expected that Re-Admission will become effective at 8.00 a.m. (London time) on </w:t>
      </w:r>
      <w:r w:rsidR="009F37C0">
        <w:rPr>
          <w:rFonts w:cstheme="minorHAnsi"/>
          <w:szCs w:val="20"/>
        </w:rPr>
        <w:t>26</w:t>
      </w:r>
      <w:r w:rsidR="002E4365" w:rsidRPr="009B546D">
        <w:rPr>
          <w:rFonts w:cstheme="minorHAnsi"/>
          <w:szCs w:val="20"/>
        </w:rPr>
        <w:t xml:space="preserve"> </w:t>
      </w:r>
      <w:r w:rsidR="00476902" w:rsidRPr="009B546D">
        <w:rPr>
          <w:rFonts w:cstheme="minorHAnsi"/>
          <w:szCs w:val="20"/>
        </w:rPr>
        <w:t xml:space="preserve">March </w:t>
      </w:r>
      <w:r w:rsidR="00F54D9C" w:rsidRPr="009B546D">
        <w:rPr>
          <w:rFonts w:cstheme="minorHAnsi"/>
          <w:szCs w:val="20"/>
        </w:rPr>
        <w:t>2020</w:t>
      </w:r>
      <w:r w:rsidRPr="009B546D">
        <w:rPr>
          <w:rFonts w:cstheme="minorHAnsi"/>
          <w:szCs w:val="20"/>
        </w:rPr>
        <w:t>.</w:t>
      </w:r>
    </w:p>
    <w:p w14:paraId="1B83ADC1" w14:textId="3D5C9726" w:rsidR="00D90E1F" w:rsidRPr="009B546D" w:rsidRDefault="00D90E1F" w:rsidP="00F432B9">
      <w:pPr>
        <w:widowControl w:val="0"/>
        <w:spacing w:line="240" w:lineRule="auto"/>
        <w:jc w:val="left"/>
        <w:rPr>
          <w:rFonts w:cstheme="minorHAnsi"/>
          <w:szCs w:val="20"/>
        </w:rPr>
      </w:pPr>
      <w:r w:rsidRPr="009B546D">
        <w:rPr>
          <w:rFonts w:cstheme="minorHAnsi"/>
          <w:szCs w:val="20"/>
        </w:rPr>
        <w:t xml:space="preserve">The </w:t>
      </w:r>
      <w:r w:rsidR="00AB1054" w:rsidRPr="009B546D">
        <w:rPr>
          <w:rFonts w:cstheme="minorHAnsi"/>
          <w:szCs w:val="20"/>
        </w:rPr>
        <w:t>Director</w:t>
      </w:r>
      <w:r w:rsidR="00A71244" w:rsidRPr="009B546D">
        <w:rPr>
          <w:rFonts w:cstheme="minorHAnsi"/>
          <w:szCs w:val="20"/>
        </w:rPr>
        <w:t>s</w:t>
      </w:r>
      <w:r w:rsidRPr="009B546D">
        <w:rPr>
          <w:rFonts w:cstheme="minorHAnsi"/>
          <w:szCs w:val="20"/>
        </w:rPr>
        <w:t xml:space="preserve"> are seeking Re-Admission for the Enlarged Group for the following reasons:</w:t>
      </w:r>
    </w:p>
    <w:p w14:paraId="11A151CC" w14:textId="614D5528" w:rsidR="00874D16" w:rsidRPr="009B546D" w:rsidRDefault="00CC298E" w:rsidP="00496B8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t xml:space="preserve">to </w:t>
      </w:r>
      <w:r w:rsidR="00F631AD" w:rsidRPr="009B546D">
        <w:rPr>
          <w:rFonts w:asciiTheme="minorHAnsi" w:eastAsiaTheme="minorHAnsi" w:hAnsiTheme="minorHAnsi" w:cstheme="minorHAnsi"/>
          <w:kern w:val="0"/>
          <w:sz w:val="20"/>
          <w:szCs w:val="20"/>
          <w:lang w:eastAsia="en-US"/>
        </w:rPr>
        <w:t>a</w:t>
      </w:r>
      <w:r w:rsidR="00874D16" w:rsidRPr="009B546D">
        <w:rPr>
          <w:rFonts w:asciiTheme="minorHAnsi" w:eastAsiaTheme="minorHAnsi" w:hAnsiTheme="minorHAnsi" w:cstheme="minorHAnsi"/>
          <w:kern w:val="0"/>
          <w:sz w:val="20"/>
          <w:szCs w:val="20"/>
          <w:lang w:eastAsia="en-US"/>
        </w:rPr>
        <w:t xml:space="preserve">llow the Company to acquire an </w:t>
      </w:r>
      <w:r w:rsidR="00F631AD" w:rsidRPr="009B546D">
        <w:rPr>
          <w:rFonts w:asciiTheme="minorHAnsi" w:eastAsiaTheme="minorHAnsi" w:hAnsiTheme="minorHAnsi" w:cstheme="minorHAnsi"/>
          <w:kern w:val="0"/>
          <w:sz w:val="20"/>
          <w:szCs w:val="20"/>
          <w:lang w:eastAsia="en-US"/>
        </w:rPr>
        <w:t>e</w:t>
      </w:r>
      <w:r w:rsidR="00874D16" w:rsidRPr="009B546D">
        <w:rPr>
          <w:rFonts w:asciiTheme="minorHAnsi" w:eastAsiaTheme="minorHAnsi" w:hAnsiTheme="minorHAnsi" w:cstheme="minorHAnsi"/>
          <w:kern w:val="0"/>
          <w:sz w:val="20"/>
          <w:szCs w:val="20"/>
          <w:lang w:eastAsia="en-US"/>
        </w:rPr>
        <w:t>-</w:t>
      </w:r>
      <w:r w:rsidR="00F631AD" w:rsidRPr="009B546D">
        <w:rPr>
          <w:rFonts w:asciiTheme="minorHAnsi" w:eastAsiaTheme="minorHAnsi" w:hAnsiTheme="minorHAnsi" w:cstheme="minorHAnsi"/>
          <w:kern w:val="0"/>
          <w:sz w:val="20"/>
          <w:szCs w:val="20"/>
          <w:lang w:eastAsia="en-US"/>
        </w:rPr>
        <w:t>c</w:t>
      </w:r>
      <w:r w:rsidR="00874D16" w:rsidRPr="009B546D">
        <w:rPr>
          <w:rFonts w:asciiTheme="minorHAnsi" w:eastAsiaTheme="minorHAnsi" w:hAnsiTheme="minorHAnsi" w:cstheme="minorHAnsi"/>
          <w:kern w:val="0"/>
          <w:sz w:val="20"/>
          <w:szCs w:val="20"/>
          <w:lang w:eastAsia="en-US"/>
        </w:rPr>
        <w:t xml:space="preserve">ommerce business at a strategic time when demand for </w:t>
      </w:r>
      <w:r w:rsidR="00F631AD" w:rsidRPr="009B546D">
        <w:rPr>
          <w:rFonts w:asciiTheme="minorHAnsi" w:eastAsiaTheme="minorHAnsi" w:hAnsiTheme="minorHAnsi" w:cstheme="minorHAnsi"/>
          <w:kern w:val="0"/>
          <w:sz w:val="20"/>
          <w:szCs w:val="20"/>
          <w:lang w:eastAsia="en-US"/>
        </w:rPr>
        <w:t>e</w:t>
      </w:r>
      <w:r w:rsidR="00874D16" w:rsidRPr="009B546D">
        <w:rPr>
          <w:rFonts w:asciiTheme="minorHAnsi" w:eastAsiaTheme="minorHAnsi" w:hAnsiTheme="minorHAnsi" w:cstheme="minorHAnsi"/>
          <w:kern w:val="0"/>
          <w:sz w:val="20"/>
          <w:szCs w:val="20"/>
          <w:lang w:eastAsia="en-US"/>
        </w:rPr>
        <w:t>-</w:t>
      </w:r>
      <w:r w:rsidR="00F631AD" w:rsidRPr="009B546D">
        <w:rPr>
          <w:rFonts w:asciiTheme="minorHAnsi" w:eastAsiaTheme="minorHAnsi" w:hAnsiTheme="minorHAnsi" w:cstheme="minorHAnsi"/>
          <w:kern w:val="0"/>
          <w:sz w:val="20"/>
          <w:szCs w:val="20"/>
          <w:lang w:eastAsia="en-US"/>
        </w:rPr>
        <w:t>c</w:t>
      </w:r>
      <w:r w:rsidR="00874D16" w:rsidRPr="009B546D">
        <w:rPr>
          <w:rFonts w:asciiTheme="minorHAnsi" w:eastAsiaTheme="minorHAnsi" w:hAnsiTheme="minorHAnsi" w:cstheme="minorHAnsi"/>
          <w:kern w:val="0"/>
          <w:sz w:val="20"/>
          <w:szCs w:val="20"/>
          <w:lang w:eastAsia="en-US"/>
        </w:rPr>
        <w:t xml:space="preserve">ommerce based services have increased; </w:t>
      </w:r>
    </w:p>
    <w:p w14:paraId="47521DF4" w14:textId="5DC9F909" w:rsidR="00F631AD" w:rsidRPr="009B546D" w:rsidRDefault="00874D16"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t>to enhance Alchemist Codes’s ability to attract and retain new staff</w:t>
      </w:r>
      <w:r w:rsidR="00F631AD" w:rsidRPr="009B546D">
        <w:rPr>
          <w:rFonts w:asciiTheme="minorHAnsi" w:eastAsiaTheme="minorHAnsi" w:hAnsiTheme="minorHAnsi" w:cstheme="minorHAnsi"/>
          <w:kern w:val="0"/>
          <w:sz w:val="20"/>
          <w:szCs w:val="20"/>
          <w:lang w:eastAsia="en-US"/>
        </w:rPr>
        <w:t>;</w:t>
      </w:r>
    </w:p>
    <w:p w14:paraId="45C593B5" w14:textId="6EC8DAB6" w:rsidR="00874D16" w:rsidRPr="009B546D" w:rsidRDefault="00F631AD"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t>the</w:t>
      </w:r>
      <w:r w:rsidR="00874D16" w:rsidRPr="009B546D">
        <w:rPr>
          <w:rFonts w:asciiTheme="minorHAnsi" w:eastAsiaTheme="minorHAnsi" w:hAnsiTheme="minorHAnsi" w:cstheme="minorHAnsi"/>
          <w:kern w:val="0"/>
          <w:sz w:val="20"/>
          <w:szCs w:val="20"/>
          <w:lang w:eastAsia="en-US"/>
        </w:rPr>
        <w:t xml:space="preserve"> Directors believe the market is currently stressed and valuations of businesses are quite low, this will create acquisition opportunities and hence the listing will provide a potentially attractive acquisition currency, for use were any suitable acquisition opportunity to arise; </w:t>
      </w:r>
    </w:p>
    <w:p w14:paraId="47C05EA5" w14:textId="7EC9691E" w:rsidR="00874D16" w:rsidRPr="009B546D" w:rsidRDefault="00874D16"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t>to provide Alchemist Codes’s shareholders with a market for their shares</w:t>
      </w:r>
      <w:r w:rsidR="00C30FCE" w:rsidRPr="009B546D">
        <w:rPr>
          <w:rFonts w:asciiTheme="minorHAnsi" w:eastAsiaTheme="minorHAnsi" w:hAnsiTheme="minorHAnsi" w:cstheme="minorHAnsi"/>
          <w:kern w:val="0"/>
          <w:sz w:val="20"/>
          <w:szCs w:val="20"/>
          <w:lang w:eastAsia="en-US"/>
        </w:rPr>
        <w:t>;</w:t>
      </w:r>
    </w:p>
    <w:p w14:paraId="39FBBC41" w14:textId="299F289D" w:rsidR="00874D16" w:rsidRPr="009B546D" w:rsidRDefault="00C17FC9"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t xml:space="preserve">to </w:t>
      </w:r>
      <w:r w:rsidR="00F631AD" w:rsidRPr="009B546D">
        <w:rPr>
          <w:rFonts w:asciiTheme="minorHAnsi" w:eastAsiaTheme="minorHAnsi" w:hAnsiTheme="minorHAnsi" w:cstheme="minorHAnsi"/>
          <w:kern w:val="0"/>
          <w:sz w:val="20"/>
          <w:szCs w:val="20"/>
          <w:lang w:eastAsia="en-US"/>
        </w:rPr>
        <w:t>a</w:t>
      </w:r>
      <w:r w:rsidR="00874D16" w:rsidRPr="009B546D">
        <w:rPr>
          <w:rFonts w:asciiTheme="minorHAnsi" w:eastAsiaTheme="minorHAnsi" w:hAnsiTheme="minorHAnsi" w:cstheme="minorHAnsi"/>
          <w:kern w:val="0"/>
          <w:sz w:val="20"/>
          <w:szCs w:val="20"/>
          <w:lang w:eastAsia="en-US"/>
        </w:rPr>
        <w:t xml:space="preserve">llow the Company to assist Alchemist Codes in the roll out of OCTAPLUS </w:t>
      </w:r>
      <w:r w:rsidR="00450FE4" w:rsidRPr="009B546D">
        <w:rPr>
          <w:rFonts w:asciiTheme="minorHAnsi" w:eastAsiaTheme="minorHAnsi" w:hAnsiTheme="minorHAnsi" w:cstheme="minorHAnsi"/>
          <w:kern w:val="0"/>
          <w:sz w:val="20"/>
          <w:szCs w:val="20"/>
          <w:lang w:eastAsia="en-US"/>
        </w:rPr>
        <w:t>application</w:t>
      </w:r>
      <w:r w:rsidR="00874D16" w:rsidRPr="009B546D">
        <w:rPr>
          <w:rFonts w:asciiTheme="minorHAnsi" w:eastAsiaTheme="minorHAnsi" w:hAnsiTheme="minorHAnsi" w:cstheme="minorHAnsi"/>
          <w:kern w:val="0"/>
          <w:sz w:val="20"/>
          <w:szCs w:val="20"/>
          <w:lang w:eastAsia="en-US"/>
        </w:rPr>
        <w:t xml:space="preserve"> in </w:t>
      </w:r>
      <w:r w:rsidR="00D42879" w:rsidRPr="009B546D">
        <w:rPr>
          <w:rFonts w:asciiTheme="minorHAnsi" w:eastAsiaTheme="minorHAnsi" w:hAnsiTheme="minorHAnsi" w:cstheme="minorHAnsi"/>
          <w:kern w:val="0"/>
          <w:sz w:val="20"/>
          <w:szCs w:val="20"/>
          <w:lang w:eastAsia="en-US"/>
        </w:rPr>
        <w:t>an</w:t>
      </w:r>
      <w:r w:rsidR="00874D16" w:rsidRPr="009B546D">
        <w:rPr>
          <w:rFonts w:asciiTheme="minorHAnsi" w:eastAsiaTheme="minorHAnsi" w:hAnsiTheme="minorHAnsi" w:cstheme="minorHAnsi"/>
          <w:kern w:val="0"/>
          <w:sz w:val="20"/>
          <w:szCs w:val="20"/>
          <w:lang w:eastAsia="en-US"/>
        </w:rPr>
        <w:t xml:space="preserve"> environment without many competitors with scale;</w:t>
      </w:r>
    </w:p>
    <w:p w14:paraId="0971DB10" w14:textId="10182EA1" w:rsidR="00874D16" w:rsidRPr="009B546D" w:rsidRDefault="00C17FC9"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t xml:space="preserve">to </w:t>
      </w:r>
      <w:r w:rsidR="00F631AD" w:rsidRPr="009B546D">
        <w:rPr>
          <w:rFonts w:asciiTheme="minorHAnsi" w:eastAsiaTheme="minorHAnsi" w:hAnsiTheme="minorHAnsi" w:cstheme="minorHAnsi"/>
          <w:kern w:val="0"/>
          <w:sz w:val="20"/>
          <w:szCs w:val="20"/>
          <w:lang w:eastAsia="en-US"/>
        </w:rPr>
        <w:t>a</w:t>
      </w:r>
      <w:r w:rsidR="00874D16" w:rsidRPr="009B546D">
        <w:rPr>
          <w:rFonts w:asciiTheme="minorHAnsi" w:eastAsiaTheme="minorHAnsi" w:hAnsiTheme="minorHAnsi" w:cstheme="minorHAnsi"/>
          <w:kern w:val="0"/>
          <w:sz w:val="20"/>
          <w:szCs w:val="20"/>
          <w:lang w:eastAsia="en-US"/>
        </w:rPr>
        <w:t>llow Alchemist Codes</w:t>
      </w:r>
      <w:r w:rsidR="00682BB9" w:rsidRPr="009B546D">
        <w:rPr>
          <w:rFonts w:asciiTheme="minorHAnsi" w:eastAsiaTheme="minorHAnsi" w:hAnsiTheme="minorHAnsi" w:cstheme="minorHAnsi"/>
          <w:kern w:val="0"/>
          <w:sz w:val="20"/>
          <w:szCs w:val="20"/>
          <w:lang w:eastAsia="en-US"/>
        </w:rPr>
        <w:t xml:space="preserve"> </w:t>
      </w:r>
      <w:r w:rsidR="00874D16" w:rsidRPr="009B546D">
        <w:rPr>
          <w:rFonts w:asciiTheme="minorHAnsi" w:eastAsiaTheme="minorHAnsi" w:hAnsiTheme="minorHAnsi" w:cstheme="minorHAnsi"/>
          <w:kern w:val="0"/>
          <w:sz w:val="20"/>
          <w:szCs w:val="20"/>
          <w:lang w:eastAsia="en-US"/>
        </w:rPr>
        <w:t>access to raising equity should further funds be required for acquisitions or any future organic development beyond the Enlarged Group’s present plans; and</w:t>
      </w:r>
    </w:p>
    <w:p w14:paraId="46D0D0C6" w14:textId="3E46B55C" w:rsidR="00E52D92" w:rsidRPr="009B546D" w:rsidRDefault="00C17FC9" w:rsidP="00F432B9">
      <w:pPr>
        <w:pStyle w:val="ListParagraph"/>
        <w:widowControl/>
        <w:numPr>
          <w:ilvl w:val="0"/>
          <w:numId w:val="13"/>
        </w:numPr>
        <w:spacing w:after="120"/>
        <w:rPr>
          <w:rFonts w:asciiTheme="minorHAnsi" w:eastAsiaTheme="minorHAnsi" w:hAnsiTheme="minorHAnsi" w:cstheme="minorHAnsi"/>
          <w:kern w:val="0"/>
          <w:sz w:val="20"/>
          <w:szCs w:val="20"/>
          <w:lang w:eastAsia="en-US"/>
        </w:rPr>
      </w:pPr>
      <w:r w:rsidRPr="009B546D">
        <w:rPr>
          <w:rFonts w:asciiTheme="minorHAnsi" w:eastAsiaTheme="minorHAnsi" w:hAnsiTheme="minorHAnsi" w:cstheme="minorHAnsi"/>
          <w:kern w:val="0"/>
          <w:sz w:val="20"/>
          <w:szCs w:val="20"/>
          <w:lang w:eastAsia="en-US"/>
        </w:rPr>
        <w:t xml:space="preserve">to </w:t>
      </w:r>
      <w:r w:rsidR="00F631AD" w:rsidRPr="009B546D">
        <w:rPr>
          <w:rFonts w:asciiTheme="minorHAnsi" w:eastAsiaTheme="minorHAnsi" w:hAnsiTheme="minorHAnsi" w:cstheme="minorHAnsi"/>
          <w:kern w:val="0"/>
          <w:sz w:val="20"/>
          <w:szCs w:val="20"/>
          <w:lang w:eastAsia="en-US"/>
        </w:rPr>
        <w:t>i</w:t>
      </w:r>
      <w:r w:rsidR="00874D16" w:rsidRPr="009B546D">
        <w:rPr>
          <w:rFonts w:asciiTheme="minorHAnsi" w:eastAsiaTheme="minorHAnsi" w:hAnsiTheme="minorHAnsi" w:cstheme="minorHAnsi"/>
          <w:kern w:val="0"/>
          <w:sz w:val="20"/>
          <w:szCs w:val="20"/>
          <w:lang w:eastAsia="en-US"/>
        </w:rPr>
        <w:t>ncrease the Company’s network of high level industry and technical relationships, to support the Company’s current and future activities, many of which are in emerging markets</w:t>
      </w:r>
      <w:r w:rsidR="00CC298E" w:rsidRPr="009B546D">
        <w:rPr>
          <w:rFonts w:asciiTheme="minorHAnsi" w:eastAsiaTheme="minorHAnsi" w:hAnsiTheme="minorHAnsi" w:cstheme="minorHAnsi"/>
          <w:kern w:val="0"/>
          <w:sz w:val="20"/>
          <w:szCs w:val="20"/>
          <w:lang w:eastAsia="en-US"/>
        </w:rPr>
        <w:t>.</w:t>
      </w:r>
    </w:p>
    <w:p w14:paraId="7E568474" w14:textId="775A4F4F" w:rsidR="00D90E1F" w:rsidRPr="009B546D" w:rsidRDefault="00D90E1F" w:rsidP="00F432B9">
      <w:pPr>
        <w:spacing w:line="240" w:lineRule="auto"/>
        <w:jc w:val="left"/>
        <w:rPr>
          <w:rFonts w:cstheme="minorHAnsi"/>
          <w:szCs w:val="20"/>
        </w:rPr>
      </w:pPr>
      <w:r w:rsidRPr="00384557">
        <w:rPr>
          <w:rFonts w:cstheme="minorHAnsi"/>
          <w:szCs w:val="20"/>
        </w:rPr>
        <w:t xml:space="preserve">On Completion, </w:t>
      </w:r>
      <w:r w:rsidR="00AF0C4A" w:rsidRPr="009B546D">
        <w:rPr>
          <w:rFonts w:cstheme="minorHAnsi"/>
          <w:szCs w:val="20"/>
        </w:rPr>
        <w:t>Alchemist Codes</w:t>
      </w:r>
      <w:r w:rsidRPr="009B546D">
        <w:rPr>
          <w:rFonts w:cstheme="minorHAnsi"/>
          <w:szCs w:val="20"/>
        </w:rPr>
        <w:t xml:space="preserve"> will become a wholly-owned subsidiary of the Company.</w:t>
      </w:r>
      <w:r w:rsidRPr="009B546D">
        <w:rPr>
          <w:rFonts w:cstheme="minorHAnsi"/>
          <w:b/>
          <w:noProof/>
          <w:szCs w:val="20"/>
        </w:rPr>
        <w:t xml:space="preserve"> </w:t>
      </w:r>
    </w:p>
    <w:p w14:paraId="58244782" w14:textId="77777777" w:rsidR="00D90E1F" w:rsidRPr="009B546D" w:rsidRDefault="00D90E1F" w:rsidP="00F432B9">
      <w:pPr>
        <w:pStyle w:val="Heading2"/>
        <w:keepNext w:val="0"/>
        <w:widowControl w:val="0"/>
        <w:spacing w:before="0" w:after="160" w:line="240" w:lineRule="auto"/>
        <w:rPr>
          <w:rFonts w:asciiTheme="minorHAnsi" w:hAnsiTheme="minorHAnsi" w:cstheme="minorHAnsi"/>
          <w:szCs w:val="20"/>
        </w:rPr>
      </w:pPr>
      <w:r w:rsidRPr="009B546D">
        <w:rPr>
          <w:rFonts w:asciiTheme="minorHAnsi" w:hAnsiTheme="minorHAnsi" w:cstheme="minorHAnsi"/>
          <w:szCs w:val="20"/>
        </w:rPr>
        <w:t>Company objective, strategy and future growth</w:t>
      </w:r>
    </w:p>
    <w:p w14:paraId="02D81953" w14:textId="0F31EE5A" w:rsidR="00D90E1F" w:rsidRPr="009B546D" w:rsidRDefault="00D90E1F" w:rsidP="00F432B9">
      <w:pPr>
        <w:widowControl w:val="0"/>
        <w:spacing w:line="240" w:lineRule="auto"/>
        <w:rPr>
          <w:rFonts w:cstheme="minorHAnsi"/>
          <w:szCs w:val="20"/>
        </w:rPr>
      </w:pPr>
      <w:r w:rsidRPr="009B546D">
        <w:rPr>
          <w:rFonts w:cstheme="minorHAnsi"/>
          <w:szCs w:val="20"/>
        </w:rPr>
        <w:t xml:space="preserve">Following Completion, the objective of the Company will be to operate </w:t>
      </w:r>
      <w:r w:rsidR="00AF0C4A" w:rsidRPr="009B546D">
        <w:rPr>
          <w:rFonts w:cstheme="minorHAnsi"/>
          <w:szCs w:val="20"/>
        </w:rPr>
        <w:t>Alchemist Codes</w:t>
      </w:r>
      <w:r w:rsidRPr="009B546D">
        <w:rPr>
          <w:rFonts w:cstheme="minorHAnsi"/>
          <w:szCs w:val="20"/>
        </w:rPr>
        <w:t xml:space="preserve"> and implement an operating strategy with a view to generat</w:t>
      </w:r>
      <w:r w:rsidR="00AB1054" w:rsidRPr="009B546D">
        <w:rPr>
          <w:rFonts w:cstheme="minorHAnsi"/>
          <w:szCs w:val="20"/>
        </w:rPr>
        <w:t>ing</w:t>
      </w:r>
      <w:r w:rsidRPr="009B546D">
        <w:rPr>
          <w:rFonts w:cstheme="minorHAnsi"/>
          <w:szCs w:val="20"/>
        </w:rPr>
        <w:t xml:space="preserve"> value for its Shareholders through development and growth.</w:t>
      </w:r>
    </w:p>
    <w:p w14:paraId="3750497D" w14:textId="666DE021" w:rsidR="00D90E1F" w:rsidRPr="009B546D" w:rsidRDefault="00D90E1F" w:rsidP="00F432B9">
      <w:pPr>
        <w:widowControl w:val="0"/>
        <w:spacing w:line="240" w:lineRule="auto"/>
        <w:rPr>
          <w:rFonts w:cstheme="minorHAnsi"/>
          <w:szCs w:val="20"/>
        </w:rPr>
      </w:pPr>
      <w:r w:rsidRPr="009B546D">
        <w:rPr>
          <w:rFonts w:cstheme="minorHAnsi"/>
          <w:szCs w:val="20"/>
        </w:rPr>
        <w:t xml:space="preserve">The business of the Company will be that of </w:t>
      </w:r>
      <w:r w:rsidR="00AF0C4A" w:rsidRPr="009B546D">
        <w:rPr>
          <w:rFonts w:cstheme="minorHAnsi"/>
          <w:szCs w:val="20"/>
        </w:rPr>
        <w:t>Alchemist Codes</w:t>
      </w:r>
      <w:r w:rsidRPr="009B546D">
        <w:rPr>
          <w:rFonts w:cstheme="minorHAnsi"/>
          <w:szCs w:val="20"/>
        </w:rPr>
        <w:t xml:space="preserve"> and its strategy will be that of </w:t>
      </w:r>
      <w:r w:rsidR="00AF0C4A" w:rsidRPr="009B546D">
        <w:rPr>
          <w:rFonts w:cstheme="minorHAnsi"/>
          <w:szCs w:val="20"/>
        </w:rPr>
        <w:t>Alchemist Codes</w:t>
      </w:r>
      <w:r w:rsidRPr="009B546D">
        <w:rPr>
          <w:rFonts w:cstheme="minorHAnsi"/>
          <w:szCs w:val="20"/>
        </w:rPr>
        <w:t xml:space="preserve"> </w:t>
      </w:r>
      <w:r w:rsidRPr="009B546D">
        <w:rPr>
          <w:rFonts w:cstheme="minorHAnsi"/>
          <w:szCs w:val="20"/>
        </w:rPr>
        <w:lastRenderedPageBreak/>
        <w:t xml:space="preserve">which is to focus on its core activities as well as seeking expansion opportunities both geographically and by activity. Further details are set out in Part </w:t>
      </w:r>
      <w:r w:rsidR="00C17FC9" w:rsidRPr="009B546D">
        <w:rPr>
          <w:rFonts w:cstheme="minorHAnsi"/>
          <w:szCs w:val="20"/>
        </w:rPr>
        <w:t>IX</w:t>
      </w:r>
      <w:r w:rsidRPr="009B546D">
        <w:rPr>
          <w:rFonts w:cstheme="minorHAnsi"/>
          <w:szCs w:val="20"/>
        </w:rPr>
        <w:t xml:space="preserve"> (</w:t>
      </w:r>
      <w:r w:rsidRPr="009B546D">
        <w:rPr>
          <w:rFonts w:cstheme="minorHAnsi"/>
          <w:i/>
          <w:szCs w:val="20"/>
        </w:rPr>
        <w:t xml:space="preserve">Information on </w:t>
      </w:r>
      <w:r w:rsidR="00AF0C4A" w:rsidRPr="009B546D">
        <w:rPr>
          <w:rFonts w:cstheme="minorHAnsi"/>
          <w:i/>
          <w:szCs w:val="20"/>
        </w:rPr>
        <w:t>Alchemist Codes</w:t>
      </w:r>
      <w:r w:rsidRPr="009B546D">
        <w:rPr>
          <w:rFonts w:cstheme="minorHAnsi"/>
          <w:szCs w:val="20"/>
        </w:rPr>
        <w:t>) of this Prospectus.</w:t>
      </w:r>
    </w:p>
    <w:p w14:paraId="1E200D11" w14:textId="7022F894" w:rsidR="00D90E1F" w:rsidRPr="009B546D" w:rsidRDefault="00D90E1F" w:rsidP="00F432B9">
      <w:pPr>
        <w:pStyle w:val="Heading2"/>
        <w:keepNext w:val="0"/>
        <w:widowControl w:val="0"/>
        <w:spacing w:before="0" w:after="160" w:line="240" w:lineRule="auto"/>
        <w:rPr>
          <w:rFonts w:asciiTheme="minorHAnsi" w:hAnsiTheme="minorHAnsi" w:cstheme="minorHAnsi"/>
          <w:szCs w:val="20"/>
        </w:rPr>
      </w:pPr>
      <w:r w:rsidRPr="00384557">
        <w:rPr>
          <w:rFonts w:asciiTheme="minorHAnsi" w:hAnsiTheme="minorHAnsi" w:cstheme="minorHAnsi"/>
          <w:szCs w:val="20"/>
        </w:rPr>
        <w:t>Dividend policy</w:t>
      </w:r>
    </w:p>
    <w:p w14:paraId="4EA208B0" w14:textId="1430F2E2" w:rsidR="00D90E1F" w:rsidRPr="009B546D" w:rsidRDefault="00D90E1F" w:rsidP="00F432B9">
      <w:pPr>
        <w:widowControl w:val="0"/>
        <w:spacing w:line="240" w:lineRule="auto"/>
        <w:rPr>
          <w:rFonts w:cstheme="minorHAnsi"/>
          <w:szCs w:val="20"/>
        </w:rPr>
      </w:pPr>
      <w:r w:rsidRPr="009B546D">
        <w:rPr>
          <w:rFonts w:cstheme="minorHAnsi"/>
          <w:szCs w:val="20"/>
        </w:rPr>
        <w:t xml:space="preserve">The objective of the Directors is the achievement of capital growth. It is not envisaged that the Company will be able to pursue a policy to pay dividends in the near term. The </w:t>
      </w:r>
      <w:r w:rsidR="00AB1054" w:rsidRPr="009B546D">
        <w:rPr>
          <w:rFonts w:cstheme="minorHAnsi"/>
          <w:szCs w:val="20"/>
        </w:rPr>
        <w:t xml:space="preserve">Directors </w:t>
      </w:r>
      <w:r w:rsidRPr="009B546D">
        <w:rPr>
          <w:rFonts w:cstheme="minorHAnsi"/>
          <w:szCs w:val="20"/>
        </w:rPr>
        <w:t>recognise the importance of dividends to investors and, as the Company’s business develops will keep under review the desirability of paying dividends.</w:t>
      </w:r>
    </w:p>
    <w:p w14:paraId="393414AA" w14:textId="6AEC4292" w:rsidR="00D90E1F" w:rsidRPr="009B546D" w:rsidRDefault="00D90E1F" w:rsidP="00F432B9">
      <w:pPr>
        <w:pStyle w:val="Heading2"/>
        <w:keepNext w:val="0"/>
        <w:widowControl w:val="0"/>
        <w:spacing w:before="0" w:after="160" w:line="240" w:lineRule="auto"/>
        <w:rPr>
          <w:rFonts w:asciiTheme="minorHAnsi" w:hAnsiTheme="minorHAnsi" w:cstheme="minorHAnsi"/>
          <w:szCs w:val="20"/>
        </w:rPr>
      </w:pPr>
      <w:r w:rsidRPr="00384557">
        <w:rPr>
          <w:rFonts w:asciiTheme="minorHAnsi" w:hAnsiTheme="minorHAnsi" w:cstheme="minorHAnsi"/>
          <w:szCs w:val="20"/>
        </w:rPr>
        <w:t xml:space="preserve">The Company’s management and employees </w:t>
      </w:r>
    </w:p>
    <w:p w14:paraId="1E099799" w14:textId="3DB242F1" w:rsidR="00D90E1F" w:rsidRPr="009B546D" w:rsidRDefault="004F4A02" w:rsidP="00F432B9">
      <w:pPr>
        <w:pStyle w:val="BodyText"/>
        <w:widowControl w:val="0"/>
        <w:spacing w:after="160" w:line="240" w:lineRule="auto"/>
        <w:ind w:right="111"/>
        <w:rPr>
          <w:rFonts w:asciiTheme="minorHAnsi" w:hAnsiTheme="minorHAnsi" w:cstheme="minorHAnsi"/>
          <w:sz w:val="20"/>
          <w:szCs w:val="20"/>
        </w:rPr>
      </w:pPr>
      <w:r>
        <w:rPr>
          <w:rFonts w:asciiTheme="minorHAnsi" w:hAnsiTheme="minorHAnsi" w:cstheme="minorHAnsi"/>
          <w:sz w:val="20"/>
          <w:szCs w:val="20"/>
        </w:rPr>
        <w:t>At the date of th</w:t>
      </w:r>
      <w:r w:rsidR="00A03481">
        <w:rPr>
          <w:rFonts w:asciiTheme="minorHAnsi" w:hAnsiTheme="minorHAnsi" w:cstheme="minorHAnsi"/>
          <w:sz w:val="20"/>
          <w:szCs w:val="20"/>
        </w:rPr>
        <w:t>is Document, the company has</w:t>
      </w:r>
      <w:r w:rsidR="00333AD1">
        <w:rPr>
          <w:rFonts w:asciiTheme="minorHAnsi" w:hAnsiTheme="minorHAnsi" w:cstheme="minorHAnsi"/>
          <w:sz w:val="20"/>
          <w:szCs w:val="20"/>
        </w:rPr>
        <w:t xml:space="preserve"> </w:t>
      </w:r>
      <w:r w:rsidR="00127D8B">
        <w:rPr>
          <w:rFonts w:asciiTheme="minorHAnsi" w:hAnsiTheme="minorHAnsi" w:cstheme="minorHAnsi"/>
          <w:sz w:val="20"/>
          <w:szCs w:val="20"/>
        </w:rPr>
        <w:t>two</w:t>
      </w:r>
      <w:r w:rsidR="00A03481">
        <w:rPr>
          <w:rFonts w:asciiTheme="minorHAnsi" w:hAnsiTheme="minorHAnsi" w:cstheme="minorHAnsi"/>
          <w:sz w:val="20"/>
          <w:szCs w:val="20"/>
        </w:rPr>
        <w:t xml:space="preserve"> Executive Director</w:t>
      </w:r>
      <w:r w:rsidR="00127D8B">
        <w:rPr>
          <w:rFonts w:asciiTheme="minorHAnsi" w:hAnsiTheme="minorHAnsi" w:cstheme="minorHAnsi"/>
          <w:sz w:val="20"/>
          <w:szCs w:val="20"/>
        </w:rPr>
        <w:t>s</w:t>
      </w:r>
      <w:r w:rsidR="00A03481">
        <w:rPr>
          <w:rFonts w:asciiTheme="minorHAnsi" w:hAnsiTheme="minorHAnsi" w:cstheme="minorHAnsi"/>
          <w:sz w:val="20"/>
          <w:szCs w:val="20"/>
        </w:rPr>
        <w:t xml:space="preserve"> and one employee, </w:t>
      </w:r>
      <w:r w:rsidR="00D90E1F" w:rsidRPr="009B546D">
        <w:rPr>
          <w:rFonts w:asciiTheme="minorHAnsi" w:hAnsiTheme="minorHAnsi" w:cstheme="minorHAnsi"/>
          <w:sz w:val="20"/>
          <w:szCs w:val="20"/>
        </w:rPr>
        <w:t xml:space="preserve">Following the </w:t>
      </w:r>
      <w:r w:rsidR="00804BC6" w:rsidRPr="009B546D">
        <w:rPr>
          <w:rFonts w:asciiTheme="minorHAnsi" w:hAnsiTheme="minorHAnsi" w:cstheme="minorHAnsi"/>
          <w:sz w:val="20"/>
          <w:szCs w:val="20"/>
        </w:rPr>
        <w:t>Proposed Acquisition</w:t>
      </w:r>
      <w:r w:rsidR="00D90E1F" w:rsidRPr="009B546D">
        <w:rPr>
          <w:rFonts w:asciiTheme="minorHAnsi" w:hAnsiTheme="minorHAnsi" w:cstheme="minorHAnsi"/>
          <w:sz w:val="20"/>
          <w:szCs w:val="20"/>
        </w:rPr>
        <w:t xml:space="preserve"> and </w:t>
      </w:r>
      <w:r w:rsidR="00AB1054" w:rsidRPr="009B546D">
        <w:rPr>
          <w:rFonts w:asciiTheme="minorHAnsi" w:hAnsiTheme="minorHAnsi" w:cstheme="minorHAnsi"/>
          <w:sz w:val="20"/>
          <w:szCs w:val="20"/>
        </w:rPr>
        <w:t>Re-</w:t>
      </w:r>
      <w:r w:rsidR="00D90E1F" w:rsidRPr="009B546D">
        <w:rPr>
          <w:rFonts w:asciiTheme="minorHAnsi" w:hAnsiTheme="minorHAnsi" w:cstheme="minorHAnsi"/>
          <w:sz w:val="20"/>
          <w:szCs w:val="20"/>
        </w:rPr>
        <w:t xml:space="preserve">Admission, the Enlarged Group will have </w:t>
      </w:r>
      <w:r w:rsidR="00E5620D" w:rsidRPr="009B546D">
        <w:rPr>
          <w:rFonts w:asciiTheme="minorHAnsi" w:hAnsiTheme="minorHAnsi" w:cstheme="minorHAnsi"/>
          <w:sz w:val="20"/>
          <w:szCs w:val="20"/>
        </w:rPr>
        <w:t>22</w:t>
      </w:r>
      <w:r w:rsidR="00D90E1F" w:rsidRPr="009B546D">
        <w:rPr>
          <w:rFonts w:asciiTheme="minorHAnsi" w:hAnsiTheme="minorHAnsi" w:cstheme="minorHAnsi"/>
          <w:sz w:val="20"/>
          <w:szCs w:val="20"/>
        </w:rPr>
        <w:t xml:space="preserve"> employees. </w:t>
      </w:r>
    </w:p>
    <w:p w14:paraId="71099A40" w14:textId="77777777" w:rsidR="00D90E1F" w:rsidRPr="009B546D" w:rsidRDefault="00D90E1F" w:rsidP="00F432B9">
      <w:pPr>
        <w:pStyle w:val="Heading2"/>
        <w:keepNext w:val="0"/>
        <w:widowControl w:val="0"/>
        <w:spacing w:before="0" w:after="160" w:line="240" w:lineRule="auto"/>
        <w:rPr>
          <w:rFonts w:asciiTheme="minorHAnsi" w:hAnsiTheme="minorHAnsi" w:cstheme="minorHAnsi"/>
          <w:szCs w:val="20"/>
        </w:rPr>
      </w:pPr>
      <w:r w:rsidRPr="009B546D">
        <w:rPr>
          <w:rFonts w:asciiTheme="minorHAnsi" w:hAnsiTheme="minorHAnsi" w:cstheme="minorHAnsi"/>
          <w:szCs w:val="20"/>
        </w:rPr>
        <w:t xml:space="preserve">Property </w:t>
      </w:r>
    </w:p>
    <w:p w14:paraId="186F8901" w14:textId="71E78D96" w:rsidR="00D90E1F" w:rsidRPr="009B546D" w:rsidRDefault="00D90E1F" w:rsidP="00F432B9">
      <w:pPr>
        <w:widowControl w:val="0"/>
        <w:spacing w:line="240" w:lineRule="auto"/>
        <w:rPr>
          <w:rFonts w:eastAsiaTheme="majorEastAsia" w:cstheme="minorHAnsi"/>
          <w:b/>
          <w:color w:val="000000" w:themeColor="text1"/>
          <w:szCs w:val="20"/>
        </w:rPr>
      </w:pPr>
      <w:r w:rsidRPr="009B546D">
        <w:rPr>
          <w:rFonts w:cstheme="minorHAnsi"/>
          <w:szCs w:val="20"/>
        </w:rPr>
        <w:t xml:space="preserve">As at the date of this Prospectus, the Company </w:t>
      </w:r>
      <w:r w:rsidR="00D86265" w:rsidRPr="009B546D">
        <w:rPr>
          <w:rFonts w:cstheme="minorHAnsi"/>
          <w:szCs w:val="20"/>
        </w:rPr>
        <w:t>does not operate any property</w:t>
      </w:r>
      <w:r w:rsidR="00E05762" w:rsidRPr="009B546D">
        <w:rPr>
          <w:rFonts w:cstheme="minorHAnsi"/>
          <w:szCs w:val="20"/>
        </w:rPr>
        <w:t xml:space="preserve"> within the UK.</w:t>
      </w:r>
      <w:r w:rsidR="007D7B13" w:rsidRPr="009B546D">
        <w:rPr>
          <w:rFonts w:cstheme="minorHAnsi"/>
          <w:szCs w:val="20"/>
        </w:rPr>
        <w:t xml:space="preserve"> </w:t>
      </w:r>
      <w:r w:rsidRPr="009B546D">
        <w:rPr>
          <w:rFonts w:cstheme="minorHAnsi"/>
          <w:szCs w:val="20"/>
        </w:rPr>
        <w:br w:type="page"/>
      </w:r>
    </w:p>
    <w:p w14:paraId="0146FC86" w14:textId="3F7B2125" w:rsidR="00FA06E6" w:rsidRPr="009B546D" w:rsidRDefault="00FA06E6" w:rsidP="00496B89">
      <w:pPr>
        <w:pStyle w:val="Heading1"/>
        <w:keepNext w:val="0"/>
        <w:widowControl w:val="0"/>
        <w:spacing w:before="0" w:after="120" w:line="240" w:lineRule="auto"/>
        <w:jc w:val="center"/>
        <w:rPr>
          <w:rFonts w:asciiTheme="minorHAnsi" w:eastAsia="Calibri" w:hAnsiTheme="minorHAnsi" w:cstheme="minorHAnsi"/>
          <w:sz w:val="20"/>
          <w:szCs w:val="20"/>
        </w:rPr>
      </w:pPr>
      <w:bookmarkStart w:id="28" w:name="_gjdgxs" w:colFirst="0" w:colLast="0"/>
      <w:bookmarkStart w:id="29" w:name="_Toc35456738"/>
      <w:bookmarkEnd w:id="28"/>
      <w:r w:rsidRPr="009B546D">
        <w:rPr>
          <w:rFonts w:asciiTheme="minorHAnsi" w:eastAsia="Calibri" w:hAnsiTheme="minorHAnsi" w:cstheme="minorHAnsi"/>
          <w:sz w:val="20"/>
          <w:szCs w:val="20"/>
        </w:rPr>
        <w:lastRenderedPageBreak/>
        <w:t xml:space="preserve">Part </w:t>
      </w:r>
      <w:r w:rsidR="002A2FE5" w:rsidRPr="009B546D">
        <w:rPr>
          <w:rFonts w:asciiTheme="minorHAnsi" w:eastAsia="Calibri" w:hAnsiTheme="minorHAnsi" w:cstheme="minorHAnsi"/>
          <w:sz w:val="20"/>
          <w:szCs w:val="20"/>
        </w:rPr>
        <w:t>I</w:t>
      </w:r>
      <w:r w:rsidRPr="009B546D">
        <w:rPr>
          <w:rFonts w:asciiTheme="minorHAnsi" w:eastAsia="Calibri" w:hAnsiTheme="minorHAnsi" w:cstheme="minorHAnsi"/>
          <w:sz w:val="20"/>
          <w:szCs w:val="20"/>
        </w:rPr>
        <w:t>X</w:t>
      </w:r>
      <w:r w:rsidRPr="009B546D">
        <w:rPr>
          <w:rFonts w:asciiTheme="minorHAnsi" w:eastAsia="Calibri" w:hAnsiTheme="minorHAnsi" w:cstheme="minorHAnsi"/>
          <w:sz w:val="20"/>
          <w:szCs w:val="20"/>
        </w:rPr>
        <w:br/>
        <w:t>Information on Alchemist Codes</w:t>
      </w:r>
      <w:bookmarkEnd w:id="29"/>
    </w:p>
    <w:p w14:paraId="1B524B3E" w14:textId="77777777" w:rsidR="00FA06E6" w:rsidRPr="009B546D" w:rsidRDefault="00FA06E6" w:rsidP="00F432B9">
      <w:pPr>
        <w:pStyle w:val="Heading2"/>
        <w:keepNext w:val="0"/>
        <w:widowControl w:val="0"/>
        <w:spacing w:before="0" w:after="120" w:line="240" w:lineRule="auto"/>
        <w:rPr>
          <w:rFonts w:asciiTheme="minorHAnsi" w:eastAsia="Calibri" w:hAnsiTheme="minorHAnsi" w:cstheme="minorHAnsi"/>
          <w:szCs w:val="20"/>
        </w:rPr>
      </w:pPr>
      <w:r w:rsidRPr="009B546D">
        <w:rPr>
          <w:rFonts w:asciiTheme="minorHAnsi" w:eastAsia="Calibri" w:hAnsiTheme="minorHAnsi" w:cstheme="minorHAnsi"/>
          <w:szCs w:val="20"/>
        </w:rPr>
        <w:t>Introduction</w:t>
      </w:r>
    </w:p>
    <w:p w14:paraId="3F1D4398" w14:textId="34E280F9" w:rsidR="00FA06E6" w:rsidRPr="009B546D" w:rsidRDefault="00FA06E6" w:rsidP="00F432B9">
      <w:pPr>
        <w:widowControl w:val="0"/>
        <w:spacing w:after="120" w:line="240" w:lineRule="auto"/>
        <w:rPr>
          <w:rFonts w:cstheme="minorHAnsi"/>
        </w:rPr>
      </w:pPr>
      <w:bookmarkStart w:id="30" w:name="_Hlk26370901"/>
      <w:r w:rsidRPr="009B546D">
        <w:rPr>
          <w:rFonts w:cstheme="minorHAnsi"/>
        </w:rPr>
        <w:t xml:space="preserve">Alchemist Codes is a specialist information technology software designer and developer focused on designing and developing comprehensive information technology solutions for clients in the e-commerce sector. </w:t>
      </w:r>
      <w:r w:rsidR="00A07423" w:rsidRPr="009B546D">
        <w:rPr>
          <w:rFonts w:cstheme="minorHAnsi"/>
        </w:rPr>
        <w:t xml:space="preserve">In 2018 </w:t>
      </w:r>
      <w:r w:rsidR="00233254" w:rsidRPr="009B546D">
        <w:rPr>
          <w:rFonts w:cstheme="minorHAnsi"/>
        </w:rPr>
        <w:t xml:space="preserve">Alchemist </w:t>
      </w:r>
      <w:r w:rsidR="00F21225" w:rsidRPr="009B546D">
        <w:rPr>
          <w:rFonts w:cstheme="minorHAnsi"/>
        </w:rPr>
        <w:t>Codes acquired</w:t>
      </w:r>
      <w:r w:rsidR="00233254" w:rsidRPr="009B546D">
        <w:rPr>
          <w:rFonts w:cstheme="minorHAnsi"/>
        </w:rPr>
        <w:t xml:space="preserve"> the off-the-shelf messaging </w:t>
      </w:r>
      <w:r w:rsidR="006E6E54" w:rsidRPr="009B546D">
        <w:rPr>
          <w:rFonts w:cstheme="minorHAnsi"/>
        </w:rPr>
        <w:t>application</w:t>
      </w:r>
      <w:r w:rsidR="00233254" w:rsidRPr="009B546D">
        <w:rPr>
          <w:rFonts w:cstheme="minorHAnsi"/>
        </w:rPr>
        <w:t xml:space="preserve"> development software, Contusfly</w:t>
      </w:r>
      <w:r w:rsidR="00B85F00" w:rsidRPr="009B546D">
        <w:rPr>
          <w:rFonts w:cstheme="minorHAnsi"/>
        </w:rPr>
        <w:t xml:space="preserve">. </w:t>
      </w:r>
      <w:r w:rsidRPr="009B546D">
        <w:rPr>
          <w:rFonts w:cstheme="minorHAnsi"/>
        </w:rPr>
        <w:t>Alchemist Codes</w:t>
      </w:r>
      <w:r w:rsidR="00B85F00" w:rsidRPr="009B546D">
        <w:rPr>
          <w:rFonts w:cstheme="minorHAnsi"/>
        </w:rPr>
        <w:t xml:space="preserve"> </w:t>
      </w:r>
      <w:r w:rsidR="00383F53" w:rsidRPr="009B546D">
        <w:rPr>
          <w:rFonts w:cstheme="minorHAnsi"/>
        </w:rPr>
        <w:t xml:space="preserve">used Contusfly </w:t>
      </w:r>
      <w:r w:rsidR="00F21225" w:rsidRPr="009B546D">
        <w:rPr>
          <w:rFonts w:cstheme="minorHAnsi"/>
        </w:rPr>
        <w:t xml:space="preserve">as the foundational basis </w:t>
      </w:r>
      <w:r w:rsidR="00383F53" w:rsidRPr="009B546D">
        <w:rPr>
          <w:rFonts w:cstheme="minorHAnsi"/>
        </w:rPr>
        <w:t xml:space="preserve">to </w:t>
      </w:r>
      <w:r w:rsidRPr="009B546D">
        <w:rPr>
          <w:rFonts w:cstheme="minorHAnsi"/>
        </w:rPr>
        <w:t>design and develop</w:t>
      </w:r>
      <w:r w:rsidR="00AB265B" w:rsidRPr="009B546D">
        <w:rPr>
          <w:rFonts w:cstheme="minorHAnsi"/>
        </w:rPr>
        <w:t>s</w:t>
      </w:r>
      <w:r w:rsidRPr="009B546D">
        <w:rPr>
          <w:rFonts w:cstheme="minorHAnsi"/>
        </w:rPr>
        <w:t xml:space="preserve"> a white label chat messaging application for corporate users</w:t>
      </w:r>
      <w:r w:rsidR="00F21225" w:rsidRPr="009B546D">
        <w:rPr>
          <w:rFonts w:cstheme="minorHAnsi"/>
        </w:rPr>
        <w:t>. Alchemist Codes added extensive in</w:t>
      </w:r>
      <w:r w:rsidR="00D91FC1" w:rsidRPr="009B546D">
        <w:rPr>
          <w:rFonts w:cstheme="minorHAnsi"/>
        </w:rPr>
        <w:t>-</w:t>
      </w:r>
      <w:r w:rsidR="00F21225" w:rsidRPr="009B546D">
        <w:rPr>
          <w:rFonts w:cstheme="minorHAnsi"/>
        </w:rPr>
        <w:t xml:space="preserve">house coding to the foundation </w:t>
      </w:r>
      <w:r w:rsidRPr="009B546D">
        <w:rPr>
          <w:rFonts w:cstheme="minorHAnsi"/>
        </w:rPr>
        <w:t xml:space="preserve">with enhanced encryption and </w:t>
      </w:r>
      <w:r w:rsidR="00AB265B" w:rsidRPr="009B546D">
        <w:rPr>
          <w:rFonts w:cstheme="minorHAnsi"/>
        </w:rPr>
        <w:t xml:space="preserve">regional </w:t>
      </w:r>
      <w:r w:rsidR="003F3345" w:rsidRPr="009B546D">
        <w:rPr>
          <w:rFonts w:cstheme="minorHAnsi"/>
        </w:rPr>
        <w:t>specific</w:t>
      </w:r>
      <w:r w:rsidRPr="009B546D">
        <w:rPr>
          <w:rFonts w:cstheme="minorHAnsi"/>
        </w:rPr>
        <w:t xml:space="preserve"> features accessible across a range of web and mobile devices, giving corporate clients and users a convenient and secure messaging application. Alongside this</w:t>
      </w:r>
      <w:r w:rsidR="00F15912" w:rsidRPr="009B546D">
        <w:rPr>
          <w:rFonts w:cstheme="minorHAnsi"/>
        </w:rPr>
        <w:t xml:space="preserve">, Alchemist Codes </w:t>
      </w:r>
      <w:r w:rsidRPr="009B546D">
        <w:rPr>
          <w:rFonts w:cstheme="minorHAnsi"/>
        </w:rPr>
        <w:t>identified significant growth opportunities in the Malaysian e-commerce and cashback market and the potential for the development and implementation of big data analytics, data mining and Artificial Intelligence (“</w:t>
      </w:r>
      <w:r w:rsidRPr="009B546D">
        <w:rPr>
          <w:rFonts w:cstheme="minorHAnsi"/>
          <w:b/>
          <w:bCs/>
        </w:rPr>
        <w:t>AI</w:t>
      </w:r>
      <w:r w:rsidRPr="009B546D">
        <w:rPr>
          <w:rFonts w:cstheme="minorHAnsi"/>
        </w:rPr>
        <w:t>”) in the sector</w:t>
      </w:r>
      <w:r w:rsidR="004415E6" w:rsidRPr="009B546D">
        <w:rPr>
          <w:rFonts w:cstheme="minorHAnsi"/>
        </w:rPr>
        <w:t xml:space="preserve">. </w:t>
      </w:r>
      <w:r w:rsidRPr="009B546D">
        <w:rPr>
          <w:rFonts w:cstheme="minorHAnsi"/>
        </w:rPr>
        <w:t xml:space="preserve">Alchemist Codes has developed its own e-commerce web and mobile application </w:t>
      </w:r>
      <w:r w:rsidR="00202F98" w:rsidRPr="009B546D">
        <w:rPr>
          <w:rFonts w:cstheme="minorHAnsi"/>
        </w:rPr>
        <w:t xml:space="preserve">called OCTAPLUS </w:t>
      </w:r>
      <w:r w:rsidRPr="009B546D">
        <w:rPr>
          <w:rFonts w:cstheme="minorHAnsi"/>
        </w:rPr>
        <w:t>(“</w:t>
      </w:r>
      <w:r w:rsidRPr="009B546D">
        <w:rPr>
          <w:rFonts w:cstheme="minorHAnsi"/>
          <w:b/>
          <w:bCs/>
        </w:rPr>
        <w:t>OCTAPLUS</w:t>
      </w:r>
      <w:r w:rsidRPr="009B546D">
        <w:rPr>
          <w:rFonts w:cstheme="minorHAnsi"/>
        </w:rPr>
        <w:t xml:space="preserve">”). </w:t>
      </w:r>
    </w:p>
    <w:p w14:paraId="60B6FACA" w14:textId="77777777" w:rsidR="00FA06E6" w:rsidRPr="009B546D" w:rsidRDefault="00FA06E6" w:rsidP="00F432B9">
      <w:pPr>
        <w:widowControl w:val="0"/>
        <w:spacing w:after="120" w:line="240" w:lineRule="auto"/>
        <w:rPr>
          <w:rFonts w:cstheme="minorHAnsi"/>
        </w:rPr>
      </w:pPr>
      <w:r w:rsidRPr="009B546D">
        <w:rPr>
          <w:rFonts w:cstheme="minorHAnsi"/>
        </w:rPr>
        <w:t xml:space="preserve">Having recognised that online retailers needed to acquire and retain shoppers who were increasingly shifting towards making purchase via their mobile devices, Alchemist Codes focused on developing OCTAPLUS which would serve both the retailer in terms of acquiring the maximum number of users and collecting and analysing user patterns and data, but also on providing users with a convenient means of shopping via their mobile devices and rewarding them for their purchases. </w:t>
      </w:r>
    </w:p>
    <w:p w14:paraId="66C0145C" w14:textId="5CA16FEF" w:rsidR="00FA06E6" w:rsidRPr="009B546D" w:rsidRDefault="00FA06E6" w:rsidP="00F432B9">
      <w:pPr>
        <w:widowControl w:val="0"/>
        <w:spacing w:after="120" w:line="240" w:lineRule="auto"/>
        <w:rPr>
          <w:rFonts w:cstheme="minorHAnsi"/>
        </w:rPr>
      </w:pPr>
      <w:r w:rsidRPr="009B546D">
        <w:rPr>
          <w:rFonts w:cstheme="minorHAnsi"/>
        </w:rPr>
        <w:t>Alchemist Codes believe</w:t>
      </w:r>
      <w:r w:rsidR="00F40A6B" w:rsidRPr="009B546D">
        <w:rPr>
          <w:rFonts w:cstheme="minorHAnsi"/>
        </w:rPr>
        <w:t>s</w:t>
      </w:r>
      <w:r w:rsidRPr="009B546D">
        <w:rPr>
          <w:rFonts w:cstheme="minorHAnsi"/>
        </w:rPr>
        <w:t xml:space="preserve"> that it has the following key strengths:</w:t>
      </w:r>
    </w:p>
    <w:p w14:paraId="71DA0CB9" w14:textId="342775C9" w:rsidR="00FA06E6" w:rsidRPr="009B546D" w:rsidRDefault="00FA06E6" w:rsidP="00F432B9">
      <w:pPr>
        <w:pStyle w:val="ListParagraph"/>
        <w:numPr>
          <w:ilvl w:val="0"/>
          <w:numId w:val="45"/>
        </w:numPr>
        <w:spacing w:after="120"/>
        <w:rPr>
          <w:rFonts w:asciiTheme="minorHAnsi" w:hAnsiTheme="minorHAnsi" w:cstheme="minorHAnsi"/>
          <w:sz w:val="20"/>
          <w:szCs w:val="20"/>
        </w:rPr>
      </w:pPr>
      <w:r w:rsidRPr="009B546D">
        <w:rPr>
          <w:rFonts w:asciiTheme="minorHAnsi" w:hAnsiTheme="minorHAnsi" w:cstheme="minorHAnsi"/>
          <w:b/>
          <w:bCs/>
          <w:sz w:val="20"/>
          <w:szCs w:val="20"/>
        </w:rPr>
        <w:t>Key merchant deals</w:t>
      </w:r>
      <w:r w:rsidRPr="009B546D">
        <w:rPr>
          <w:rFonts w:asciiTheme="minorHAnsi" w:hAnsiTheme="minorHAnsi" w:cstheme="minorHAnsi"/>
          <w:sz w:val="20"/>
          <w:szCs w:val="20"/>
        </w:rPr>
        <w:t>: OCTAPLUS is positioned to take advantage in the growth of the e-commerce sector in Malaysia due to the relationships Alchemist Codes has with many key online retailers</w:t>
      </w:r>
      <w:r w:rsidR="00F21225" w:rsidRPr="009B546D">
        <w:rPr>
          <w:rFonts w:asciiTheme="minorHAnsi" w:hAnsiTheme="minorHAnsi" w:cstheme="minorHAnsi"/>
          <w:sz w:val="20"/>
          <w:szCs w:val="20"/>
        </w:rPr>
        <w:t>.</w:t>
      </w:r>
    </w:p>
    <w:p w14:paraId="55270659" w14:textId="7ABEEDCA" w:rsidR="00FA06E6" w:rsidRPr="009B546D" w:rsidRDefault="00FA06E6" w:rsidP="00F432B9">
      <w:pPr>
        <w:pStyle w:val="ListParagraph"/>
        <w:numPr>
          <w:ilvl w:val="0"/>
          <w:numId w:val="45"/>
        </w:numPr>
        <w:spacing w:after="120"/>
        <w:rPr>
          <w:rFonts w:asciiTheme="minorHAnsi" w:hAnsiTheme="minorHAnsi" w:cstheme="minorHAnsi"/>
          <w:sz w:val="20"/>
          <w:szCs w:val="20"/>
        </w:rPr>
      </w:pPr>
      <w:r w:rsidRPr="009B546D">
        <w:rPr>
          <w:rFonts w:asciiTheme="minorHAnsi" w:hAnsiTheme="minorHAnsi" w:cstheme="minorHAnsi"/>
          <w:b/>
          <w:bCs/>
          <w:sz w:val="20"/>
          <w:szCs w:val="20"/>
        </w:rPr>
        <w:t>Experienced management team</w:t>
      </w:r>
      <w:r w:rsidRPr="009B546D">
        <w:rPr>
          <w:rFonts w:asciiTheme="minorHAnsi" w:hAnsiTheme="minorHAnsi" w:cstheme="minorHAnsi"/>
          <w:sz w:val="20"/>
          <w:szCs w:val="20"/>
        </w:rPr>
        <w:t>: Alchemist Codes has an experienced management team, with expertise in web, mobile, software development and e</w:t>
      </w:r>
      <w:r w:rsidR="001F6DB8" w:rsidRPr="009B546D">
        <w:rPr>
          <w:rFonts w:asciiTheme="minorHAnsi" w:hAnsiTheme="minorHAnsi" w:cstheme="minorHAnsi"/>
          <w:sz w:val="20"/>
          <w:szCs w:val="20"/>
        </w:rPr>
        <w:t>-</w:t>
      </w:r>
      <w:r w:rsidRPr="009B546D">
        <w:rPr>
          <w:rFonts w:asciiTheme="minorHAnsi" w:hAnsiTheme="minorHAnsi" w:cstheme="minorHAnsi"/>
          <w:sz w:val="20"/>
          <w:szCs w:val="20"/>
        </w:rPr>
        <w:t xml:space="preserve">commerce and retail. They have held executive roles for </w:t>
      </w:r>
      <w:r w:rsidR="00166C46" w:rsidRPr="009B546D">
        <w:rPr>
          <w:rFonts w:asciiTheme="minorHAnsi" w:hAnsiTheme="minorHAnsi" w:cstheme="minorHAnsi"/>
          <w:sz w:val="20"/>
          <w:szCs w:val="20"/>
        </w:rPr>
        <w:t>AIO Synergy Holdings</w:t>
      </w:r>
      <w:r w:rsidR="00DB1F86" w:rsidRPr="009B546D">
        <w:rPr>
          <w:rFonts w:asciiTheme="minorHAnsi" w:hAnsiTheme="minorHAnsi" w:cstheme="minorHAnsi"/>
          <w:sz w:val="20"/>
          <w:szCs w:val="20"/>
        </w:rPr>
        <w:t xml:space="preserve"> Berhad</w:t>
      </w:r>
      <w:r w:rsidR="00166C46" w:rsidRPr="009B546D">
        <w:rPr>
          <w:rFonts w:asciiTheme="minorHAnsi" w:hAnsiTheme="minorHAnsi" w:cstheme="minorHAnsi"/>
          <w:sz w:val="20"/>
          <w:szCs w:val="20"/>
        </w:rPr>
        <w:t>,</w:t>
      </w:r>
      <w:r w:rsidR="009B2FDC" w:rsidRPr="009B546D">
        <w:rPr>
          <w:rFonts w:asciiTheme="minorHAnsi" w:hAnsiTheme="minorHAnsi" w:cstheme="minorHAnsi"/>
          <w:sz w:val="20"/>
          <w:szCs w:val="20"/>
        </w:rPr>
        <w:t xml:space="preserve"> MM Intelligence Technolog</w:t>
      </w:r>
      <w:r w:rsidR="0053153C" w:rsidRPr="009B546D">
        <w:rPr>
          <w:rFonts w:asciiTheme="minorHAnsi" w:hAnsiTheme="minorHAnsi" w:cstheme="minorHAnsi"/>
          <w:sz w:val="20"/>
          <w:szCs w:val="20"/>
        </w:rPr>
        <w:t>y Sdn Bhd</w:t>
      </w:r>
      <w:r w:rsidR="00AF240D" w:rsidRPr="009B546D">
        <w:rPr>
          <w:rFonts w:asciiTheme="minorHAnsi" w:hAnsiTheme="minorHAnsi" w:cstheme="minorHAnsi"/>
          <w:sz w:val="20"/>
          <w:szCs w:val="20"/>
        </w:rPr>
        <w:t xml:space="preserve">, </w:t>
      </w:r>
      <w:r w:rsidR="00D42879" w:rsidRPr="009B546D">
        <w:rPr>
          <w:rFonts w:asciiTheme="minorHAnsi" w:hAnsiTheme="minorHAnsi" w:cstheme="minorHAnsi"/>
          <w:sz w:val="20"/>
          <w:szCs w:val="20"/>
        </w:rPr>
        <w:t>eBay</w:t>
      </w:r>
      <w:r w:rsidR="00135C81" w:rsidRPr="009B546D">
        <w:rPr>
          <w:rFonts w:asciiTheme="minorHAnsi" w:hAnsiTheme="minorHAnsi" w:cstheme="minorHAnsi"/>
          <w:sz w:val="20"/>
          <w:szCs w:val="20"/>
        </w:rPr>
        <w:t xml:space="preserve"> South China</w:t>
      </w:r>
      <w:r w:rsidR="00A3653F" w:rsidRPr="009B546D">
        <w:rPr>
          <w:rFonts w:asciiTheme="minorHAnsi" w:hAnsiTheme="minorHAnsi" w:cstheme="minorHAnsi"/>
          <w:sz w:val="20"/>
          <w:szCs w:val="20"/>
        </w:rPr>
        <w:t xml:space="preserve"> and CPCNet North and East China.</w:t>
      </w:r>
    </w:p>
    <w:p w14:paraId="552B68F6" w14:textId="77777777" w:rsidR="00FA06E6" w:rsidRPr="009B546D" w:rsidRDefault="00FA06E6" w:rsidP="00F432B9">
      <w:pPr>
        <w:pStyle w:val="ListParagraph"/>
        <w:numPr>
          <w:ilvl w:val="0"/>
          <w:numId w:val="45"/>
        </w:numPr>
        <w:spacing w:after="120"/>
        <w:rPr>
          <w:rFonts w:asciiTheme="minorHAnsi" w:hAnsiTheme="minorHAnsi" w:cstheme="minorHAnsi"/>
          <w:sz w:val="20"/>
          <w:szCs w:val="20"/>
        </w:rPr>
      </w:pPr>
      <w:r w:rsidRPr="009B546D">
        <w:rPr>
          <w:rFonts w:asciiTheme="minorHAnsi" w:hAnsiTheme="minorHAnsi" w:cstheme="minorHAnsi"/>
          <w:b/>
          <w:bCs/>
          <w:sz w:val="20"/>
          <w:szCs w:val="20"/>
        </w:rPr>
        <w:t>Scalability</w:t>
      </w:r>
      <w:r w:rsidRPr="009B546D">
        <w:rPr>
          <w:rFonts w:asciiTheme="minorHAnsi" w:hAnsiTheme="minorHAnsi" w:cstheme="minorHAnsi"/>
          <w:sz w:val="20"/>
          <w:szCs w:val="20"/>
        </w:rPr>
        <w:t xml:space="preserve">: both the messaging application and OCTAPLUS have been developed so as to be easily scalable supporting the needs of customers. </w:t>
      </w:r>
    </w:p>
    <w:p w14:paraId="7D667D08" w14:textId="702C52CF" w:rsidR="00FA06E6" w:rsidRPr="009B546D" w:rsidRDefault="00FA06E6" w:rsidP="00F432B9">
      <w:pPr>
        <w:pStyle w:val="ListParagraph"/>
        <w:numPr>
          <w:ilvl w:val="0"/>
          <w:numId w:val="45"/>
        </w:numPr>
        <w:spacing w:after="120"/>
        <w:rPr>
          <w:rFonts w:asciiTheme="minorHAnsi" w:hAnsiTheme="minorHAnsi" w:cstheme="minorHAnsi"/>
          <w:sz w:val="20"/>
          <w:szCs w:val="20"/>
        </w:rPr>
      </w:pPr>
      <w:r w:rsidRPr="009B546D">
        <w:rPr>
          <w:rFonts w:asciiTheme="minorHAnsi" w:hAnsiTheme="minorHAnsi" w:cstheme="minorHAnsi"/>
          <w:b/>
          <w:bCs/>
          <w:sz w:val="20"/>
          <w:szCs w:val="20"/>
        </w:rPr>
        <w:t>Platform</w:t>
      </w:r>
      <w:r w:rsidRPr="009B546D">
        <w:rPr>
          <w:rFonts w:asciiTheme="minorHAnsi" w:hAnsiTheme="minorHAnsi" w:cstheme="minorHAnsi"/>
          <w:sz w:val="20"/>
          <w:szCs w:val="20"/>
        </w:rPr>
        <w:t xml:space="preserve">: Alchemist Codes has invested in the messaging application and OCTAPLUS to ensure </w:t>
      </w:r>
      <w:r w:rsidR="00CE6383" w:rsidRPr="009B546D">
        <w:rPr>
          <w:rFonts w:asciiTheme="minorHAnsi" w:hAnsiTheme="minorHAnsi" w:cstheme="minorHAnsi"/>
          <w:sz w:val="20"/>
          <w:szCs w:val="20"/>
        </w:rPr>
        <w:t>that it maintains</w:t>
      </w:r>
      <w:r w:rsidR="00D30B7F" w:rsidRPr="009B546D">
        <w:rPr>
          <w:rFonts w:asciiTheme="minorHAnsi" w:hAnsiTheme="minorHAnsi" w:cstheme="minorHAnsi"/>
          <w:sz w:val="20"/>
          <w:szCs w:val="20"/>
        </w:rPr>
        <w:t xml:space="preserve"> a</w:t>
      </w:r>
      <w:r w:rsidR="00203929" w:rsidRPr="009B546D">
        <w:rPr>
          <w:rFonts w:asciiTheme="minorHAnsi" w:hAnsiTheme="minorHAnsi" w:cstheme="minorHAnsi"/>
          <w:sz w:val="20"/>
          <w:szCs w:val="20"/>
        </w:rPr>
        <w:t xml:space="preserve"> bug free and</w:t>
      </w:r>
      <w:r w:rsidR="00D30B7F" w:rsidRPr="009B546D">
        <w:rPr>
          <w:rFonts w:asciiTheme="minorHAnsi" w:hAnsiTheme="minorHAnsi" w:cstheme="minorHAnsi"/>
          <w:sz w:val="20"/>
          <w:szCs w:val="20"/>
        </w:rPr>
        <w:t xml:space="preserve"> user friendl</w:t>
      </w:r>
      <w:r w:rsidR="00D46404" w:rsidRPr="009B546D">
        <w:rPr>
          <w:rFonts w:asciiTheme="minorHAnsi" w:hAnsiTheme="minorHAnsi" w:cstheme="minorHAnsi"/>
          <w:sz w:val="20"/>
          <w:szCs w:val="20"/>
        </w:rPr>
        <w:t xml:space="preserve">y interface </w:t>
      </w:r>
      <w:r w:rsidR="00203929" w:rsidRPr="009B546D">
        <w:rPr>
          <w:rFonts w:asciiTheme="minorHAnsi" w:hAnsiTheme="minorHAnsi" w:cstheme="minorHAnsi"/>
          <w:sz w:val="20"/>
          <w:szCs w:val="20"/>
        </w:rPr>
        <w:t>that allows</w:t>
      </w:r>
      <w:r w:rsidR="008C7B06" w:rsidRPr="009B546D">
        <w:rPr>
          <w:rFonts w:asciiTheme="minorHAnsi" w:hAnsiTheme="minorHAnsi" w:cstheme="minorHAnsi"/>
          <w:sz w:val="20"/>
          <w:szCs w:val="20"/>
        </w:rPr>
        <w:t xml:space="preserve"> it to maintain competitiveness against alternative application offerings available in the market. </w:t>
      </w:r>
    </w:p>
    <w:p w14:paraId="5FD789AD" w14:textId="011F9979" w:rsidR="00FA06E6" w:rsidRPr="009B546D" w:rsidRDefault="00FA06E6" w:rsidP="00F432B9">
      <w:pPr>
        <w:pStyle w:val="ListParagraph"/>
        <w:numPr>
          <w:ilvl w:val="0"/>
          <w:numId w:val="45"/>
        </w:numPr>
        <w:spacing w:after="120"/>
        <w:rPr>
          <w:rFonts w:asciiTheme="minorHAnsi" w:hAnsiTheme="minorHAnsi" w:cstheme="minorHAnsi"/>
          <w:sz w:val="20"/>
          <w:szCs w:val="20"/>
        </w:rPr>
      </w:pPr>
      <w:r w:rsidRPr="009B546D">
        <w:rPr>
          <w:rFonts w:asciiTheme="minorHAnsi" w:hAnsiTheme="minorHAnsi" w:cstheme="minorHAnsi"/>
          <w:b/>
          <w:bCs/>
          <w:sz w:val="20"/>
          <w:szCs w:val="20"/>
        </w:rPr>
        <w:t>Market Leader</w:t>
      </w:r>
      <w:r w:rsidRPr="009B546D">
        <w:rPr>
          <w:rFonts w:asciiTheme="minorHAnsi" w:hAnsiTheme="minorHAnsi" w:cstheme="minorHAnsi"/>
          <w:sz w:val="20"/>
          <w:szCs w:val="20"/>
        </w:rPr>
        <w:t>: Alchemist Codes believes that OCTAPLUS has the ability to become a market leader in the Malaysian e</w:t>
      </w:r>
      <w:r w:rsidR="005951F2" w:rsidRPr="009B546D">
        <w:rPr>
          <w:rFonts w:asciiTheme="minorHAnsi" w:hAnsiTheme="minorHAnsi" w:cstheme="minorHAnsi"/>
          <w:sz w:val="20"/>
          <w:szCs w:val="20"/>
        </w:rPr>
        <w:t>-</w:t>
      </w:r>
      <w:r w:rsidRPr="009B546D">
        <w:rPr>
          <w:rFonts w:asciiTheme="minorHAnsi" w:hAnsiTheme="minorHAnsi" w:cstheme="minorHAnsi"/>
          <w:sz w:val="20"/>
          <w:szCs w:val="20"/>
        </w:rPr>
        <w:t>commerce space due to early mover advantage.</w:t>
      </w:r>
    </w:p>
    <w:bookmarkEnd w:id="30"/>
    <w:p w14:paraId="6AC98FBB" w14:textId="77777777" w:rsidR="00FA06E6" w:rsidRPr="009B546D" w:rsidRDefault="00FA06E6" w:rsidP="00F432B9">
      <w:pPr>
        <w:pStyle w:val="ListParagraph"/>
        <w:spacing w:after="120"/>
        <w:rPr>
          <w:rFonts w:asciiTheme="minorHAnsi" w:hAnsiTheme="minorHAnsi" w:cstheme="minorHAnsi"/>
        </w:rPr>
      </w:pPr>
    </w:p>
    <w:p w14:paraId="519BE9A0" w14:textId="77777777" w:rsidR="00FA06E6" w:rsidRPr="009B546D" w:rsidRDefault="00FA06E6" w:rsidP="00F432B9">
      <w:pPr>
        <w:spacing w:after="120" w:line="240" w:lineRule="auto"/>
        <w:rPr>
          <w:rFonts w:cstheme="minorHAnsi"/>
          <w:b/>
          <w:bCs/>
        </w:rPr>
      </w:pPr>
      <w:r w:rsidRPr="009B546D">
        <w:rPr>
          <w:rFonts w:cstheme="minorHAnsi"/>
          <w:b/>
          <w:bCs/>
        </w:rPr>
        <w:t>History and development</w:t>
      </w:r>
    </w:p>
    <w:p w14:paraId="655E8028" w14:textId="77777777" w:rsidR="00FA06E6" w:rsidRPr="009B546D" w:rsidRDefault="00FA06E6" w:rsidP="00496B89">
      <w:pPr>
        <w:widowControl w:val="0"/>
        <w:spacing w:after="120" w:line="240" w:lineRule="auto"/>
        <w:rPr>
          <w:rFonts w:cstheme="minorHAnsi"/>
        </w:rPr>
      </w:pPr>
      <w:bookmarkStart w:id="31" w:name="_Hlk26371024"/>
      <w:r w:rsidRPr="009B546D">
        <w:rPr>
          <w:rFonts w:cstheme="minorHAnsi"/>
        </w:rPr>
        <w:t>Alchemist Codes was founded in April 2018 by Charles Young and has focused on software development, mobile and web application development and chat application development.</w:t>
      </w:r>
    </w:p>
    <w:p w14:paraId="756760FC" w14:textId="67DAE47F" w:rsidR="00FA06E6" w:rsidRPr="009B546D" w:rsidRDefault="00FA06E6" w:rsidP="00F432B9">
      <w:pPr>
        <w:widowControl w:val="0"/>
        <w:spacing w:after="120" w:line="240" w:lineRule="auto"/>
        <w:rPr>
          <w:rFonts w:cstheme="minorHAnsi"/>
        </w:rPr>
      </w:pPr>
      <w:r w:rsidRPr="009B546D">
        <w:rPr>
          <w:rFonts w:cstheme="minorHAnsi"/>
        </w:rPr>
        <w:t>Alchemist Codes software development is centred around designing and developing a product line of systems and applications for business and professional use. Alchemist Codes typically markets and distributes its software products domestically and internationally through both Original Equipment Manufacturer (</w:t>
      </w:r>
      <w:r w:rsidR="008265FD" w:rsidRPr="009B546D">
        <w:rPr>
          <w:rFonts w:cstheme="minorHAnsi"/>
        </w:rPr>
        <w:t>“</w:t>
      </w:r>
      <w:r w:rsidRPr="009B546D">
        <w:rPr>
          <w:rFonts w:cstheme="minorHAnsi"/>
          <w:b/>
          <w:bCs/>
        </w:rPr>
        <w:t>OEM</w:t>
      </w:r>
      <w:r w:rsidR="008265FD" w:rsidRPr="009B546D">
        <w:rPr>
          <w:rFonts w:cstheme="minorHAnsi"/>
        </w:rPr>
        <w:t>”</w:t>
      </w:r>
      <w:r w:rsidRPr="009B546D">
        <w:rPr>
          <w:rFonts w:cstheme="minorHAnsi"/>
        </w:rPr>
        <w:t>) and retail channels. In the OEM channel, Alchemist Codes will provide an OEM with master copies of the software and documentation which the OEM is then able to duplicate, package, and distribute.</w:t>
      </w:r>
    </w:p>
    <w:p w14:paraId="1A009750" w14:textId="7B04A5F8" w:rsidR="00FA06E6" w:rsidRPr="009B546D" w:rsidRDefault="00FA06E6" w:rsidP="00F432B9">
      <w:pPr>
        <w:widowControl w:val="0"/>
        <w:spacing w:after="120" w:line="240" w:lineRule="auto"/>
        <w:rPr>
          <w:rFonts w:cstheme="minorHAnsi"/>
        </w:rPr>
      </w:pPr>
      <w:r w:rsidRPr="009B546D">
        <w:rPr>
          <w:rFonts w:cstheme="minorHAnsi"/>
        </w:rPr>
        <w:t xml:space="preserve">Alchemist Codes has focused its mobile and web </w:t>
      </w:r>
      <w:r w:rsidR="006E6E54" w:rsidRPr="009B546D">
        <w:rPr>
          <w:rFonts w:cstheme="minorHAnsi"/>
        </w:rPr>
        <w:t>application</w:t>
      </w:r>
      <w:r w:rsidRPr="009B546D">
        <w:rPr>
          <w:rFonts w:cstheme="minorHAnsi"/>
        </w:rPr>
        <w:t xml:space="preserve"> development on extending the reach of the existing web portals and services with content rich and transactions-centric mobile </w:t>
      </w:r>
      <w:r w:rsidR="006E6E54" w:rsidRPr="009B546D">
        <w:rPr>
          <w:rFonts w:cstheme="minorHAnsi"/>
        </w:rPr>
        <w:t>applications</w:t>
      </w:r>
      <w:r w:rsidRPr="009B546D">
        <w:rPr>
          <w:rFonts w:cstheme="minorHAnsi"/>
        </w:rPr>
        <w:t>, offering Business</w:t>
      </w:r>
      <w:r w:rsidR="005951F2" w:rsidRPr="009B546D">
        <w:rPr>
          <w:rFonts w:cstheme="minorHAnsi"/>
        </w:rPr>
        <w:t>-</w:t>
      </w:r>
      <w:r w:rsidRPr="009B546D">
        <w:rPr>
          <w:rFonts w:cstheme="minorHAnsi"/>
        </w:rPr>
        <w:t>to</w:t>
      </w:r>
      <w:r w:rsidR="005951F2" w:rsidRPr="009B546D">
        <w:rPr>
          <w:rFonts w:cstheme="minorHAnsi"/>
        </w:rPr>
        <w:t>-</w:t>
      </w:r>
      <w:r w:rsidRPr="009B546D">
        <w:rPr>
          <w:rFonts w:cstheme="minorHAnsi"/>
        </w:rPr>
        <w:t>Business (</w:t>
      </w:r>
      <w:r w:rsidR="00C82F0A" w:rsidRPr="009B546D">
        <w:rPr>
          <w:rFonts w:cstheme="minorHAnsi"/>
        </w:rPr>
        <w:t>“</w:t>
      </w:r>
      <w:r w:rsidRPr="009B546D">
        <w:rPr>
          <w:rFonts w:cstheme="minorHAnsi"/>
          <w:b/>
          <w:bCs/>
        </w:rPr>
        <w:t>B2B</w:t>
      </w:r>
      <w:r w:rsidR="00C82F0A" w:rsidRPr="009B546D">
        <w:rPr>
          <w:rFonts w:cstheme="minorHAnsi"/>
        </w:rPr>
        <w:t>”</w:t>
      </w:r>
      <w:r w:rsidRPr="009B546D">
        <w:rPr>
          <w:rFonts w:cstheme="minorHAnsi"/>
        </w:rPr>
        <w:t>), Business</w:t>
      </w:r>
      <w:r w:rsidR="005951F2" w:rsidRPr="009B546D">
        <w:rPr>
          <w:rFonts w:cstheme="minorHAnsi"/>
        </w:rPr>
        <w:t>-</w:t>
      </w:r>
      <w:r w:rsidRPr="009B546D">
        <w:rPr>
          <w:rFonts w:cstheme="minorHAnsi"/>
        </w:rPr>
        <w:t>to</w:t>
      </w:r>
      <w:r w:rsidR="005951F2" w:rsidRPr="009B546D">
        <w:rPr>
          <w:rFonts w:cstheme="minorHAnsi"/>
        </w:rPr>
        <w:t>-</w:t>
      </w:r>
      <w:r w:rsidRPr="009B546D">
        <w:rPr>
          <w:rFonts w:cstheme="minorHAnsi"/>
        </w:rPr>
        <w:t>Enterprise (</w:t>
      </w:r>
      <w:r w:rsidR="00C82F0A" w:rsidRPr="009B546D">
        <w:rPr>
          <w:rFonts w:cstheme="minorHAnsi"/>
        </w:rPr>
        <w:t>“</w:t>
      </w:r>
      <w:r w:rsidRPr="009B546D">
        <w:rPr>
          <w:rFonts w:cstheme="minorHAnsi"/>
          <w:b/>
          <w:bCs/>
        </w:rPr>
        <w:t>B2E</w:t>
      </w:r>
      <w:r w:rsidR="00C82F0A" w:rsidRPr="009B546D">
        <w:rPr>
          <w:rFonts w:cstheme="minorHAnsi"/>
        </w:rPr>
        <w:t>”</w:t>
      </w:r>
      <w:r w:rsidRPr="009B546D">
        <w:rPr>
          <w:rFonts w:cstheme="minorHAnsi"/>
        </w:rPr>
        <w:t>) and Business</w:t>
      </w:r>
      <w:r w:rsidR="005951F2" w:rsidRPr="009B546D">
        <w:rPr>
          <w:rFonts w:cstheme="minorHAnsi"/>
        </w:rPr>
        <w:t>-</w:t>
      </w:r>
      <w:r w:rsidRPr="009B546D">
        <w:rPr>
          <w:rFonts w:cstheme="minorHAnsi"/>
        </w:rPr>
        <w:t>to</w:t>
      </w:r>
      <w:r w:rsidR="005951F2" w:rsidRPr="009B546D">
        <w:rPr>
          <w:rFonts w:cstheme="minorHAnsi"/>
        </w:rPr>
        <w:t>-</w:t>
      </w:r>
      <w:r w:rsidRPr="009B546D">
        <w:rPr>
          <w:rFonts w:cstheme="minorHAnsi"/>
        </w:rPr>
        <w:t>Customer</w:t>
      </w:r>
      <w:r w:rsidR="00C82F0A" w:rsidRPr="009B546D">
        <w:rPr>
          <w:rFonts w:cstheme="minorHAnsi"/>
        </w:rPr>
        <w:t xml:space="preserve"> (“</w:t>
      </w:r>
      <w:r w:rsidR="00C82F0A" w:rsidRPr="009B546D">
        <w:rPr>
          <w:rFonts w:cstheme="minorHAnsi"/>
          <w:b/>
          <w:bCs/>
        </w:rPr>
        <w:t>B2C</w:t>
      </w:r>
      <w:r w:rsidR="00C82F0A" w:rsidRPr="009B546D">
        <w:rPr>
          <w:rFonts w:cstheme="minorHAnsi"/>
        </w:rPr>
        <w:t>”</w:t>
      </w:r>
      <w:r w:rsidR="00AD7D8F" w:rsidRPr="009B546D">
        <w:rPr>
          <w:rFonts w:cstheme="minorHAnsi"/>
        </w:rPr>
        <w:t>)</w:t>
      </w:r>
      <w:r w:rsidRPr="009B546D">
        <w:rPr>
          <w:rFonts w:cstheme="minorHAnsi"/>
        </w:rPr>
        <w:t xml:space="preserve"> enterprise mobility solutions securely interfacing with any type of corporate systems. With web </w:t>
      </w:r>
      <w:r w:rsidR="006E6E54" w:rsidRPr="009B546D">
        <w:rPr>
          <w:rFonts w:cstheme="minorHAnsi"/>
        </w:rPr>
        <w:t>application</w:t>
      </w:r>
      <w:r w:rsidRPr="009B546D">
        <w:rPr>
          <w:rFonts w:cstheme="minorHAnsi"/>
        </w:rPr>
        <w:t xml:space="preserve"> development Alchemist Codes serves as a full stack vendor undertaking end-to-end custom web application development projects for consumers and emerging businesses with technology at their core.</w:t>
      </w:r>
    </w:p>
    <w:p w14:paraId="23B9A3F8" w14:textId="7C601D04" w:rsidR="00FA06E6" w:rsidRPr="009B546D" w:rsidRDefault="00FA06E6" w:rsidP="00F432B9">
      <w:pPr>
        <w:widowControl w:val="0"/>
        <w:spacing w:after="120" w:line="240" w:lineRule="auto"/>
        <w:rPr>
          <w:rFonts w:cstheme="minorHAnsi"/>
        </w:rPr>
      </w:pPr>
      <w:r w:rsidRPr="009B546D">
        <w:rPr>
          <w:rFonts w:cstheme="minorHAnsi"/>
        </w:rPr>
        <w:t xml:space="preserve">Alongside software, web and mobile development, Alchemist Codes has designed and developed a white label messaging application developed to address the basic communication needs between businesses and their staff. In South East Asian countries, particularly Malaysia, with many employees typically having mobile phones, chat applications are increasingly being used for formal business communication. </w:t>
      </w:r>
    </w:p>
    <w:p w14:paraId="23D414A5" w14:textId="036A482E" w:rsidR="00FA06E6" w:rsidRPr="009B546D" w:rsidRDefault="00FA06E6" w:rsidP="00F432B9">
      <w:pPr>
        <w:widowControl w:val="0"/>
        <w:spacing w:after="120" w:line="240" w:lineRule="auto"/>
        <w:rPr>
          <w:rFonts w:cstheme="minorHAnsi"/>
        </w:rPr>
      </w:pPr>
      <w:r w:rsidRPr="009B546D">
        <w:rPr>
          <w:rFonts w:cstheme="minorHAnsi"/>
        </w:rPr>
        <w:lastRenderedPageBreak/>
        <w:t>Alchemist Codes</w:t>
      </w:r>
      <w:r w:rsidR="00D91FC1" w:rsidRPr="009B546D">
        <w:rPr>
          <w:rFonts w:cstheme="minorHAnsi"/>
        </w:rPr>
        <w:t>’</w:t>
      </w:r>
      <w:r w:rsidRPr="009B546D">
        <w:rPr>
          <w:rFonts w:cstheme="minorHAnsi"/>
        </w:rPr>
        <w:t xml:space="preserve"> messaging </w:t>
      </w:r>
      <w:r w:rsidR="006E6E54" w:rsidRPr="009B546D">
        <w:rPr>
          <w:rFonts w:cstheme="minorHAnsi"/>
        </w:rPr>
        <w:t>application</w:t>
      </w:r>
      <w:r w:rsidRPr="009B546D">
        <w:rPr>
          <w:rFonts w:cstheme="minorHAnsi"/>
        </w:rPr>
        <w:t xml:space="preserve"> has been developed to focus on serving users’ everyday communication needs by supplying easy-to-use tools, including chat, voice call and video call, file sharing capabilities while providing reliable and secure connectivity globally. Alchemist Codes</w:t>
      </w:r>
      <w:r w:rsidR="00D91FC1" w:rsidRPr="009B546D">
        <w:rPr>
          <w:rFonts w:cstheme="minorHAnsi"/>
        </w:rPr>
        <w:t>’</w:t>
      </w:r>
      <w:r w:rsidRPr="009B546D">
        <w:rPr>
          <w:rFonts w:cstheme="minorHAnsi"/>
        </w:rPr>
        <w:t xml:space="preserve"> messaging </w:t>
      </w:r>
      <w:r w:rsidR="006E6E54" w:rsidRPr="009B546D">
        <w:rPr>
          <w:rFonts w:cstheme="minorHAnsi"/>
        </w:rPr>
        <w:t>application</w:t>
      </w:r>
      <w:r w:rsidRPr="009B546D">
        <w:rPr>
          <w:rFonts w:cstheme="minorHAnsi"/>
        </w:rPr>
        <w:t xml:space="preserve"> has been designed to be highly customisable to client’s specific requirements with customisation features including end-to-end message encryption, close community setting, private file sharing and permission and policy management. </w:t>
      </w:r>
    </w:p>
    <w:p w14:paraId="1A28D696" w14:textId="11700C67" w:rsidR="00FA06E6" w:rsidRPr="009B546D" w:rsidRDefault="00FA06E6" w:rsidP="00F432B9">
      <w:pPr>
        <w:widowControl w:val="0"/>
        <w:spacing w:after="120" w:line="240" w:lineRule="auto"/>
        <w:rPr>
          <w:rFonts w:cstheme="minorHAnsi"/>
        </w:rPr>
      </w:pPr>
      <w:r w:rsidRPr="009B546D">
        <w:rPr>
          <w:rFonts w:cstheme="minorHAnsi"/>
        </w:rPr>
        <w:t>Alchemist Codes provides enterprise users with an ongoing maintenance service package, for a monthly fee. Maintenance services include bug fixing, free version update for new features and server maintenance with a targeted 24-hour response time in the event of critical failure.</w:t>
      </w:r>
    </w:p>
    <w:p w14:paraId="2BBCE766" w14:textId="12988F88" w:rsidR="00FA06E6" w:rsidRPr="009B546D" w:rsidRDefault="00FA06E6" w:rsidP="00F432B9">
      <w:pPr>
        <w:widowControl w:val="0"/>
        <w:spacing w:after="120" w:line="240" w:lineRule="auto"/>
        <w:rPr>
          <w:rFonts w:cstheme="minorHAnsi"/>
        </w:rPr>
      </w:pPr>
      <w:r w:rsidRPr="009B546D">
        <w:rPr>
          <w:rFonts w:cstheme="minorHAnsi"/>
        </w:rPr>
        <w:t>Alchemist Codes has successfully delivered cha</w:t>
      </w:r>
      <w:r w:rsidR="005951F2" w:rsidRPr="009B546D">
        <w:rPr>
          <w:rFonts w:cstheme="minorHAnsi"/>
        </w:rPr>
        <w:t>t</w:t>
      </w:r>
      <w:r w:rsidRPr="009B546D">
        <w:rPr>
          <w:rFonts w:cstheme="minorHAnsi"/>
        </w:rPr>
        <w:t xml:space="preserve"> applications to several clients including:</w:t>
      </w:r>
    </w:p>
    <w:p w14:paraId="090602A8" w14:textId="307CE593" w:rsidR="00FA06E6" w:rsidRPr="009B546D" w:rsidRDefault="00FA06E6" w:rsidP="00F432B9">
      <w:pPr>
        <w:pStyle w:val="ListParagraph"/>
        <w:numPr>
          <w:ilvl w:val="0"/>
          <w:numId w:val="70"/>
        </w:numPr>
        <w:spacing w:after="120"/>
        <w:contextualSpacing w:val="0"/>
        <w:rPr>
          <w:rFonts w:asciiTheme="minorHAnsi" w:hAnsiTheme="minorHAnsi" w:cstheme="minorHAnsi"/>
          <w:sz w:val="20"/>
        </w:rPr>
      </w:pPr>
      <w:r w:rsidRPr="009B546D">
        <w:rPr>
          <w:rFonts w:asciiTheme="minorHAnsi" w:hAnsiTheme="minorHAnsi" w:cstheme="minorHAnsi"/>
          <w:b/>
          <w:bCs/>
          <w:sz w:val="20"/>
        </w:rPr>
        <w:t xml:space="preserve">Watsup Limited </w:t>
      </w:r>
      <w:r w:rsidRPr="009B546D">
        <w:rPr>
          <w:rFonts w:asciiTheme="minorHAnsi" w:hAnsiTheme="minorHAnsi" w:cstheme="minorHAnsi"/>
          <w:sz w:val="20"/>
        </w:rPr>
        <w:t>(“</w:t>
      </w:r>
      <w:r w:rsidRPr="009B546D">
        <w:rPr>
          <w:rFonts w:asciiTheme="minorHAnsi" w:hAnsiTheme="minorHAnsi" w:cstheme="minorHAnsi"/>
          <w:b/>
          <w:bCs/>
          <w:sz w:val="20"/>
        </w:rPr>
        <w:t>Watsup</w:t>
      </w:r>
      <w:r w:rsidRPr="009B546D">
        <w:rPr>
          <w:rFonts w:asciiTheme="minorHAnsi" w:hAnsiTheme="minorHAnsi" w:cstheme="minorHAnsi"/>
          <w:sz w:val="20"/>
        </w:rPr>
        <w:t xml:space="preserve">”), a Singaporean company providing a high data security messaging </w:t>
      </w:r>
      <w:r w:rsidR="006E6E54" w:rsidRPr="009B546D">
        <w:rPr>
          <w:rFonts w:asciiTheme="minorHAnsi" w:hAnsiTheme="minorHAnsi" w:cstheme="minorHAnsi"/>
          <w:sz w:val="20"/>
        </w:rPr>
        <w:t>application</w:t>
      </w:r>
      <w:r w:rsidRPr="009B546D">
        <w:rPr>
          <w:rFonts w:asciiTheme="minorHAnsi" w:hAnsiTheme="minorHAnsi" w:cstheme="minorHAnsi"/>
          <w:sz w:val="20"/>
        </w:rPr>
        <w:t xml:space="preserve"> to Chinese users. </w:t>
      </w:r>
      <w:r w:rsidR="003F3345" w:rsidRPr="009B546D">
        <w:rPr>
          <w:rFonts w:asciiTheme="minorHAnsi" w:hAnsiTheme="minorHAnsi" w:cstheme="minorHAnsi"/>
          <w:sz w:val="20"/>
        </w:rPr>
        <w:t>Watsup</w:t>
      </w:r>
      <w:r w:rsidRPr="009B546D">
        <w:rPr>
          <w:rFonts w:asciiTheme="minorHAnsi" w:hAnsiTheme="minorHAnsi" w:cstheme="minorHAnsi"/>
          <w:sz w:val="20"/>
        </w:rPr>
        <w:t xml:space="preserve"> use</w:t>
      </w:r>
      <w:r w:rsidR="005951F2" w:rsidRPr="009B546D">
        <w:rPr>
          <w:rFonts w:asciiTheme="minorHAnsi" w:hAnsiTheme="minorHAnsi" w:cstheme="minorHAnsi"/>
          <w:sz w:val="20"/>
        </w:rPr>
        <w:t>s</w:t>
      </w:r>
      <w:r w:rsidRPr="009B546D">
        <w:rPr>
          <w:rFonts w:asciiTheme="minorHAnsi" w:hAnsiTheme="minorHAnsi" w:cstheme="minorHAnsi"/>
          <w:sz w:val="20"/>
        </w:rPr>
        <w:t xml:space="preserve"> Alchemist Codes’ application to enhance social messaging </w:t>
      </w:r>
      <w:r w:rsidR="006E6E54" w:rsidRPr="009B546D">
        <w:rPr>
          <w:rFonts w:asciiTheme="minorHAnsi" w:hAnsiTheme="minorHAnsi" w:cstheme="minorHAnsi"/>
          <w:sz w:val="20"/>
        </w:rPr>
        <w:t>application</w:t>
      </w:r>
      <w:r w:rsidRPr="009B546D">
        <w:rPr>
          <w:rFonts w:asciiTheme="minorHAnsi" w:hAnsiTheme="minorHAnsi" w:cstheme="minorHAnsi"/>
          <w:sz w:val="20"/>
        </w:rPr>
        <w:t xml:space="preserve"> experiences within the Chinese community</w:t>
      </w:r>
      <w:r w:rsidR="005951F2" w:rsidRPr="009B546D">
        <w:rPr>
          <w:rFonts w:asciiTheme="minorHAnsi" w:hAnsiTheme="minorHAnsi" w:cstheme="minorHAnsi"/>
          <w:sz w:val="20"/>
        </w:rPr>
        <w:t>.</w:t>
      </w:r>
    </w:p>
    <w:p w14:paraId="46A0AF43" w14:textId="1F5FB506" w:rsidR="00FA06E6" w:rsidRPr="009B546D" w:rsidRDefault="00FA06E6" w:rsidP="00F432B9">
      <w:pPr>
        <w:pStyle w:val="ListParagraph"/>
        <w:numPr>
          <w:ilvl w:val="0"/>
          <w:numId w:val="70"/>
        </w:numPr>
        <w:spacing w:after="120"/>
        <w:contextualSpacing w:val="0"/>
        <w:rPr>
          <w:rFonts w:asciiTheme="minorHAnsi" w:hAnsiTheme="minorHAnsi" w:cstheme="minorHAnsi"/>
          <w:sz w:val="20"/>
        </w:rPr>
      </w:pPr>
      <w:r w:rsidRPr="009B546D">
        <w:rPr>
          <w:rFonts w:asciiTheme="minorHAnsi" w:hAnsiTheme="minorHAnsi" w:cstheme="minorHAnsi"/>
          <w:b/>
          <w:bCs/>
          <w:sz w:val="20"/>
        </w:rPr>
        <w:t xml:space="preserve">MMCS Events Sdn Bhd </w:t>
      </w:r>
      <w:r w:rsidRPr="009B546D">
        <w:rPr>
          <w:rFonts w:asciiTheme="minorHAnsi" w:hAnsiTheme="minorHAnsi" w:cstheme="minorHAnsi"/>
          <w:sz w:val="20"/>
        </w:rPr>
        <w:t>(“</w:t>
      </w:r>
      <w:r w:rsidRPr="009B546D">
        <w:rPr>
          <w:rFonts w:asciiTheme="minorHAnsi" w:hAnsiTheme="minorHAnsi" w:cstheme="minorHAnsi"/>
          <w:b/>
          <w:bCs/>
          <w:sz w:val="20"/>
        </w:rPr>
        <w:t>MMCS</w:t>
      </w:r>
      <w:r w:rsidRPr="009B546D">
        <w:rPr>
          <w:rFonts w:asciiTheme="minorHAnsi" w:hAnsiTheme="minorHAnsi" w:cstheme="minorHAnsi"/>
          <w:sz w:val="20"/>
        </w:rPr>
        <w:t>”), a Malaysian company focused on events management including both private and corporate events, domestically and internationally. MMCS has used the Alchemist Codes</w:t>
      </w:r>
      <w:r w:rsidR="00D91FC1" w:rsidRPr="009B546D">
        <w:rPr>
          <w:rFonts w:asciiTheme="minorHAnsi" w:hAnsiTheme="minorHAnsi" w:cstheme="minorHAnsi"/>
          <w:sz w:val="20"/>
        </w:rPr>
        <w:t>’</w:t>
      </w:r>
      <w:r w:rsidRPr="009B546D">
        <w:rPr>
          <w:rFonts w:asciiTheme="minorHAnsi" w:hAnsiTheme="minorHAnsi" w:cstheme="minorHAnsi"/>
          <w:sz w:val="20"/>
        </w:rPr>
        <w:t xml:space="preserve"> </w:t>
      </w:r>
      <w:r w:rsidR="00450FE4" w:rsidRPr="009B546D">
        <w:rPr>
          <w:rFonts w:asciiTheme="minorHAnsi" w:hAnsiTheme="minorHAnsi" w:cstheme="minorHAnsi"/>
          <w:sz w:val="20"/>
        </w:rPr>
        <w:t xml:space="preserve">application </w:t>
      </w:r>
      <w:r w:rsidRPr="009B546D">
        <w:rPr>
          <w:rFonts w:asciiTheme="minorHAnsi" w:hAnsiTheme="minorHAnsi" w:cstheme="minorHAnsi"/>
          <w:sz w:val="20"/>
        </w:rPr>
        <w:t xml:space="preserve">as a means of communicating with event attendees, including sending event invites and reminders, in addition to communicating event specific information and targeting attendees and audiences ahead of, during and after events. MMCS has successfully used the Alchemist Code communication </w:t>
      </w:r>
      <w:r w:rsidR="00450FE4" w:rsidRPr="009B546D">
        <w:rPr>
          <w:rFonts w:asciiTheme="minorHAnsi" w:hAnsiTheme="minorHAnsi" w:cstheme="minorHAnsi"/>
          <w:sz w:val="20"/>
        </w:rPr>
        <w:t>application</w:t>
      </w:r>
      <w:r w:rsidRPr="009B546D">
        <w:rPr>
          <w:rFonts w:asciiTheme="minorHAnsi" w:hAnsiTheme="minorHAnsi" w:cstheme="minorHAnsi"/>
          <w:sz w:val="20"/>
        </w:rPr>
        <w:t xml:space="preserve"> to target event audiences in excess of 2,000 attendees.</w:t>
      </w:r>
    </w:p>
    <w:p w14:paraId="1D707B14" w14:textId="35B07661" w:rsidR="00FA06E6" w:rsidRPr="009B546D" w:rsidRDefault="00FA06E6" w:rsidP="00F432B9">
      <w:pPr>
        <w:pStyle w:val="ListParagraph"/>
        <w:numPr>
          <w:ilvl w:val="0"/>
          <w:numId w:val="70"/>
        </w:numPr>
        <w:spacing w:after="120"/>
        <w:contextualSpacing w:val="0"/>
        <w:rPr>
          <w:rFonts w:asciiTheme="minorHAnsi" w:hAnsiTheme="minorHAnsi" w:cstheme="minorHAnsi"/>
          <w:sz w:val="20"/>
        </w:rPr>
      </w:pPr>
      <w:r w:rsidRPr="009B546D">
        <w:rPr>
          <w:rFonts w:asciiTheme="minorHAnsi" w:hAnsiTheme="minorHAnsi" w:cstheme="minorHAnsi"/>
          <w:b/>
          <w:bCs/>
          <w:sz w:val="20"/>
        </w:rPr>
        <w:t xml:space="preserve">PT. Vitta Global Konsolidasi </w:t>
      </w:r>
      <w:r w:rsidRPr="009B546D">
        <w:rPr>
          <w:rFonts w:asciiTheme="minorHAnsi" w:hAnsiTheme="minorHAnsi" w:cstheme="minorHAnsi"/>
          <w:sz w:val="20"/>
        </w:rPr>
        <w:t>(“</w:t>
      </w:r>
      <w:r w:rsidRPr="009B546D">
        <w:rPr>
          <w:rFonts w:asciiTheme="minorHAnsi" w:hAnsiTheme="minorHAnsi" w:cstheme="minorHAnsi"/>
          <w:b/>
          <w:bCs/>
          <w:sz w:val="20"/>
        </w:rPr>
        <w:t>Vitta Global</w:t>
      </w:r>
      <w:r w:rsidRPr="009B546D">
        <w:rPr>
          <w:rFonts w:asciiTheme="minorHAnsi" w:hAnsiTheme="minorHAnsi" w:cstheme="minorHAnsi"/>
          <w:sz w:val="20"/>
        </w:rPr>
        <w:t>”), an Indonesian company focused on shipping goods domestically and internationally. Vitta Global has integrated the Alchemist Codes</w:t>
      </w:r>
      <w:r w:rsidR="00D91FC1" w:rsidRPr="009B546D">
        <w:rPr>
          <w:rFonts w:asciiTheme="minorHAnsi" w:hAnsiTheme="minorHAnsi" w:cstheme="minorHAnsi"/>
          <w:sz w:val="20"/>
        </w:rPr>
        <w:t>’</w:t>
      </w:r>
      <w:r w:rsidRPr="009B546D">
        <w:rPr>
          <w:rFonts w:asciiTheme="minorHAnsi" w:hAnsiTheme="minorHAnsi" w:cstheme="minorHAnsi"/>
          <w:sz w:val="20"/>
        </w:rPr>
        <w:t xml:space="preserve"> communication application with their existing internal IT systems to provide employees and clients a secure high-level B2C communication system. Alchemist Codes has developed specific features for Vitta Global that provide inventory tracking and vouching, assist in warehouse and storage operational flow.</w:t>
      </w:r>
    </w:p>
    <w:p w14:paraId="7F2E6AA8" w14:textId="473A1B55" w:rsidR="00FA06E6" w:rsidRPr="009B546D" w:rsidRDefault="00FA06E6" w:rsidP="00F432B9">
      <w:pPr>
        <w:widowControl w:val="0"/>
        <w:spacing w:after="120" w:line="240" w:lineRule="auto"/>
        <w:rPr>
          <w:rFonts w:cstheme="minorHAnsi"/>
        </w:rPr>
      </w:pPr>
      <w:r w:rsidRPr="009B546D">
        <w:rPr>
          <w:rFonts w:cstheme="minorHAnsi"/>
        </w:rPr>
        <w:t xml:space="preserve">In 2019, after several years of development, Alchemist Codes launched its latest product, OCTAPLUS, an e-commerce cashback application developed to use big data analytics, machine learning and AI to enable users to shop at major retailers, both online pureplay (Watson, </w:t>
      </w:r>
      <w:r w:rsidR="005951F2" w:rsidRPr="009B546D">
        <w:rPr>
          <w:rFonts w:cstheme="minorHAnsi"/>
        </w:rPr>
        <w:t>G</w:t>
      </w:r>
      <w:r w:rsidRPr="009B546D">
        <w:rPr>
          <w:rFonts w:cstheme="minorHAnsi"/>
        </w:rPr>
        <w:t xml:space="preserve">uardian etc) and multi-channel (Lazada, Shopee and 11 </w:t>
      </w:r>
      <w:r w:rsidR="005951F2" w:rsidRPr="009B546D">
        <w:rPr>
          <w:rFonts w:cstheme="minorHAnsi"/>
        </w:rPr>
        <w:t>S</w:t>
      </w:r>
      <w:r w:rsidRPr="009B546D">
        <w:rPr>
          <w:rFonts w:cstheme="minorHAnsi"/>
        </w:rPr>
        <w:t xml:space="preserve">treet), where they will receive targeted online retail promotions and cashback on purchases. </w:t>
      </w:r>
    </w:p>
    <w:bookmarkEnd w:id="31"/>
    <w:p w14:paraId="32BE984F" w14:textId="77777777" w:rsidR="00FA06E6" w:rsidRPr="009B546D" w:rsidRDefault="00FA06E6" w:rsidP="00F432B9">
      <w:pPr>
        <w:spacing w:line="240" w:lineRule="auto"/>
        <w:rPr>
          <w:rFonts w:cstheme="minorHAnsi"/>
          <w:b/>
          <w:bCs/>
        </w:rPr>
      </w:pPr>
      <w:r w:rsidRPr="009B546D">
        <w:rPr>
          <w:rFonts w:cstheme="minorHAnsi"/>
          <w:b/>
          <w:bCs/>
        </w:rPr>
        <w:t>OCTAPLUS</w:t>
      </w:r>
    </w:p>
    <w:p w14:paraId="54E5CA1E" w14:textId="02378C09" w:rsidR="00FA06E6" w:rsidRPr="009B546D" w:rsidRDefault="00FA06E6" w:rsidP="00496B89">
      <w:pPr>
        <w:widowControl w:val="0"/>
        <w:spacing w:after="120" w:line="240" w:lineRule="auto"/>
        <w:rPr>
          <w:rFonts w:cstheme="minorHAnsi"/>
        </w:rPr>
      </w:pPr>
      <w:r w:rsidRPr="009B546D">
        <w:rPr>
          <w:rFonts w:cstheme="minorHAnsi"/>
        </w:rPr>
        <w:t>OCTAPLUS has been designed for availability, security, performance, scale and flexibility. OCTAPLUS uses a combination of open source programming, scripting languages (Java, Objective C, PHP, Python and JavaScript) and Integrated Development Environment (</w:t>
      </w:r>
      <w:r w:rsidR="00DC5E29" w:rsidRPr="009B546D">
        <w:rPr>
          <w:rFonts w:cstheme="minorHAnsi"/>
        </w:rPr>
        <w:t>“</w:t>
      </w:r>
      <w:r w:rsidRPr="009B546D">
        <w:rPr>
          <w:rFonts w:cstheme="minorHAnsi"/>
          <w:b/>
          <w:bCs/>
        </w:rPr>
        <w:t>IDE</w:t>
      </w:r>
      <w:r w:rsidR="00DC5E29" w:rsidRPr="009B546D">
        <w:rPr>
          <w:rFonts w:cstheme="minorHAnsi"/>
        </w:rPr>
        <w:t>”</w:t>
      </w:r>
      <w:r w:rsidRPr="009B546D">
        <w:rPr>
          <w:rFonts w:cstheme="minorHAnsi"/>
        </w:rPr>
        <w:t xml:space="preserve">) (Android Studio, XCode and VSCode) to run automated scripting and market crawling data processing, </w:t>
      </w:r>
      <w:r w:rsidR="005951F2" w:rsidRPr="009B546D">
        <w:rPr>
          <w:rFonts w:cstheme="minorHAnsi"/>
        </w:rPr>
        <w:t xml:space="preserve">to </w:t>
      </w:r>
      <w:r w:rsidRPr="009B546D">
        <w:rPr>
          <w:rFonts w:cstheme="minorHAnsi"/>
        </w:rPr>
        <w:t>provid</w:t>
      </w:r>
      <w:r w:rsidR="005951F2" w:rsidRPr="009B546D">
        <w:rPr>
          <w:rFonts w:cstheme="minorHAnsi"/>
        </w:rPr>
        <w:t>e</w:t>
      </w:r>
      <w:r w:rsidRPr="009B546D">
        <w:rPr>
          <w:rFonts w:cstheme="minorHAnsi"/>
        </w:rPr>
        <w:t xml:space="preserve"> and promot</w:t>
      </w:r>
      <w:r w:rsidR="005951F2" w:rsidRPr="009B546D">
        <w:rPr>
          <w:rFonts w:cstheme="minorHAnsi"/>
        </w:rPr>
        <w:t>e</w:t>
      </w:r>
      <w:r w:rsidRPr="009B546D">
        <w:rPr>
          <w:rFonts w:cstheme="minorHAnsi"/>
        </w:rPr>
        <w:t xml:space="preserve"> relevant online retail promotions and deals to the user. </w:t>
      </w:r>
    </w:p>
    <w:p w14:paraId="0E87BC50" w14:textId="3F5872A1" w:rsidR="00FA06E6" w:rsidRPr="009B546D" w:rsidRDefault="00FA06E6" w:rsidP="00F432B9">
      <w:pPr>
        <w:widowControl w:val="0"/>
        <w:spacing w:after="120" w:line="240" w:lineRule="auto"/>
        <w:rPr>
          <w:rFonts w:cstheme="minorHAnsi"/>
        </w:rPr>
      </w:pPr>
      <w:r w:rsidRPr="009B546D">
        <w:rPr>
          <w:rFonts w:cstheme="minorHAnsi"/>
        </w:rPr>
        <w:t>OCTAPLUS provides a single point of convenience for users to obtain live shopping information</w:t>
      </w:r>
      <w:r w:rsidR="003B20B6" w:rsidRPr="009B546D">
        <w:rPr>
          <w:rFonts w:cstheme="minorHAnsi"/>
        </w:rPr>
        <w:t xml:space="preserve"> by </w:t>
      </w:r>
      <w:r w:rsidRPr="009B546D">
        <w:rPr>
          <w:rFonts w:cstheme="minorHAnsi"/>
        </w:rPr>
        <w:t xml:space="preserve">displaying a comparison of price, product and promotion comparison between multiple retail channels </w:t>
      </w:r>
      <w:r w:rsidR="003B20B6" w:rsidRPr="009B546D">
        <w:rPr>
          <w:rFonts w:cstheme="minorHAnsi"/>
        </w:rPr>
        <w:t>at</w:t>
      </w:r>
      <w:r w:rsidRPr="009B546D">
        <w:rPr>
          <w:rFonts w:cstheme="minorHAnsi"/>
        </w:rPr>
        <w:t xml:space="preserve"> a single point. OCTAPLUS additionally aggregates and provides the user with additional information including product reviews and a social shopping experience, allowing users to share promotions with other OCTAPLUS users </w:t>
      </w:r>
      <w:r w:rsidR="003932C7" w:rsidRPr="009B546D">
        <w:rPr>
          <w:rFonts w:cstheme="minorHAnsi"/>
        </w:rPr>
        <w:t xml:space="preserve">as well as engage in dialogue via comments to </w:t>
      </w:r>
      <w:r w:rsidRPr="009B546D">
        <w:rPr>
          <w:rFonts w:cstheme="minorHAnsi"/>
        </w:rPr>
        <w:t>creat</w:t>
      </w:r>
      <w:r w:rsidR="003932C7" w:rsidRPr="009B546D">
        <w:rPr>
          <w:rFonts w:cstheme="minorHAnsi"/>
        </w:rPr>
        <w:t>e</w:t>
      </w:r>
      <w:r w:rsidRPr="009B546D">
        <w:rPr>
          <w:rFonts w:cstheme="minorHAnsi"/>
        </w:rPr>
        <w:t xml:space="preserve"> a social shopping environment and community. OCTAPLUS rewards the user for each purchase in the form of cashback for their purchase. </w:t>
      </w:r>
    </w:p>
    <w:p w14:paraId="0850139F" w14:textId="1AEAE638" w:rsidR="00FA06E6" w:rsidRPr="009B546D" w:rsidRDefault="00FA06E6" w:rsidP="00F432B9">
      <w:pPr>
        <w:spacing w:before="240" w:after="120" w:line="240" w:lineRule="auto"/>
        <w:rPr>
          <w:rFonts w:cstheme="minorHAnsi"/>
        </w:rPr>
      </w:pPr>
      <w:r w:rsidRPr="009B546D">
        <w:rPr>
          <w:rFonts w:cstheme="minorHAnsi"/>
        </w:rPr>
        <w:t xml:space="preserve">OCTAPLUS provides merchants and online retailers </w:t>
      </w:r>
      <w:r w:rsidR="00D91FC1" w:rsidRPr="009B546D">
        <w:rPr>
          <w:rFonts w:cstheme="minorHAnsi"/>
        </w:rPr>
        <w:t xml:space="preserve">with </w:t>
      </w:r>
      <w:r w:rsidRPr="009B546D">
        <w:rPr>
          <w:rFonts w:cstheme="minorHAnsi"/>
        </w:rPr>
        <w:t xml:space="preserve">an easily accessible solution to build brand awareness and engagement with its target consumers. Additionally, OCTAPLUS provides merchants and brands with a high level of traffic flow with strong commercial intent and effective online marketing service. Data analytics from OCTAPLUS can be used by the retailer to adapt to the changing demands of the marketplace. </w:t>
      </w:r>
    </w:p>
    <w:p w14:paraId="030D63FA" w14:textId="716F2434" w:rsidR="00FA06E6" w:rsidRPr="009B546D" w:rsidRDefault="00FA06E6" w:rsidP="00F432B9">
      <w:pPr>
        <w:spacing w:before="240" w:after="120" w:line="240" w:lineRule="auto"/>
        <w:rPr>
          <w:rFonts w:cstheme="minorHAnsi"/>
        </w:rPr>
      </w:pPr>
      <w:r w:rsidRPr="009B546D">
        <w:rPr>
          <w:rFonts w:cstheme="minorHAnsi"/>
        </w:rPr>
        <w:t xml:space="preserve">OCTAPLUS collects sophisticated levels of information </w:t>
      </w:r>
      <w:r w:rsidR="00D82B54" w:rsidRPr="009B546D">
        <w:rPr>
          <w:rFonts w:cstheme="minorHAnsi"/>
        </w:rPr>
        <w:t xml:space="preserve">from user </w:t>
      </w:r>
      <w:r w:rsidRPr="009B546D">
        <w:rPr>
          <w:rFonts w:cstheme="minorHAnsi"/>
        </w:rPr>
        <w:t xml:space="preserve">activity, enabling significant levels of behavioural analytics to be performed across the </w:t>
      </w:r>
      <w:r w:rsidR="00450FE4" w:rsidRPr="009B546D">
        <w:rPr>
          <w:rFonts w:cstheme="minorHAnsi"/>
        </w:rPr>
        <w:t>application</w:t>
      </w:r>
      <w:r w:rsidRPr="009B546D">
        <w:rPr>
          <w:rFonts w:cstheme="minorHAnsi"/>
        </w:rPr>
        <w:t xml:space="preserve">. Data analytics and mining enables easy identification of interactive trends within the data, enabling high-level targeting and engagement on OCTAPLUS. </w:t>
      </w:r>
    </w:p>
    <w:p w14:paraId="33C11D8D" w14:textId="5B2FAA41" w:rsidR="00FA06E6" w:rsidRPr="009B546D" w:rsidRDefault="00FA06E6" w:rsidP="00F432B9">
      <w:pPr>
        <w:spacing w:before="240" w:after="120" w:line="240" w:lineRule="auto"/>
        <w:rPr>
          <w:rFonts w:cstheme="minorHAnsi"/>
        </w:rPr>
      </w:pPr>
      <w:r w:rsidRPr="009B546D">
        <w:rPr>
          <w:rFonts w:cstheme="minorHAnsi"/>
        </w:rPr>
        <w:t>Through OCTAPLUS</w:t>
      </w:r>
      <w:r w:rsidR="00D91FC1" w:rsidRPr="009B546D">
        <w:rPr>
          <w:rFonts w:cstheme="minorHAnsi"/>
        </w:rPr>
        <w:t>,</w:t>
      </w:r>
      <w:r w:rsidRPr="009B546D">
        <w:rPr>
          <w:rFonts w:cstheme="minorHAnsi"/>
        </w:rPr>
        <w:t xml:space="preserve"> Alchemist Codes </w:t>
      </w:r>
      <w:r w:rsidR="008D5826" w:rsidRPr="009B546D">
        <w:rPr>
          <w:rFonts w:cstheme="minorHAnsi"/>
        </w:rPr>
        <w:t>intends</w:t>
      </w:r>
      <w:r w:rsidRPr="009B546D">
        <w:rPr>
          <w:rFonts w:cstheme="minorHAnsi"/>
        </w:rPr>
        <w:t xml:space="preserve"> to collect detailed information of its users and their specific activity. This data can then be used to identify an individual or group of user behavioural patterns for further analysis.</w:t>
      </w:r>
    </w:p>
    <w:p w14:paraId="129778C1" w14:textId="485594FB" w:rsidR="00FA06E6" w:rsidRPr="009B546D" w:rsidRDefault="00FA06E6" w:rsidP="00F432B9">
      <w:pPr>
        <w:spacing w:before="240" w:after="120" w:line="240" w:lineRule="auto"/>
        <w:rPr>
          <w:rFonts w:cstheme="minorHAnsi"/>
        </w:rPr>
      </w:pPr>
      <w:r w:rsidRPr="009B546D">
        <w:rPr>
          <w:rFonts w:cstheme="minorHAnsi"/>
        </w:rPr>
        <w:lastRenderedPageBreak/>
        <w:t xml:space="preserve">This may include </w:t>
      </w:r>
      <w:r w:rsidR="00FB7640" w:rsidRPr="009B546D">
        <w:rPr>
          <w:rFonts w:cstheme="minorHAnsi"/>
        </w:rPr>
        <w:t>identifying</w:t>
      </w:r>
      <w:r w:rsidRPr="009B546D">
        <w:rPr>
          <w:rFonts w:cstheme="minorHAnsi"/>
        </w:rPr>
        <w:t xml:space="preserve"> the interactive trends within the data, such as which user groups are most frequent</w:t>
      </w:r>
      <w:r w:rsidR="00FB7640" w:rsidRPr="009B546D">
        <w:rPr>
          <w:rFonts w:cstheme="minorHAnsi"/>
        </w:rPr>
        <w:t>ly</w:t>
      </w:r>
      <w:r w:rsidRPr="009B546D">
        <w:rPr>
          <w:rFonts w:cstheme="minorHAnsi"/>
        </w:rPr>
        <w:t xml:space="preserve"> engaged on OCTAPLUS, or when specific user groups are most likely to engage with a particular retail</w:t>
      </w:r>
      <w:r w:rsidR="00FB7640" w:rsidRPr="009B546D">
        <w:rPr>
          <w:rFonts w:cstheme="minorHAnsi"/>
        </w:rPr>
        <w:t>er</w:t>
      </w:r>
      <w:r w:rsidRPr="009B546D">
        <w:rPr>
          <w:rFonts w:cstheme="minorHAnsi"/>
        </w:rPr>
        <w:t xml:space="preserve"> </w:t>
      </w:r>
      <w:r w:rsidR="00FB7640" w:rsidRPr="009B546D">
        <w:rPr>
          <w:rFonts w:cstheme="minorHAnsi"/>
        </w:rPr>
        <w:t xml:space="preserve">or product </w:t>
      </w:r>
      <w:r w:rsidRPr="009B546D">
        <w:rPr>
          <w:rFonts w:cstheme="minorHAnsi"/>
        </w:rPr>
        <w:t>through OCTAPLUS. Following initial analysis, Alchemist Codes can drill down on the behavioural reasoning</w:t>
      </w:r>
      <w:r w:rsidR="00E900BA" w:rsidRPr="009B546D">
        <w:rPr>
          <w:rFonts w:cstheme="minorHAnsi"/>
        </w:rPr>
        <w:t xml:space="preserve"> patterns behind the trends</w:t>
      </w:r>
      <w:r w:rsidRPr="009B546D">
        <w:rPr>
          <w:rFonts w:cstheme="minorHAnsi"/>
        </w:rPr>
        <w:t xml:space="preserve">. Once patterns are identified, Alchemist Codes seeks to action on improving those complex metrics. </w:t>
      </w:r>
    </w:p>
    <w:p w14:paraId="58003604" w14:textId="77777777" w:rsidR="00FA06E6" w:rsidRPr="009B546D" w:rsidRDefault="00FA06E6" w:rsidP="00F432B9">
      <w:pPr>
        <w:spacing w:before="240" w:line="240" w:lineRule="auto"/>
        <w:rPr>
          <w:rFonts w:cstheme="minorHAnsi"/>
        </w:rPr>
      </w:pPr>
      <w:r w:rsidRPr="009B546D">
        <w:rPr>
          <w:rFonts w:cstheme="minorHAnsi"/>
        </w:rPr>
        <w:t>Simplified overview of the OCTAPLUS information processing technique:</w:t>
      </w:r>
    </w:p>
    <w:p w14:paraId="1B25103F" w14:textId="4F9489AE" w:rsidR="00FA06E6" w:rsidRPr="00384557" w:rsidRDefault="005951F2" w:rsidP="00F432B9">
      <w:pPr>
        <w:spacing w:before="240" w:line="240" w:lineRule="auto"/>
        <w:rPr>
          <w:rFonts w:cstheme="minorHAnsi"/>
        </w:rPr>
      </w:pPr>
      <w:r w:rsidRPr="00384557">
        <w:rPr>
          <w:rFonts w:cstheme="minorHAnsi"/>
          <w:noProof/>
          <w:lang w:val="en-MY" w:eastAsia="zh-CN"/>
        </w:rPr>
        <mc:AlternateContent>
          <mc:Choice Requires="wps">
            <w:drawing>
              <wp:anchor distT="0" distB="0" distL="114300" distR="114300" simplePos="0" relativeHeight="251658294" behindDoc="0" locked="0" layoutInCell="1" allowOverlap="1" wp14:anchorId="6733E3F8" wp14:editId="560D8857">
                <wp:simplePos x="0" y="0"/>
                <wp:positionH relativeFrom="column">
                  <wp:posOffset>4465320</wp:posOffset>
                </wp:positionH>
                <wp:positionV relativeFrom="paragraph">
                  <wp:posOffset>261620</wp:posOffset>
                </wp:positionV>
                <wp:extent cx="617517" cy="45719"/>
                <wp:effectExtent l="0" t="0" r="0" b="0"/>
                <wp:wrapNone/>
                <wp:docPr id="33" name="Arrow: Right 33"/>
                <wp:cNvGraphicFramePr/>
                <a:graphic xmlns:a="http://schemas.openxmlformats.org/drawingml/2006/main">
                  <a:graphicData uri="http://schemas.microsoft.com/office/word/2010/wordprocessingShape">
                    <wps:wsp>
                      <wps:cNvSpPr/>
                      <wps:spPr>
                        <a:xfrm>
                          <a:off x="0" y="0"/>
                          <a:ext cx="617517" cy="45719"/>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110677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3" o:spid="_x0000_s1026" type="#_x0000_t13" style="position:absolute;margin-left:351.6pt;margin-top:20.6pt;width:48.6pt;height:3.6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WwqowIAALEFAAAOAAAAZHJzL2Uyb0RvYy54bWysVEtv2zAMvg/YfxB0X22nj7RBnSJo0WFA&#10;1xZth54VWYoFyKImKXGyXz9KctzHih2GXWSRIj+Sn0meX2w7TTbCeQWmptVBSYkwHBplVjX98XT9&#10;5ZQSH5hpmAYjaroTnl7MP3867+1MTKAF3QhHEMT4WW9r2oZgZ0XheSs65g/ACoOPElzHAopuVTSO&#10;9Yje6WJSlidFD66xDrjwHrVX+ZHOE76Ugoc7Kb0IRNcUcwvpdOlcxrOYn7PZyjHbKj6kwf4hi44p&#10;g0FHqCsWGFk79QdUp7gDDzIccOgKkFJxkWrAaqryXTWPLbMi1YLkeDvS5P8fLL/d3DuimpoeHlJi&#10;WIf/aOEc9DPyoFZtIKhGjnrrZ2j6aO/dIHm8xoK30nXxi6WQbeJ1N/IqtoFwVJ5U0+NqSgnHp6Pj&#10;aXUWIYsXX+t8+CqgI/FSUxcDpyQSpWxz40N22BvGgB60aq6V1kmI/SIutSMbhn96uaqSq15336HJ&#10;uulxWab/jYFTe0XzlMYbJG0inoGInINGTREJyCWnW9hpEe20eRAS6cMiJyniiJyDMs6FCTkZ37JG&#10;ZHVM5eNcEmBElhh/xB4A3ha5x85ZDvbRVaS+H53LvyWWnUePFBlMGJ07ZcB9BKCxqiFytt+TlKmJ&#10;LC2h2WFzOchT5y2/VviDb5gP98zhmOFA4uoId3hIDX1NYbhR0oL79ZE+2mP34yslPY5tTf3PNXOC&#10;Ev3N4FycVUdHcc6TgL02QcG9flm+fjHr7hKwXypcUpana7QPen+VDrpn3DCLGBWfmOEYu6Y8uL1w&#10;GfI6wR3FxWKRzHC2LQs35tHyCB5Zja37tH1mzg5dHnA6bmE/4mz2rs2zbfQ0sFgHkCrNwAuvA9+4&#10;F1ITDzssLp7XcrJ62bTz3wAAAP//AwBQSwMEFAAGAAgAAAAhAAYOH5PeAAAACQEAAA8AAABkcnMv&#10;ZG93bnJldi54bWxMj89OwzAMh+9IvENkJC4TS5ZV0JWmE5oEEgcO23iArDFNtfypmqwrb485wcmy&#10;/ennz/V29o5NOKY+BgWrpQCGoY2mD52Cz+PrQwksZR2MdjGggm9MsG1ub2pdmXgNe5wOuWMUElKl&#10;Fdich4rz1Fr0Oi3jgIF2X3H0OlM7dtyM+krh3nEpxCP3ug90weoBdxbb8+HiFawLuTm73VHad74Y&#10;vPxYvG0mVOr+bn55BpZxzn8w/OqTOjTkdIqXYBJzCp7EWhKqoFhRJaAUogB2okFZAG9q/v+D5gcA&#10;AP//AwBQSwECLQAUAAYACAAAACEAtoM4kv4AAADhAQAAEwAAAAAAAAAAAAAAAAAAAAAAW0NvbnRl&#10;bnRfVHlwZXNdLnhtbFBLAQItABQABgAIAAAAIQA4/SH/1gAAAJQBAAALAAAAAAAAAAAAAAAAAC8B&#10;AABfcmVscy8ucmVsc1BLAQItABQABgAIAAAAIQBiWWwqowIAALEFAAAOAAAAAAAAAAAAAAAAAC4C&#10;AABkcnMvZTJvRG9jLnhtbFBLAQItABQABgAIAAAAIQAGDh+T3gAAAAkBAAAPAAAAAAAAAAAAAAAA&#10;AP0EAABkcnMvZG93bnJldi54bWxQSwUGAAAAAAQABADzAAAACAYAAAAA&#10;" adj="20800" fillcolor="#bfbfbf [2412]" stroked="f" strokeweight="1pt"/>
            </w:pict>
          </mc:Fallback>
        </mc:AlternateContent>
      </w:r>
      <w:r w:rsidRPr="009B546D">
        <w:rPr>
          <w:rFonts w:cstheme="minorHAnsi"/>
          <w:noProof/>
          <w:lang w:val="en-MY" w:eastAsia="zh-CN"/>
        </w:rPr>
        <mc:AlternateContent>
          <mc:Choice Requires="wps">
            <w:drawing>
              <wp:anchor distT="0" distB="0" distL="114300" distR="114300" simplePos="0" relativeHeight="251658292" behindDoc="0" locked="0" layoutInCell="1" allowOverlap="1" wp14:anchorId="214C3902" wp14:editId="60345D47">
                <wp:simplePos x="0" y="0"/>
                <wp:positionH relativeFrom="column">
                  <wp:posOffset>3194685</wp:posOffset>
                </wp:positionH>
                <wp:positionV relativeFrom="paragraph">
                  <wp:posOffset>263525</wp:posOffset>
                </wp:positionV>
                <wp:extent cx="629392" cy="45719"/>
                <wp:effectExtent l="0" t="0" r="0" b="0"/>
                <wp:wrapNone/>
                <wp:docPr id="34" name="Arrow: Right 34"/>
                <wp:cNvGraphicFramePr/>
                <a:graphic xmlns:a="http://schemas.openxmlformats.org/drawingml/2006/main">
                  <a:graphicData uri="http://schemas.microsoft.com/office/word/2010/wordprocessingShape">
                    <wps:wsp>
                      <wps:cNvSpPr/>
                      <wps:spPr>
                        <a:xfrm>
                          <a:off x="0" y="0"/>
                          <a:ext cx="629392" cy="45719"/>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BC5A1AA" id="Arrow: Right 34" o:spid="_x0000_s1026" type="#_x0000_t13" style="position:absolute;margin-left:251.55pt;margin-top:20.75pt;width:49.55pt;height:3.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kZowIAALEFAAAOAAAAZHJzL2Uyb0RvYy54bWysVE1v2zAMvQ/YfxB0X+2kabsYdYqgRYcB&#10;3Vq0HXpWZCk2IImapMTJfv0oyXE/Vuww7CKLFPlIPpM8v9hpRbbC+Q5MTSdHJSXCcGg6s67pj8fr&#10;T58p8YGZhikwoqZ74enF4uOH895WYgotqEY4giDGV72taRuCrYrC81Zo5o/ACoOPEpxmAUW3LhrH&#10;ekTXqpiW5WnRg2usAy68R+1VfqSLhC+l4OFWSi8CUTXF3EI6XTpX8SwW56xaO2bbjg9psH/IQrPO&#10;YNAR6ooFRjau+wNKd9yBBxmOOOgCpOy4SDVgNZPyTTUPLbMi1YLkeDvS5P8fLP++vXOka2p6PKPE&#10;MI3/aOkc9BW579ZtIKhGjnrrKzR9sHdukDxeY8E76XT8Yilkl3jdj7yKXSAclafT+fF8SgnHp9nJ&#10;2WQeIYtnX+t8+CJAk3ipqYuBUxKJUra98SE7HAxjQA+qa647pZIQ+0VcKke2DP/0aj1Jrmqjv0GT&#10;dWcnZZn+NwZO7RXNUxqvkJSJeAYicg4aNUUkIJecbmGvRLRT5l5IpA+LnKaII3IOyjgXJuRkfMsa&#10;kdUxlfdzSYARWWL8EXsAeF3kATtnOdhHV5H6fnQu/5ZYdh49UmQwYXTWnQH3HoDCqobI2f5AUqYm&#10;srSCZo/N5SBPnbf8usMffMN8uGMOxwwHEldHuMVDKuhrCsONkhbcr/f00R67H18p6XFsa+p/bpgT&#10;lKivBudiPpnN4pwnAXttioJ7+bJ6+WI2+hKwXya4pCxP12gf1OEqHegn3DDLGBWfmOEYu6Y8uINw&#10;GfI6wR3FxXKZzHC2LQs35sHyCB5Zja37uHtizg5dHnA6vsNhxFn1ps2zbfQ0sNwEkF2agWdeB75x&#10;L6QmHnZYXDwv5WT1vGkXvwEAAP//AwBQSwMEFAAGAAgAAAAhAPj8xI7eAAAACQEAAA8AAABkcnMv&#10;ZG93bnJldi54bWxMj8FOwzAMhu9IvENkJC6IJS1sTKXphJAQcKQg4Jg1pqlonNKkW9nTY05wtP3r&#10;8/eXm9n3Yodj7AJpyBYKBFITbEethpfnu/M1iJgMWdMHQg3fGGFTHR+VprBhT0+4q1MrGEKxMBpc&#10;SkMhZWwcehMXYUDi20cYvUk8jq20o9kz3PcyV2olvemIPzgz4K3D5rOePFO6+y9Hj7LOD2/12et0&#10;eKe5ftD69GS+uQaRcE5/YfjVZ3Wo2GkbJrJR9BqW6iLjqIbLbAmCAyuV5yC2vFhfgaxK+b9B9QMA&#10;AP//AwBQSwECLQAUAAYACAAAACEAtoM4kv4AAADhAQAAEwAAAAAAAAAAAAAAAAAAAAAAW0NvbnRl&#10;bnRfVHlwZXNdLnhtbFBLAQItABQABgAIAAAAIQA4/SH/1gAAAJQBAAALAAAAAAAAAAAAAAAAAC8B&#10;AABfcmVscy8ucmVsc1BLAQItABQABgAIAAAAIQDzMkkZowIAALEFAAAOAAAAAAAAAAAAAAAAAC4C&#10;AABkcnMvZTJvRG9jLnhtbFBLAQItABQABgAIAAAAIQD4/MSO3gAAAAkBAAAPAAAAAAAAAAAAAAAA&#10;AP0EAABkcnMvZG93bnJldi54bWxQSwUGAAAAAAQABADzAAAACAYAAAAA&#10;" adj="20815" fillcolor="#bfbfbf [2412]" stroked="f" strokeweight="1pt"/>
            </w:pict>
          </mc:Fallback>
        </mc:AlternateContent>
      </w:r>
      <w:r w:rsidRPr="009B546D">
        <w:rPr>
          <w:rFonts w:cstheme="minorHAnsi"/>
          <w:noProof/>
          <w:lang w:val="en-MY" w:eastAsia="zh-CN"/>
        </w:rPr>
        <mc:AlternateContent>
          <mc:Choice Requires="wps">
            <w:drawing>
              <wp:anchor distT="0" distB="0" distL="114300" distR="114300" simplePos="0" relativeHeight="251658290" behindDoc="0" locked="0" layoutInCell="1" allowOverlap="1" wp14:anchorId="5208778A" wp14:editId="53EB474E">
                <wp:simplePos x="0" y="0"/>
                <wp:positionH relativeFrom="column">
                  <wp:posOffset>1936115</wp:posOffset>
                </wp:positionH>
                <wp:positionV relativeFrom="paragraph">
                  <wp:posOffset>261620</wp:posOffset>
                </wp:positionV>
                <wp:extent cx="629393" cy="45719"/>
                <wp:effectExtent l="0" t="0" r="0" b="0"/>
                <wp:wrapNone/>
                <wp:docPr id="42" name="Arrow: Right 42"/>
                <wp:cNvGraphicFramePr/>
                <a:graphic xmlns:a="http://schemas.openxmlformats.org/drawingml/2006/main">
                  <a:graphicData uri="http://schemas.microsoft.com/office/word/2010/wordprocessingShape">
                    <wps:wsp>
                      <wps:cNvSpPr/>
                      <wps:spPr>
                        <a:xfrm>
                          <a:off x="0" y="0"/>
                          <a:ext cx="629393" cy="45719"/>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shape w14:anchorId="29CE7BC8" id="Arrow: Right 42" o:spid="_x0000_s1026" type="#_x0000_t13" style="position:absolute;margin-left:152.45pt;margin-top:20.6pt;width:49.55pt;height:3.6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o2owIAALEFAAAOAAAAZHJzL2Uyb0RvYy54bWysVE1v2zAMvQ/YfxB0X+2kabsYdYqgRYcB&#10;3Vq0HXpWZCk2IImapMTJfv0oyXE/Vuww7CKLFPlIPpM8v9hpRbbC+Q5MTSdHJSXCcGg6s67pj8fr&#10;T58p8YGZhikwoqZ74enF4uOH895WYgotqEY4giDGV72taRuCrYrC81Zo5o/ACoOPEpxmAUW3LhrH&#10;ekTXqpiW5WnRg2usAy68R+1VfqSLhC+l4OFWSi8CUTXF3EI6XTpX8SwW56xaO2bbjg9psH/IQrPO&#10;YNAR6ooFRjau+wNKd9yBBxmOOOgCpOy4SDVgNZPyTTUPLbMi1YLkeDvS5P8fLP++vXOka2o6m1Ji&#10;mMZ/tHQO+orcd+s2EFQjR731FZo+2Ds3SB6vseCddDp+sRSyS7zuR17FLhCOytPp/Hh+TAnHp9nJ&#10;2WQeIYtnX+t8+CJAk3ipqYuBUxKJUra98SE7HAxjQA+qa647pZIQ+0VcKke2DP/0aj1Jrmqjv0GT&#10;dWcnZZn+NwZO7RXNUxqvkJSJeAYicg4aNUUkIJecbmGvRLRT5l5IpA+LnKaII3IOyjgXJuRkfMsa&#10;kdUxlfdzSYARWWL8EXsAeF3kATtnOdhHV5H6fnQu/5ZYdh49UmQwYXTWnQH3HoDCqobI2f5AUqYm&#10;srSCZo/N5SBPnbf8usMffMN8uGMOxwwHEldHuMVDKuhrCsONkhbcr/f00R67H18p6XFsa+p/bpgT&#10;lKivBudiPpnN4pwnAXttioJ7+bJ6+WI2+hKwXya4pCxP12gf1OEqHegn3DDLGBWfmOEYu6Y8uINw&#10;GfI6wR3FxXKZzHC2LQs35sHyCB5Zja37uHtizg5dHnA6vsNhxFn1ps2zbfQ0sNwEkF2agWdeB75x&#10;L6QmHnZYXDwv5WT1vGkXvwEAAP//AwBQSwMEFAAGAAgAAAAhAMyKECveAAAACQEAAA8AAABkcnMv&#10;ZG93bnJldi54bWxMj8FOwzAMhu9IvENkJC6IJSsRGqXphJAQcCQgtmPWhKaicUqTbmVPjznBzZZ/&#10;ff7+aj2Hnu3dmLqICpYLAcxhE22HrYK314fLFbCUDVrTR3QKvl2CdX16UpnSxgO+uL3OLSMIptIo&#10;8DkPJeep8S6YtIiDQ7p9xDGYTOvYcjuaA8FDzwshrnkwHdIHbwZ3713zqadAlO7xy+Mz18Vxoy/e&#10;p+MWZ/2k1PnZfHcLLLs5/4XhV5/UoSanXZzQJtYruBLyhqIK5LIARgEpJJXb0bCSwOuK/29Q/wAA&#10;AP//AwBQSwECLQAUAAYACAAAACEAtoM4kv4AAADhAQAAEwAAAAAAAAAAAAAAAAAAAAAAW0NvbnRl&#10;bnRfVHlwZXNdLnhtbFBLAQItABQABgAIAAAAIQA4/SH/1gAAAJQBAAALAAAAAAAAAAAAAAAAAC8B&#10;AABfcmVscy8ucmVsc1BLAQItABQABgAIAAAAIQDLRXo2owIAALEFAAAOAAAAAAAAAAAAAAAAAC4C&#10;AABkcnMvZTJvRG9jLnhtbFBLAQItABQABgAIAAAAIQDMihAr3gAAAAkBAAAPAAAAAAAAAAAAAAAA&#10;AP0EAABkcnMvZG93bnJldi54bWxQSwUGAAAAAAQABADzAAAACAYAAAAA&#10;" adj="20815" fillcolor="#bfbfbf [2412]" stroked="f" strokeweight="1pt"/>
            </w:pict>
          </mc:Fallback>
        </mc:AlternateContent>
      </w:r>
      <w:r w:rsidRPr="009B546D">
        <w:rPr>
          <w:rFonts w:cstheme="minorHAnsi"/>
          <w:noProof/>
          <w:lang w:val="en-MY" w:eastAsia="zh-CN"/>
        </w:rPr>
        <mc:AlternateContent>
          <mc:Choice Requires="wps">
            <w:drawing>
              <wp:anchor distT="0" distB="0" distL="114300" distR="114300" simplePos="0" relativeHeight="251658287" behindDoc="0" locked="0" layoutInCell="1" allowOverlap="1" wp14:anchorId="6440813A" wp14:editId="041B655D">
                <wp:simplePos x="0" y="0"/>
                <wp:positionH relativeFrom="column">
                  <wp:posOffset>676910</wp:posOffset>
                </wp:positionH>
                <wp:positionV relativeFrom="paragraph">
                  <wp:posOffset>261620</wp:posOffset>
                </wp:positionV>
                <wp:extent cx="629392" cy="45719"/>
                <wp:effectExtent l="0" t="0" r="0" b="0"/>
                <wp:wrapNone/>
                <wp:docPr id="44" name="Arrow: Right 44"/>
                <wp:cNvGraphicFramePr/>
                <a:graphic xmlns:a="http://schemas.openxmlformats.org/drawingml/2006/main">
                  <a:graphicData uri="http://schemas.microsoft.com/office/word/2010/wordprocessingShape">
                    <wps:wsp>
                      <wps:cNvSpPr/>
                      <wps:spPr>
                        <a:xfrm>
                          <a:off x="0" y="0"/>
                          <a:ext cx="629392" cy="45719"/>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shape w14:anchorId="3C2D2D28" id="Arrow: Right 44" o:spid="_x0000_s1026" type="#_x0000_t13" style="position:absolute;margin-left:53.3pt;margin-top:20.6pt;width:49.55pt;height:3.6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h2owIAALEFAAAOAAAAZHJzL2Uyb0RvYy54bWysVE1v2zAMvQ/YfxB0X+1kabsYdYqgRYcB&#10;XVu0HXpWZDkWIImapMTJfv0oyXE/Vuww7CKLFPlIPpM8O99pRbbCeQmmppOjkhJhODTSrGv64/Hq&#10;0xdKfGCmYQqMqOleeHq++PjhrLeVmEIHqhGOIIjxVW9r2oVgq6LwvBOa+SOwwuBjC06zgKJbF41j&#10;PaJrVUzL8qTowTXWARfeo/YyP9JFwm9bwcNt23oRiKop5hbS6dK5imexOGPV2jHbST6kwf4hC82k&#10;waAj1CULjGyc/ANKS+7AQxuOOOgC2lZykWrAaiblm2oeOmZFqgXJ8Xakyf8/WH6zvXNENjWdzSgx&#10;TOM/WjoHfUXu5boLBNXIUW99haYP9s4NksdrLHjXOh2/WArZJV73I69iFwhH5cl0/nk+pYTj0+z4&#10;dDKPkMWzr3U+fBWgSbzU1MXAKYlEKdte+5AdDoYxoAclmyupVBJiv4gL5ciW4Z9erSfJVW30d2iy&#10;7vS4LNP/xsCpvaJ5SuMVkjIRz0BEzkGjpogE5JLTLeyViHbK3IsW6cMipyniiJyDMs6FCTkZ37FG&#10;ZHVM5f1cEmBEbjH+iD0AvC7ygJ2zHOyjq0h9PzqXf0ssO48eKTKYMDpracC9B6CwqiFytj+QlKmJ&#10;LK2g2WNzOchT5y2/kviDr5kPd8zhmOFA4uoIt3i0CvqawnCjpAP36z19tMfux1dKehzbmvqfG+YE&#10;JeqbwbmYT2azOOdJwF6bouBevqxevpiNvgDslwkuKcvTNdoHdbi2DvQTbphljIpPzHCMXVMe3EG4&#10;CHmd4I7iYrlMZjjbloVr82B5BI+sxtZ93D0xZ4cuDzgdN3AYcVa9afNsGz0NLDcBWplm4JnXgW/c&#10;C6mJhx0WF89LOVk9b9rFbwAAAP//AwBQSwMEFAAGAAgAAAAhAAtXdWPdAAAACQEAAA8AAABkcnMv&#10;ZG93bnJldi54bWxMj8FOwzAMhu9IvENkJC6IJatGmUrTCSEh4EhBwDFrTFPROKVJt7KnxzvB8bd/&#10;ff5cbmbfix2OsQukYblQIJCaYDtqNby+3F+uQcRkyJo+EGr4wQib6vSkNIUNe3rGXZ1awRCKhdHg&#10;UhoKKWPj0Ju4CAMS7z7D6E3iOLbSjmbPcN/LTKlcetMRX3BmwDuHzVc9eaZ0D9+OnmSdHd7ri7fp&#10;8EFz/aj1+dl8ewMi4Zz+ynDUZ3Wo2GkbJrJR9JxVnnNVw2qZgeBCpq6uQWx5sF6BrEr5/4PqFwAA&#10;//8DAFBLAQItABQABgAIAAAAIQC2gziS/gAAAOEBAAATAAAAAAAAAAAAAAAAAAAAAABbQ29udGVu&#10;dF9UeXBlc10ueG1sUEsBAi0AFAAGAAgAAAAhADj9If/WAAAAlAEAAAsAAAAAAAAAAAAAAAAALwEA&#10;AF9yZWxzLy5yZWxzUEsBAi0AFAAGAAgAAAAhAKJ2SHajAgAAsQUAAA4AAAAAAAAAAAAAAAAALgIA&#10;AGRycy9lMm9Eb2MueG1sUEsBAi0AFAAGAAgAAAAhAAtXdWPdAAAACQEAAA8AAAAAAAAAAAAAAAAA&#10;/QQAAGRycy9kb3ducmV2LnhtbFBLBQYAAAAABAAEAPMAAAAHBgAAAAA=&#10;" adj="20815" fillcolor="#bfbfbf [2412]" stroked="f" strokeweight="1pt"/>
            </w:pict>
          </mc:Fallback>
        </mc:AlternateContent>
      </w:r>
      <w:r w:rsidR="00FA06E6" w:rsidRPr="009B546D">
        <w:rPr>
          <w:rFonts w:cstheme="minorHAnsi"/>
          <w:noProof/>
          <w:lang w:val="en-MY" w:eastAsia="zh-CN"/>
        </w:rPr>
        <mc:AlternateContent>
          <mc:Choice Requires="wps">
            <w:drawing>
              <wp:anchor distT="0" distB="0" distL="114300" distR="114300" simplePos="0" relativeHeight="251658284" behindDoc="0" locked="0" layoutInCell="1" allowOverlap="1" wp14:anchorId="31F32163" wp14:editId="263398B0">
                <wp:simplePos x="0" y="0"/>
                <wp:positionH relativeFrom="column">
                  <wp:posOffset>5079365</wp:posOffset>
                </wp:positionH>
                <wp:positionV relativeFrom="paragraph">
                  <wp:posOffset>62865</wp:posOffset>
                </wp:positionV>
                <wp:extent cx="624899" cy="457200"/>
                <wp:effectExtent l="0" t="0" r="3810" b="0"/>
                <wp:wrapNone/>
                <wp:docPr id="2" name="Rectangle 2"/>
                <wp:cNvGraphicFramePr/>
                <a:graphic xmlns:a="http://schemas.openxmlformats.org/drawingml/2006/main">
                  <a:graphicData uri="http://schemas.microsoft.com/office/word/2010/wordprocessingShape">
                    <wps:wsp>
                      <wps:cNvSpPr/>
                      <wps:spPr>
                        <a:xfrm>
                          <a:off x="0" y="0"/>
                          <a:ext cx="624899" cy="4572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55B46C" w14:textId="77777777" w:rsidR="00682BB9" w:rsidRPr="00E04D68" w:rsidRDefault="00682BB9" w:rsidP="00FA06E6">
                            <w:pPr>
                              <w:jc w:val="center"/>
                              <w:rPr>
                                <w:sz w:val="14"/>
                                <w:szCs w:val="14"/>
                              </w:rPr>
                            </w:pPr>
                            <w:r>
                              <w:rPr>
                                <w:sz w:val="14"/>
                                <w:szCs w:val="14"/>
                              </w:rPr>
                              <w:t xml:space="preserve">Goal actions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32163" id="Rectangle 2" o:spid="_x0000_s1026" style="position:absolute;left:0;text-align:left;margin-left:399.95pt;margin-top:4.95pt;width:49.2pt;height:36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RMblgIAAI8FAAAOAAAAZHJzL2Uyb0RvYy54bWysVMFu2zAMvQ/YPwi6r06CtGuDOkWQosOA&#10;oi3aDj0rshwbkEWNUmJnXz9Kst20K3YYloNCieQj+Uzy8qprNNsrdDWYnE9PJpwpI6GozTbnP55v&#10;vpxz5rwwhdBgVM4PyvGr5edPl61dqBlUoAuFjECMW7Q255X3dpFlTlaqEe4ErDKkLAEb4emK26xA&#10;0RJ6o7PZZHKWtYCFRZDKOXq9Tkq+jPhlqaS/L0unPNM5p9x8PDGem3Bmy0ux2KKwVS37NMQ/ZNGI&#10;2lDQEepaeMF2WP8B1dQSwUHpTyQ0GZRlLVWsgaqZTt5V81QJq2ItRI6zI03u/8HKu/0DsrrI+Ywz&#10;Ixr6RI9EmjBbrdgs0NNatyCrJ/uA/c2RGGrtSmzCP1XBukjpYaRUdZ5Jejybzc8vLjiTpJqffqVP&#10;FjCzV2eLzn9T0LAg5BwpeCRS7G+dT6aDSYjlQNfFTa11vOB2s9bI9oK+7noSfj36GzNtgrGB4JYQ&#10;w0sWCkulRMkftAp22jyqkhih5Gcxk9iLaowjpFTGT5OqEoVK4U+Po4fuDR6x0ggYkEuKP2L3AINl&#10;AhmwU5a9fXBVsZVH58nfEkvOo0eMDMaPzk1tAD8C0FRVHznZDyQlagJLvtt0ZBLEDRQHah2ENFPO&#10;ypuaPuGtcP5BIA0RjRstBn9PR6mhzTn0EmcV4K+P3oM99TZpOWtpKHPufu4EKs70d0NdfzGdz8MU&#10;x0tsJ87wWLM51phdswbqjCmtICujSM7o9SCWCM0L7Y9ViEoqYSTFzrn0OFzWPi0L2kBSrVbRjCbX&#10;Cn9rnqwM4IHg0KLP3YtA2/expwG4g2GAxeJdOyfb4GlgtfNQ1rHXX3ntqaepjz3Ub6iwVo7v0ep1&#10;jy5/AwAA//8DAFBLAwQUAAYACAAAACEAfYFpk90AAAAIAQAADwAAAGRycy9kb3ducmV2LnhtbEyP&#10;QUvDQBCF74L/YRnBi9hNFTQbsylRFAShYOyhx212TEJ3Z0N228Z/7/Skp5nhPd58r1zN3okjTnEI&#10;pGG5yEAgtcEO1GnYfL3d5iBiMmSNC4QafjDCqrq8KE1hw4k+8dikTnAIxcJo6FMaCylj26M3cRFG&#10;JNa+w+RN4nPqpJ3MicO9k3dZ9iC9GYg/9GbElx7bfXPwGpzNn8Orezf1vm62dv2RbqxLWl9fzfUT&#10;iIRz+jPDGZ/RoWKmXTiQjcJpeFRKsVXDebCeq/wexI6XpQJZlfJ/geoXAAD//wMAUEsBAi0AFAAG&#10;AAgAAAAhALaDOJL+AAAA4QEAABMAAAAAAAAAAAAAAAAAAAAAAFtDb250ZW50X1R5cGVzXS54bWxQ&#10;SwECLQAUAAYACAAAACEAOP0h/9YAAACUAQAACwAAAAAAAAAAAAAAAAAvAQAAX3JlbHMvLnJlbHNQ&#10;SwECLQAUAAYACAAAACEAQ7kTG5YCAACPBQAADgAAAAAAAAAAAAAAAAAuAgAAZHJzL2Uyb0RvYy54&#10;bWxQSwECLQAUAAYACAAAACEAfYFpk90AAAAIAQAADwAAAAAAAAAAAAAAAADwBAAAZHJzL2Rvd25y&#10;ZXYueG1sUEsFBgAAAAAEAAQA8wAAAPoFAAAAAA==&#10;" fillcolor="#c00000" stroked="f" strokeweight="1pt">
                <v:textbox>
                  <w:txbxContent>
                    <w:p w14:paraId="3355B46C" w14:textId="77777777" w:rsidR="00682BB9" w:rsidRPr="00E04D68" w:rsidRDefault="00682BB9" w:rsidP="00FA06E6">
                      <w:pPr>
                        <w:jc w:val="center"/>
                        <w:rPr>
                          <w:sz w:val="14"/>
                          <w:szCs w:val="14"/>
                        </w:rPr>
                      </w:pPr>
                      <w:r>
                        <w:rPr>
                          <w:sz w:val="14"/>
                          <w:szCs w:val="14"/>
                        </w:rPr>
                        <w:t xml:space="preserve">Goal actions </w:t>
                      </w:r>
                    </w:p>
                  </w:txbxContent>
                </v:textbox>
              </v:rect>
            </w:pict>
          </mc:Fallback>
        </mc:AlternateContent>
      </w:r>
      <w:r w:rsidR="00FA06E6" w:rsidRPr="009B546D">
        <w:rPr>
          <w:rFonts w:cstheme="minorHAnsi"/>
          <w:noProof/>
          <w:lang w:val="en-MY" w:eastAsia="zh-CN"/>
        </w:rPr>
        <mc:AlternateContent>
          <mc:Choice Requires="wps">
            <w:drawing>
              <wp:anchor distT="0" distB="0" distL="114300" distR="114300" simplePos="0" relativeHeight="251658281" behindDoc="0" locked="0" layoutInCell="1" allowOverlap="1" wp14:anchorId="3D15BCA4" wp14:editId="2C16AF51">
                <wp:simplePos x="0" y="0"/>
                <wp:positionH relativeFrom="column">
                  <wp:posOffset>3826510</wp:posOffset>
                </wp:positionH>
                <wp:positionV relativeFrom="paragraph">
                  <wp:posOffset>60325</wp:posOffset>
                </wp:positionV>
                <wp:extent cx="624899" cy="457200"/>
                <wp:effectExtent l="0" t="0" r="3810" b="0"/>
                <wp:wrapNone/>
                <wp:docPr id="45" name="Rectangle 45"/>
                <wp:cNvGraphicFramePr/>
                <a:graphic xmlns:a="http://schemas.openxmlformats.org/drawingml/2006/main">
                  <a:graphicData uri="http://schemas.microsoft.com/office/word/2010/wordprocessingShape">
                    <wps:wsp>
                      <wps:cNvSpPr/>
                      <wps:spPr>
                        <a:xfrm>
                          <a:off x="0" y="0"/>
                          <a:ext cx="624899" cy="4572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D33F2" w14:textId="77777777" w:rsidR="00682BB9" w:rsidRPr="00E04D68" w:rsidRDefault="00682BB9" w:rsidP="00FA06E6">
                            <w:pPr>
                              <w:jc w:val="center"/>
                              <w:rPr>
                                <w:sz w:val="14"/>
                                <w:szCs w:val="14"/>
                              </w:rPr>
                            </w:pPr>
                            <w:r>
                              <w:rPr>
                                <w:sz w:val="14"/>
                                <w:szCs w:val="14"/>
                              </w:rPr>
                              <w:t>Process based on patterns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5BCA4" id="Rectangle 45" o:spid="_x0000_s1027" style="position:absolute;left:0;text-align:left;margin-left:301.3pt;margin-top:4.75pt;width:49.2pt;height:36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94kmgIAAJgFAAAOAAAAZHJzL2Uyb0RvYy54bWysVE1PGzEQvVfqf7B8L5tEgULEBkVBVJUQ&#10;IKDi7Hjt7Epejzt2spv++o69HwSKeqiaw8b2vHnjGb+Zy6u2Nmyv0Fdgcz49mXCmrISistuc/3i+&#10;+XLOmQ/CFsKAVTk/KM+vlp8/XTZuoWZQgikUMiKxftG4nJchuEWWeVmqWvgTcMqSUQPWItAWt1mB&#10;oiH22mSzyeQsawALhyCV93R63Rn5MvFrrWS419qrwEzO6W4hfTF9N/GbLS/FYovClZXsryH+4Ra1&#10;qCwFHamuRRBsh9UfVHUlETzocCKhzkDrSqqUA2UznbzL5qkUTqVcqDjejWXy/49W3u0fkFVFzuen&#10;nFlR0xs9UtWE3RrF6IwK1Di/INyTe8B+52kZs2011vGf8mBtKuphLKpqA5N0eDabn19ccCbJND/9&#10;So8WObNXZ4c+fFNQs7jIOVL0VEqxv/Whgw6QGMuDqYqbypi0we1mbZDtBb3vehJ/PfsbmLERbCG6&#10;dYzxJIuJdamkVTgYFXHGPipNNaHLz9JNkhrVGEdIqWyYdqZSFKoLf3ocPeo3eqRME2Fk1hR/5O4J&#10;BmRHMnB3t+zx0VUlMY/Ok79drHMePVJksGF0risL+BGBoaz6yB1+KFJXmlil0G7apJeEjCcbKA6k&#10;IYSuubyTNxW95K3w4UEgdRP1HU2IcE8fbaDJOfQrzkrAXx+dRzyJnKycNdSdOfc/dwIVZ+a7Jflf&#10;TOfz2M5pk1TFGR5bNscWu6vXQAKZ0ixyMi3JGYMZlhqhfqFBsopRySSspNg5lwGHzTp0U4NGkVSr&#10;VYJRCzsRbu2Tk5E81jkq9bl9Eeh6OQfqgzsYOlks3qm6w0ZPC6tdAF0lyb/WtX8Bav8kpX5Uxfly&#10;vE+o14G6/A0AAP//AwBQSwMEFAAGAAgAAAAhAB7/pqvdAAAACAEAAA8AAABkcnMvZG93bnJldi54&#10;bWxMj0FLxDAUhO+C/yE8wYu4SRe21trXpYqCIAhWDx6zTWzLJi+lye7Wf+/zpMdhhplvqu3inTja&#10;OY6BELKVAmGpC2akHuHj/em6ABGTJqNdIIvwbSNs6/OzSpcmnOjNHtvUCy6hWGqEIaWplDJ2g/U6&#10;rsJkib2vMHudWM69NLM+cbl3cq1ULr0eiRcGPdmHwXb79uARnCnuw6N71s2+aT/N60u6Mi4hXl4s&#10;zR2IZJf0F4ZffEaHmpl24UAmCoeQq3XOUYTbDQj2b1TG33YIRbYBWVfy/4H6BwAA//8DAFBLAQIt&#10;ABQABgAIAAAAIQC2gziS/gAAAOEBAAATAAAAAAAAAAAAAAAAAAAAAABbQ29udGVudF9UeXBlc10u&#10;eG1sUEsBAi0AFAAGAAgAAAAhADj9If/WAAAAlAEAAAsAAAAAAAAAAAAAAAAALwEAAF9yZWxzLy5y&#10;ZWxzUEsBAi0AFAAGAAgAAAAhAFSf3iSaAgAAmAUAAA4AAAAAAAAAAAAAAAAALgIAAGRycy9lMm9E&#10;b2MueG1sUEsBAi0AFAAGAAgAAAAhAB7/pqvdAAAACAEAAA8AAAAAAAAAAAAAAAAA9AQAAGRycy9k&#10;b3ducmV2LnhtbFBLBQYAAAAABAAEAPMAAAD+BQAAAAA=&#10;" fillcolor="#c00000" stroked="f" strokeweight="1pt">
                <v:textbox>
                  <w:txbxContent>
                    <w:p w14:paraId="1FED33F2" w14:textId="77777777" w:rsidR="00682BB9" w:rsidRPr="00E04D68" w:rsidRDefault="00682BB9" w:rsidP="00FA06E6">
                      <w:pPr>
                        <w:jc w:val="center"/>
                        <w:rPr>
                          <w:sz w:val="14"/>
                          <w:szCs w:val="14"/>
                        </w:rPr>
                      </w:pPr>
                      <w:r>
                        <w:rPr>
                          <w:sz w:val="14"/>
                          <w:szCs w:val="14"/>
                        </w:rPr>
                        <w:t>Process based on patterns</w:t>
                      </w:r>
                    </w:p>
                  </w:txbxContent>
                </v:textbox>
              </v:rect>
            </w:pict>
          </mc:Fallback>
        </mc:AlternateContent>
      </w:r>
      <w:r w:rsidR="00FA06E6" w:rsidRPr="009B546D">
        <w:rPr>
          <w:rFonts w:cstheme="minorHAnsi"/>
          <w:noProof/>
          <w:lang w:val="en-MY" w:eastAsia="zh-CN"/>
        </w:rPr>
        <mc:AlternateContent>
          <mc:Choice Requires="wps">
            <w:drawing>
              <wp:anchor distT="0" distB="0" distL="114300" distR="114300" simplePos="0" relativeHeight="251658278" behindDoc="0" locked="0" layoutInCell="1" allowOverlap="1" wp14:anchorId="4919AE10" wp14:editId="0D98D16C">
                <wp:simplePos x="0" y="0"/>
                <wp:positionH relativeFrom="column">
                  <wp:posOffset>1302385</wp:posOffset>
                </wp:positionH>
                <wp:positionV relativeFrom="paragraph">
                  <wp:posOffset>65405</wp:posOffset>
                </wp:positionV>
                <wp:extent cx="624899" cy="457200"/>
                <wp:effectExtent l="0" t="0" r="3810" b="0"/>
                <wp:wrapNone/>
                <wp:docPr id="46" name="Rectangle 46"/>
                <wp:cNvGraphicFramePr/>
                <a:graphic xmlns:a="http://schemas.openxmlformats.org/drawingml/2006/main">
                  <a:graphicData uri="http://schemas.microsoft.com/office/word/2010/wordprocessingShape">
                    <wps:wsp>
                      <wps:cNvSpPr/>
                      <wps:spPr>
                        <a:xfrm>
                          <a:off x="0" y="0"/>
                          <a:ext cx="624899" cy="4572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650922" w14:textId="77777777" w:rsidR="00682BB9" w:rsidRPr="00E04D68" w:rsidRDefault="00682BB9" w:rsidP="00FA06E6">
                            <w:pPr>
                              <w:jc w:val="center"/>
                              <w:rPr>
                                <w:sz w:val="14"/>
                                <w:szCs w:val="14"/>
                              </w:rPr>
                            </w:pPr>
                            <w:r>
                              <w:rPr>
                                <w:sz w:val="14"/>
                                <w:szCs w:val="14"/>
                              </w:rPr>
                              <w:t>Identify patterns &amp; trends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9AE10" id="Rectangle 46" o:spid="_x0000_s1028" style="position:absolute;left:0;text-align:left;margin-left:102.55pt;margin-top:5.15pt;width:49.2pt;height:36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7X0mwIAAJgFAAAOAAAAZHJzL2Uyb0RvYy54bWysVE1PGzEQvVfqf7B8L5tEgULEBkVBVJUQ&#10;IKDi7Hjt7Epejzt2spv++o69HwSKeqiaw8b2vHnjGb+Zy6u2Nmyv0Fdgcz49mXCmrISistuc/3i+&#10;+XLOmQ/CFsKAVTk/KM+vlp8/XTZuoWZQgikUMiKxftG4nJchuEWWeVmqWvgTcMqSUQPWItAWt1mB&#10;oiH22mSzyeQsawALhyCV93R63Rn5MvFrrWS419qrwEzO6W4hfTF9N/GbLS/FYovClZXsryH+4Ra1&#10;qCwFHamuRRBsh9UfVHUlETzocCKhzkDrSqqUA2UznbzL5qkUTqVcqDjejWXy/49W3u0fkFVFzudn&#10;nFlR0xs9UtWE3RrF6IwK1Di/INyTe8B+52kZs2011vGf8mBtKuphLKpqA5N0eDabn19ccCbJND/9&#10;So8WObNXZ4c+fFNQs7jIOVL0VEqxv/Whgw6QGMuDqYqbypi0we1mbZDtBb3vehJ/PfsbmLERbCG6&#10;dYzxJIuJdamkVTgYFXHGPipNNaHLz9JNkhrVGEdIqWyYdqZSFKoLf3ocPeo3eqRME2Fk1hR/5O4J&#10;BmRHMnB3t+zx0VUlMY/Ok79drHMePVJksGF0risL+BGBoaz6yB1+KFJXmlil0G7apJdZRMaTDRQH&#10;0hBC11zeyZuKXvJW+PAgkLqJ+o4mRLinjzbQ5Bz6FWcl4K+PziOeRE5Wzhrqzpz7nzuBijPz3ZL8&#10;L6bzeWzntEmq4gyPLZtji93VayCBTGkWOZmW5IzBDEuNUL/QIFnFqGQSVlLsnMuAw2YduqlBo0iq&#10;1SrBqIWdCLf2yclIHusclfrcvgh0vZwD9cEdDJ0sFu9U3WGjp4XVLoCukuRf69q/ALV/klI/quJ8&#10;Od4n1OtAXf4GAAD//wMAUEsDBBQABgAIAAAAIQCcBJw53gAAAAkBAAAPAAAAZHJzL2Rvd25yZXYu&#10;eG1sTI9BS8QwEIXvgv8hjOBF3GRbVkptulRREARhqwePs01syyaT0mR36793POlxeB/vfVNtF+/E&#10;yc5xDKRhvVIgLHXBjNRr+Hh/vi1AxIRk0AWyGr5thG19eVFhacKZdvbUpl5wCcUSNQwpTaWUsRus&#10;x7gKkyXOvsLsMfE599LMeOZy72Sm1J30OBIvDDjZx8F2h/boNThTPIQn94LNoWk/zdtrujEuaX19&#10;tTT3IJJd0h8Mv/qsDjU77cORTBROQ6Y2a0Y5UDkIBnKVb0DsNRRZDrKu5P8P6h8AAAD//wMAUEsB&#10;Ai0AFAAGAAgAAAAhALaDOJL+AAAA4QEAABMAAAAAAAAAAAAAAAAAAAAAAFtDb250ZW50X1R5cGVz&#10;XS54bWxQSwECLQAUAAYACAAAACEAOP0h/9YAAACUAQAACwAAAAAAAAAAAAAAAAAvAQAAX3JlbHMv&#10;LnJlbHNQSwECLQAUAAYACAAAACEAwD+19JsCAACYBQAADgAAAAAAAAAAAAAAAAAuAgAAZHJzL2Uy&#10;b0RvYy54bWxQSwECLQAUAAYACAAAACEAnAScOd4AAAAJAQAADwAAAAAAAAAAAAAAAAD1BAAAZHJz&#10;L2Rvd25yZXYueG1sUEsFBgAAAAAEAAQA8wAAAAAGAAAAAA==&#10;" fillcolor="#c00000" stroked="f" strokeweight="1pt">
                <v:textbox>
                  <w:txbxContent>
                    <w:p w14:paraId="7E650922" w14:textId="77777777" w:rsidR="00682BB9" w:rsidRPr="00E04D68" w:rsidRDefault="00682BB9" w:rsidP="00FA06E6">
                      <w:pPr>
                        <w:jc w:val="center"/>
                        <w:rPr>
                          <w:sz w:val="14"/>
                          <w:szCs w:val="14"/>
                        </w:rPr>
                      </w:pPr>
                      <w:r>
                        <w:rPr>
                          <w:sz w:val="14"/>
                          <w:szCs w:val="14"/>
                        </w:rPr>
                        <w:t>Identify patterns &amp; trends</w:t>
                      </w:r>
                    </w:p>
                  </w:txbxContent>
                </v:textbox>
              </v:rect>
            </w:pict>
          </mc:Fallback>
        </mc:AlternateContent>
      </w:r>
      <w:r w:rsidR="00FA06E6" w:rsidRPr="009B546D">
        <w:rPr>
          <w:rFonts w:cstheme="minorHAnsi"/>
          <w:noProof/>
          <w:lang w:val="en-MY" w:eastAsia="zh-CN"/>
        </w:rPr>
        <mc:AlternateContent>
          <mc:Choice Requires="wps">
            <w:drawing>
              <wp:anchor distT="0" distB="0" distL="114300" distR="114300" simplePos="0" relativeHeight="251658277" behindDoc="0" locked="0" layoutInCell="1" allowOverlap="1" wp14:anchorId="619D82D6" wp14:editId="33E259B9">
                <wp:simplePos x="0" y="0"/>
                <wp:positionH relativeFrom="column">
                  <wp:posOffset>31115</wp:posOffset>
                </wp:positionH>
                <wp:positionV relativeFrom="paragraph">
                  <wp:posOffset>55245</wp:posOffset>
                </wp:positionV>
                <wp:extent cx="624899" cy="457200"/>
                <wp:effectExtent l="0" t="0" r="3810" b="0"/>
                <wp:wrapNone/>
                <wp:docPr id="47" name="Rectangle 47"/>
                <wp:cNvGraphicFramePr/>
                <a:graphic xmlns:a="http://schemas.openxmlformats.org/drawingml/2006/main">
                  <a:graphicData uri="http://schemas.microsoft.com/office/word/2010/wordprocessingShape">
                    <wps:wsp>
                      <wps:cNvSpPr/>
                      <wps:spPr>
                        <a:xfrm>
                          <a:off x="0" y="0"/>
                          <a:ext cx="624899" cy="4572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0A24AA" w14:textId="77777777" w:rsidR="00682BB9" w:rsidRPr="00E04D68" w:rsidRDefault="00682BB9" w:rsidP="00FA06E6">
                            <w:pPr>
                              <w:jc w:val="center"/>
                              <w:rPr>
                                <w:sz w:val="14"/>
                                <w:szCs w:val="14"/>
                              </w:rPr>
                            </w:pPr>
                            <w:r w:rsidRPr="00E04D68">
                              <w:rPr>
                                <w:sz w:val="14"/>
                                <w:szCs w:val="14"/>
                              </w:rPr>
                              <w:t>Collect user dat</w:t>
                            </w:r>
                            <w:r>
                              <w:rPr>
                                <w:sz w:val="14"/>
                                <w:szCs w:val="1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D82D6" id="Rectangle 47" o:spid="_x0000_s1029" style="position:absolute;left:0;text-align:left;margin-left:2.45pt;margin-top:4.35pt;width:49.2pt;height:36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wNnAIAAJgFAAAOAAAAZHJzL2Uyb0RvYy54bWysVMFu2zAMvQ/YPwi6r06ytGuDOkWQosOA&#10;oi3aDj0rshwbkEWNUmJnXz9Kst2sK3YYloMjiY+PIvXIy6uu0Wyv0NVgcj49mXCmjISiNtucf3++&#10;+XTOmfPCFEKDUTk/KMevlh8/XLZ2oWZQgS4UMiIxbtHanFfe20WWOVmpRrgTsMqQsQRshKctbrMC&#10;RUvsjc5mk8lZ1gIWFkEq5+j0Ohn5MvKXpZL+viyd8kznnO7m4xfjdxO+2fJSLLYobFXL/hriH27R&#10;iNpQ0JHqWnjBdlj/QdXUEsFB6U8kNBmUZS1VzIGymU7eZPNUCatiLlQcZ8cyuf9HK+/2D8jqIufz&#10;L5wZ0dAbPVLVhNlqxeiMCtRatyDck33AfudoGbLtSmzCP+XBuljUw1hU1Xkm6fBsNj+/uOBMkml+&#10;+oUeLXBmr84Wnf+qoGFhkXOk6LGUYn/rfIIOkBDLga6Lm1rruMHtZq2R7QW973oSfj37bzBtAthA&#10;cEuM4SQLiaVU4softAo4bR5VSTWhy8/iTaIa1RhHSKmMnyZTJQqVwp8eRw/6DR4x00gYmEuKP3L3&#10;BAMykQzc6ZY9PriqKObRefK3iyXn0SNGBuNH56Y2gO8RaMqqj5zwQ5FSaUKVfLfpol4+B2Q42UBx&#10;IA0hpOZyVt7U9JK3wvkHgdRN1Hc0Ifw9fUoNbc6hX3FWAf587zzgSeRk5ayl7sy5+7ETqDjT3wzJ&#10;/2I6n4d2jpuoKs7w2LI5tphdswYSyJRmkZVxSc7o9bAsEZoXGiSrEJVMwkiKnXPpcdisfZoaNIqk&#10;Wq0ijFrYCn9rnqwM5KHOQanP3YtA28vZUx/cwdDJYvFG1QkbPA2sdh7KOkr+ta79C1D7Ryn1oyrM&#10;l+N9RL0O1OUvAAAA//8DAFBLAwQUAAYACAAAACEA4YhS+9sAAAAGAQAADwAAAGRycy9kb3ducmV2&#10;LnhtbEyOUUvDMBSF34X9h3AFX8Qlc7LV2nRUURAEYdUHH++aa1uW3JQm2+q/N3vSx8M5fOcrNpOz&#10;4khj6D1rWMwVCOLGm55bDZ8fLzcZiBCRDVrPpOGHAmzK2UWBufEn3tKxjq1IEA45auhiHHIpQ9OR&#10;wzD3A3Hqvv3oMKY4ttKMeEpwZ+WtUivpsOf00OFATx01+/rgNFiTPfpn+4rVvqq/zPtbvDY2an11&#10;OVUPICJN8W8MZ/2kDmVy2vkDmyCshrv7NNSQrUGcW7VcgtilrNYgy0L+1y9/AQAA//8DAFBLAQIt&#10;ABQABgAIAAAAIQC2gziS/gAAAOEBAAATAAAAAAAAAAAAAAAAAAAAAABbQ29udGVudF9UeXBlc10u&#10;eG1sUEsBAi0AFAAGAAgAAAAhADj9If/WAAAAlAEAAAsAAAAAAAAAAAAAAAAALwEAAF9yZWxzLy5y&#10;ZWxzUEsBAi0AFAAGAAgAAAAhAHOivA2cAgAAmAUAAA4AAAAAAAAAAAAAAAAALgIAAGRycy9lMm9E&#10;b2MueG1sUEsBAi0AFAAGAAgAAAAhAOGIUvvbAAAABgEAAA8AAAAAAAAAAAAAAAAA9gQAAGRycy9k&#10;b3ducmV2LnhtbFBLBQYAAAAABAAEAPMAAAD+BQAAAAA=&#10;" fillcolor="#c00000" stroked="f" strokeweight="1pt">
                <v:textbox>
                  <w:txbxContent>
                    <w:p w14:paraId="2C0A24AA" w14:textId="77777777" w:rsidR="00682BB9" w:rsidRPr="00E04D68" w:rsidRDefault="00682BB9" w:rsidP="00FA06E6">
                      <w:pPr>
                        <w:jc w:val="center"/>
                        <w:rPr>
                          <w:sz w:val="14"/>
                          <w:szCs w:val="14"/>
                        </w:rPr>
                      </w:pPr>
                      <w:r w:rsidRPr="00E04D68">
                        <w:rPr>
                          <w:sz w:val="14"/>
                          <w:szCs w:val="14"/>
                        </w:rPr>
                        <w:t>Collect user dat</w:t>
                      </w:r>
                      <w:r>
                        <w:rPr>
                          <w:sz w:val="14"/>
                          <w:szCs w:val="14"/>
                        </w:rPr>
                        <w:t>a</w:t>
                      </w:r>
                    </w:p>
                  </w:txbxContent>
                </v:textbox>
              </v:rect>
            </w:pict>
          </mc:Fallback>
        </mc:AlternateContent>
      </w:r>
      <w:r w:rsidR="00FA06E6" w:rsidRPr="009B546D">
        <w:rPr>
          <w:rFonts w:cstheme="minorHAnsi"/>
          <w:noProof/>
          <w:lang w:val="en-MY" w:eastAsia="zh-CN"/>
        </w:rPr>
        <mc:AlternateContent>
          <mc:Choice Requires="wps">
            <w:drawing>
              <wp:anchor distT="0" distB="0" distL="114300" distR="114300" simplePos="0" relativeHeight="251658280" behindDoc="0" locked="0" layoutInCell="1" allowOverlap="1" wp14:anchorId="12B08325" wp14:editId="3AA6CD17">
                <wp:simplePos x="0" y="0"/>
                <wp:positionH relativeFrom="margin">
                  <wp:posOffset>2564130</wp:posOffset>
                </wp:positionH>
                <wp:positionV relativeFrom="paragraph">
                  <wp:posOffset>64770</wp:posOffset>
                </wp:positionV>
                <wp:extent cx="624840" cy="457200"/>
                <wp:effectExtent l="0" t="0" r="3810" b="0"/>
                <wp:wrapNone/>
                <wp:docPr id="48" name="Rectangle 48"/>
                <wp:cNvGraphicFramePr/>
                <a:graphic xmlns:a="http://schemas.openxmlformats.org/drawingml/2006/main">
                  <a:graphicData uri="http://schemas.microsoft.com/office/word/2010/wordprocessingShape">
                    <wps:wsp>
                      <wps:cNvSpPr/>
                      <wps:spPr>
                        <a:xfrm>
                          <a:off x="0" y="0"/>
                          <a:ext cx="624840" cy="4572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4C59E" w14:textId="66B0CEE6" w:rsidR="00682BB9" w:rsidRPr="00E04D68" w:rsidRDefault="00682BB9" w:rsidP="00FA06E6">
                            <w:pPr>
                              <w:jc w:val="center"/>
                              <w:rPr>
                                <w:sz w:val="14"/>
                                <w:szCs w:val="14"/>
                              </w:rPr>
                            </w:pPr>
                            <w:r>
                              <w:rPr>
                                <w:sz w:val="14"/>
                                <w:szCs w:val="14"/>
                              </w:rPr>
                              <w:t>Analyse reasoning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08325" id="Rectangle 48" o:spid="_x0000_s1030" style="position:absolute;left:0;text-align:left;margin-left:201.9pt;margin-top:5.1pt;width:49.2pt;height:36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8FmQIAAJgFAAAOAAAAZHJzL2Uyb0RvYy54bWysVE1v2zAMvQ/YfxB0X50EadcFdYogRYcB&#10;RVs0HXpWZDk2IIsapcTOfv0oyXazrthhWA6OJJKPX4+8uu4azQ4KXQ0m59OzCWfKSChqs8v59+fb&#10;T5ecOS9MITQYlfOjcvx6+fHDVWsXagYV6EIhIxDjFq3NeeW9XWSZk5VqhDsDqwwJS8BGeLriLitQ&#10;tITe6Gw2mVxkLWBhEaRyjl5vkpAvI35ZKukfytIpz3TOKTYfvxi/2/DNlldisUNhq1r2YYh/iKIR&#10;tSGnI9SN8ILtsf4DqqklgoPSn0loMijLWqqYA2UznbzJZlMJq2IuVBxnxzK5/wcr7w+PyOoi53Pq&#10;lBEN9eiJqibMTitGb1Sg1roF6W3sI/Y3R8eQbVdiE/4pD9bFoh7HoqrOM0mPF7P55ZxKL0k0P/9M&#10;TQuY2auxRee/KmhYOOQcyXsspTjcOZ9UB5Xgy4Gui9ta63jB3XatkR0E9Xc9Cb8e/Tc1bYKygWCW&#10;EMNLFhJLqcSTP2oV9LR5UiXVhIKfxUgiG9XoR0ipjJ8mUSUKldyfn3oP/A0WMdMIGJBL8j9i9wCD&#10;ZgIZsFOUvX4wVZHMo/Hkb4El49EiegbjR+OmNoDvAWjKqvec9IcipdKEKvlu2yW+BM3wsoXiSBxC&#10;SMPlrLytqZN3wvlHgTRN1HzaEP6BPqWGNufQnzirAH++9x70ieQk5ayl6cy5+7EXqDjT3wzR/8t0&#10;Hjjl4yWyijM8lWxPJWbfrIEIMqVdZGU8kjF6PRxLhOaFFskqeCWRMJJ851x6HC5rn7YGrSKpVquo&#10;RiNshb8zGysDeKhzYOpz9yLQ9nT2NAf3MEyyWLxhddINlgZWew9lHSn/Wte+AzT+kUr9qgr75fQe&#10;tV4X6vIXAAAA//8DAFBLAwQUAAYACAAAACEA/JzFUt4AAAAJAQAADwAAAGRycy9kb3ducmV2Lnht&#10;bEyPzUvDQBDF70L/h2UEL8XuNn4QYjYlioIgFIwePG6zYxK6HyE7beN/73iqp5nhPd78XrmZvRNH&#10;nNIQg4b1SoHA0EY7hE7D58fLdQ4ikQnWuBhQww8m2FSLi9IUNp7COx4b6gSHhFQYDT3RWEiZ2h69&#10;Sas4YmDtO07eEJ9TJ+1kThzuncyUupfeDIE/9GbEpx7bfXPwGpzNH+OzezX1vm6+7PaNltaR1leX&#10;c/0AgnCmsxn+8BkdKmbaxUOwSTgNt+qG0YkFlYFgw53KeNlpyHnKqpT/G1S/AAAA//8DAFBLAQIt&#10;ABQABgAIAAAAIQC2gziS/gAAAOEBAAATAAAAAAAAAAAAAAAAAAAAAABbQ29udGVudF9UeXBlc10u&#10;eG1sUEsBAi0AFAAGAAgAAAAhADj9If/WAAAAlAEAAAsAAAAAAAAAAAAAAAAALwEAAF9yZWxzLy5y&#10;ZWxzUEsBAi0AFAAGAAgAAAAhAEalDwWZAgAAmAUAAA4AAAAAAAAAAAAAAAAALgIAAGRycy9lMm9E&#10;b2MueG1sUEsBAi0AFAAGAAgAAAAhAPycxVLeAAAACQEAAA8AAAAAAAAAAAAAAAAA8wQAAGRycy9k&#10;b3ducmV2LnhtbFBLBQYAAAAABAAEAPMAAAD+BQAAAAA=&#10;" fillcolor="#c00000" stroked="f" strokeweight="1pt">
                <v:textbox>
                  <w:txbxContent>
                    <w:p w14:paraId="0FC4C59E" w14:textId="66B0CEE6" w:rsidR="00682BB9" w:rsidRPr="00E04D68" w:rsidRDefault="00682BB9" w:rsidP="00FA06E6">
                      <w:pPr>
                        <w:jc w:val="center"/>
                        <w:rPr>
                          <w:sz w:val="14"/>
                          <w:szCs w:val="14"/>
                        </w:rPr>
                      </w:pPr>
                      <w:r>
                        <w:rPr>
                          <w:sz w:val="14"/>
                          <w:szCs w:val="14"/>
                        </w:rPr>
                        <w:t>Analyse reasoning</w:t>
                      </w:r>
                    </w:p>
                  </w:txbxContent>
                </v:textbox>
                <w10:wrap anchorx="margin"/>
              </v:rect>
            </w:pict>
          </mc:Fallback>
        </mc:AlternateContent>
      </w:r>
    </w:p>
    <w:p w14:paraId="77ECFDBA" w14:textId="77777777" w:rsidR="00FA06E6" w:rsidRPr="009B546D" w:rsidRDefault="00FA06E6" w:rsidP="00F432B9">
      <w:pPr>
        <w:spacing w:before="240" w:line="240" w:lineRule="auto"/>
        <w:rPr>
          <w:rFonts w:cstheme="minorHAnsi"/>
        </w:rPr>
      </w:pPr>
    </w:p>
    <w:p w14:paraId="59CEB54A" w14:textId="673F3088" w:rsidR="00FA06E6" w:rsidRPr="009B546D" w:rsidRDefault="00FA06E6" w:rsidP="00F432B9">
      <w:pPr>
        <w:spacing w:before="240" w:after="120" w:line="240" w:lineRule="auto"/>
        <w:rPr>
          <w:rFonts w:cstheme="minorHAnsi"/>
        </w:rPr>
      </w:pPr>
      <w:r w:rsidRPr="009B546D">
        <w:rPr>
          <w:rFonts w:cstheme="minorHAnsi"/>
        </w:rPr>
        <w:t>OCTAPLUS’ servers are currently run by a highly reputable third-party server provider, A</w:t>
      </w:r>
      <w:r w:rsidR="00BC371E" w:rsidRPr="009B546D">
        <w:rPr>
          <w:rFonts w:cstheme="minorHAnsi"/>
        </w:rPr>
        <w:t xml:space="preserve">mazon </w:t>
      </w:r>
      <w:r w:rsidRPr="009B546D">
        <w:rPr>
          <w:rFonts w:cstheme="minorHAnsi"/>
        </w:rPr>
        <w:t>W</w:t>
      </w:r>
      <w:r w:rsidR="00BC371E" w:rsidRPr="009B546D">
        <w:rPr>
          <w:rFonts w:cstheme="minorHAnsi"/>
        </w:rPr>
        <w:t xml:space="preserve">eb </w:t>
      </w:r>
      <w:r w:rsidRPr="009B546D">
        <w:rPr>
          <w:rFonts w:cstheme="minorHAnsi"/>
        </w:rPr>
        <w:t>S</w:t>
      </w:r>
      <w:r w:rsidR="00BC371E" w:rsidRPr="009B546D">
        <w:rPr>
          <w:rFonts w:cstheme="minorHAnsi"/>
        </w:rPr>
        <w:t>ervices (“</w:t>
      </w:r>
      <w:r w:rsidR="00BC371E" w:rsidRPr="009B546D">
        <w:rPr>
          <w:rFonts w:cstheme="minorHAnsi"/>
          <w:b/>
          <w:bCs/>
        </w:rPr>
        <w:t>AWS</w:t>
      </w:r>
      <w:r w:rsidR="00BC371E" w:rsidRPr="009B546D">
        <w:rPr>
          <w:rFonts w:cstheme="minorHAnsi"/>
        </w:rPr>
        <w:t>”)</w:t>
      </w:r>
      <w:r w:rsidRPr="009B546D">
        <w:rPr>
          <w:rFonts w:cstheme="minorHAnsi"/>
        </w:rPr>
        <w:t xml:space="preserve">. Primary sever infrastructure is hosted on an Amazon data centre in Singapore. In order to mitigate the impact of </w:t>
      </w:r>
      <w:r w:rsidR="00B20B43" w:rsidRPr="009B546D">
        <w:rPr>
          <w:rFonts w:cstheme="minorHAnsi"/>
        </w:rPr>
        <w:t xml:space="preserve">system </w:t>
      </w:r>
      <w:r w:rsidRPr="009B546D">
        <w:rPr>
          <w:rFonts w:cstheme="minorHAnsi"/>
        </w:rPr>
        <w:t>failure, copies of</w:t>
      </w:r>
      <w:r w:rsidR="00B20B43" w:rsidRPr="009B546D">
        <w:rPr>
          <w:rFonts w:cstheme="minorHAnsi"/>
        </w:rPr>
        <w:t xml:space="preserve"> data</w:t>
      </w:r>
      <w:r w:rsidRPr="009B546D">
        <w:rPr>
          <w:rFonts w:cstheme="minorHAnsi"/>
        </w:rPr>
        <w:t xml:space="preserve"> images are stored on Amazon S3 (Simple Storage Service) in </w:t>
      </w:r>
      <w:r w:rsidR="00037C94" w:rsidRPr="009B546D">
        <w:rPr>
          <w:rFonts w:cstheme="minorHAnsi"/>
        </w:rPr>
        <w:t xml:space="preserve">back-up </w:t>
      </w:r>
      <w:r w:rsidRPr="009B546D">
        <w:rPr>
          <w:rFonts w:cstheme="minorHAnsi"/>
        </w:rPr>
        <w:t>data centres in Singapore and Tokyo. Data collected through OCTAPLUS is stored across a variety of load-balanced dedicated databases with failover handling, using 3 types of databases, Microsoft SQL Server, MySQL and MongoDB.</w:t>
      </w:r>
    </w:p>
    <w:p w14:paraId="6A0DC74D" w14:textId="77777777" w:rsidR="00FA06E6" w:rsidRPr="00384557" w:rsidRDefault="00FA06E6" w:rsidP="00F432B9">
      <w:pPr>
        <w:spacing w:before="240" w:after="120" w:line="240" w:lineRule="auto"/>
        <w:rPr>
          <w:rFonts w:cstheme="minorHAnsi"/>
          <w:i/>
        </w:rPr>
      </w:pPr>
      <w:r w:rsidRPr="00384557">
        <w:rPr>
          <w:rFonts w:cstheme="minorHAnsi"/>
          <w:noProof/>
          <w:lang w:val="en-MY" w:eastAsia="zh-CN"/>
        </w:rPr>
        <w:drawing>
          <wp:inline distT="0" distB="0" distL="0" distR="0" wp14:anchorId="6423BE12" wp14:editId="4A3FA436">
            <wp:extent cx="5731510" cy="1329690"/>
            <wp:effectExtent l="0" t="0" r="0" b="0"/>
            <wp:docPr id="4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731510" cy="1329690"/>
                    </a:xfrm>
                    <a:prstGeom prst="rect">
                      <a:avLst/>
                    </a:prstGeom>
                    <a:ln/>
                  </pic:spPr>
                </pic:pic>
              </a:graphicData>
            </a:graphic>
          </wp:inline>
        </w:drawing>
      </w:r>
    </w:p>
    <w:p w14:paraId="7C08CCA3" w14:textId="2803F470" w:rsidR="00FA06E6" w:rsidRPr="009B546D" w:rsidRDefault="00FA06E6" w:rsidP="00496B89">
      <w:pPr>
        <w:spacing w:before="240" w:after="120" w:line="240" w:lineRule="auto"/>
        <w:rPr>
          <w:rFonts w:cstheme="minorHAnsi"/>
        </w:rPr>
      </w:pPr>
      <w:r w:rsidRPr="009B546D">
        <w:rPr>
          <w:rFonts w:cstheme="minorHAnsi"/>
        </w:rPr>
        <w:t xml:space="preserve">Alchemist Codes intends to integrate further advanced AI based tools into the OCTAPLUS </w:t>
      </w:r>
      <w:r w:rsidR="00450FE4" w:rsidRPr="009B546D">
        <w:rPr>
          <w:rFonts w:cstheme="minorHAnsi"/>
        </w:rPr>
        <w:t>application</w:t>
      </w:r>
      <w:r w:rsidRPr="009B546D">
        <w:rPr>
          <w:rFonts w:cstheme="minorHAnsi"/>
        </w:rPr>
        <w:t xml:space="preserve"> using capabilities such as Google Cloud Prediction API, Amazon Sagemaker and Amazon Forecast. Alchemist Codes believes that the adding </w:t>
      </w:r>
      <w:r w:rsidR="00AA41D1" w:rsidRPr="009B546D">
        <w:rPr>
          <w:rFonts w:cstheme="minorHAnsi"/>
        </w:rPr>
        <w:t>of</w:t>
      </w:r>
      <w:r w:rsidRPr="009B546D">
        <w:rPr>
          <w:rFonts w:cstheme="minorHAnsi"/>
        </w:rPr>
        <w:t xml:space="preserve"> AI skills in OCTAPLUS will enable increased functionality in terms of machine learning, process automation, natural language processing and natural language understanding</w:t>
      </w:r>
      <w:r w:rsidR="005951F2" w:rsidRPr="009B546D">
        <w:rPr>
          <w:rFonts w:cstheme="minorHAnsi"/>
        </w:rPr>
        <w:t>,</w:t>
      </w:r>
      <w:r w:rsidRPr="009B546D">
        <w:rPr>
          <w:rFonts w:cstheme="minorHAnsi"/>
        </w:rPr>
        <w:t xml:space="preserve"> as well as cloud infrastructure. Using such techniques and capabilities will enable OCTAPLUS to be able to personalise an individual user’s </w:t>
      </w:r>
      <w:r w:rsidR="00AA41D1" w:rsidRPr="009B546D">
        <w:rPr>
          <w:rFonts w:cstheme="minorHAnsi"/>
        </w:rPr>
        <w:t xml:space="preserve">shopping </w:t>
      </w:r>
      <w:r w:rsidRPr="009B546D">
        <w:rPr>
          <w:rFonts w:cstheme="minorHAnsi"/>
        </w:rPr>
        <w:t>experience based on their historic activities on a particular retailer’s site, alongside a user's previously indicated interests and preferences. As a user’s activity increases on OCTAPLUS, the level of personalisation of the user’s experience will also increas</w:t>
      </w:r>
      <w:r w:rsidR="005951F2" w:rsidRPr="009B546D">
        <w:rPr>
          <w:rFonts w:cstheme="minorHAnsi"/>
        </w:rPr>
        <w:t>e</w:t>
      </w:r>
      <w:r w:rsidRPr="009B546D">
        <w:rPr>
          <w:rFonts w:cstheme="minorHAnsi"/>
        </w:rPr>
        <w:t>. Alchemist Codes believes that by offering a shopping experience that becomes highly customised, personalised and specific to each end user’s needs, habits and interests</w:t>
      </w:r>
      <w:r w:rsidR="005951F2" w:rsidRPr="009B546D">
        <w:rPr>
          <w:rFonts w:cstheme="minorHAnsi"/>
        </w:rPr>
        <w:t>,</w:t>
      </w:r>
      <w:r w:rsidRPr="009B546D">
        <w:rPr>
          <w:rFonts w:cstheme="minorHAnsi"/>
        </w:rPr>
        <w:t xml:space="preserve"> they will be able to increase customer loyalty which is paramount to differentiating OCTAPLUS</w:t>
      </w:r>
      <w:r w:rsidR="008B480B" w:rsidRPr="009B546D">
        <w:rPr>
          <w:rFonts w:cstheme="minorHAnsi"/>
        </w:rPr>
        <w:t xml:space="preserve"> amongst a competitive environment</w:t>
      </w:r>
      <w:r w:rsidRPr="009B546D">
        <w:rPr>
          <w:rFonts w:cstheme="minorHAnsi"/>
        </w:rPr>
        <w:t>.</w:t>
      </w:r>
      <w:bookmarkStart w:id="32" w:name="_30j0zll" w:colFirst="0" w:colLast="0"/>
      <w:bookmarkEnd w:id="32"/>
    </w:p>
    <w:p w14:paraId="789F769B" w14:textId="3AC524E3" w:rsidR="00FA06E6" w:rsidRPr="009B546D" w:rsidRDefault="00FA06E6" w:rsidP="00F432B9">
      <w:pPr>
        <w:spacing w:before="240" w:after="120" w:line="240" w:lineRule="auto"/>
        <w:rPr>
          <w:rFonts w:cstheme="minorHAnsi"/>
        </w:rPr>
      </w:pPr>
      <w:r w:rsidRPr="009B546D">
        <w:rPr>
          <w:rFonts w:cstheme="minorHAnsi"/>
        </w:rPr>
        <w:t xml:space="preserve">OCTAPLUS data is protected and secured with 2 layers of security. Data is stored on database servers that can only be accessed via Remote Desktop from a predetermined fixed IP/Server that can only be modified by one </w:t>
      </w:r>
      <w:r w:rsidR="005951F2" w:rsidRPr="009B546D">
        <w:rPr>
          <w:rFonts w:cstheme="minorHAnsi"/>
        </w:rPr>
        <w:t>a</w:t>
      </w:r>
      <w:r w:rsidRPr="009B546D">
        <w:rPr>
          <w:rFonts w:cstheme="minorHAnsi"/>
        </w:rPr>
        <w:t>dministrator who has access to Amazon AWS; once access is granted to these database servers, further and different credentials (database passwords, generated to adhere to industry “STRONG” password policy) are needed to access each database. These credentials are renewed every 90 days or within 24 hours if any administrators leave the organisation</w:t>
      </w:r>
      <w:r w:rsidR="00F418CC" w:rsidRPr="009B546D">
        <w:rPr>
          <w:rFonts w:cstheme="minorHAnsi"/>
        </w:rPr>
        <w:t>.</w:t>
      </w:r>
    </w:p>
    <w:p w14:paraId="18962002" w14:textId="584FBD52" w:rsidR="00FA06E6" w:rsidRPr="009B546D" w:rsidRDefault="00FA06E6" w:rsidP="00F432B9">
      <w:pPr>
        <w:spacing w:before="240" w:after="120" w:line="240" w:lineRule="auto"/>
        <w:rPr>
          <w:rFonts w:cstheme="minorHAnsi"/>
        </w:rPr>
      </w:pPr>
      <w:r w:rsidRPr="009B546D">
        <w:rPr>
          <w:rFonts w:cstheme="minorHAnsi"/>
        </w:rPr>
        <w:t xml:space="preserve">Alchemist Codes is continuously improving the information process techniques and capabilities of OCTAPLUS as well as increasing its data harvesting capabilities and will seek to find additional ways to monetise new </w:t>
      </w:r>
      <w:r w:rsidR="00B16D92" w:rsidRPr="009B546D">
        <w:rPr>
          <w:rFonts w:cstheme="minorHAnsi"/>
        </w:rPr>
        <w:t>in-depth</w:t>
      </w:r>
      <w:r w:rsidRPr="009B546D">
        <w:rPr>
          <w:rFonts w:cstheme="minorHAnsi"/>
        </w:rPr>
        <w:t xml:space="preserve"> insights into a user’s </w:t>
      </w:r>
      <w:r w:rsidR="00BA395E" w:rsidRPr="009B546D">
        <w:rPr>
          <w:rFonts w:cstheme="minorHAnsi"/>
        </w:rPr>
        <w:t>behavioural data</w:t>
      </w:r>
      <w:r w:rsidRPr="009B546D">
        <w:rPr>
          <w:rFonts w:cstheme="minorHAnsi"/>
        </w:rPr>
        <w:t xml:space="preserve"> across OCTAPLUS.</w:t>
      </w:r>
    </w:p>
    <w:p w14:paraId="5ECC12B2" w14:textId="77777777" w:rsidR="00650122" w:rsidRDefault="00650122" w:rsidP="00F432B9">
      <w:pPr>
        <w:spacing w:line="240" w:lineRule="auto"/>
        <w:rPr>
          <w:rFonts w:cstheme="minorHAnsi"/>
          <w:b/>
          <w:bCs/>
        </w:rPr>
      </w:pPr>
    </w:p>
    <w:p w14:paraId="2472F023" w14:textId="77777777" w:rsidR="00650122" w:rsidRDefault="00650122" w:rsidP="00F432B9">
      <w:pPr>
        <w:spacing w:line="240" w:lineRule="auto"/>
        <w:rPr>
          <w:rFonts w:cstheme="minorHAnsi"/>
          <w:b/>
          <w:bCs/>
        </w:rPr>
      </w:pPr>
    </w:p>
    <w:p w14:paraId="44CE3FA8" w14:textId="77777777" w:rsidR="00650122" w:rsidRDefault="00650122" w:rsidP="00F432B9">
      <w:pPr>
        <w:spacing w:line="240" w:lineRule="auto"/>
        <w:rPr>
          <w:rFonts w:cstheme="minorHAnsi"/>
          <w:b/>
          <w:bCs/>
        </w:rPr>
      </w:pPr>
    </w:p>
    <w:p w14:paraId="3DC4E3B5" w14:textId="77777777" w:rsidR="00650122" w:rsidRDefault="00650122" w:rsidP="00F432B9">
      <w:pPr>
        <w:spacing w:line="240" w:lineRule="auto"/>
        <w:rPr>
          <w:rFonts w:cstheme="minorHAnsi"/>
          <w:b/>
          <w:bCs/>
        </w:rPr>
      </w:pPr>
    </w:p>
    <w:p w14:paraId="52569E67" w14:textId="63D6AD58" w:rsidR="00FA06E6" w:rsidRPr="009B546D" w:rsidRDefault="00FA06E6" w:rsidP="00F432B9">
      <w:pPr>
        <w:spacing w:line="240" w:lineRule="auto"/>
        <w:rPr>
          <w:rFonts w:cstheme="minorHAnsi"/>
          <w:b/>
          <w:bCs/>
        </w:rPr>
      </w:pPr>
      <w:r w:rsidRPr="009B546D">
        <w:rPr>
          <w:rFonts w:cstheme="minorHAnsi"/>
          <w:b/>
          <w:bCs/>
        </w:rPr>
        <w:lastRenderedPageBreak/>
        <w:t>Social media, influencer and retailer marketing</w:t>
      </w:r>
    </w:p>
    <w:p w14:paraId="6007BFAA" w14:textId="5F939254" w:rsidR="00FA06E6" w:rsidRPr="009B546D" w:rsidRDefault="00FA06E6" w:rsidP="00F432B9">
      <w:pPr>
        <w:spacing w:line="240" w:lineRule="auto"/>
        <w:rPr>
          <w:rFonts w:cstheme="minorHAnsi"/>
          <w:b/>
          <w:bCs/>
          <w:i/>
          <w:iCs/>
        </w:rPr>
      </w:pPr>
      <w:r w:rsidRPr="009B546D">
        <w:rPr>
          <w:rFonts w:cstheme="minorHAnsi"/>
          <w:b/>
          <w:bCs/>
          <w:i/>
          <w:iCs/>
        </w:rPr>
        <w:t>Social media marketing</w:t>
      </w:r>
    </w:p>
    <w:p w14:paraId="2450CC54" w14:textId="3824EBC9" w:rsidR="00FA06E6" w:rsidRPr="009B546D" w:rsidRDefault="00FA06E6" w:rsidP="00496B89">
      <w:pPr>
        <w:spacing w:before="240" w:after="120" w:line="240" w:lineRule="auto"/>
        <w:rPr>
          <w:rFonts w:cstheme="minorHAnsi"/>
        </w:rPr>
      </w:pPr>
      <w:r w:rsidRPr="009B546D">
        <w:rPr>
          <w:rFonts w:cstheme="minorHAnsi"/>
        </w:rPr>
        <w:t>OCTAPLUS is currently testing and developing the use of social media within OCTAPLUS to generate growth.</w:t>
      </w:r>
      <w:r w:rsidR="007D7B13" w:rsidRPr="009B546D">
        <w:rPr>
          <w:rFonts w:cstheme="minorHAnsi"/>
        </w:rPr>
        <w:t xml:space="preserve"> </w:t>
      </w:r>
      <w:r w:rsidRPr="009B546D">
        <w:rPr>
          <w:rFonts w:cstheme="minorHAnsi"/>
        </w:rPr>
        <w:t xml:space="preserve">Alchemist Codes plans to further increase social media growth via various social media campaigns such as giveaways and online campaigns. In addition to the current use of the OCTAPLUS webpage and mobile </w:t>
      </w:r>
      <w:r w:rsidR="006E6E54" w:rsidRPr="009B546D">
        <w:rPr>
          <w:rFonts w:cstheme="minorHAnsi"/>
        </w:rPr>
        <w:t>application</w:t>
      </w:r>
      <w:r w:rsidRPr="009B546D">
        <w:rPr>
          <w:rFonts w:cstheme="minorHAnsi"/>
        </w:rPr>
        <w:t xml:space="preserve">, and Facebook ads, Alchemist Codes intends to implement a feature similar to TikTok, where users can post videos on the </w:t>
      </w:r>
      <w:r w:rsidR="00450FE4" w:rsidRPr="009B546D">
        <w:rPr>
          <w:rFonts w:cstheme="minorHAnsi"/>
        </w:rPr>
        <w:t>application</w:t>
      </w:r>
      <w:r w:rsidRPr="009B546D">
        <w:rPr>
          <w:rFonts w:cstheme="minorHAnsi"/>
        </w:rPr>
        <w:t xml:space="preserve"> to increase traffic on OCTAPLUS. Specific marketing campaigns, themed events, contests and giveaways within OCTAPLUS will invite users to post and share themed or relevant videos and content to OCTAPLUS, boosting traffic, user activity and user engagement. Alchemist Codes estimates that current cost of social media-based marketing is around </w:t>
      </w:r>
      <w:r w:rsidR="005140C0" w:rsidRPr="009B546D">
        <w:rPr>
          <w:rFonts w:cstheme="minorHAnsi"/>
        </w:rPr>
        <w:t>US$2,400 to $4,800</w:t>
      </w:r>
      <w:r w:rsidR="00690AAC" w:rsidRPr="009B546D">
        <w:rPr>
          <w:rFonts w:cstheme="minorHAnsi"/>
        </w:rPr>
        <w:t xml:space="preserve"> </w:t>
      </w:r>
      <w:r w:rsidR="00041ACA" w:rsidRPr="009B546D">
        <w:rPr>
          <w:rFonts w:cstheme="minorHAnsi"/>
        </w:rPr>
        <w:t>per campaign</w:t>
      </w:r>
      <w:r w:rsidRPr="009B546D">
        <w:rPr>
          <w:rFonts w:cstheme="minorHAnsi"/>
        </w:rPr>
        <w:t>.</w:t>
      </w:r>
    </w:p>
    <w:p w14:paraId="4ABB77C0" w14:textId="77777777" w:rsidR="00FA06E6" w:rsidRPr="009B546D" w:rsidRDefault="00FA06E6" w:rsidP="00F432B9">
      <w:pPr>
        <w:spacing w:line="240" w:lineRule="auto"/>
        <w:rPr>
          <w:rFonts w:cstheme="minorHAnsi"/>
          <w:b/>
          <w:bCs/>
          <w:i/>
          <w:iCs/>
        </w:rPr>
      </w:pPr>
      <w:r w:rsidRPr="009B546D">
        <w:rPr>
          <w:rFonts w:cstheme="minorHAnsi"/>
          <w:b/>
          <w:bCs/>
          <w:i/>
          <w:iCs/>
        </w:rPr>
        <w:t>Influencer marketing</w:t>
      </w:r>
    </w:p>
    <w:p w14:paraId="14EDD44C" w14:textId="2229F0F4" w:rsidR="00FA06E6" w:rsidRPr="009B546D" w:rsidRDefault="00FA06E6" w:rsidP="00496B89">
      <w:pPr>
        <w:spacing w:before="240" w:after="120" w:line="240" w:lineRule="auto"/>
        <w:rPr>
          <w:rFonts w:cstheme="minorHAnsi"/>
        </w:rPr>
      </w:pPr>
      <w:r w:rsidRPr="009B546D">
        <w:rPr>
          <w:rFonts w:cstheme="minorHAnsi"/>
        </w:rPr>
        <w:t xml:space="preserve">Alchemist Codes intends to heavily utilise influencer-based marketing to grow </w:t>
      </w:r>
      <w:r w:rsidR="002A2FE5" w:rsidRPr="009B546D">
        <w:rPr>
          <w:rFonts w:cstheme="minorHAnsi"/>
        </w:rPr>
        <w:t>its</w:t>
      </w:r>
      <w:r w:rsidRPr="009B546D">
        <w:rPr>
          <w:rFonts w:cstheme="minorHAnsi"/>
        </w:rPr>
        <w:t xml:space="preserve"> user base. Influencer based marketing has shown significant effectiveness in the e-commerce environment via viral marketing of products at a lower cost basis than traditional channels. Alchemist Codes believes that influencer marketing will allow a more tailored communication with the target audience by hand selecting the “influencer” in the localised sphere of popularity. For example,</w:t>
      </w:r>
      <w:r w:rsidR="00F77AAD" w:rsidRPr="009B546D">
        <w:rPr>
          <w:rFonts w:cstheme="minorHAnsi"/>
        </w:rPr>
        <w:t xml:space="preserve"> Alchemist Codes believes that</w:t>
      </w:r>
      <w:r w:rsidRPr="009B546D">
        <w:rPr>
          <w:rFonts w:cstheme="minorHAnsi"/>
        </w:rPr>
        <w:t xml:space="preserve"> as part of the marketing strategy of an upcoming brand of expensive youthful cosmetics, product placement adverts can be made to local social media influencers whereby their followers are primarily the intended target consumer demography of </w:t>
      </w:r>
      <w:r w:rsidR="002D4211" w:rsidRPr="009B546D">
        <w:rPr>
          <w:rFonts w:cstheme="minorHAnsi"/>
        </w:rPr>
        <w:t xml:space="preserve">between </w:t>
      </w:r>
      <w:r w:rsidRPr="009B546D">
        <w:rPr>
          <w:rFonts w:cstheme="minorHAnsi"/>
        </w:rPr>
        <w:t>16</w:t>
      </w:r>
      <w:r w:rsidR="002D4211" w:rsidRPr="009B546D">
        <w:rPr>
          <w:rFonts w:cstheme="minorHAnsi"/>
        </w:rPr>
        <w:t xml:space="preserve"> and </w:t>
      </w:r>
      <w:r w:rsidRPr="009B546D">
        <w:rPr>
          <w:rFonts w:cstheme="minorHAnsi"/>
        </w:rPr>
        <w:t>28-year-old females in downtown Kuala Lumpur. Influencer-based marketing build</w:t>
      </w:r>
      <w:r w:rsidR="002D4211" w:rsidRPr="009B546D">
        <w:rPr>
          <w:rFonts w:cstheme="minorHAnsi"/>
        </w:rPr>
        <w:t>s</w:t>
      </w:r>
      <w:r w:rsidRPr="009B546D">
        <w:rPr>
          <w:rFonts w:cstheme="minorHAnsi"/>
        </w:rPr>
        <w:t xml:space="preserve"> on the relationship of pre-existing trust between influencer and end consumer which Alchemist Codes believes allows a more intimate reach compared to traditional advertising channels. Alchemist Codes estimates that the current costs for engaging a blogger to be US$</w:t>
      </w:r>
      <w:r w:rsidR="00927193" w:rsidRPr="009B546D">
        <w:rPr>
          <w:rFonts w:cstheme="minorHAnsi"/>
        </w:rPr>
        <w:t>7</w:t>
      </w:r>
      <w:r w:rsidR="00611235" w:rsidRPr="009B546D">
        <w:rPr>
          <w:rFonts w:cstheme="minorHAnsi"/>
        </w:rPr>
        <w:t>0</w:t>
      </w:r>
      <w:r w:rsidR="00927193" w:rsidRPr="009B546D">
        <w:rPr>
          <w:rFonts w:cstheme="minorHAnsi"/>
        </w:rPr>
        <w:t xml:space="preserve"> per post</w:t>
      </w:r>
      <w:r w:rsidRPr="009B546D">
        <w:rPr>
          <w:rFonts w:cstheme="minorHAnsi"/>
        </w:rPr>
        <w:t xml:space="preserve"> while engaging a </w:t>
      </w:r>
      <w:r w:rsidR="00630853" w:rsidRPr="009B546D">
        <w:rPr>
          <w:rFonts w:cstheme="minorHAnsi"/>
        </w:rPr>
        <w:t xml:space="preserve">less popular </w:t>
      </w:r>
      <w:r w:rsidRPr="009B546D">
        <w:rPr>
          <w:rFonts w:cstheme="minorHAnsi"/>
        </w:rPr>
        <w:t>social media influencer on OCTAPLUS is around US$</w:t>
      </w:r>
      <w:r w:rsidR="00630853" w:rsidRPr="009B546D">
        <w:rPr>
          <w:rFonts w:cstheme="minorHAnsi"/>
        </w:rPr>
        <w:t>7</w:t>
      </w:r>
      <w:r w:rsidR="00611235" w:rsidRPr="009B546D">
        <w:rPr>
          <w:rFonts w:cstheme="minorHAnsi"/>
        </w:rPr>
        <w:t>0</w:t>
      </w:r>
      <w:r w:rsidRPr="009B546D">
        <w:rPr>
          <w:rFonts w:cstheme="minorHAnsi"/>
        </w:rPr>
        <w:t xml:space="preserve"> per influencer post</w:t>
      </w:r>
      <w:r w:rsidR="005E7D47" w:rsidRPr="009B546D">
        <w:rPr>
          <w:rFonts w:cstheme="minorHAnsi"/>
        </w:rPr>
        <w:t>,</w:t>
      </w:r>
      <w:r w:rsidR="00630853" w:rsidRPr="009B546D">
        <w:rPr>
          <w:rFonts w:cstheme="minorHAnsi"/>
        </w:rPr>
        <w:t xml:space="preserve"> whilst a </w:t>
      </w:r>
      <w:r w:rsidR="00272111" w:rsidRPr="009B546D">
        <w:rPr>
          <w:rFonts w:cstheme="minorHAnsi"/>
        </w:rPr>
        <w:t>highly</w:t>
      </w:r>
      <w:r w:rsidR="00630853" w:rsidRPr="009B546D">
        <w:rPr>
          <w:rFonts w:cstheme="minorHAnsi"/>
        </w:rPr>
        <w:t xml:space="preserve"> popular social media influencer with high engagement metrics can cost </w:t>
      </w:r>
      <w:r w:rsidR="00272111" w:rsidRPr="009B546D">
        <w:rPr>
          <w:rFonts w:cstheme="minorHAnsi"/>
        </w:rPr>
        <w:t>US$4</w:t>
      </w:r>
      <w:r w:rsidR="002D4211" w:rsidRPr="009B546D">
        <w:rPr>
          <w:rFonts w:cstheme="minorHAnsi"/>
        </w:rPr>
        <w:t>,</w:t>
      </w:r>
      <w:r w:rsidR="00272111" w:rsidRPr="009B546D">
        <w:rPr>
          <w:rFonts w:cstheme="minorHAnsi"/>
        </w:rPr>
        <w:t xml:space="preserve">800 and </w:t>
      </w:r>
      <w:r w:rsidR="002D4211" w:rsidRPr="009B546D">
        <w:rPr>
          <w:rFonts w:cstheme="minorHAnsi"/>
        </w:rPr>
        <w:t>above</w:t>
      </w:r>
      <w:r w:rsidRPr="009B546D">
        <w:rPr>
          <w:rFonts w:cstheme="minorHAnsi"/>
        </w:rPr>
        <w:t xml:space="preserve">. </w:t>
      </w:r>
    </w:p>
    <w:p w14:paraId="02F62F65" w14:textId="0664515A" w:rsidR="00FA06E6" w:rsidRPr="009B546D" w:rsidRDefault="00FA06E6" w:rsidP="00F432B9">
      <w:pPr>
        <w:spacing w:before="240" w:after="120" w:line="240" w:lineRule="auto"/>
        <w:rPr>
          <w:rFonts w:cstheme="minorHAnsi"/>
        </w:rPr>
      </w:pPr>
      <w:r w:rsidRPr="009B546D">
        <w:rPr>
          <w:rFonts w:cstheme="minorHAnsi"/>
        </w:rPr>
        <w:t xml:space="preserve">Alchemist Codes have hired a veteran influencer as </w:t>
      </w:r>
      <w:r w:rsidR="009E1C1C" w:rsidRPr="009B546D">
        <w:rPr>
          <w:rFonts w:cstheme="minorHAnsi"/>
        </w:rPr>
        <w:t xml:space="preserve">a </w:t>
      </w:r>
      <w:r w:rsidRPr="009B546D">
        <w:rPr>
          <w:rFonts w:cstheme="minorHAnsi"/>
        </w:rPr>
        <w:t>Digital Marketing Manager to oversee the filtering and selection of collaborating social media influencers on OCTAPLUS, so as to better tailor content to users engaged on OCTAPLUS. Once social media influencers are engaged</w:t>
      </w:r>
      <w:r w:rsidR="002D4211" w:rsidRPr="009B546D">
        <w:rPr>
          <w:rFonts w:cstheme="minorHAnsi"/>
        </w:rPr>
        <w:t>,</w:t>
      </w:r>
      <w:r w:rsidRPr="009B546D">
        <w:rPr>
          <w:rFonts w:cstheme="minorHAnsi"/>
        </w:rPr>
        <w:t xml:space="preserve"> Alchemist Codes will continue to liaise directly with each influencer </w:t>
      </w:r>
      <w:r w:rsidR="009E1C1C" w:rsidRPr="009B546D">
        <w:rPr>
          <w:rFonts w:cstheme="minorHAnsi"/>
        </w:rPr>
        <w:t xml:space="preserve">to </w:t>
      </w:r>
      <w:r w:rsidRPr="009B546D">
        <w:rPr>
          <w:rFonts w:cstheme="minorHAnsi"/>
        </w:rPr>
        <w:t>ensur</w:t>
      </w:r>
      <w:r w:rsidR="009E1C1C" w:rsidRPr="009B546D">
        <w:rPr>
          <w:rFonts w:cstheme="minorHAnsi"/>
        </w:rPr>
        <w:t>e</w:t>
      </w:r>
      <w:r w:rsidRPr="009B546D">
        <w:rPr>
          <w:rFonts w:cstheme="minorHAnsi"/>
        </w:rPr>
        <w:t xml:space="preserve"> quality of content produced. This may include reviewing drafts of blogs, posts and social media content ahead of release by an influencer and providing detailed guidelines and keywords for inclusions in content.</w:t>
      </w:r>
    </w:p>
    <w:p w14:paraId="74898C01" w14:textId="5090FB7D" w:rsidR="00633088" w:rsidRPr="009B546D" w:rsidRDefault="00FA06E6" w:rsidP="00F432B9">
      <w:pPr>
        <w:spacing w:before="240" w:after="120" w:line="240" w:lineRule="auto"/>
        <w:rPr>
          <w:rFonts w:cstheme="minorHAnsi"/>
        </w:rPr>
      </w:pPr>
      <w:r w:rsidRPr="009B546D">
        <w:rPr>
          <w:rFonts w:cstheme="minorHAnsi"/>
        </w:rPr>
        <w:t>Alchemist Codes believes that this approach hugely reduces the risk of unintended negative social media attention on OCTAPLUS. Alchemist Codes will continue to monitor all marketers to reduce the event of reputational risk arising. Should such a circumstance occur</w:t>
      </w:r>
      <w:r w:rsidR="002D4211" w:rsidRPr="009B546D">
        <w:rPr>
          <w:rFonts w:cstheme="minorHAnsi"/>
        </w:rPr>
        <w:t>,</w:t>
      </w:r>
      <w:r w:rsidRPr="009B546D">
        <w:rPr>
          <w:rFonts w:cstheme="minorHAnsi"/>
        </w:rPr>
        <w:t xml:space="preserve"> Alchemist Codes may seek to release official statements that provide clarification or disassociation of the company’s position from the influencer’s views or comments. In the event of fraudulent activities being committed on OCTAPLUS by a merchant, user or influencer, Alchemist Codes may choose to terminate any existing services, collaboration or campaigns with said perpetrator. Alchemist Codes may</w:t>
      </w:r>
      <w:r w:rsidR="002D4211" w:rsidRPr="009B546D">
        <w:rPr>
          <w:rFonts w:cstheme="minorHAnsi"/>
        </w:rPr>
        <w:t>,</w:t>
      </w:r>
      <w:r w:rsidRPr="009B546D">
        <w:rPr>
          <w:rFonts w:cstheme="minorHAnsi"/>
        </w:rPr>
        <w:t xml:space="preserve"> in extreme cases</w:t>
      </w:r>
      <w:r w:rsidR="002D4211" w:rsidRPr="009B546D">
        <w:rPr>
          <w:rFonts w:cstheme="minorHAnsi"/>
        </w:rPr>
        <w:t>,</w:t>
      </w:r>
      <w:r w:rsidRPr="009B546D">
        <w:rPr>
          <w:rFonts w:cstheme="minorHAnsi"/>
        </w:rPr>
        <w:t xml:space="preserve"> choose to press charges or take legal action against</w:t>
      </w:r>
      <w:r w:rsidR="002D4211" w:rsidRPr="009B546D">
        <w:rPr>
          <w:rFonts w:cstheme="minorHAnsi"/>
        </w:rPr>
        <w:t xml:space="preserve"> such perpetrator</w:t>
      </w:r>
      <w:r w:rsidRPr="009B546D">
        <w:rPr>
          <w:rFonts w:cstheme="minorHAnsi"/>
        </w:rPr>
        <w:t>.</w:t>
      </w:r>
    </w:p>
    <w:p w14:paraId="3984E99E" w14:textId="690D72DC" w:rsidR="00FA06E6" w:rsidRPr="009B546D" w:rsidRDefault="00633088" w:rsidP="00F432B9">
      <w:pPr>
        <w:spacing w:before="240" w:after="120" w:line="240" w:lineRule="auto"/>
        <w:rPr>
          <w:rFonts w:cstheme="minorHAnsi"/>
          <w:b/>
          <w:bCs/>
          <w:i/>
          <w:iCs/>
        </w:rPr>
      </w:pPr>
      <w:r w:rsidRPr="009B546D">
        <w:rPr>
          <w:rFonts w:cstheme="minorHAnsi"/>
          <w:b/>
          <w:bCs/>
          <w:i/>
          <w:iCs/>
        </w:rPr>
        <w:t>SEM marketing</w:t>
      </w:r>
      <w:r w:rsidR="00FA06E6" w:rsidRPr="009B546D">
        <w:rPr>
          <w:rFonts w:cstheme="minorHAnsi"/>
          <w:b/>
          <w:bCs/>
          <w:i/>
          <w:iCs/>
        </w:rPr>
        <w:t xml:space="preserve"> </w:t>
      </w:r>
    </w:p>
    <w:p w14:paraId="1FE41D2C" w14:textId="634C41BA" w:rsidR="002A2FE5" w:rsidRPr="009B546D" w:rsidRDefault="00633088" w:rsidP="00F432B9">
      <w:pPr>
        <w:spacing w:before="240" w:after="120" w:line="240" w:lineRule="auto"/>
        <w:rPr>
          <w:rFonts w:cstheme="minorHAnsi"/>
          <w:b/>
          <w:bCs/>
          <w:i/>
          <w:iCs/>
        </w:rPr>
      </w:pPr>
      <w:r w:rsidRPr="009B546D">
        <w:rPr>
          <w:rFonts w:cstheme="minorHAnsi"/>
        </w:rPr>
        <w:t xml:space="preserve">Alchemist Codes also uses Search Engine Optimization (SEO) to further boost and redirect traffic into </w:t>
      </w:r>
      <w:r w:rsidR="00FE3BAD" w:rsidRPr="009B546D">
        <w:rPr>
          <w:rFonts w:cstheme="minorHAnsi"/>
        </w:rPr>
        <w:t>OCTAPLUS</w:t>
      </w:r>
      <w:r w:rsidRPr="009B546D">
        <w:rPr>
          <w:rFonts w:cstheme="minorHAnsi"/>
        </w:rPr>
        <w:t xml:space="preserve">’ website. SEM is an incredibly effective way to boost traffic and to bring in potential users that may already have a certain degree of interest in the services provided. All that needs to be done is for the tailoring of content within </w:t>
      </w:r>
      <w:r w:rsidR="00FE3BAD" w:rsidRPr="009B546D">
        <w:rPr>
          <w:rFonts w:cstheme="minorHAnsi"/>
        </w:rPr>
        <w:t>OCTAPLUS</w:t>
      </w:r>
      <w:r w:rsidRPr="009B546D">
        <w:rPr>
          <w:rFonts w:cstheme="minorHAnsi"/>
        </w:rPr>
        <w:t xml:space="preserve">’ website to get better search results in search engines like Google. Alchemist Codes also studies </w:t>
      </w:r>
      <w:r w:rsidR="00FE3BAD" w:rsidRPr="009B546D">
        <w:rPr>
          <w:rFonts w:cstheme="minorHAnsi"/>
        </w:rPr>
        <w:t>OCTAPLUS</w:t>
      </w:r>
      <w:r w:rsidRPr="009B546D">
        <w:rPr>
          <w:rFonts w:cstheme="minorHAnsi"/>
        </w:rPr>
        <w:t xml:space="preserve">’ internal search feature to better understand the users’ searching habits and keywords, in order to better optimize content and further boost search engine rankings. This has thus far proven to be an effective way to gain exposure for </w:t>
      </w:r>
      <w:r w:rsidR="00FE3BAD" w:rsidRPr="009B546D">
        <w:rPr>
          <w:rFonts w:cstheme="minorHAnsi"/>
        </w:rPr>
        <w:t>OCTAPLUS</w:t>
      </w:r>
      <w:r w:rsidRPr="009B546D">
        <w:rPr>
          <w:rFonts w:cstheme="minorHAnsi"/>
        </w:rPr>
        <w:t>’ website.</w:t>
      </w:r>
    </w:p>
    <w:p w14:paraId="10061A32" w14:textId="77777777" w:rsidR="00650122" w:rsidRDefault="00650122" w:rsidP="00F432B9">
      <w:pPr>
        <w:spacing w:before="240" w:after="120" w:line="240" w:lineRule="auto"/>
        <w:rPr>
          <w:rFonts w:cstheme="minorHAnsi"/>
          <w:b/>
          <w:bCs/>
          <w:i/>
          <w:iCs/>
        </w:rPr>
      </w:pPr>
    </w:p>
    <w:p w14:paraId="6655AB36" w14:textId="77777777" w:rsidR="00650122" w:rsidRDefault="00650122" w:rsidP="00F432B9">
      <w:pPr>
        <w:spacing w:before="240" w:after="120" w:line="240" w:lineRule="auto"/>
        <w:rPr>
          <w:rFonts w:cstheme="minorHAnsi"/>
          <w:b/>
          <w:bCs/>
          <w:i/>
          <w:iCs/>
        </w:rPr>
      </w:pPr>
    </w:p>
    <w:p w14:paraId="3B032785" w14:textId="01138EB0" w:rsidR="00FA06E6" w:rsidRPr="009B546D" w:rsidRDefault="00FA06E6" w:rsidP="00F432B9">
      <w:pPr>
        <w:spacing w:before="240" w:after="120" w:line="240" w:lineRule="auto"/>
        <w:rPr>
          <w:rFonts w:cstheme="minorHAnsi"/>
          <w:b/>
          <w:bCs/>
          <w:i/>
          <w:iCs/>
        </w:rPr>
      </w:pPr>
      <w:r w:rsidRPr="009B546D">
        <w:rPr>
          <w:rFonts w:cstheme="minorHAnsi"/>
          <w:b/>
          <w:bCs/>
          <w:i/>
          <w:iCs/>
        </w:rPr>
        <w:lastRenderedPageBreak/>
        <w:t>Retailer marketing</w:t>
      </w:r>
    </w:p>
    <w:p w14:paraId="030FF0FD" w14:textId="7F8258BB" w:rsidR="00FA06E6" w:rsidRPr="009B546D" w:rsidRDefault="00FA06E6" w:rsidP="00F432B9">
      <w:pPr>
        <w:spacing w:before="240" w:after="120" w:line="240" w:lineRule="auto"/>
        <w:rPr>
          <w:rFonts w:cstheme="minorHAnsi"/>
        </w:rPr>
      </w:pPr>
      <w:r w:rsidRPr="009B546D">
        <w:rPr>
          <w:rFonts w:cstheme="minorHAnsi"/>
        </w:rPr>
        <w:t>Alchemist Codes intends to develop a retailer portal on OCTAPLUS providing retailers</w:t>
      </w:r>
      <w:r w:rsidR="002D4211" w:rsidRPr="009B546D">
        <w:rPr>
          <w:rFonts w:cstheme="minorHAnsi"/>
        </w:rPr>
        <w:t xml:space="preserve"> with </w:t>
      </w:r>
      <w:r w:rsidRPr="009B546D">
        <w:rPr>
          <w:rFonts w:cstheme="minorHAnsi"/>
        </w:rPr>
        <w:t xml:space="preserve">increased transparency and detailed analytics relating to their businesses and marketing efforts. Analytics may include data on target group behaviour, basic statistics on posts such as post impressions, engagement and click-through rate and more specific audience targeting data, such as range of interests, gender, social demographics, spending habits and active hours. </w:t>
      </w:r>
    </w:p>
    <w:p w14:paraId="159CBAF5" w14:textId="195F2095" w:rsidR="00FA06E6" w:rsidRPr="009B546D" w:rsidRDefault="00FA06E6" w:rsidP="00F432B9">
      <w:pPr>
        <w:spacing w:before="240" w:after="120" w:line="240" w:lineRule="auto"/>
        <w:rPr>
          <w:rFonts w:cstheme="minorHAnsi"/>
        </w:rPr>
      </w:pPr>
      <w:r w:rsidRPr="009B546D">
        <w:rPr>
          <w:rFonts w:cstheme="minorHAnsi"/>
        </w:rPr>
        <w:t>Alchemist Codes believes that these services are unique to OCTAPLUS and are yet to be provided any of its competitors that share similar functions. Alchemist Codes believes that such features will provide a significant advantage in attracting retailers to OCTAPL</w:t>
      </w:r>
      <w:r w:rsidR="002D4211" w:rsidRPr="009B546D">
        <w:rPr>
          <w:rFonts w:cstheme="minorHAnsi"/>
        </w:rPr>
        <w:t>U</w:t>
      </w:r>
      <w:r w:rsidRPr="009B546D">
        <w:rPr>
          <w:rFonts w:cstheme="minorHAnsi"/>
        </w:rPr>
        <w:t>S. Alchemist Codes intends to offer retailers a free limited feature package and an advanced subscription package.</w:t>
      </w:r>
    </w:p>
    <w:p w14:paraId="38BD0074" w14:textId="063B0F69" w:rsidR="00FA06E6" w:rsidRPr="009B546D" w:rsidRDefault="00FA06E6" w:rsidP="00F432B9">
      <w:pPr>
        <w:spacing w:before="240" w:after="120" w:line="240" w:lineRule="auto"/>
        <w:rPr>
          <w:rFonts w:cstheme="minorHAnsi"/>
        </w:rPr>
      </w:pPr>
      <w:r w:rsidRPr="009B546D">
        <w:rPr>
          <w:rFonts w:cstheme="minorHAnsi"/>
        </w:rPr>
        <w:t>To date, Alchemist Codes has entered into affiliate marketing agreements with three independent third party marketing networks in relation to OCTAPLUS. Each of these affiliate marketers in turn has its own relationships with retailers (</w:t>
      </w:r>
      <w:r w:rsidR="007903AC" w:rsidRPr="009B546D">
        <w:rPr>
          <w:rFonts w:cstheme="minorHAnsi"/>
        </w:rPr>
        <w:t>e.g.</w:t>
      </w:r>
      <w:r w:rsidRPr="009B546D">
        <w:rPr>
          <w:rFonts w:cstheme="minorHAnsi"/>
        </w:rPr>
        <w:t xml:space="preserve"> Lazada) and negotiates a sales commission arrangement with each individual retailer in its network. Data analytics within OCTAPLUS enable the affiliate marketer to easily monitor the purchases have been made through OCTAPLUS, enabling the affiliate marketer to identify and collect commission from the retailer before passing it on to Alchemist Codes. </w:t>
      </w:r>
    </w:p>
    <w:p w14:paraId="45C73C81" w14:textId="30D01021" w:rsidR="00FA06E6" w:rsidRPr="009B546D" w:rsidRDefault="00FA06E6" w:rsidP="00F432B9">
      <w:pPr>
        <w:spacing w:before="240" w:after="120" w:line="240" w:lineRule="auto"/>
        <w:rPr>
          <w:rFonts w:cstheme="minorHAnsi"/>
        </w:rPr>
      </w:pPr>
      <w:r w:rsidRPr="009B546D">
        <w:rPr>
          <w:rFonts w:cstheme="minorHAnsi"/>
        </w:rPr>
        <w:t xml:space="preserve">On each single transaction made through the OCTAPLUS </w:t>
      </w:r>
      <w:r w:rsidR="00886494" w:rsidRPr="009B546D">
        <w:rPr>
          <w:rFonts w:cstheme="minorHAnsi"/>
        </w:rPr>
        <w:t>application,</w:t>
      </w:r>
      <w:r w:rsidRPr="009B546D">
        <w:rPr>
          <w:rFonts w:cstheme="minorHAnsi"/>
        </w:rPr>
        <w:t xml:space="preserve"> Alchemist Codes receives a commission from the relevant retailer. Alchemist Codes then</w:t>
      </w:r>
      <w:r w:rsidR="002D4211" w:rsidRPr="009B546D">
        <w:rPr>
          <w:rFonts w:cstheme="minorHAnsi"/>
        </w:rPr>
        <w:t>,</w:t>
      </w:r>
      <w:r w:rsidRPr="009B546D">
        <w:rPr>
          <w:rFonts w:cstheme="minorHAnsi"/>
        </w:rPr>
        <w:t xml:space="preserve"> in turn</w:t>
      </w:r>
      <w:r w:rsidR="002D4211" w:rsidRPr="009B546D">
        <w:rPr>
          <w:rFonts w:cstheme="minorHAnsi"/>
        </w:rPr>
        <w:t>,</w:t>
      </w:r>
      <w:r w:rsidRPr="009B546D">
        <w:rPr>
          <w:rFonts w:cstheme="minorHAnsi"/>
        </w:rPr>
        <w:t xml:space="preserve"> rewards the purchaser with a portion of the commission Alchemist Codes collects in the form of ‘cashback’. </w:t>
      </w:r>
    </w:p>
    <w:p w14:paraId="0768FCF4" w14:textId="6FE7143E" w:rsidR="00FA06E6" w:rsidRPr="009B546D" w:rsidRDefault="00FA06E6" w:rsidP="00F432B9">
      <w:pPr>
        <w:spacing w:before="240" w:after="120" w:line="240" w:lineRule="auto"/>
        <w:rPr>
          <w:rFonts w:cstheme="minorHAnsi"/>
        </w:rPr>
      </w:pPr>
      <w:r w:rsidRPr="009B546D">
        <w:rPr>
          <w:rFonts w:cstheme="minorHAnsi"/>
        </w:rPr>
        <w:t>Alchemist Codes has</w:t>
      </w:r>
      <w:r w:rsidR="002D4211" w:rsidRPr="009B546D">
        <w:rPr>
          <w:rFonts w:cstheme="minorHAnsi"/>
        </w:rPr>
        <w:t>,</w:t>
      </w:r>
      <w:r w:rsidRPr="009B546D">
        <w:rPr>
          <w:rFonts w:cstheme="minorHAnsi"/>
        </w:rPr>
        <w:t xml:space="preserve"> to date</w:t>
      </w:r>
      <w:r w:rsidR="002D4211" w:rsidRPr="009B546D">
        <w:rPr>
          <w:rFonts w:cstheme="minorHAnsi"/>
        </w:rPr>
        <w:t>,</w:t>
      </w:r>
      <w:r w:rsidRPr="009B546D">
        <w:rPr>
          <w:rFonts w:cstheme="minorHAnsi"/>
        </w:rPr>
        <w:t xml:space="preserve"> achieved a blended commission rate of approximately 7 per cent. The industry standard rate typically ranges between 2 and 10 per cent. </w:t>
      </w:r>
    </w:p>
    <w:p w14:paraId="61BCD92E" w14:textId="0F0081B1" w:rsidR="00FA06E6" w:rsidRPr="009B546D" w:rsidRDefault="00FA06E6" w:rsidP="00F432B9">
      <w:pPr>
        <w:spacing w:before="240" w:after="120" w:line="240" w:lineRule="auto"/>
        <w:rPr>
          <w:rFonts w:cstheme="minorHAnsi"/>
        </w:rPr>
      </w:pPr>
      <w:r w:rsidRPr="009B546D">
        <w:rPr>
          <w:rFonts w:cstheme="minorHAnsi"/>
        </w:rPr>
        <w:t>Alchemist Codes has deliberately targeted marketing affiliates that do not charge a fee for their service, instead focusing on partnering with those that collect, monitor and track big-data and traffic through OCTAPLUS</w:t>
      </w:r>
      <w:r w:rsidR="002D4211" w:rsidRPr="009B546D">
        <w:rPr>
          <w:rFonts w:cstheme="minorHAnsi"/>
        </w:rPr>
        <w:t>.</w:t>
      </w:r>
    </w:p>
    <w:p w14:paraId="24E4B0EC" w14:textId="77777777" w:rsidR="00FA06E6" w:rsidRPr="009B546D" w:rsidRDefault="00FA06E6" w:rsidP="00F432B9">
      <w:pPr>
        <w:spacing w:line="240" w:lineRule="auto"/>
        <w:rPr>
          <w:rFonts w:cstheme="minorHAnsi"/>
          <w:i/>
          <w:iCs/>
        </w:rPr>
      </w:pPr>
      <w:r w:rsidRPr="009B546D">
        <w:rPr>
          <w:rFonts w:cstheme="minorHAnsi"/>
          <w:i/>
          <w:iCs/>
        </w:rPr>
        <w:t>OCTAPLUS proposition to retailers</w:t>
      </w:r>
    </w:p>
    <w:p w14:paraId="74642732" w14:textId="77777777" w:rsidR="00FA06E6" w:rsidRPr="009B546D" w:rsidRDefault="00FA06E6" w:rsidP="00496B89">
      <w:pPr>
        <w:spacing w:before="240" w:after="120" w:line="240" w:lineRule="auto"/>
        <w:rPr>
          <w:rFonts w:cstheme="minorHAnsi"/>
        </w:rPr>
      </w:pPr>
      <w:r w:rsidRPr="009B546D">
        <w:rPr>
          <w:rFonts w:cstheme="minorHAnsi"/>
        </w:rPr>
        <w:t xml:space="preserve">Through a combination of data mining techniques (pattern tracking, classifications, associations, outlier detection, clustering, regression and prediction), data transformation (smoothing, aggregation, generalisation, normalisation and attribute construction) and data processing techniques (prediction, association, clustering and forecasting) OCTAPLUS is able to capture and interpret large quantities of user behaviour data. </w:t>
      </w:r>
    </w:p>
    <w:p w14:paraId="4140A4B9" w14:textId="77777777" w:rsidR="00FA06E6" w:rsidRPr="009B546D" w:rsidRDefault="00FA06E6" w:rsidP="00F432B9">
      <w:pPr>
        <w:spacing w:before="240" w:after="120" w:line="240" w:lineRule="auto"/>
        <w:rPr>
          <w:rFonts w:cstheme="minorHAnsi"/>
        </w:rPr>
      </w:pPr>
      <w:r w:rsidRPr="009B546D">
        <w:rPr>
          <w:rFonts w:cstheme="minorHAnsi"/>
        </w:rPr>
        <w:t>This user data is then made available to retailers to identify behavioural patterns and trends which can be used to drive a retailer’s sales through OCTAPLUS.</w:t>
      </w:r>
    </w:p>
    <w:p w14:paraId="67FC14E9" w14:textId="77777777" w:rsidR="00FA06E6" w:rsidRPr="009B546D" w:rsidRDefault="00FA06E6" w:rsidP="00F432B9">
      <w:pPr>
        <w:spacing w:before="240" w:after="120" w:line="240" w:lineRule="auto"/>
        <w:rPr>
          <w:rFonts w:cstheme="minorHAnsi"/>
        </w:rPr>
      </w:pPr>
      <w:r w:rsidRPr="009B546D">
        <w:rPr>
          <w:rFonts w:cstheme="minorHAnsi"/>
        </w:rPr>
        <w:t>Real-time analysis of user activity on OCTAPLUS through data such as clicks, page views, purchases and product information and the use of trained algorithms will enable OCTAPLUS to analyse and identify a retailer’s products that would be most interesting to each individual user. Such data analytics will also provide retailers with great options and more effective means of advertising. Other benefits may include more accurate forecasting capabilities on their targeted market and better anticipation of developing consumer trends.</w:t>
      </w:r>
    </w:p>
    <w:p w14:paraId="4CBB2854" w14:textId="77777777" w:rsidR="00FA06E6" w:rsidRPr="009B546D" w:rsidRDefault="00FA06E6" w:rsidP="00F432B9">
      <w:pPr>
        <w:spacing w:line="240" w:lineRule="auto"/>
        <w:rPr>
          <w:rFonts w:cstheme="minorHAnsi"/>
          <w:i/>
          <w:iCs/>
        </w:rPr>
      </w:pPr>
      <w:r w:rsidRPr="009B546D">
        <w:rPr>
          <w:rFonts w:cstheme="minorHAnsi"/>
          <w:i/>
          <w:iCs/>
        </w:rPr>
        <w:t>OCTAPLUS proposition to consumers</w:t>
      </w:r>
    </w:p>
    <w:p w14:paraId="243D0979" w14:textId="0A31D1A6" w:rsidR="00633088" w:rsidRPr="009B546D" w:rsidRDefault="00FA06E6" w:rsidP="00496B89">
      <w:pPr>
        <w:spacing w:before="240" w:after="120" w:line="240" w:lineRule="auto"/>
        <w:rPr>
          <w:rFonts w:cstheme="minorHAnsi"/>
        </w:rPr>
      </w:pPr>
      <w:r w:rsidRPr="009B546D">
        <w:rPr>
          <w:rFonts w:cstheme="minorHAnsi"/>
        </w:rPr>
        <w:t>In addition to benefiting retailers, Alchemist Codes’ focus on data mining and AI within OCTAPLUS</w:t>
      </w:r>
      <w:r w:rsidR="00A83D72" w:rsidRPr="009B546D">
        <w:rPr>
          <w:rFonts w:cstheme="minorHAnsi"/>
        </w:rPr>
        <w:t xml:space="preserve"> application</w:t>
      </w:r>
      <w:r w:rsidR="002D4211" w:rsidRPr="009B546D">
        <w:rPr>
          <w:rFonts w:cstheme="minorHAnsi"/>
        </w:rPr>
        <w:t xml:space="preserve"> </w:t>
      </w:r>
      <w:r w:rsidRPr="009B546D">
        <w:rPr>
          <w:rFonts w:cstheme="minorHAnsi"/>
        </w:rPr>
        <w:t xml:space="preserve">benefits users as they receive increasingly intelligent search results, </w:t>
      </w:r>
      <w:r w:rsidR="00A83D72" w:rsidRPr="009B546D">
        <w:rPr>
          <w:rFonts w:cstheme="minorHAnsi"/>
        </w:rPr>
        <w:t xml:space="preserve">then </w:t>
      </w:r>
      <w:r w:rsidRPr="009B546D">
        <w:rPr>
          <w:rFonts w:cstheme="minorHAnsi"/>
        </w:rPr>
        <w:t>aggregating information from multiple provide</w:t>
      </w:r>
      <w:r w:rsidR="00A83D72" w:rsidRPr="009B546D">
        <w:rPr>
          <w:rFonts w:cstheme="minorHAnsi"/>
        </w:rPr>
        <w:t>r</w:t>
      </w:r>
      <w:r w:rsidRPr="009B546D">
        <w:rPr>
          <w:rFonts w:cstheme="minorHAnsi"/>
        </w:rPr>
        <w:t>s and platforms delivering a more comprehensive set of recommendations, ultimately providing the user a higher quality experience. By combining forecasting and personalisation processes</w:t>
      </w:r>
      <w:r w:rsidR="002D4211" w:rsidRPr="009B546D">
        <w:rPr>
          <w:rFonts w:cstheme="minorHAnsi"/>
        </w:rPr>
        <w:t>,</w:t>
      </w:r>
      <w:r w:rsidRPr="009B546D">
        <w:rPr>
          <w:rFonts w:cstheme="minorHAnsi"/>
        </w:rPr>
        <w:t xml:space="preserve"> OCTAPLUS is able to build upon historical time series to determine which products to recommend to the user (e.g. winter clothes recommendation if the user is located in areas where the temperature is dropping</w:t>
      </w:r>
      <w:r w:rsidR="002D4211" w:rsidRPr="009B546D">
        <w:rPr>
          <w:rFonts w:cstheme="minorHAnsi"/>
        </w:rPr>
        <w:t>,</w:t>
      </w:r>
      <w:r w:rsidRPr="009B546D">
        <w:rPr>
          <w:rFonts w:cstheme="minorHAnsi"/>
        </w:rPr>
        <w:t xml:space="preserve"> instead of casual t-shirts). </w:t>
      </w:r>
    </w:p>
    <w:p w14:paraId="36944AE5" w14:textId="77777777" w:rsidR="00650122" w:rsidRDefault="00650122" w:rsidP="00EA2BB6"/>
    <w:p w14:paraId="5D52C33B" w14:textId="77777777" w:rsidR="00650122" w:rsidRDefault="00650122" w:rsidP="00EA2BB6"/>
    <w:p w14:paraId="7D5B8DC3" w14:textId="6A9B27CD" w:rsidR="00FA06E6" w:rsidRPr="009B546D" w:rsidRDefault="00FA06E6" w:rsidP="00496B89">
      <w:pPr>
        <w:pStyle w:val="Heading2"/>
        <w:keepNext w:val="0"/>
        <w:widowControl w:val="0"/>
        <w:spacing w:before="0" w:after="120" w:line="240" w:lineRule="auto"/>
        <w:rPr>
          <w:rFonts w:asciiTheme="minorHAnsi" w:eastAsia="Calibri" w:hAnsiTheme="minorHAnsi" w:cstheme="minorHAnsi"/>
          <w:szCs w:val="20"/>
        </w:rPr>
      </w:pPr>
      <w:r w:rsidRPr="009B546D">
        <w:rPr>
          <w:rFonts w:asciiTheme="minorHAnsi" w:eastAsia="Calibri" w:hAnsiTheme="minorHAnsi" w:cstheme="minorHAnsi"/>
          <w:szCs w:val="20"/>
        </w:rPr>
        <w:lastRenderedPageBreak/>
        <w:t>Market size and key industry trends</w:t>
      </w:r>
      <w:r w:rsidR="002D4211" w:rsidRPr="009B546D">
        <w:rPr>
          <w:rFonts w:asciiTheme="minorHAnsi" w:eastAsia="Calibri" w:hAnsiTheme="minorHAnsi" w:cstheme="minorHAnsi"/>
          <w:szCs w:val="20"/>
        </w:rPr>
        <w:t xml:space="preserve"> </w:t>
      </w:r>
    </w:p>
    <w:p w14:paraId="3C5A6C33" w14:textId="77777777" w:rsidR="00FA06E6" w:rsidRPr="009B546D" w:rsidRDefault="00FA06E6" w:rsidP="00F432B9">
      <w:pPr>
        <w:spacing w:after="120" w:line="240" w:lineRule="auto"/>
        <w:rPr>
          <w:rFonts w:cstheme="minorHAnsi"/>
          <w:b/>
        </w:rPr>
      </w:pPr>
      <w:r w:rsidRPr="009B546D">
        <w:rPr>
          <w:rFonts w:cstheme="minorHAnsi"/>
          <w:b/>
        </w:rPr>
        <w:t>Malaysia</w:t>
      </w:r>
    </w:p>
    <w:p w14:paraId="73F5ABD4" w14:textId="77777777" w:rsidR="00FA06E6" w:rsidRPr="009B546D" w:rsidRDefault="00FA06E6" w:rsidP="00F432B9">
      <w:pPr>
        <w:spacing w:after="120" w:line="240" w:lineRule="auto"/>
        <w:rPr>
          <w:rFonts w:cstheme="minorHAnsi"/>
          <w:b/>
          <w:bCs/>
          <w:i/>
          <w:iCs/>
        </w:rPr>
      </w:pPr>
      <w:r w:rsidRPr="009B546D">
        <w:rPr>
          <w:rFonts w:cstheme="minorHAnsi"/>
          <w:b/>
          <w:bCs/>
          <w:i/>
          <w:iCs/>
        </w:rPr>
        <w:t>Population</w:t>
      </w:r>
    </w:p>
    <w:p w14:paraId="32CDD2E9" w14:textId="2C926188" w:rsidR="00FA06E6" w:rsidRPr="009B546D" w:rsidRDefault="00FA06E6" w:rsidP="00F432B9">
      <w:pPr>
        <w:spacing w:after="120" w:line="240" w:lineRule="auto"/>
        <w:rPr>
          <w:rFonts w:cstheme="minorHAnsi"/>
        </w:rPr>
      </w:pPr>
      <w:r w:rsidRPr="009B546D">
        <w:rPr>
          <w:rFonts w:cstheme="minorHAnsi"/>
        </w:rPr>
        <w:t>Malaysia has a population of c.32 million with a projected population growth rate of 1.25 per cent</w:t>
      </w:r>
      <w:r w:rsidR="00683C33" w:rsidRPr="00384557">
        <w:rPr>
          <w:rStyle w:val="FootnoteReference"/>
          <w:rFonts w:asciiTheme="minorHAnsi" w:hAnsiTheme="minorHAnsi" w:cstheme="minorHAnsi"/>
        </w:rPr>
        <w:footnoteReference w:id="2"/>
      </w:r>
      <w:r w:rsidRPr="00384557">
        <w:rPr>
          <w:rFonts w:cstheme="minorHAnsi"/>
        </w:rPr>
        <w:t xml:space="preserve">. The Malaysian government has successfully </w:t>
      </w:r>
      <w:r w:rsidRPr="009B546D">
        <w:rPr>
          <w:rFonts w:cstheme="minorHAnsi"/>
        </w:rPr>
        <w:t>implemented a policy agenda that has fostered economic mobility, enhanced economic security across economic classes and strengthened domestic supply side institutions and policies</w:t>
      </w:r>
      <w:r w:rsidR="005053B0" w:rsidRPr="00384557">
        <w:rPr>
          <w:rStyle w:val="FootnoteReference"/>
          <w:rFonts w:asciiTheme="minorHAnsi" w:hAnsiTheme="minorHAnsi" w:cstheme="minorHAnsi"/>
        </w:rPr>
        <w:footnoteReference w:id="3"/>
      </w:r>
      <w:r w:rsidRPr="00384557">
        <w:rPr>
          <w:rFonts w:cstheme="minorHAnsi"/>
        </w:rPr>
        <w:t>. Currently Malaysia is ranked 1</w:t>
      </w:r>
      <w:r w:rsidR="00562E13" w:rsidRPr="009B546D">
        <w:rPr>
          <w:rFonts w:cstheme="minorHAnsi"/>
        </w:rPr>
        <w:t>2</w:t>
      </w:r>
      <w:r w:rsidR="00562E13" w:rsidRPr="009B546D">
        <w:rPr>
          <w:rFonts w:cstheme="minorHAnsi"/>
          <w:vertAlign w:val="superscript"/>
        </w:rPr>
        <w:t>th</w:t>
      </w:r>
      <w:r w:rsidR="00562E13" w:rsidRPr="009B546D">
        <w:rPr>
          <w:rFonts w:cstheme="minorHAnsi"/>
        </w:rPr>
        <w:t xml:space="preserve"> </w:t>
      </w:r>
      <w:r w:rsidRPr="009B546D">
        <w:rPr>
          <w:rFonts w:cstheme="minorHAnsi"/>
        </w:rPr>
        <w:t>among 190 economies in the ease of doing business</w:t>
      </w:r>
      <w:r w:rsidR="00B06952" w:rsidRPr="00384557">
        <w:rPr>
          <w:rStyle w:val="FootnoteReference"/>
          <w:rFonts w:asciiTheme="minorHAnsi" w:hAnsiTheme="minorHAnsi" w:cstheme="minorHAnsi"/>
        </w:rPr>
        <w:footnoteReference w:id="4"/>
      </w:r>
      <w:r w:rsidRPr="00384557">
        <w:rPr>
          <w:rFonts w:cstheme="minorHAnsi"/>
        </w:rPr>
        <w:t>. This success in economic policy has facilitated the mass elevation of the Malaysian population into the middle class. The national priority of the Malaysian government in recent years has been on enabling and encouraging the shift towards a d</w:t>
      </w:r>
      <w:r w:rsidRPr="009B546D">
        <w:rPr>
          <w:rFonts w:cstheme="minorHAnsi"/>
        </w:rPr>
        <w:t xml:space="preserve">igital economy as reflected by its 5G Agenda. This focus on shifting the economy towards high technology and value add services will allow Malaysia to enter into the competitive forefront of global trade. </w:t>
      </w:r>
    </w:p>
    <w:p w14:paraId="1D2107E4" w14:textId="77777777" w:rsidR="00FA06E6" w:rsidRPr="009B546D" w:rsidRDefault="00FA06E6" w:rsidP="00F432B9">
      <w:pPr>
        <w:spacing w:after="120" w:line="240" w:lineRule="auto"/>
        <w:rPr>
          <w:rFonts w:cstheme="minorHAnsi"/>
          <w:b/>
          <w:bCs/>
          <w:i/>
          <w:iCs/>
        </w:rPr>
      </w:pPr>
      <w:r w:rsidRPr="009B546D">
        <w:rPr>
          <w:rFonts w:cstheme="minorHAnsi"/>
          <w:b/>
          <w:bCs/>
          <w:i/>
          <w:iCs/>
        </w:rPr>
        <w:t>Economy</w:t>
      </w:r>
    </w:p>
    <w:p w14:paraId="1738881A" w14:textId="0A6BCAEB" w:rsidR="00FA06E6" w:rsidRPr="009B546D" w:rsidRDefault="00FA06E6" w:rsidP="00F432B9">
      <w:pPr>
        <w:spacing w:after="120" w:line="240" w:lineRule="auto"/>
        <w:rPr>
          <w:rFonts w:cstheme="minorHAnsi"/>
        </w:rPr>
      </w:pPr>
      <w:r w:rsidRPr="009B546D">
        <w:rPr>
          <w:rFonts w:cstheme="minorHAnsi"/>
        </w:rPr>
        <w:t>The Malaysian economy is the third largest in Southeast Asia with a high labour productivity rate and high density of knowledge-based industries in relation to its peers within the region. According to the World Bank</w:t>
      </w:r>
      <w:r w:rsidR="00CA26CC" w:rsidRPr="00384557">
        <w:rPr>
          <w:rStyle w:val="FootnoteReference"/>
          <w:rFonts w:asciiTheme="minorHAnsi" w:hAnsiTheme="minorHAnsi" w:cstheme="minorHAnsi"/>
        </w:rPr>
        <w:footnoteReference w:id="5"/>
      </w:r>
      <w:r w:rsidRPr="00384557">
        <w:rPr>
          <w:rFonts w:cstheme="minorHAnsi"/>
        </w:rPr>
        <w:t xml:space="preserve">, Malaysia has seen strong economic growth of 4.7 per cent. in 2018 and 4.6 per </w:t>
      </w:r>
      <w:r w:rsidRPr="009B546D">
        <w:rPr>
          <w:rFonts w:cstheme="minorHAnsi"/>
        </w:rPr>
        <w:t>cent. in 2019 of its G</w:t>
      </w:r>
      <w:r w:rsidR="002D4211" w:rsidRPr="009B546D">
        <w:rPr>
          <w:rFonts w:cstheme="minorHAnsi"/>
        </w:rPr>
        <w:t xml:space="preserve">ross </w:t>
      </w:r>
      <w:r w:rsidRPr="009B546D">
        <w:rPr>
          <w:rFonts w:cstheme="minorHAnsi"/>
        </w:rPr>
        <w:t>D</w:t>
      </w:r>
      <w:r w:rsidR="002D4211" w:rsidRPr="009B546D">
        <w:rPr>
          <w:rFonts w:cstheme="minorHAnsi"/>
        </w:rPr>
        <w:t xml:space="preserve">omestic </w:t>
      </w:r>
      <w:r w:rsidRPr="009B546D">
        <w:rPr>
          <w:rFonts w:cstheme="minorHAnsi"/>
        </w:rPr>
        <w:t>P</w:t>
      </w:r>
      <w:r w:rsidR="002D4211" w:rsidRPr="009B546D">
        <w:rPr>
          <w:rFonts w:cstheme="minorHAnsi"/>
        </w:rPr>
        <w:t>roduct</w:t>
      </w:r>
      <w:r w:rsidRPr="009B546D">
        <w:rPr>
          <w:rFonts w:cstheme="minorHAnsi"/>
        </w:rPr>
        <w:t>. The strong economic growth rate is expected to remain constant in the near term, with Malaysia on track to achieve high income economy status by 2024.</w:t>
      </w:r>
      <w:r w:rsidR="007D7B13" w:rsidRPr="009B546D">
        <w:rPr>
          <w:rFonts w:cstheme="minorHAnsi"/>
        </w:rPr>
        <w:t xml:space="preserve"> </w:t>
      </w:r>
      <w:r w:rsidRPr="009B546D">
        <w:rPr>
          <w:rFonts w:cstheme="minorHAnsi"/>
        </w:rPr>
        <w:t xml:space="preserve">The strong economic growth rate of Malaysia has been driven by its underlying economic fundamentals of private consumption growth supported </w:t>
      </w:r>
      <w:r w:rsidR="005E7D47" w:rsidRPr="009B546D">
        <w:rPr>
          <w:rFonts w:cstheme="minorHAnsi"/>
        </w:rPr>
        <w:t xml:space="preserve">by </w:t>
      </w:r>
      <w:r w:rsidRPr="009B546D">
        <w:rPr>
          <w:rFonts w:cstheme="minorHAnsi"/>
        </w:rPr>
        <w:t>near full employment.</w:t>
      </w:r>
    </w:p>
    <w:p w14:paraId="6ECA11DA" w14:textId="36C98C46" w:rsidR="00FA06E6" w:rsidRPr="009B546D" w:rsidRDefault="00FA06E6" w:rsidP="00F432B9">
      <w:pPr>
        <w:spacing w:after="120" w:line="240" w:lineRule="auto"/>
        <w:rPr>
          <w:rFonts w:cstheme="minorHAnsi"/>
          <w:b/>
        </w:rPr>
      </w:pPr>
      <w:r w:rsidRPr="009B546D">
        <w:rPr>
          <w:rFonts w:cstheme="minorHAnsi"/>
          <w:b/>
          <w:i/>
          <w:iCs/>
        </w:rPr>
        <w:t xml:space="preserve">Internet </w:t>
      </w:r>
      <w:r w:rsidR="002D4211" w:rsidRPr="009B546D">
        <w:rPr>
          <w:rFonts w:cstheme="minorHAnsi"/>
          <w:b/>
          <w:i/>
          <w:iCs/>
        </w:rPr>
        <w:t>c</w:t>
      </w:r>
      <w:r w:rsidRPr="009B546D">
        <w:rPr>
          <w:rFonts w:cstheme="minorHAnsi"/>
          <w:b/>
          <w:i/>
          <w:iCs/>
        </w:rPr>
        <w:t>ulture</w:t>
      </w:r>
    </w:p>
    <w:p w14:paraId="591BD22D" w14:textId="0FC78182" w:rsidR="00FA06E6" w:rsidRPr="009B546D" w:rsidRDefault="00FA06E6" w:rsidP="00F432B9">
      <w:pPr>
        <w:spacing w:after="120" w:line="240" w:lineRule="auto"/>
        <w:rPr>
          <w:rFonts w:cstheme="minorHAnsi"/>
        </w:rPr>
      </w:pPr>
      <w:r w:rsidRPr="009B546D">
        <w:rPr>
          <w:rFonts w:cstheme="minorHAnsi"/>
        </w:rPr>
        <w:t>According to the World Bank, more than 80 per cent. of Malaysians are digitally connected</w:t>
      </w:r>
      <w:r w:rsidR="00A96F5C" w:rsidRPr="00384557">
        <w:rPr>
          <w:rStyle w:val="FootnoteReference"/>
          <w:rFonts w:asciiTheme="minorHAnsi" w:hAnsiTheme="minorHAnsi" w:cstheme="minorHAnsi"/>
        </w:rPr>
        <w:footnoteReference w:id="6"/>
      </w:r>
      <w:r w:rsidRPr="00384557">
        <w:rPr>
          <w:rFonts w:cstheme="minorHAnsi"/>
        </w:rPr>
        <w:t>. The connectivity of Malaysians has been f</w:t>
      </w:r>
      <w:r w:rsidRPr="009B546D">
        <w:rPr>
          <w:rFonts w:cstheme="minorHAnsi"/>
        </w:rPr>
        <w:t>acilitated by large technological infrastructure investments into telecommunication networks combined with widespread adoption of mobile phones and devices by Malaysians. The domestic consumer spending behaviour has been shifting with the rise of the middle class within the economy. Higher human capital and income has led to improved technological access and technological demand for channels such as e-commerce. E-commerce refers to the buying and selling of goods or services using the internet, and the transfer of money and data to execute these transactions. E-commerce is often used to refer to the sale of physical products online, but it can also describe any kind of commercial transaction that is facilitated through the internet. A survey conducted by GlobalWebIndex in Q2 2019</w:t>
      </w:r>
      <w:r w:rsidR="000F5F89" w:rsidRPr="00384557">
        <w:rPr>
          <w:rStyle w:val="FootnoteReference"/>
          <w:rFonts w:asciiTheme="minorHAnsi" w:hAnsiTheme="minorHAnsi" w:cstheme="minorHAnsi"/>
        </w:rPr>
        <w:footnoteReference w:id="7"/>
      </w:r>
      <w:r w:rsidRPr="00384557">
        <w:rPr>
          <w:rFonts w:cstheme="minorHAnsi"/>
        </w:rPr>
        <w:t xml:space="preserve"> showed that 91 per cent. of Malaysian internet users aged 16 to 64 ha</w:t>
      </w:r>
      <w:r w:rsidR="005E7D47" w:rsidRPr="009B546D">
        <w:rPr>
          <w:rFonts w:cstheme="minorHAnsi"/>
        </w:rPr>
        <w:t>d</w:t>
      </w:r>
      <w:r w:rsidRPr="009B546D">
        <w:rPr>
          <w:rFonts w:cstheme="minorHAnsi"/>
        </w:rPr>
        <w:t xml:space="preserve"> searched online for a product or service to purchase and 80 per cent. ha</w:t>
      </w:r>
      <w:r w:rsidR="005E7D47" w:rsidRPr="009B546D">
        <w:rPr>
          <w:rFonts w:cstheme="minorHAnsi"/>
        </w:rPr>
        <w:t>d</w:t>
      </w:r>
      <w:r w:rsidRPr="009B546D">
        <w:rPr>
          <w:rFonts w:cstheme="minorHAnsi"/>
        </w:rPr>
        <w:t xml:space="preserve"> purchased a product or service online and the device used to make the online purchase had a split of 37 per cent. and 62 per cent. between a desktop computer and mobile phone respectively. Increasingly e-commerce based platforms and solutions are becoming the new frontier that is an imperative for retailers to utilise to capture or maintain market share and to broaden its customer base. </w:t>
      </w:r>
    </w:p>
    <w:p w14:paraId="1B5AFD77" w14:textId="6A79F526" w:rsidR="00FA06E6" w:rsidRPr="009B546D" w:rsidRDefault="00FA06E6" w:rsidP="00F432B9">
      <w:pPr>
        <w:spacing w:after="120" w:line="240" w:lineRule="auto"/>
        <w:rPr>
          <w:rFonts w:cstheme="minorHAnsi"/>
        </w:rPr>
      </w:pPr>
      <w:r w:rsidRPr="009B546D">
        <w:rPr>
          <w:rFonts w:cstheme="minorHAnsi"/>
        </w:rPr>
        <w:t>An A.T Kearney report</w:t>
      </w:r>
      <w:r w:rsidR="005A4706" w:rsidRPr="00384557">
        <w:rPr>
          <w:rStyle w:val="FootnoteReference"/>
          <w:rFonts w:asciiTheme="minorHAnsi" w:hAnsiTheme="minorHAnsi" w:cstheme="minorHAnsi"/>
        </w:rPr>
        <w:footnoteReference w:id="8"/>
      </w:r>
      <w:r w:rsidRPr="00384557">
        <w:rPr>
          <w:rFonts w:cstheme="minorHAnsi"/>
        </w:rPr>
        <w:t xml:space="preserve"> showed that 47 per cent. of Malaysians reported that they have a propensity to buy goods online.</w:t>
      </w:r>
      <w:r w:rsidRPr="009B546D">
        <w:rPr>
          <w:rFonts w:cstheme="minorHAnsi"/>
        </w:rPr>
        <w:t xml:space="preserve"> Over 63 per cent. of the population of Malaysia are aged 35 or below, the high level of acceptance of utilisation of e-commerce and the relatively young population combines for a strong online culture that creates a positive behavioural cycle of e-commerce demand. In addition to the widespread acceptance of Malaysian online users spend at least 16 hours online per week on average and approximately 31 per cent. of that time is spent on social media. Increasingly physical retailers and e-commerce-based retailers are exploring social media-based advertising and marketing techniques to capture this youth market who are spending more and more time on social media channels instead of traditional mainstream media channels. Social media channels include forums, personal or corporate blogs, personal or corporate video blogs, Twitter and other microblogging networks, YouTube and other video sharing platforms, Facebook and other social networking services, Instagram and other photo sharing services which all provide a range of non-traditional and alternative means of advertising and marketing products and services via a self-maintained account or through influencers on the channels. </w:t>
      </w:r>
    </w:p>
    <w:p w14:paraId="0CBA6E0A" w14:textId="53A6E3DF" w:rsidR="00FA06E6" w:rsidRPr="009B546D" w:rsidRDefault="002D4211" w:rsidP="00F432B9">
      <w:pPr>
        <w:spacing w:after="120" w:line="240" w:lineRule="auto"/>
        <w:rPr>
          <w:rFonts w:cstheme="minorHAnsi"/>
        </w:rPr>
      </w:pPr>
      <w:r w:rsidRPr="009B546D">
        <w:rPr>
          <w:rFonts w:cstheme="minorHAnsi"/>
        </w:rPr>
        <w:lastRenderedPageBreak/>
        <w:t>The t</w:t>
      </w:r>
      <w:r w:rsidR="00FA06E6" w:rsidRPr="009B546D">
        <w:rPr>
          <w:rFonts w:cstheme="minorHAnsi"/>
        </w:rPr>
        <w:t>op</w:t>
      </w:r>
      <w:r w:rsidR="000C7D48" w:rsidRPr="009B546D">
        <w:rPr>
          <w:rFonts w:cstheme="minorHAnsi"/>
        </w:rPr>
        <w:t xml:space="preserve"> </w:t>
      </w:r>
      <w:r w:rsidR="00FA06E6" w:rsidRPr="009B546D">
        <w:rPr>
          <w:rFonts w:cstheme="minorHAnsi"/>
        </w:rPr>
        <w:t xml:space="preserve">social </w:t>
      </w:r>
      <w:r w:rsidR="000C7D48" w:rsidRPr="009B546D">
        <w:rPr>
          <w:rFonts w:cstheme="minorHAnsi"/>
        </w:rPr>
        <w:t xml:space="preserve">networking </w:t>
      </w:r>
      <w:r w:rsidR="00FA06E6" w:rsidRPr="009B546D">
        <w:rPr>
          <w:rFonts w:cstheme="minorHAnsi"/>
        </w:rPr>
        <w:t>platforms</w:t>
      </w:r>
      <w:r w:rsidR="00646FF1" w:rsidRPr="009B546D">
        <w:rPr>
          <w:rFonts w:cstheme="minorHAnsi"/>
        </w:rPr>
        <w:t xml:space="preserve"> by user penetration</w:t>
      </w:r>
      <w:r w:rsidR="00FA06E6" w:rsidRPr="009B546D">
        <w:rPr>
          <w:rFonts w:cstheme="minorHAnsi"/>
        </w:rPr>
        <w:t xml:space="preserve"> in Malaysia</w:t>
      </w:r>
      <w:r w:rsidRPr="009B546D">
        <w:rPr>
          <w:rFonts w:cstheme="minorHAnsi"/>
        </w:rPr>
        <w:t xml:space="preserve"> are as follows:</w:t>
      </w:r>
    </w:p>
    <w:tbl>
      <w:tblPr>
        <w:tblW w:w="6203" w:type="dxa"/>
        <w:jc w:val="center"/>
        <w:tblCellMar>
          <w:left w:w="0" w:type="dxa"/>
          <w:right w:w="0" w:type="dxa"/>
        </w:tblCellMar>
        <w:tblLook w:val="04A0" w:firstRow="1" w:lastRow="0" w:firstColumn="1" w:lastColumn="0" w:noHBand="0" w:noVBand="1"/>
      </w:tblPr>
      <w:tblGrid>
        <w:gridCol w:w="5274"/>
        <w:gridCol w:w="929"/>
      </w:tblGrid>
      <w:tr w:rsidR="001D2791" w:rsidRPr="009B546D" w14:paraId="04751324" w14:textId="77777777" w:rsidTr="00EA2BB6">
        <w:trPr>
          <w:trHeight w:val="80"/>
          <w:jc w:val="center"/>
        </w:trPr>
        <w:tc>
          <w:tcPr>
            <w:tcW w:w="5274" w:type="dxa"/>
            <w:tcBorders>
              <w:top w:val="nil"/>
              <w:left w:val="nil"/>
              <w:bottom w:val="nil"/>
              <w:right w:val="nil"/>
            </w:tcBorders>
            <w:shd w:val="clear" w:color="000000" w:fill="A6A6A6"/>
            <w:tcMar>
              <w:top w:w="0" w:type="dxa"/>
              <w:left w:w="15" w:type="dxa"/>
              <w:bottom w:w="0" w:type="dxa"/>
              <w:right w:w="15" w:type="dxa"/>
            </w:tcMar>
            <w:vAlign w:val="center"/>
            <w:hideMark/>
          </w:tcPr>
          <w:p w14:paraId="442BE127" w14:textId="1B6C4FEC" w:rsidR="001D2791" w:rsidRPr="009B546D" w:rsidRDefault="001D2791" w:rsidP="000C7962">
            <w:pPr>
              <w:spacing w:after="0" w:line="240" w:lineRule="auto"/>
              <w:jc w:val="left"/>
              <w:rPr>
                <w:rFonts w:cstheme="minorHAnsi"/>
                <w:b/>
                <w:bCs/>
                <w:color w:val="000000"/>
                <w:sz w:val="18"/>
                <w:szCs w:val="18"/>
              </w:rPr>
            </w:pPr>
            <w:r w:rsidRPr="009B546D">
              <w:rPr>
                <w:rFonts w:cstheme="minorHAnsi"/>
                <w:b/>
                <w:bCs/>
                <w:color w:val="000000"/>
                <w:sz w:val="18"/>
                <w:szCs w:val="18"/>
              </w:rPr>
              <w:t>Account ownership, as percentage of social networking users</w:t>
            </w:r>
          </w:p>
        </w:tc>
        <w:tc>
          <w:tcPr>
            <w:tcW w:w="929" w:type="dxa"/>
            <w:tcBorders>
              <w:top w:val="nil"/>
              <w:left w:val="nil"/>
              <w:bottom w:val="nil"/>
              <w:right w:val="nil"/>
            </w:tcBorders>
            <w:shd w:val="clear" w:color="000000" w:fill="A6A6A6"/>
            <w:tcMar>
              <w:top w:w="0" w:type="dxa"/>
              <w:left w:w="15" w:type="dxa"/>
              <w:bottom w:w="0" w:type="dxa"/>
              <w:right w:w="15" w:type="dxa"/>
            </w:tcMar>
            <w:vAlign w:val="center"/>
            <w:hideMark/>
          </w:tcPr>
          <w:p w14:paraId="6269808A" w14:textId="77777777" w:rsidR="001D2791" w:rsidRPr="009B546D" w:rsidRDefault="001D2791" w:rsidP="000C7962">
            <w:pPr>
              <w:spacing w:after="0" w:line="240" w:lineRule="auto"/>
              <w:jc w:val="left"/>
              <w:rPr>
                <w:rFonts w:cstheme="minorHAnsi"/>
                <w:b/>
                <w:bCs/>
                <w:color w:val="000000"/>
                <w:sz w:val="18"/>
                <w:szCs w:val="18"/>
              </w:rPr>
            </w:pPr>
            <w:r w:rsidRPr="009B546D">
              <w:rPr>
                <w:rFonts w:cstheme="minorHAnsi"/>
                <w:b/>
                <w:bCs/>
                <w:sz w:val="18"/>
                <w:szCs w:val="18"/>
              </w:rPr>
              <w:t>Percentage</w:t>
            </w:r>
          </w:p>
        </w:tc>
      </w:tr>
      <w:tr w:rsidR="001D2791" w:rsidRPr="009B546D" w14:paraId="045699AE" w14:textId="77777777" w:rsidTr="00EA2BB6">
        <w:trPr>
          <w:trHeight w:val="119"/>
          <w:jc w:val="center"/>
        </w:trPr>
        <w:tc>
          <w:tcPr>
            <w:tcW w:w="5274" w:type="dxa"/>
            <w:tcBorders>
              <w:top w:val="nil"/>
              <w:left w:val="nil"/>
              <w:bottom w:val="nil"/>
              <w:right w:val="nil"/>
            </w:tcBorders>
            <w:shd w:val="clear" w:color="auto" w:fill="auto"/>
            <w:tcMar>
              <w:top w:w="0" w:type="dxa"/>
              <w:left w:w="15" w:type="dxa"/>
              <w:bottom w:w="0" w:type="dxa"/>
              <w:right w:w="15" w:type="dxa"/>
            </w:tcMar>
            <w:vAlign w:val="center"/>
            <w:hideMark/>
          </w:tcPr>
          <w:p w14:paraId="1A6BF9DD" w14:textId="77777777" w:rsidR="001D2791" w:rsidRPr="009B546D" w:rsidRDefault="001D2791" w:rsidP="000C7962">
            <w:pPr>
              <w:spacing w:after="0" w:line="240" w:lineRule="auto"/>
              <w:jc w:val="left"/>
              <w:rPr>
                <w:rFonts w:cstheme="minorHAnsi"/>
                <w:color w:val="000000"/>
                <w:sz w:val="18"/>
                <w:szCs w:val="18"/>
              </w:rPr>
            </w:pPr>
            <w:r w:rsidRPr="009B546D">
              <w:rPr>
                <w:rFonts w:cstheme="minorHAnsi"/>
                <w:color w:val="000000"/>
                <w:sz w:val="18"/>
                <w:szCs w:val="18"/>
              </w:rPr>
              <w:t>Facebook</w:t>
            </w:r>
          </w:p>
        </w:tc>
        <w:tc>
          <w:tcPr>
            <w:tcW w:w="929" w:type="dxa"/>
            <w:tcBorders>
              <w:top w:val="nil"/>
              <w:left w:val="nil"/>
              <w:bottom w:val="nil"/>
              <w:right w:val="nil"/>
            </w:tcBorders>
            <w:shd w:val="clear" w:color="auto" w:fill="auto"/>
            <w:tcMar>
              <w:top w:w="0" w:type="dxa"/>
              <w:left w:w="15" w:type="dxa"/>
              <w:bottom w:w="0" w:type="dxa"/>
              <w:right w:w="15" w:type="dxa"/>
            </w:tcMar>
            <w:vAlign w:val="center"/>
            <w:hideMark/>
          </w:tcPr>
          <w:p w14:paraId="3B5D4616" w14:textId="77777777" w:rsidR="001D2791" w:rsidRPr="009B546D" w:rsidRDefault="001D2791" w:rsidP="000C7962">
            <w:pPr>
              <w:spacing w:after="0" w:line="240" w:lineRule="auto"/>
              <w:jc w:val="right"/>
              <w:rPr>
                <w:rFonts w:cstheme="minorHAnsi"/>
                <w:color w:val="000000"/>
                <w:sz w:val="18"/>
                <w:szCs w:val="18"/>
              </w:rPr>
            </w:pPr>
            <w:r w:rsidRPr="009B546D">
              <w:rPr>
                <w:rFonts w:cstheme="minorHAnsi"/>
                <w:color w:val="000000"/>
                <w:sz w:val="18"/>
                <w:szCs w:val="18"/>
              </w:rPr>
              <w:t>97.3</w:t>
            </w:r>
          </w:p>
        </w:tc>
      </w:tr>
      <w:tr w:rsidR="001D2791" w:rsidRPr="009B546D" w14:paraId="652BF693" w14:textId="77777777" w:rsidTr="00EA2BB6">
        <w:trPr>
          <w:trHeight w:val="119"/>
          <w:jc w:val="center"/>
        </w:trPr>
        <w:tc>
          <w:tcPr>
            <w:tcW w:w="5274" w:type="dxa"/>
            <w:tcBorders>
              <w:top w:val="nil"/>
              <w:left w:val="nil"/>
              <w:bottom w:val="nil"/>
              <w:right w:val="nil"/>
            </w:tcBorders>
            <w:shd w:val="clear" w:color="auto" w:fill="auto"/>
            <w:tcMar>
              <w:top w:w="0" w:type="dxa"/>
              <w:left w:w="15" w:type="dxa"/>
              <w:bottom w:w="0" w:type="dxa"/>
              <w:right w:w="15" w:type="dxa"/>
            </w:tcMar>
            <w:vAlign w:val="center"/>
            <w:hideMark/>
          </w:tcPr>
          <w:p w14:paraId="095259F8" w14:textId="77777777" w:rsidR="001D2791" w:rsidRPr="009B546D" w:rsidRDefault="001D2791" w:rsidP="000C7962">
            <w:pPr>
              <w:spacing w:after="0" w:line="240" w:lineRule="auto"/>
              <w:jc w:val="left"/>
              <w:rPr>
                <w:rFonts w:cstheme="minorHAnsi"/>
                <w:color w:val="000000"/>
                <w:sz w:val="18"/>
                <w:szCs w:val="18"/>
              </w:rPr>
            </w:pPr>
            <w:r w:rsidRPr="009B546D">
              <w:rPr>
                <w:rFonts w:cstheme="minorHAnsi"/>
                <w:color w:val="000000"/>
                <w:sz w:val="18"/>
                <w:szCs w:val="18"/>
              </w:rPr>
              <w:t>Instagram</w:t>
            </w:r>
          </w:p>
        </w:tc>
        <w:tc>
          <w:tcPr>
            <w:tcW w:w="929" w:type="dxa"/>
            <w:tcBorders>
              <w:top w:val="nil"/>
              <w:left w:val="nil"/>
              <w:bottom w:val="nil"/>
              <w:right w:val="nil"/>
            </w:tcBorders>
            <w:shd w:val="clear" w:color="auto" w:fill="auto"/>
            <w:tcMar>
              <w:top w:w="0" w:type="dxa"/>
              <w:left w:w="15" w:type="dxa"/>
              <w:bottom w:w="0" w:type="dxa"/>
              <w:right w:w="15" w:type="dxa"/>
            </w:tcMar>
            <w:vAlign w:val="center"/>
            <w:hideMark/>
          </w:tcPr>
          <w:p w14:paraId="37522396" w14:textId="77777777" w:rsidR="001D2791" w:rsidRPr="009B546D" w:rsidRDefault="001D2791" w:rsidP="000C7962">
            <w:pPr>
              <w:spacing w:after="0" w:line="240" w:lineRule="auto"/>
              <w:jc w:val="right"/>
              <w:rPr>
                <w:rFonts w:cstheme="minorHAnsi"/>
                <w:color w:val="000000"/>
                <w:sz w:val="18"/>
                <w:szCs w:val="18"/>
              </w:rPr>
            </w:pPr>
            <w:r w:rsidRPr="009B546D">
              <w:rPr>
                <w:rFonts w:cstheme="minorHAnsi"/>
                <w:color w:val="000000"/>
                <w:sz w:val="18"/>
                <w:szCs w:val="18"/>
              </w:rPr>
              <w:t>57.0</w:t>
            </w:r>
          </w:p>
        </w:tc>
      </w:tr>
      <w:tr w:rsidR="001D2791" w:rsidRPr="009B546D" w14:paraId="7A601417" w14:textId="77777777" w:rsidTr="00EA2BB6">
        <w:trPr>
          <w:trHeight w:val="119"/>
          <w:jc w:val="center"/>
        </w:trPr>
        <w:tc>
          <w:tcPr>
            <w:tcW w:w="5274" w:type="dxa"/>
            <w:tcBorders>
              <w:top w:val="nil"/>
              <w:left w:val="nil"/>
              <w:bottom w:val="nil"/>
              <w:right w:val="nil"/>
            </w:tcBorders>
            <w:shd w:val="clear" w:color="auto" w:fill="auto"/>
            <w:tcMar>
              <w:top w:w="0" w:type="dxa"/>
              <w:left w:w="15" w:type="dxa"/>
              <w:bottom w:w="0" w:type="dxa"/>
              <w:right w:w="15" w:type="dxa"/>
            </w:tcMar>
            <w:vAlign w:val="center"/>
            <w:hideMark/>
          </w:tcPr>
          <w:p w14:paraId="629F515F" w14:textId="1749EBD1" w:rsidR="001D2791" w:rsidRPr="009B546D" w:rsidRDefault="007903AC" w:rsidP="000C7962">
            <w:pPr>
              <w:spacing w:after="0" w:line="240" w:lineRule="auto"/>
              <w:jc w:val="left"/>
              <w:rPr>
                <w:rFonts w:cstheme="minorHAnsi"/>
                <w:color w:val="000000"/>
                <w:sz w:val="18"/>
                <w:szCs w:val="18"/>
              </w:rPr>
            </w:pPr>
            <w:r w:rsidRPr="009B546D">
              <w:rPr>
                <w:rFonts w:cstheme="minorHAnsi"/>
                <w:color w:val="000000"/>
                <w:sz w:val="18"/>
                <w:szCs w:val="18"/>
              </w:rPr>
              <w:t>YouTube</w:t>
            </w:r>
          </w:p>
        </w:tc>
        <w:tc>
          <w:tcPr>
            <w:tcW w:w="929" w:type="dxa"/>
            <w:tcBorders>
              <w:top w:val="nil"/>
              <w:left w:val="nil"/>
              <w:bottom w:val="nil"/>
              <w:right w:val="nil"/>
            </w:tcBorders>
            <w:shd w:val="clear" w:color="auto" w:fill="auto"/>
            <w:tcMar>
              <w:top w:w="0" w:type="dxa"/>
              <w:left w:w="15" w:type="dxa"/>
              <w:bottom w:w="0" w:type="dxa"/>
              <w:right w:w="15" w:type="dxa"/>
            </w:tcMar>
            <w:vAlign w:val="center"/>
            <w:hideMark/>
          </w:tcPr>
          <w:p w14:paraId="15019FE7" w14:textId="77777777" w:rsidR="001D2791" w:rsidRPr="009B546D" w:rsidRDefault="001D2791" w:rsidP="000C7962">
            <w:pPr>
              <w:spacing w:after="0" w:line="240" w:lineRule="auto"/>
              <w:jc w:val="right"/>
              <w:rPr>
                <w:rFonts w:cstheme="minorHAnsi"/>
                <w:color w:val="000000"/>
                <w:sz w:val="18"/>
                <w:szCs w:val="18"/>
              </w:rPr>
            </w:pPr>
            <w:r w:rsidRPr="009B546D">
              <w:rPr>
                <w:rFonts w:cstheme="minorHAnsi"/>
                <w:color w:val="000000"/>
                <w:sz w:val="18"/>
                <w:szCs w:val="18"/>
              </w:rPr>
              <w:t>48.3</w:t>
            </w:r>
          </w:p>
        </w:tc>
      </w:tr>
      <w:tr w:rsidR="001D2791" w:rsidRPr="009B546D" w14:paraId="48100881" w14:textId="77777777" w:rsidTr="00EA2BB6">
        <w:trPr>
          <w:trHeight w:val="119"/>
          <w:jc w:val="center"/>
        </w:trPr>
        <w:tc>
          <w:tcPr>
            <w:tcW w:w="5274" w:type="dxa"/>
            <w:tcBorders>
              <w:top w:val="nil"/>
              <w:left w:val="nil"/>
              <w:bottom w:val="nil"/>
              <w:right w:val="nil"/>
            </w:tcBorders>
            <w:shd w:val="clear" w:color="auto" w:fill="auto"/>
            <w:tcMar>
              <w:top w:w="0" w:type="dxa"/>
              <w:left w:w="15" w:type="dxa"/>
              <w:bottom w:w="0" w:type="dxa"/>
              <w:right w:w="15" w:type="dxa"/>
            </w:tcMar>
            <w:vAlign w:val="center"/>
            <w:hideMark/>
          </w:tcPr>
          <w:p w14:paraId="52EFB8E1" w14:textId="77777777" w:rsidR="001D2791" w:rsidRPr="009B546D" w:rsidRDefault="001D2791" w:rsidP="000C7962">
            <w:pPr>
              <w:spacing w:after="0" w:line="240" w:lineRule="auto"/>
              <w:jc w:val="left"/>
              <w:rPr>
                <w:rFonts w:cstheme="minorHAnsi"/>
                <w:color w:val="000000"/>
                <w:sz w:val="18"/>
                <w:szCs w:val="18"/>
              </w:rPr>
            </w:pPr>
            <w:r w:rsidRPr="009B546D">
              <w:rPr>
                <w:rFonts w:cstheme="minorHAnsi"/>
                <w:color w:val="000000"/>
                <w:sz w:val="18"/>
                <w:szCs w:val="18"/>
              </w:rPr>
              <w:t>Google+</w:t>
            </w:r>
          </w:p>
        </w:tc>
        <w:tc>
          <w:tcPr>
            <w:tcW w:w="929" w:type="dxa"/>
            <w:tcBorders>
              <w:top w:val="nil"/>
              <w:left w:val="nil"/>
              <w:bottom w:val="nil"/>
              <w:right w:val="nil"/>
            </w:tcBorders>
            <w:shd w:val="clear" w:color="auto" w:fill="auto"/>
            <w:tcMar>
              <w:top w:w="0" w:type="dxa"/>
              <w:left w:w="15" w:type="dxa"/>
              <w:bottom w:w="0" w:type="dxa"/>
              <w:right w:w="15" w:type="dxa"/>
            </w:tcMar>
            <w:vAlign w:val="center"/>
            <w:hideMark/>
          </w:tcPr>
          <w:p w14:paraId="519479C3" w14:textId="77777777" w:rsidR="001D2791" w:rsidRPr="009B546D" w:rsidRDefault="001D2791" w:rsidP="000C7962">
            <w:pPr>
              <w:spacing w:after="0" w:line="240" w:lineRule="auto"/>
              <w:jc w:val="right"/>
              <w:rPr>
                <w:rFonts w:cstheme="minorHAnsi"/>
                <w:color w:val="000000"/>
                <w:sz w:val="18"/>
                <w:szCs w:val="18"/>
              </w:rPr>
            </w:pPr>
            <w:r w:rsidRPr="009B546D">
              <w:rPr>
                <w:rFonts w:cstheme="minorHAnsi"/>
                <w:color w:val="000000"/>
                <w:sz w:val="18"/>
                <w:szCs w:val="18"/>
              </w:rPr>
              <w:t>31.1</w:t>
            </w:r>
          </w:p>
        </w:tc>
      </w:tr>
      <w:tr w:rsidR="001D2791" w:rsidRPr="009B546D" w14:paraId="652EC43A" w14:textId="77777777" w:rsidTr="00EA2BB6">
        <w:trPr>
          <w:trHeight w:val="119"/>
          <w:jc w:val="center"/>
        </w:trPr>
        <w:tc>
          <w:tcPr>
            <w:tcW w:w="5274" w:type="dxa"/>
            <w:tcBorders>
              <w:top w:val="nil"/>
              <w:left w:val="nil"/>
              <w:bottom w:val="nil"/>
              <w:right w:val="nil"/>
            </w:tcBorders>
            <w:shd w:val="clear" w:color="auto" w:fill="auto"/>
            <w:tcMar>
              <w:top w:w="0" w:type="dxa"/>
              <w:left w:w="15" w:type="dxa"/>
              <w:bottom w:w="0" w:type="dxa"/>
              <w:right w:w="15" w:type="dxa"/>
            </w:tcMar>
            <w:vAlign w:val="center"/>
            <w:hideMark/>
          </w:tcPr>
          <w:p w14:paraId="2A230E76" w14:textId="77777777" w:rsidR="001D2791" w:rsidRPr="009B546D" w:rsidRDefault="001D2791" w:rsidP="000C7962">
            <w:pPr>
              <w:spacing w:after="0" w:line="240" w:lineRule="auto"/>
              <w:jc w:val="left"/>
              <w:rPr>
                <w:rFonts w:cstheme="minorHAnsi"/>
                <w:color w:val="000000"/>
                <w:sz w:val="18"/>
                <w:szCs w:val="18"/>
              </w:rPr>
            </w:pPr>
            <w:r w:rsidRPr="009B546D">
              <w:rPr>
                <w:rFonts w:cstheme="minorHAnsi"/>
                <w:color w:val="000000"/>
                <w:sz w:val="18"/>
                <w:szCs w:val="18"/>
              </w:rPr>
              <w:t>Twitter</w:t>
            </w:r>
          </w:p>
        </w:tc>
        <w:tc>
          <w:tcPr>
            <w:tcW w:w="929" w:type="dxa"/>
            <w:tcBorders>
              <w:top w:val="nil"/>
              <w:left w:val="nil"/>
              <w:bottom w:val="nil"/>
              <w:right w:val="nil"/>
            </w:tcBorders>
            <w:shd w:val="clear" w:color="auto" w:fill="auto"/>
            <w:tcMar>
              <w:top w:w="0" w:type="dxa"/>
              <w:left w:w="15" w:type="dxa"/>
              <w:bottom w:w="0" w:type="dxa"/>
              <w:right w:w="15" w:type="dxa"/>
            </w:tcMar>
            <w:vAlign w:val="center"/>
            <w:hideMark/>
          </w:tcPr>
          <w:p w14:paraId="1DEE974A" w14:textId="77777777" w:rsidR="001D2791" w:rsidRPr="009B546D" w:rsidRDefault="001D2791" w:rsidP="000C7962">
            <w:pPr>
              <w:spacing w:after="0" w:line="240" w:lineRule="auto"/>
              <w:jc w:val="right"/>
              <w:rPr>
                <w:rFonts w:cstheme="minorHAnsi"/>
                <w:color w:val="000000"/>
                <w:sz w:val="18"/>
                <w:szCs w:val="18"/>
              </w:rPr>
            </w:pPr>
            <w:r w:rsidRPr="009B546D">
              <w:rPr>
                <w:rFonts w:cstheme="minorHAnsi"/>
                <w:color w:val="000000"/>
                <w:sz w:val="18"/>
                <w:szCs w:val="18"/>
              </w:rPr>
              <w:t>23.8</w:t>
            </w:r>
          </w:p>
        </w:tc>
      </w:tr>
      <w:tr w:rsidR="001D2791" w:rsidRPr="009B546D" w14:paraId="2AEB69F0" w14:textId="77777777" w:rsidTr="00EA2BB6">
        <w:trPr>
          <w:trHeight w:val="119"/>
          <w:jc w:val="center"/>
        </w:trPr>
        <w:tc>
          <w:tcPr>
            <w:tcW w:w="5274" w:type="dxa"/>
            <w:tcBorders>
              <w:top w:val="nil"/>
              <w:left w:val="nil"/>
              <w:bottom w:val="nil"/>
              <w:right w:val="nil"/>
            </w:tcBorders>
            <w:shd w:val="clear" w:color="auto" w:fill="auto"/>
            <w:tcMar>
              <w:top w:w="0" w:type="dxa"/>
              <w:left w:w="15" w:type="dxa"/>
              <w:bottom w:w="0" w:type="dxa"/>
              <w:right w:w="15" w:type="dxa"/>
            </w:tcMar>
            <w:vAlign w:val="center"/>
            <w:hideMark/>
          </w:tcPr>
          <w:p w14:paraId="4E2AD6D0" w14:textId="09E867A1" w:rsidR="001D2791" w:rsidRPr="009B546D" w:rsidRDefault="007903AC" w:rsidP="000C7962">
            <w:pPr>
              <w:spacing w:after="0" w:line="240" w:lineRule="auto"/>
              <w:jc w:val="left"/>
              <w:rPr>
                <w:rFonts w:cstheme="minorHAnsi"/>
                <w:color w:val="000000"/>
                <w:sz w:val="18"/>
                <w:szCs w:val="18"/>
              </w:rPr>
            </w:pPr>
            <w:r w:rsidRPr="009B546D">
              <w:rPr>
                <w:rFonts w:cstheme="minorHAnsi"/>
                <w:color w:val="000000"/>
                <w:sz w:val="18"/>
                <w:szCs w:val="18"/>
              </w:rPr>
              <w:t>LinkedIn</w:t>
            </w:r>
          </w:p>
        </w:tc>
        <w:tc>
          <w:tcPr>
            <w:tcW w:w="929" w:type="dxa"/>
            <w:tcBorders>
              <w:top w:val="nil"/>
              <w:left w:val="nil"/>
              <w:bottom w:val="nil"/>
              <w:right w:val="nil"/>
            </w:tcBorders>
            <w:shd w:val="clear" w:color="auto" w:fill="auto"/>
            <w:tcMar>
              <w:top w:w="0" w:type="dxa"/>
              <w:left w:w="15" w:type="dxa"/>
              <w:bottom w:w="0" w:type="dxa"/>
              <w:right w:w="15" w:type="dxa"/>
            </w:tcMar>
            <w:vAlign w:val="center"/>
            <w:hideMark/>
          </w:tcPr>
          <w:p w14:paraId="5C7FB90F" w14:textId="77777777" w:rsidR="001D2791" w:rsidRPr="009B546D" w:rsidRDefault="001D2791" w:rsidP="000C7962">
            <w:pPr>
              <w:spacing w:after="0" w:line="240" w:lineRule="auto"/>
              <w:jc w:val="right"/>
              <w:rPr>
                <w:rFonts w:cstheme="minorHAnsi"/>
                <w:color w:val="000000"/>
                <w:sz w:val="18"/>
                <w:szCs w:val="18"/>
              </w:rPr>
            </w:pPr>
            <w:r w:rsidRPr="009B546D">
              <w:rPr>
                <w:rFonts w:cstheme="minorHAnsi"/>
                <w:color w:val="000000"/>
                <w:sz w:val="18"/>
                <w:szCs w:val="18"/>
              </w:rPr>
              <w:t>13.3</w:t>
            </w:r>
          </w:p>
        </w:tc>
      </w:tr>
      <w:tr w:rsidR="001D2791" w:rsidRPr="009B546D" w14:paraId="41ED2DDE" w14:textId="77777777" w:rsidTr="00EA2BB6">
        <w:trPr>
          <w:trHeight w:val="119"/>
          <w:jc w:val="center"/>
        </w:trPr>
        <w:tc>
          <w:tcPr>
            <w:tcW w:w="5274" w:type="dxa"/>
            <w:tcBorders>
              <w:top w:val="nil"/>
              <w:left w:val="nil"/>
              <w:bottom w:val="nil"/>
              <w:right w:val="nil"/>
            </w:tcBorders>
            <w:shd w:val="clear" w:color="auto" w:fill="auto"/>
            <w:tcMar>
              <w:top w:w="0" w:type="dxa"/>
              <w:left w:w="15" w:type="dxa"/>
              <w:bottom w:w="0" w:type="dxa"/>
              <w:right w:w="15" w:type="dxa"/>
            </w:tcMar>
            <w:vAlign w:val="center"/>
            <w:hideMark/>
          </w:tcPr>
          <w:p w14:paraId="244BEED6" w14:textId="77777777" w:rsidR="001D2791" w:rsidRPr="009B546D" w:rsidRDefault="001D2791" w:rsidP="000C7962">
            <w:pPr>
              <w:spacing w:after="0" w:line="240" w:lineRule="auto"/>
              <w:jc w:val="left"/>
              <w:rPr>
                <w:rFonts w:cstheme="minorHAnsi"/>
                <w:color w:val="000000"/>
                <w:sz w:val="18"/>
                <w:szCs w:val="18"/>
              </w:rPr>
            </w:pPr>
            <w:r w:rsidRPr="009B546D">
              <w:rPr>
                <w:rFonts w:cstheme="minorHAnsi"/>
                <w:color w:val="000000"/>
                <w:sz w:val="18"/>
                <w:szCs w:val="18"/>
              </w:rPr>
              <w:t>Others</w:t>
            </w:r>
          </w:p>
        </w:tc>
        <w:tc>
          <w:tcPr>
            <w:tcW w:w="929" w:type="dxa"/>
            <w:tcBorders>
              <w:top w:val="nil"/>
              <w:left w:val="nil"/>
              <w:bottom w:val="nil"/>
              <w:right w:val="nil"/>
            </w:tcBorders>
            <w:shd w:val="clear" w:color="auto" w:fill="auto"/>
            <w:tcMar>
              <w:top w:w="0" w:type="dxa"/>
              <w:left w:w="15" w:type="dxa"/>
              <w:bottom w:w="0" w:type="dxa"/>
              <w:right w:w="15" w:type="dxa"/>
            </w:tcMar>
            <w:vAlign w:val="center"/>
            <w:hideMark/>
          </w:tcPr>
          <w:p w14:paraId="101648A2" w14:textId="77777777" w:rsidR="001D2791" w:rsidRPr="009B546D" w:rsidRDefault="001D2791" w:rsidP="000C7962">
            <w:pPr>
              <w:spacing w:after="0" w:line="240" w:lineRule="auto"/>
              <w:jc w:val="right"/>
              <w:rPr>
                <w:rFonts w:cstheme="minorHAnsi"/>
                <w:color w:val="000000"/>
                <w:sz w:val="18"/>
                <w:szCs w:val="18"/>
              </w:rPr>
            </w:pPr>
            <w:r w:rsidRPr="009B546D">
              <w:rPr>
                <w:rFonts w:cstheme="minorHAnsi"/>
                <w:color w:val="000000"/>
                <w:sz w:val="18"/>
                <w:szCs w:val="18"/>
              </w:rPr>
              <w:t>0.7</w:t>
            </w:r>
          </w:p>
        </w:tc>
      </w:tr>
    </w:tbl>
    <w:p w14:paraId="51EB3591" w14:textId="08C0D552" w:rsidR="00E54B1E" w:rsidRPr="00384557" w:rsidRDefault="00B575FC" w:rsidP="00EA2BB6">
      <w:pPr>
        <w:spacing w:after="120" w:line="240" w:lineRule="auto"/>
        <w:ind w:right="2268"/>
        <w:rPr>
          <w:rFonts w:cstheme="minorHAnsi"/>
          <w:b/>
          <w:i/>
          <w:iCs/>
          <w:sz w:val="12"/>
          <w:szCs w:val="12"/>
        </w:rPr>
      </w:pPr>
      <w:r>
        <w:rPr>
          <w:rFonts w:cstheme="minorHAnsi"/>
          <w:b/>
          <w:bCs/>
          <w:sz w:val="12"/>
          <w:szCs w:val="12"/>
        </w:rPr>
        <w:t xml:space="preserve">                          </w:t>
      </w:r>
      <w:r w:rsidR="001D2791" w:rsidRPr="009B546D" w:rsidDel="001D2791">
        <w:rPr>
          <w:rFonts w:cstheme="minorHAnsi"/>
          <w:b/>
          <w:bCs/>
          <w:sz w:val="12"/>
          <w:szCs w:val="12"/>
        </w:rPr>
        <w:t xml:space="preserve"> </w:t>
      </w:r>
      <w:r>
        <w:rPr>
          <w:rFonts w:cstheme="minorHAnsi"/>
          <w:b/>
          <w:bCs/>
          <w:sz w:val="12"/>
          <w:szCs w:val="12"/>
        </w:rPr>
        <w:t xml:space="preserve">                         </w:t>
      </w:r>
      <w:r w:rsidR="005A4706" w:rsidRPr="009B546D">
        <w:rPr>
          <w:rFonts w:cstheme="minorHAnsi"/>
          <w:b/>
          <w:sz w:val="12"/>
          <w:szCs w:val="12"/>
        </w:rPr>
        <w:t>Source: Internet Users Survey 2018 by</w:t>
      </w:r>
      <w:r w:rsidR="005A4706" w:rsidRPr="009B546D" w:rsidDel="001D2791">
        <w:rPr>
          <w:rFonts w:cstheme="minorHAnsi"/>
          <w:b/>
          <w:bCs/>
          <w:sz w:val="12"/>
          <w:szCs w:val="12"/>
        </w:rPr>
        <w:t xml:space="preserve"> </w:t>
      </w:r>
      <w:r w:rsidR="00D852FF" w:rsidRPr="009B546D">
        <w:rPr>
          <w:rFonts w:cstheme="minorHAnsi"/>
          <w:b/>
          <w:bCs/>
          <w:sz w:val="12"/>
          <w:szCs w:val="12"/>
        </w:rPr>
        <w:t>the Malaysian Communications and Multimedia Commission</w:t>
      </w:r>
      <w:r w:rsidR="00BA34EB" w:rsidRPr="00384557">
        <w:rPr>
          <w:rStyle w:val="FootnoteReference"/>
          <w:rFonts w:asciiTheme="minorHAnsi" w:hAnsiTheme="minorHAnsi" w:cstheme="minorHAnsi"/>
          <w:b/>
          <w:bCs/>
          <w:sz w:val="12"/>
          <w:szCs w:val="12"/>
        </w:rPr>
        <w:footnoteReference w:id="9"/>
      </w:r>
    </w:p>
    <w:p w14:paraId="4CF5627F" w14:textId="5D3B95B5" w:rsidR="00FA06E6" w:rsidRPr="009B546D" w:rsidRDefault="00FA06E6" w:rsidP="00F432B9">
      <w:pPr>
        <w:spacing w:after="120" w:line="240" w:lineRule="auto"/>
        <w:rPr>
          <w:rFonts w:cstheme="minorHAnsi"/>
          <w:b/>
        </w:rPr>
      </w:pPr>
      <w:r w:rsidRPr="009B546D">
        <w:rPr>
          <w:rFonts w:cstheme="minorHAnsi"/>
          <w:b/>
          <w:i/>
          <w:iCs/>
        </w:rPr>
        <w:t>E-commerce</w:t>
      </w:r>
      <w:r w:rsidRPr="009B546D">
        <w:rPr>
          <w:rFonts w:cstheme="minorHAnsi"/>
          <w:b/>
        </w:rPr>
        <w:t xml:space="preserve"> </w:t>
      </w:r>
    </w:p>
    <w:p w14:paraId="7CD08BA2" w14:textId="52D0C40E" w:rsidR="00FA06E6" w:rsidRPr="009B546D" w:rsidRDefault="00FA06E6" w:rsidP="00F432B9">
      <w:pPr>
        <w:spacing w:before="120" w:after="120" w:line="240" w:lineRule="auto"/>
        <w:rPr>
          <w:rFonts w:cstheme="minorHAnsi"/>
        </w:rPr>
      </w:pPr>
      <w:r w:rsidRPr="009B546D">
        <w:rPr>
          <w:rFonts w:cstheme="minorHAnsi"/>
        </w:rPr>
        <w:t xml:space="preserve">E-commerce is a relatively new industry in Malaysia, where its adoption has been spurred by increased availability and usage of computers and internet access in households and offices. In the early days of e-commerce in Malaysia, there was an apprehension of transacting online by consumers and local firms, especially by smaller companies. This apprehension was driven by the lack of tried and tested business e-commerce models to imitate and the lack of e-commerce specific legal and regulatory structure. In recent years, Malaysian e-commerce has been on a strong growth trajectory through the widespread consumer acceptance of e-commerce. Consumer acceptance has been underpinned by the implementation of overall business and technology friendly statutes and regulations as well as specific e-commerce related statutes and regulations by the Malaysian Government. The relevant laws governing Malaysia’s e-commerce and online businesses are set out in a number of different statutes and regulations. Regulations that are of particular significance to </w:t>
      </w:r>
      <w:r w:rsidR="00E54B1E" w:rsidRPr="009B546D">
        <w:rPr>
          <w:rFonts w:cstheme="minorHAnsi"/>
        </w:rPr>
        <w:t>e</w:t>
      </w:r>
      <w:r w:rsidRPr="009B546D">
        <w:rPr>
          <w:rFonts w:cstheme="minorHAnsi"/>
        </w:rPr>
        <w:t xml:space="preserve">-commerce in Malaysia are highlighted in section </w:t>
      </w:r>
      <w:r w:rsidR="00733F50" w:rsidRPr="009B546D">
        <w:rPr>
          <w:rFonts w:cstheme="minorHAnsi"/>
        </w:rPr>
        <w:t>5 below of this part of the Prospectus.</w:t>
      </w:r>
    </w:p>
    <w:p w14:paraId="6789BC76" w14:textId="3D0E1B1A" w:rsidR="00FA06E6" w:rsidRPr="009B546D" w:rsidRDefault="00FA06E6" w:rsidP="00F432B9">
      <w:pPr>
        <w:spacing w:after="120" w:line="240" w:lineRule="auto"/>
        <w:rPr>
          <w:rFonts w:cstheme="minorHAnsi"/>
        </w:rPr>
      </w:pPr>
      <w:r w:rsidRPr="009B546D">
        <w:rPr>
          <w:rFonts w:cstheme="minorHAnsi"/>
        </w:rPr>
        <w:t>E-commerce spend and growth by category as at Jan</w:t>
      </w:r>
      <w:r w:rsidR="002D4211" w:rsidRPr="009B546D">
        <w:rPr>
          <w:rFonts w:cstheme="minorHAnsi"/>
        </w:rPr>
        <w:t>uary</w:t>
      </w:r>
      <w:r w:rsidRPr="009B546D">
        <w:rPr>
          <w:rFonts w:cstheme="minorHAnsi"/>
        </w:rPr>
        <w:t xml:space="preserve"> 2019:</w:t>
      </w:r>
    </w:p>
    <w:tbl>
      <w:tblPr>
        <w:tblW w:w="6096" w:type="dxa"/>
        <w:jc w:val="center"/>
        <w:tblLayout w:type="fixed"/>
        <w:tblLook w:val="0400" w:firstRow="0" w:lastRow="0" w:firstColumn="0" w:lastColumn="0" w:noHBand="0" w:noVBand="1"/>
      </w:tblPr>
      <w:tblGrid>
        <w:gridCol w:w="3147"/>
        <w:gridCol w:w="1531"/>
        <w:gridCol w:w="1418"/>
      </w:tblGrid>
      <w:tr w:rsidR="00FA06E6" w:rsidRPr="009B546D" w14:paraId="621F4319" w14:textId="77777777" w:rsidTr="00EA2BB6">
        <w:trPr>
          <w:jc w:val="center"/>
        </w:trPr>
        <w:tc>
          <w:tcPr>
            <w:tcW w:w="3147" w:type="dxa"/>
            <w:shd w:val="clear" w:color="auto" w:fill="A6A6A6"/>
          </w:tcPr>
          <w:p w14:paraId="2A0FE963" w14:textId="77777777" w:rsidR="00FA06E6" w:rsidRPr="009B546D" w:rsidRDefault="00FA06E6" w:rsidP="00F432B9">
            <w:pPr>
              <w:spacing w:after="0" w:line="240" w:lineRule="auto"/>
              <w:rPr>
                <w:rFonts w:cstheme="minorHAnsi"/>
                <w:b/>
                <w:sz w:val="18"/>
                <w:szCs w:val="18"/>
              </w:rPr>
            </w:pPr>
            <w:r w:rsidRPr="009B546D">
              <w:rPr>
                <w:rFonts w:cstheme="minorHAnsi"/>
                <w:b/>
                <w:sz w:val="18"/>
                <w:szCs w:val="18"/>
              </w:rPr>
              <w:t>Category</w:t>
            </w:r>
          </w:p>
        </w:tc>
        <w:tc>
          <w:tcPr>
            <w:tcW w:w="1531" w:type="dxa"/>
            <w:shd w:val="clear" w:color="auto" w:fill="A6A6A6"/>
          </w:tcPr>
          <w:p w14:paraId="3F7951BB" w14:textId="77777777" w:rsidR="00FA06E6" w:rsidRPr="009B546D" w:rsidRDefault="00FA06E6" w:rsidP="00F432B9">
            <w:pPr>
              <w:spacing w:after="0" w:line="240" w:lineRule="auto"/>
              <w:jc w:val="right"/>
              <w:rPr>
                <w:rFonts w:cstheme="minorHAnsi"/>
                <w:b/>
                <w:sz w:val="18"/>
                <w:szCs w:val="18"/>
              </w:rPr>
            </w:pPr>
            <w:r w:rsidRPr="009B546D">
              <w:rPr>
                <w:rFonts w:cstheme="minorHAnsi"/>
                <w:b/>
                <w:sz w:val="18"/>
                <w:szCs w:val="18"/>
              </w:rPr>
              <w:t>Spend US$m</w:t>
            </w:r>
          </w:p>
        </w:tc>
        <w:tc>
          <w:tcPr>
            <w:tcW w:w="1418" w:type="dxa"/>
            <w:shd w:val="clear" w:color="auto" w:fill="A6A6A6"/>
          </w:tcPr>
          <w:p w14:paraId="2C4159D0" w14:textId="77777777" w:rsidR="00FA06E6" w:rsidRPr="009B546D" w:rsidRDefault="00FA06E6" w:rsidP="00F432B9">
            <w:pPr>
              <w:spacing w:after="0" w:line="240" w:lineRule="auto"/>
              <w:jc w:val="right"/>
              <w:rPr>
                <w:rFonts w:cstheme="minorHAnsi"/>
                <w:b/>
                <w:sz w:val="18"/>
                <w:szCs w:val="18"/>
              </w:rPr>
            </w:pPr>
            <w:r w:rsidRPr="009B546D">
              <w:rPr>
                <w:rFonts w:cstheme="minorHAnsi"/>
                <w:b/>
                <w:sz w:val="18"/>
                <w:szCs w:val="18"/>
              </w:rPr>
              <w:t>Growth y-o-y</w:t>
            </w:r>
          </w:p>
        </w:tc>
      </w:tr>
      <w:tr w:rsidR="00FA06E6" w:rsidRPr="009B546D" w14:paraId="7446EA07" w14:textId="77777777" w:rsidTr="00EA2BB6">
        <w:trPr>
          <w:jc w:val="center"/>
        </w:trPr>
        <w:tc>
          <w:tcPr>
            <w:tcW w:w="3147" w:type="dxa"/>
          </w:tcPr>
          <w:p w14:paraId="645DFB4F" w14:textId="77777777" w:rsidR="00FA06E6" w:rsidRPr="009B546D" w:rsidRDefault="00FA06E6" w:rsidP="00496B89">
            <w:pPr>
              <w:spacing w:after="0" w:line="240" w:lineRule="auto"/>
              <w:rPr>
                <w:rFonts w:cstheme="minorHAnsi"/>
                <w:sz w:val="18"/>
                <w:szCs w:val="18"/>
              </w:rPr>
            </w:pPr>
            <w:r w:rsidRPr="009B546D">
              <w:rPr>
                <w:rFonts w:cstheme="minorHAnsi"/>
                <w:sz w:val="18"/>
                <w:szCs w:val="18"/>
              </w:rPr>
              <w:t>Fashion and Beauty</w:t>
            </w:r>
          </w:p>
        </w:tc>
        <w:tc>
          <w:tcPr>
            <w:tcW w:w="1531" w:type="dxa"/>
          </w:tcPr>
          <w:p w14:paraId="047EEEC1" w14:textId="77777777" w:rsidR="00FA06E6" w:rsidRPr="009B546D" w:rsidRDefault="00FA06E6" w:rsidP="00F432B9">
            <w:pPr>
              <w:spacing w:after="0" w:line="240" w:lineRule="auto"/>
              <w:jc w:val="right"/>
              <w:rPr>
                <w:rFonts w:cstheme="minorHAnsi"/>
                <w:sz w:val="18"/>
                <w:szCs w:val="18"/>
              </w:rPr>
            </w:pPr>
            <w:r w:rsidRPr="009B546D">
              <w:rPr>
                <w:rFonts w:cstheme="minorHAnsi"/>
                <w:sz w:val="18"/>
                <w:szCs w:val="18"/>
              </w:rPr>
              <w:t>771</w:t>
            </w:r>
          </w:p>
        </w:tc>
        <w:tc>
          <w:tcPr>
            <w:tcW w:w="1418" w:type="dxa"/>
          </w:tcPr>
          <w:p w14:paraId="149A088E" w14:textId="77777777" w:rsidR="00FA06E6" w:rsidRPr="009B546D" w:rsidRDefault="00FA06E6" w:rsidP="00F432B9">
            <w:pPr>
              <w:spacing w:after="0" w:line="240" w:lineRule="auto"/>
              <w:jc w:val="right"/>
              <w:rPr>
                <w:rFonts w:cstheme="minorHAnsi"/>
                <w:sz w:val="18"/>
                <w:szCs w:val="18"/>
              </w:rPr>
            </w:pPr>
            <w:r w:rsidRPr="009B546D">
              <w:rPr>
                <w:rFonts w:cstheme="minorHAnsi"/>
                <w:sz w:val="18"/>
                <w:szCs w:val="18"/>
              </w:rPr>
              <w:t>+26%</w:t>
            </w:r>
          </w:p>
        </w:tc>
      </w:tr>
      <w:tr w:rsidR="00FA06E6" w:rsidRPr="009B546D" w14:paraId="5443C5F7" w14:textId="77777777" w:rsidTr="00EA2BB6">
        <w:trPr>
          <w:jc w:val="center"/>
        </w:trPr>
        <w:tc>
          <w:tcPr>
            <w:tcW w:w="3147" w:type="dxa"/>
          </w:tcPr>
          <w:p w14:paraId="5F8D0275" w14:textId="77777777" w:rsidR="00FA06E6" w:rsidRPr="009B546D" w:rsidRDefault="00FA06E6" w:rsidP="00496B89">
            <w:pPr>
              <w:spacing w:after="0" w:line="240" w:lineRule="auto"/>
              <w:rPr>
                <w:rFonts w:cstheme="minorHAnsi"/>
                <w:sz w:val="18"/>
                <w:szCs w:val="18"/>
              </w:rPr>
            </w:pPr>
            <w:r w:rsidRPr="009B546D">
              <w:rPr>
                <w:rFonts w:cstheme="minorHAnsi"/>
                <w:sz w:val="18"/>
                <w:szCs w:val="18"/>
              </w:rPr>
              <w:t>Electronics and Physical Media</w:t>
            </w:r>
          </w:p>
        </w:tc>
        <w:tc>
          <w:tcPr>
            <w:tcW w:w="1531" w:type="dxa"/>
          </w:tcPr>
          <w:p w14:paraId="3FA41C58" w14:textId="77777777" w:rsidR="00FA06E6" w:rsidRPr="009B546D" w:rsidRDefault="00FA06E6" w:rsidP="00F432B9">
            <w:pPr>
              <w:spacing w:after="0" w:line="240" w:lineRule="auto"/>
              <w:jc w:val="right"/>
              <w:rPr>
                <w:rFonts w:cstheme="minorHAnsi"/>
                <w:sz w:val="18"/>
                <w:szCs w:val="18"/>
              </w:rPr>
            </w:pPr>
            <w:r w:rsidRPr="009B546D">
              <w:rPr>
                <w:rFonts w:cstheme="minorHAnsi"/>
                <w:sz w:val="18"/>
                <w:szCs w:val="18"/>
              </w:rPr>
              <w:t>851</w:t>
            </w:r>
          </w:p>
        </w:tc>
        <w:tc>
          <w:tcPr>
            <w:tcW w:w="1418" w:type="dxa"/>
          </w:tcPr>
          <w:p w14:paraId="15E02DA5" w14:textId="77777777" w:rsidR="00FA06E6" w:rsidRPr="009B546D" w:rsidRDefault="00FA06E6" w:rsidP="00F432B9">
            <w:pPr>
              <w:spacing w:after="0" w:line="240" w:lineRule="auto"/>
              <w:jc w:val="right"/>
              <w:rPr>
                <w:rFonts w:cstheme="minorHAnsi"/>
                <w:sz w:val="18"/>
                <w:szCs w:val="18"/>
              </w:rPr>
            </w:pPr>
            <w:r w:rsidRPr="009B546D">
              <w:rPr>
                <w:rFonts w:cstheme="minorHAnsi"/>
                <w:sz w:val="18"/>
                <w:szCs w:val="18"/>
              </w:rPr>
              <w:t>+29%</w:t>
            </w:r>
          </w:p>
        </w:tc>
      </w:tr>
      <w:tr w:rsidR="00FA06E6" w:rsidRPr="009B546D" w14:paraId="13994CD8" w14:textId="77777777" w:rsidTr="00EA2BB6">
        <w:trPr>
          <w:jc w:val="center"/>
        </w:trPr>
        <w:tc>
          <w:tcPr>
            <w:tcW w:w="3147" w:type="dxa"/>
          </w:tcPr>
          <w:p w14:paraId="470E8952" w14:textId="77777777" w:rsidR="00FA06E6" w:rsidRPr="009B546D" w:rsidRDefault="00FA06E6" w:rsidP="00496B89">
            <w:pPr>
              <w:spacing w:after="0" w:line="240" w:lineRule="auto"/>
              <w:rPr>
                <w:rFonts w:cstheme="minorHAnsi"/>
                <w:sz w:val="18"/>
                <w:szCs w:val="18"/>
              </w:rPr>
            </w:pPr>
            <w:r w:rsidRPr="009B546D">
              <w:rPr>
                <w:rFonts w:cstheme="minorHAnsi"/>
                <w:sz w:val="18"/>
                <w:szCs w:val="18"/>
              </w:rPr>
              <w:t>Furniture and Appliances</w:t>
            </w:r>
          </w:p>
        </w:tc>
        <w:tc>
          <w:tcPr>
            <w:tcW w:w="1531" w:type="dxa"/>
          </w:tcPr>
          <w:p w14:paraId="13B6DA8B" w14:textId="77777777" w:rsidR="00FA06E6" w:rsidRPr="009B546D" w:rsidRDefault="00FA06E6" w:rsidP="00F432B9">
            <w:pPr>
              <w:spacing w:after="0" w:line="240" w:lineRule="auto"/>
              <w:jc w:val="right"/>
              <w:rPr>
                <w:rFonts w:cstheme="minorHAnsi"/>
                <w:sz w:val="18"/>
                <w:szCs w:val="18"/>
              </w:rPr>
            </w:pPr>
            <w:r w:rsidRPr="009B546D">
              <w:rPr>
                <w:rFonts w:cstheme="minorHAnsi"/>
                <w:sz w:val="18"/>
                <w:szCs w:val="18"/>
              </w:rPr>
              <w:t>553</w:t>
            </w:r>
          </w:p>
        </w:tc>
        <w:tc>
          <w:tcPr>
            <w:tcW w:w="1418" w:type="dxa"/>
          </w:tcPr>
          <w:p w14:paraId="68EAD279" w14:textId="77777777" w:rsidR="00FA06E6" w:rsidRPr="009B546D" w:rsidRDefault="00FA06E6" w:rsidP="00F432B9">
            <w:pPr>
              <w:spacing w:after="0" w:line="240" w:lineRule="auto"/>
              <w:jc w:val="right"/>
              <w:rPr>
                <w:rFonts w:cstheme="minorHAnsi"/>
                <w:sz w:val="18"/>
                <w:szCs w:val="18"/>
              </w:rPr>
            </w:pPr>
            <w:r w:rsidRPr="009B546D">
              <w:rPr>
                <w:rFonts w:cstheme="minorHAnsi"/>
                <w:sz w:val="18"/>
                <w:szCs w:val="18"/>
              </w:rPr>
              <w:t>+30%</w:t>
            </w:r>
          </w:p>
        </w:tc>
      </w:tr>
      <w:tr w:rsidR="00FA06E6" w:rsidRPr="009B546D" w14:paraId="7A1D52DF" w14:textId="77777777" w:rsidTr="00EA2BB6">
        <w:trPr>
          <w:jc w:val="center"/>
        </w:trPr>
        <w:tc>
          <w:tcPr>
            <w:tcW w:w="3147" w:type="dxa"/>
          </w:tcPr>
          <w:p w14:paraId="7B25A89F" w14:textId="77777777" w:rsidR="00FA06E6" w:rsidRPr="009B546D" w:rsidRDefault="00FA06E6" w:rsidP="00496B89">
            <w:pPr>
              <w:spacing w:after="0" w:line="240" w:lineRule="auto"/>
              <w:rPr>
                <w:rFonts w:cstheme="minorHAnsi"/>
                <w:sz w:val="18"/>
                <w:szCs w:val="18"/>
              </w:rPr>
            </w:pPr>
            <w:r w:rsidRPr="009B546D">
              <w:rPr>
                <w:rFonts w:cstheme="minorHAnsi"/>
                <w:sz w:val="18"/>
                <w:szCs w:val="18"/>
              </w:rPr>
              <w:t>Toys, DIY and Hobbies</w:t>
            </w:r>
          </w:p>
        </w:tc>
        <w:tc>
          <w:tcPr>
            <w:tcW w:w="1531" w:type="dxa"/>
          </w:tcPr>
          <w:p w14:paraId="6EC2D7C4" w14:textId="77777777" w:rsidR="00FA06E6" w:rsidRPr="009B546D" w:rsidRDefault="00FA06E6" w:rsidP="00F432B9">
            <w:pPr>
              <w:spacing w:after="0" w:line="240" w:lineRule="auto"/>
              <w:jc w:val="right"/>
              <w:rPr>
                <w:rFonts w:cstheme="minorHAnsi"/>
                <w:sz w:val="18"/>
                <w:szCs w:val="18"/>
              </w:rPr>
            </w:pPr>
            <w:r w:rsidRPr="009B546D">
              <w:rPr>
                <w:rFonts w:cstheme="minorHAnsi"/>
                <w:sz w:val="18"/>
                <w:szCs w:val="18"/>
              </w:rPr>
              <w:t>486</w:t>
            </w:r>
          </w:p>
        </w:tc>
        <w:tc>
          <w:tcPr>
            <w:tcW w:w="1418" w:type="dxa"/>
          </w:tcPr>
          <w:p w14:paraId="43DC6BB8" w14:textId="77777777" w:rsidR="00FA06E6" w:rsidRPr="009B546D" w:rsidRDefault="00FA06E6" w:rsidP="00F432B9">
            <w:pPr>
              <w:spacing w:after="0" w:line="240" w:lineRule="auto"/>
              <w:jc w:val="right"/>
              <w:rPr>
                <w:rFonts w:cstheme="minorHAnsi"/>
                <w:sz w:val="18"/>
                <w:szCs w:val="18"/>
              </w:rPr>
            </w:pPr>
            <w:r w:rsidRPr="009B546D">
              <w:rPr>
                <w:rFonts w:cstheme="minorHAnsi"/>
                <w:sz w:val="18"/>
                <w:szCs w:val="18"/>
              </w:rPr>
              <w:t>+33%</w:t>
            </w:r>
          </w:p>
        </w:tc>
      </w:tr>
      <w:tr w:rsidR="00FA06E6" w:rsidRPr="009B546D" w14:paraId="29F018C7" w14:textId="77777777" w:rsidTr="00EA2BB6">
        <w:trPr>
          <w:jc w:val="center"/>
        </w:trPr>
        <w:tc>
          <w:tcPr>
            <w:tcW w:w="3147" w:type="dxa"/>
          </w:tcPr>
          <w:p w14:paraId="52013DD4" w14:textId="77777777" w:rsidR="00FA06E6" w:rsidRPr="009B546D" w:rsidRDefault="00FA06E6" w:rsidP="00496B89">
            <w:pPr>
              <w:spacing w:after="0" w:line="240" w:lineRule="auto"/>
              <w:rPr>
                <w:rFonts w:cstheme="minorHAnsi"/>
                <w:sz w:val="18"/>
                <w:szCs w:val="18"/>
              </w:rPr>
            </w:pPr>
            <w:r w:rsidRPr="009B546D">
              <w:rPr>
                <w:rFonts w:cstheme="minorHAnsi"/>
                <w:sz w:val="18"/>
                <w:szCs w:val="18"/>
              </w:rPr>
              <w:t>Food and Personal Care</w:t>
            </w:r>
          </w:p>
        </w:tc>
        <w:tc>
          <w:tcPr>
            <w:tcW w:w="1531" w:type="dxa"/>
          </w:tcPr>
          <w:p w14:paraId="14ADE1EF" w14:textId="77777777" w:rsidR="00FA06E6" w:rsidRPr="009B546D" w:rsidRDefault="00FA06E6" w:rsidP="00F432B9">
            <w:pPr>
              <w:spacing w:after="0" w:line="240" w:lineRule="auto"/>
              <w:jc w:val="right"/>
              <w:rPr>
                <w:rFonts w:cstheme="minorHAnsi"/>
                <w:sz w:val="18"/>
                <w:szCs w:val="18"/>
              </w:rPr>
            </w:pPr>
            <w:r w:rsidRPr="009B546D">
              <w:rPr>
                <w:rFonts w:cstheme="minorHAnsi"/>
                <w:sz w:val="18"/>
                <w:szCs w:val="18"/>
              </w:rPr>
              <w:t>483</w:t>
            </w:r>
          </w:p>
        </w:tc>
        <w:tc>
          <w:tcPr>
            <w:tcW w:w="1418" w:type="dxa"/>
          </w:tcPr>
          <w:p w14:paraId="6DC14139" w14:textId="77777777" w:rsidR="00FA06E6" w:rsidRPr="009B546D" w:rsidRDefault="00FA06E6" w:rsidP="00F432B9">
            <w:pPr>
              <w:spacing w:after="0" w:line="240" w:lineRule="auto"/>
              <w:jc w:val="right"/>
              <w:rPr>
                <w:rFonts w:cstheme="minorHAnsi"/>
                <w:sz w:val="18"/>
                <w:szCs w:val="18"/>
              </w:rPr>
            </w:pPr>
            <w:r w:rsidRPr="009B546D">
              <w:rPr>
                <w:rFonts w:cstheme="minorHAnsi"/>
                <w:sz w:val="18"/>
                <w:szCs w:val="18"/>
              </w:rPr>
              <w:t>+39%</w:t>
            </w:r>
          </w:p>
        </w:tc>
      </w:tr>
      <w:tr w:rsidR="00FA06E6" w:rsidRPr="009B546D" w14:paraId="0F760297" w14:textId="77777777" w:rsidTr="00EA2BB6">
        <w:trPr>
          <w:jc w:val="center"/>
        </w:trPr>
        <w:tc>
          <w:tcPr>
            <w:tcW w:w="3147" w:type="dxa"/>
          </w:tcPr>
          <w:p w14:paraId="7AF34183" w14:textId="77777777" w:rsidR="00FA06E6" w:rsidRPr="009B546D" w:rsidRDefault="00FA06E6" w:rsidP="00496B89">
            <w:pPr>
              <w:spacing w:after="0" w:line="240" w:lineRule="auto"/>
              <w:rPr>
                <w:rFonts w:cstheme="minorHAnsi"/>
                <w:sz w:val="18"/>
                <w:szCs w:val="18"/>
              </w:rPr>
            </w:pPr>
            <w:r w:rsidRPr="009B546D">
              <w:rPr>
                <w:rFonts w:cstheme="minorHAnsi"/>
                <w:sz w:val="18"/>
                <w:szCs w:val="18"/>
              </w:rPr>
              <w:t>Video Games</w:t>
            </w:r>
          </w:p>
        </w:tc>
        <w:tc>
          <w:tcPr>
            <w:tcW w:w="1531" w:type="dxa"/>
          </w:tcPr>
          <w:p w14:paraId="612539C5" w14:textId="77777777" w:rsidR="00FA06E6" w:rsidRPr="009B546D" w:rsidRDefault="00FA06E6" w:rsidP="00F432B9">
            <w:pPr>
              <w:spacing w:after="0" w:line="240" w:lineRule="auto"/>
              <w:jc w:val="right"/>
              <w:rPr>
                <w:rFonts w:cstheme="minorHAnsi"/>
                <w:sz w:val="18"/>
                <w:szCs w:val="18"/>
              </w:rPr>
            </w:pPr>
            <w:r w:rsidRPr="009B546D">
              <w:rPr>
                <w:rFonts w:cstheme="minorHAnsi"/>
                <w:sz w:val="18"/>
                <w:szCs w:val="18"/>
              </w:rPr>
              <w:t>100</w:t>
            </w:r>
          </w:p>
        </w:tc>
        <w:tc>
          <w:tcPr>
            <w:tcW w:w="1418" w:type="dxa"/>
          </w:tcPr>
          <w:p w14:paraId="6C262C15" w14:textId="77777777" w:rsidR="00FA06E6" w:rsidRPr="009B546D" w:rsidRDefault="00FA06E6" w:rsidP="00F432B9">
            <w:pPr>
              <w:spacing w:after="0" w:line="240" w:lineRule="auto"/>
              <w:jc w:val="right"/>
              <w:rPr>
                <w:rFonts w:cstheme="minorHAnsi"/>
                <w:sz w:val="18"/>
                <w:szCs w:val="18"/>
              </w:rPr>
            </w:pPr>
            <w:r w:rsidRPr="009B546D">
              <w:rPr>
                <w:rFonts w:cstheme="minorHAnsi"/>
                <w:sz w:val="18"/>
                <w:szCs w:val="18"/>
              </w:rPr>
              <w:t>+16%</w:t>
            </w:r>
          </w:p>
        </w:tc>
      </w:tr>
      <w:tr w:rsidR="00FA06E6" w:rsidRPr="009B546D" w14:paraId="1F1C7034" w14:textId="77777777" w:rsidTr="00EA2BB6">
        <w:trPr>
          <w:jc w:val="center"/>
        </w:trPr>
        <w:tc>
          <w:tcPr>
            <w:tcW w:w="3147" w:type="dxa"/>
          </w:tcPr>
          <w:p w14:paraId="3D4E1021" w14:textId="77777777" w:rsidR="00FA06E6" w:rsidRPr="009B546D" w:rsidRDefault="00FA06E6" w:rsidP="00496B89">
            <w:pPr>
              <w:spacing w:after="0" w:line="240" w:lineRule="auto"/>
              <w:rPr>
                <w:rFonts w:cstheme="minorHAnsi"/>
                <w:sz w:val="18"/>
                <w:szCs w:val="18"/>
              </w:rPr>
            </w:pPr>
            <w:r w:rsidRPr="009B546D">
              <w:rPr>
                <w:rFonts w:cstheme="minorHAnsi"/>
                <w:sz w:val="18"/>
                <w:szCs w:val="18"/>
              </w:rPr>
              <w:t>Digital Music</w:t>
            </w:r>
          </w:p>
        </w:tc>
        <w:tc>
          <w:tcPr>
            <w:tcW w:w="1531" w:type="dxa"/>
          </w:tcPr>
          <w:p w14:paraId="76CDA172" w14:textId="77777777" w:rsidR="00FA06E6" w:rsidRPr="009B546D" w:rsidRDefault="00FA06E6" w:rsidP="00F432B9">
            <w:pPr>
              <w:spacing w:after="0" w:line="240" w:lineRule="auto"/>
              <w:jc w:val="right"/>
              <w:rPr>
                <w:rFonts w:cstheme="minorHAnsi"/>
                <w:sz w:val="18"/>
                <w:szCs w:val="18"/>
              </w:rPr>
            </w:pPr>
            <w:r w:rsidRPr="009B546D">
              <w:rPr>
                <w:rFonts w:cstheme="minorHAnsi"/>
                <w:sz w:val="18"/>
                <w:szCs w:val="18"/>
              </w:rPr>
              <w:t>30</w:t>
            </w:r>
          </w:p>
        </w:tc>
        <w:tc>
          <w:tcPr>
            <w:tcW w:w="1418" w:type="dxa"/>
          </w:tcPr>
          <w:p w14:paraId="49B77BFD" w14:textId="77777777" w:rsidR="00FA06E6" w:rsidRPr="009B546D" w:rsidRDefault="00FA06E6" w:rsidP="00F432B9">
            <w:pPr>
              <w:spacing w:after="0" w:line="240" w:lineRule="auto"/>
              <w:jc w:val="right"/>
              <w:rPr>
                <w:rFonts w:cstheme="minorHAnsi"/>
                <w:sz w:val="18"/>
                <w:szCs w:val="18"/>
              </w:rPr>
            </w:pPr>
            <w:r w:rsidRPr="009B546D">
              <w:rPr>
                <w:rFonts w:cstheme="minorHAnsi"/>
                <w:sz w:val="18"/>
                <w:szCs w:val="18"/>
              </w:rPr>
              <w:t>+10%</w:t>
            </w:r>
          </w:p>
        </w:tc>
      </w:tr>
      <w:tr w:rsidR="00FA06E6" w:rsidRPr="009B546D" w14:paraId="4F5CA30D" w14:textId="77777777" w:rsidTr="00EA2BB6">
        <w:trPr>
          <w:jc w:val="center"/>
        </w:trPr>
        <w:tc>
          <w:tcPr>
            <w:tcW w:w="3147" w:type="dxa"/>
          </w:tcPr>
          <w:p w14:paraId="210945D2" w14:textId="33DC2F88" w:rsidR="00FA06E6" w:rsidRPr="009B546D" w:rsidRDefault="00FA06E6" w:rsidP="00496B89">
            <w:pPr>
              <w:spacing w:after="0" w:line="240" w:lineRule="auto"/>
              <w:rPr>
                <w:rFonts w:cstheme="minorHAnsi"/>
                <w:sz w:val="18"/>
                <w:szCs w:val="18"/>
              </w:rPr>
            </w:pPr>
            <w:r w:rsidRPr="009B546D">
              <w:rPr>
                <w:rFonts w:cstheme="minorHAnsi"/>
                <w:sz w:val="18"/>
                <w:szCs w:val="18"/>
              </w:rPr>
              <w:t>Travel (</w:t>
            </w:r>
            <w:r w:rsidR="00CA5464" w:rsidRPr="009B546D">
              <w:rPr>
                <w:rFonts w:cstheme="minorHAnsi"/>
                <w:sz w:val="18"/>
                <w:szCs w:val="18"/>
              </w:rPr>
              <w:t>Inc.</w:t>
            </w:r>
            <w:r w:rsidRPr="009B546D">
              <w:rPr>
                <w:rFonts w:cstheme="minorHAnsi"/>
                <w:sz w:val="18"/>
                <w:szCs w:val="18"/>
              </w:rPr>
              <w:t xml:space="preserve"> Accommodation)</w:t>
            </w:r>
          </w:p>
        </w:tc>
        <w:tc>
          <w:tcPr>
            <w:tcW w:w="1531" w:type="dxa"/>
          </w:tcPr>
          <w:p w14:paraId="7BC85557" w14:textId="77777777" w:rsidR="00FA06E6" w:rsidRPr="009B546D" w:rsidRDefault="00FA06E6" w:rsidP="00F432B9">
            <w:pPr>
              <w:spacing w:after="0" w:line="240" w:lineRule="auto"/>
              <w:jc w:val="right"/>
              <w:rPr>
                <w:rFonts w:cstheme="minorHAnsi"/>
                <w:sz w:val="18"/>
                <w:szCs w:val="18"/>
              </w:rPr>
            </w:pPr>
            <w:r w:rsidRPr="009B546D">
              <w:rPr>
                <w:rFonts w:cstheme="minorHAnsi"/>
                <w:sz w:val="18"/>
                <w:szCs w:val="18"/>
              </w:rPr>
              <w:t>2.8</w:t>
            </w:r>
          </w:p>
        </w:tc>
        <w:tc>
          <w:tcPr>
            <w:tcW w:w="1418" w:type="dxa"/>
          </w:tcPr>
          <w:p w14:paraId="4F7ED275" w14:textId="77777777" w:rsidR="00FA06E6" w:rsidRPr="009B546D" w:rsidRDefault="00FA06E6" w:rsidP="00F432B9">
            <w:pPr>
              <w:spacing w:after="0" w:line="240" w:lineRule="auto"/>
              <w:jc w:val="right"/>
              <w:rPr>
                <w:rFonts w:cstheme="minorHAnsi"/>
                <w:sz w:val="18"/>
                <w:szCs w:val="18"/>
              </w:rPr>
            </w:pPr>
            <w:r w:rsidRPr="009B546D">
              <w:rPr>
                <w:rFonts w:cstheme="minorHAnsi"/>
                <w:sz w:val="18"/>
                <w:szCs w:val="18"/>
              </w:rPr>
              <w:t>+18%</w:t>
            </w:r>
          </w:p>
        </w:tc>
      </w:tr>
    </w:tbl>
    <w:p w14:paraId="2FE80DAE" w14:textId="51415E49" w:rsidR="00FA06E6" w:rsidRPr="009B546D" w:rsidRDefault="00FA06E6" w:rsidP="00B575FC">
      <w:pPr>
        <w:spacing w:before="120" w:after="0" w:line="240" w:lineRule="auto"/>
        <w:ind w:left="1440" w:firstLine="120"/>
        <w:rPr>
          <w:rFonts w:cstheme="minorHAnsi"/>
          <w:b/>
          <w:sz w:val="14"/>
          <w:szCs w:val="14"/>
        </w:rPr>
      </w:pPr>
      <w:r w:rsidRPr="009B546D">
        <w:rPr>
          <w:rFonts w:cstheme="minorHAnsi"/>
          <w:b/>
          <w:sz w:val="14"/>
          <w:szCs w:val="14"/>
        </w:rPr>
        <w:t>Source: Statista digital market outlook for e-commerce, e-travel and digital media industries.</w:t>
      </w:r>
    </w:p>
    <w:p w14:paraId="74618B86" w14:textId="2118360C" w:rsidR="00FA06E6" w:rsidRPr="00384557" w:rsidRDefault="00FA06E6" w:rsidP="00B575FC">
      <w:pPr>
        <w:spacing w:after="120" w:line="240" w:lineRule="auto"/>
        <w:ind w:left="1560" w:right="1416"/>
        <w:rPr>
          <w:rFonts w:cstheme="minorHAnsi"/>
          <w:b/>
          <w:sz w:val="14"/>
          <w:szCs w:val="14"/>
        </w:rPr>
      </w:pPr>
      <w:r w:rsidRPr="009B546D">
        <w:rPr>
          <w:rFonts w:cstheme="minorHAnsi"/>
          <w:b/>
          <w:sz w:val="14"/>
          <w:szCs w:val="14"/>
        </w:rPr>
        <w:t>Notes: Figures are based on estimates of full year consumer spend for 2018, excluding B2B spend. Figures</w:t>
      </w:r>
      <w:r w:rsidR="00B575FC">
        <w:rPr>
          <w:rFonts w:cstheme="minorHAnsi"/>
          <w:b/>
          <w:sz w:val="14"/>
          <w:szCs w:val="14"/>
        </w:rPr>
        <w:t xml:space="preserve"> </w:t>
      </w:r>
      <w:r w:rsidRPr="009B546D">
        <w:rPr>
          <w:rFonts w:cstheme="minorHAnsi"/>
          <w:b/>
          <w:sz w:val="14"/>
          <w:szCs w:val="14"/>
        </w:rPr>
        <w:t>for digital music and video games include streaming.</w:t>
      </w:r>
      <w:r w:rsidR="004B1D6D" w:rsidRPr="00384557">
        <w:rPr>
          <w:rStyle w:val="FootnoteReference"/>
          <w:rFonts w:asciiTheme="minorHAnsi" w:hAnsiTheme="minorHAnsi" w:cstheme="minorHAnsi"/>
          <w:b/>
          <w:sz w:val="14"/>
          <w:szCs w:val="14"/>
        </w:rPr>
        <w:footnoteReference w:id="10"/>
      </w:r>
    </w:p>
    <w:p w14:paraId="5D32802D" w14:textId="42F71720" w:rsidR="00FA06E6" w:rsidRPr="009B546D" w:rsidRDefault="00FA06E6" w:rsidP="00F432B9">
      <w:pPr>
        <w:spacing w:after="120" w:line="240" w:lineRule="auto"/>
        <w:rPr>
          <w:rFonts w:cstheme="minorHAnsi"/>
        </w:rPr>
      </w:pPr>
      <w:r w:rsidRPr="009B546D">
        <w:rPr>
          <w:rFonts w:cstheme="minorHAnsi"/>
        </w:rPr>
        <w:t xml:space="preserve">Malaysia’s e-commerce sector is benefiting from the implementation of programs under the National </w:t>
      </w:r>
      <w:r w:rsidR="00E54B1E" w:rsidRPr="009B546D">
        <w:rPr>
          <w:rFonts w:cstheme="minorHAnsi"/>
        </w:rPr>
        <w:t>e</w:t>
      </w:r>
      <w:r w:rsidRPr="009B546D">
        <w:rPr>
          <w:rFonts w:cstheme="minorHAnsi"/>
        </w:rPr>
        <w:t>-commerce Strategic Roadmap</w:t>
      </w:r>
      <w:r w:rsidR="002D4211" w:rsidRPr="009B546D">
        <w:rPr>
          <w:rFonts w:cstheme="minorHAnsi"/>
        </w:rPr>
        <w:t>s</w:t>
      </w:r>
      <w:r w:rsidRPr="009B546D">
        <w:rPr>
          <w:rFonts w:cstheme="minorHAnsi"/>
        </w:rPr>
        <w:t xml:space="preserve"> (</w:t>
      </w:r>
      <w:r w:rsidR="00E54B1E" w:rsidRPr="009B546D">
        <w:rPr>
          <w:rFonts w:cstheme="minorHAnsi"/>
        </w:rPr>
        <w:t>“</w:t>
      </w:r>
      <w:r w:rsidRPr="009B546D">
        <w:rPr>
          <w:rFonts w:cstheme="minorHAnsi"/>
          <w:b/>
          <w:bCs/>
        </w:rPr>
        <w:t>NeSR</w:t>
      </w:r>
      <w:r w:rsidR="00E54B1E" w:rsidRPr="009B546D">
        <w:rPr>
          <w:rFonts w:cstheme="minorHAnsi"/>
        </w:rPr>
        <w:t>”</w:t>
      </w:r>
      <w:r w:rsidRPr="009B546D">
        <w:rPr>
          <w:rFonts w:cstheme="minorHAnsi"/>
        </w:rPr>
        <w:t xml:space="preserve">). The National </w:t>
      </w:r>
      <w:r w:rsidR="00E54B1E" w:rsidRPr="009B546D">
        <w:rPr>
          <w:rFonts w:cstheme="minorHAnsi"/>
        </w:rPr>
        <w:t>e</w:t>
      </w:r>
      <w:r w:rsidRPr="009B546D">
        <w:rPr>
          <w:rFonts w:cstheme="minorHAnsi"/>
        </w:rPr>
        <w:t>-commerce Council (</w:t>
      </w:r>
      <w:r w:rsidR="00E54B1E" w:rsidRPr="009B546D">
        <w:rPr>
          <w:rFonts w:cstheme="minorHAnsi"/>
        </w:rPr>
        <w:t>“</w:t>
      </w:r>
      <w:r w:rsidRPr="009B546D">
        <w:rPr>
          <w:rFonts w:cstheme="minorHAnsi"/>
          <w:b/>
          <w:bCs/>
        </w:rPr>
        <w:t>NeCC</w:t>
      </w:r>
      <w:r w:rsidR="00E54B1E" w:rsidRPr="009B546D">
        <w:rPr>
          <w:rFonts w:cstheme="minorHAnsi"/>
        </w:rPr>
        <w:t>”</w:t>
      </w:r>
      <w:r w:rsidRPr="009B546D">
        <w:rPr>
          <w:rFonts w:cstheme="minorHAnsi"/>
        </w:rPr>
        <w:t xml:space="preserve">), </w:t>
      </w:r>
      <w:r w:rsidR="002D4211" w:rsidRPr="009B546D">
        <w:rPr>
          <w:rFonts w:cstheme="minorHAnsi"/>
        </w:rPr>
        <w:t>comprising</w:t>
      </w:r>
      <w:r w:rsidRPr="009B546D">
        <w:rPr>
          <w:rFonts w:cstheme="minorHAnsi"/>
        </w:rPr>
        <w:t xml:space="preserve"> various ministries and agencies was established to drive the implementation of NeSR towards doubling Malaysia’s e-commerce growth rate to reach a GDP contribution of US$53 billion by 2020. The </w:t>
      </w:r>
      <w:r w:rsidR="002D4211" w:rsidRPr="009B546D">
        <w:rPr>
          <w:rFonts w:cstheme="minorHAnsi"/>
        </w:rPr>
        <w:t>N</w:t>
      </w:r>
      <w:r w:rsidRPr="009B546D">
        <w:rPr>
          <w:rFonts w:cstheme="minorHAnsi"/>
        </w:rPr>
        <w:t xml:space="preserve">eSR outlines the </w:t>
      </w:r>
      <w:r w:rsidR="002D4211" w:rsidRPr="009B546D">
        <w:rPr>
          <w:rFonts w:cstheme="minorHAnsi"/>
        </w:rPr>
        <w:t xml:space="preserve">Malaysian </w:t>
      </w:r>
      <w:r w:rsidRPr="009B546D">
        <w:rPr>
          <w:rFonts w:cstheme="minorHAnsi"/>
        </w:rPr>
        <w:t>Government’s intervention in six key areas:</w:t>
      </w:r>
    </w:p>
    <w:p w14:paraId="756C18C8" w14:textId="74F79396" w:rsidR="00FA06E6" w:rsidRPr="009B546D" w:rsidRDefault="002D4211" w:rsidP="00F432B9">
      <w:pPr>
        <w:numPr>
          <w:ilvl w:val="0"/>
          <w:numId w:val="43"/>
        </w:numPr>
        <w:pBdr>
          <w:top w:val="nil"/>
          <w:left w:val="nil"/>
          <w:bottom w:val="nil"/>
          <w:right w:val="nil"/>
          <w:between w:val="nil"/>
        </w:pBdr>
        <w:spacing w:after="120" w:line="240" w:lineRule="auto"/>
        <w:rPr>
          <w:rFonts w:cstheme="minorHAnsi"/>
          <w:color w:val="000000"/>
        </w:rPr>
      </w:pPr>
      <w:r w:rsidRPr="009B546D">
        <w:rPr>
          <w:rFonts w:cstheme="minorHAnsi"/>
          <w:color w:val="000000"/>
        </w:rPr>
        <w:t>a</w:t>
      </w:r>
      <w:r w:rsidR="00FA06E6" w:rsidRPr="009B546D">
        <w:rPr>
          <w:rFonts w:cstheme="minorHAnsi"/>
          <w:color w:val="000000"/>
        </w:rPr>
        <w:t>ccelerate seller adoption of e-commerce;</w:t>
      </w:r>
    </w:p>
    <w:p w14:paraId="4EFFBA13" w14:textId="58E5D555" w:rsidR="00FA06E6" w:rsidRPr="009B546D" w:rsidRDefault="002D4211" w:rsidP="00F432B9">
      <w:pPr>
        <w:numPr>
          <w:ilvl w:val="0"/>
          <w:numId w:val="43"/>
        </w:numPr>
        <w:pBdr>
          <w:top w:val="nil"/>
          <w:left w:val="nil"/>
          <w:bottom w:val="nil"/>
          <w:right w:val="nil"/>
          <w:between w:val="nil"/>
        </w:pBdr>
        <w:spacing w:after="120" w:line="240" w:lineRule="auto"/>
        <w:rPr>
          <w:rFonts w:cstheme="minorHAnsi"/>
          <w:color w:val="000000"/>
        </w:rPr>
      </w:pPr>
      <w:r w:rsidRPr="009B546D">
        <w:rPr>
          <w:rFonts w:cstheme="minorHAnsi"/>
          <w:color w:val="000000"/>
        </w:rPr>
        <w:t>i</w:t>
      </w:r>
      <w:r w:rsidR="00FA06E6" w:rsidRPr="009B546D">
        <w:rPr>
          <w:rFonts w:cstheme="minorHAnsi"/>
          <w:color w:val="000000"/>
        </w:rPr>
        <w:t>ncrease adoption of e-procurement by businesses;</w:t>
      </w:r>
    </w:p>
    <w:p w14:paraId="439249D6" w14:textId="0435FC38" w:rsidR="00FA06E6" w:rsidRPr="009B546D" w:rsidRDefault="002D4211" w:rsidP="00F432B9">
      <w:pPr>
        <w:numPr>
          <w:ilvl w:val="0"/>
          <w:numId w:val="43"/>
        </w:numPr>
        <w:pBdr>
          <w:top w:val="nil"/>
          <w:left w:val="nil"/>
          <w:bottom w:val="nil"/>
          <w:right w:val="nil"/>
          <w:between w:val="nil"/>
        </w:pBdr>
        <w:spacing w:after="120" w:line="240" w:lineRule="auto"/>
        <w:rPr>
          <w:rFonts w:cstheme="minorHAnsi"/>
          <w:color w:val="000000"/>
        </w:rPr>
      </w:pPr>
      <w:r w:rsidRPr="009B546D">
        <w:rPr>
          <w:rFonts w:cstheme="minorHAnsi"/>
          <w:color w:val="000000"/>
        </w:rPr>
        <w:t>l</w:t>
      </w:r>
      <w:r w:rsidR="00FA06E6" w:rsidRPr="009B546D">
        <w:rPr>
          <w:rFonts w:cstheme="minorHAnsi"/>
          <w:color w:val="000000"/>
        </w:rPr>
        <w:t>ift non-tariff barriers (e-fulfilment, cross-border, e-payment, consumer protection);</w:t>
      </w:r>
    </w:p>
    <w:p w14:paraId="5E2775E6" w14:textId="261997C2" w:rsidR="00FA06E6" w:rsidRPr="009B546D" w:rsidRDefault="002D4211" w:rsidP="00F432B9">
      <w:pPr>
        <w:numPr>
          <w:ilvl w:val="0"/>
          <w:numId w:val="43"/>
        </w:numPr>
        <w:pBdr>
          <w:top w:val="nil"/>
          <w:left w:val="nil"/>
          <w:bottom w:val="nil"/>
          <w:right w:val="nil"/>
          <w:between w:val="nil"/>
        </w:pBdr>
        <w:spacing w:after="120" w:line="240" w:lineRule="auto"/>
        <w:rPr>
          <w:rFonts w:cstheme="minorHAnsi"/>
          <w:color w:val="000000"/>
        </w:rPr>
      </w:pPr>
      <w:r w:rsidRPr="009B546D">
        <w:rPr>
          <w:rFonts w:cstheme="minorHAnsi"/>
          <w:color w:val="000000"/>
        </w:rPr>
        <w:t>r</w:t>
      </w:r>
      <w:r w:rsidR="00FA06E6" w:rsidRPr="009B546D">
        <w:rPr>
          <w:rFonts w:cstheme="minorHAnsi"/>
          <w:color w:val="000000"/>
        </w:rPr>
        <w:t>ealign existing economic incentives;</w:t>
      </w:r>
    </w:p>
    <w:p w14:paraId="2AE2EC9F" w14:textId="3EDFB5C8" w:rsidR="00FA06E6" w:rsidRPr="009B546D" w:rsidRDefault="002D4211" w:rsidP="00F432B9">
      <w:pPr>
        <w:numPr>
          <w:ilvl w:val="0"/>
          <w:numId w:val="43"/>
        </w:numPr>
        <w:pBdr>
          <w:top w:val="nil"/>
          <w:left w:val="nil"/>
          <w:bottom w:val="nil"/>
          <w:right w:val="nil"/>
          <w:between w:val="nil"/>
        </w:pBdr>
        <w:spacing w:after="120" w:line="240" w:lineRule="auto"/>
        <w:rPr>
          <w:rFonts w:cstheme="minorHAnsi"/>
          <w:color w:val="000000"/>
        </w:rPr>
      </w:pPr>
      <w:r w:rsidRPr="009B546D">
        <w:rPr>
          <w:rFonts w:cstheme="minorHAnsi"/>
          <w:color w:val="000000"/>
        </w:rPr>
        <w:t>m</w:t>
      </w:r>
      <w:r w:rsidR="00FA06E6" w:rsidRPr="009B546D">
        <w:rPr>
          <w:rFonts w:cstheme="minorHAnsi"/>
          <w:color w:val="000000"/>
        </w:rPr>
        <w:t>ake strategic investments in select e-commerce player(s); and</w:t>
      </w:r>
    </w:p>
    <w:p w14:paraId="5E9C5119" w14:textId="274D9E5D" w:rsidR="00FA06E6" w:rsidRPr="009B546D" w:rsidRDefault="002D4211" w:rsidP="00F432B9">
      <w:pPr>
        <w:numPr>
          <w:ilvl w:val="0"/>
          <w:numId w:val="43"/>
        </w:numPr>
        <w:pBdr>
          <w:top w:val="nil"/>
          <w:left w:val="nil"/>
          <w:bottom w:val="nil"/>
          <w:right w:val="nil"/>
          <w:between w:val="nil"/>
        </w:pBdr>
        <w:spacing w:after="120" w:line="240" w:lineRule="auto"/>
        <w:rPr>
          <w:rFonts w:cstheme="minorHAnsi"/>
          <w:color w:val="000000"/>
        </w:rPr>
      </w:pPr>
      <w:r w:rsidRPr="009B546D">
        <w:rPr>
          <w:rFonts w:cstheme="minorHAnsi"/>
          <w:color w:val="000000"/>
        </w:rPr>
        <w:t>p</w:t>
      </w:r>
      <w:r w:rsidR="00FA06E6" w:rsidRPr="009B546D">
        <w:rPr>
          <w:rFonts w:cstheme="minorHAnsi"/>
          <w:color w:val="000000"/>
        </w:rPr>
        <w:t>romote national brand to boost cross-border e-commerce</w:t>
      </w:r>
      <w:r w:rsidRPr="009B546D">
        <w:rPr>
          <w:rFonts w:cstheme="minorHAnsi"/>
          <w:color w:val="000000"/>
        </w:rPr>
        <w:t>.</w:t>
      </w:r>
    </w:p>
    <w:p w14:paraId="2DE014E8" w14:textId="38DE2255" w:rsidR="00FA06E6" w:rsidRPr="009B546D" w:rsidRDefault="00FA06E6" w:rsidP="00F432B9">
      <w:pPr>
        <w:pBdr>
          <w:top w:val="nil"/>
          <w:left w:val="nil"/>
          <w:bottom w:val="nil"/>
          <w:right w:val="nil"/>
          <w:between w:val="nil"/>
        </w:pBdr>
        <w:spacing w:after="120" w:line="240" w:lineRule="auto"/>
        <w:rPr>
          <w:rFonts w:cstheme="minorHAnsi"/>
          <w:color w:val="000000"/>
        </w:rPr>
      </w:pPr>
      <w:r w:rsidRPr="009B546D">
        <w:rPr>
          <w:rFonts w:cstheme="minorHAnsi"/>
          <w:color w:val="000000"/>
        </w:rPr>
        <w:t>These key legislations and programs provide a positive regulatory environment which instils consumer trust in the growing e-commerce industry as well as increases the market confidence which</w:t>
      </w:r>
      <w:r w:rsidR="002D4211" w:rsidRPr="009B546D">
        <w:rPr>
          <w:rFonts w:cstheme="minorHAnsi"/>
          <w:color w:val="000000"/>
        </w:rPr>
        <w:t xml:space="preserve">, </w:t>
      </w:r>
      <w:r w:rsidRPr="009B546D">
        <w:rPr>
          <w:rFonts w:cstheme="minorHAnsi"/>
          <w:color w:val="000000"/>
        </w:rPr>
        <w:t>in turn</w:t>
      </w:r>
      <w:r w:rsidR="002D4211" w:rsidRPr="009B546D">
        <w:rPr>
          <w:rFonts w:cstheme="minorHAnsi"/>
          <w:color w:val="000000"/>
        </w:rPr>
        <w:t>,</w:t>
      </w:r>
      <w:r w:rsidRPr="009B546D">
        <w:rPr>
          <w:rFonts w:cstheme="minorHAnsi"/>
          <w:color w:val="000000"/>
        </w:rPr>
        <w:t xml:space="preserve"> will increase market participants. </w:t>
      </w:r>
      <w:r w:rsidRPr="009B546D">
        <w:rPr>
          <w:rFonts w:cstheme="minorHAnsi"/>
        </w:rPr>
        <w:t xml:space="preserve">Technology friendly legislations are also supported by the “Network Effect” phenomena. As technological services such as the internet, social media or e-commerce becomes more valuable and more users </w:t>
      </w:r>
      <w:r w:rsidRPr="009B546D">
        <w:rPr>
          <w:rFonts w:cstheme="minorHAnsi"/>
        </w:rPr>
        <w:lastRenderedPageBreak/>
        <w:t xml:space="preserve">join, this results in a positive feedback loop of acceptance and adoption by further users. Technological innovation in services </w:t>
      </w:r>
      <w:r w:rsidR="006112A9" w:rsidRPr="009B546D">
        <w:rPr>
          <w:rFonts w:cstheme="minorHAnsi"/>
        </w:rPr>
        <w:t xml:space="preserve">is </w:t>
      </w:r>
      <w:r w:rsidRPr="009B546D">
        <w:rPr>
          <w:rFonts w:cstheme="minorHAnsi"/>
        </w:rPr>
        <w:t xml:space="preserve">particularly largely disruptive of the incumbent in regard to the market share, the benefits of network economies of scale rapidly diminishes the incumbents market share position. The acceleration of the decline of the incumbent allows the challenger to dominate the market and take over the </w:t>
      </w:r>
      <w:r w:rsidR="00E16E08" w:rsidRPr="009B546D">
        <w:rPr>
          <w:rFonts w:cstheme="minorHAnsi"/>
        </w:rPr>
        <w:t>incumbent’s</w:t>
      </w:r>
      <w:r w:rsidRPr="009B546D">
        <w:rPr>
          <w:rFonts w:cstheme="minorHAnsi"/>
        </w:rPr>
        <w:t xml:space="preserve"> former position.</w:t>
      </w:r>
    </w:p>
    <w:p w14:paraId="088EE68B" w14:textId="24E12E88" w:rsidR="00FA06E6" w:rsidRPr="009B546D" w:rsidRDefault="00FA06E6" w:rsidP="00F432B9">
      <w:pPr>
        <w:spacing w:after="120" w:line="240" w:lineRule="auto"/>
        <w:rPr>
          <w:rFonts w:cstheme="minorHAnsi"/>
        </w:rPr>
      </w:pPr>
      <w:r w:rsidRPr="009B546D">
        <w:rPr>
          <w:rFonts w:cstheme="minorHAnsi"/>
        </w:rPr>
        <w:t>E-commerce business models of distribution can be separated into two main categories</w:t>
      </w:r>
      <w:r w:rsidR="002D4211" w:rsidRPr="009B546D">
        <w:rPr>
          <w:rFonts w:cstheme="minorHAnsi"/>
        </w:rPr>
        <w:t xml:space="preserve">: </w:t>
      </w:r>
      <w:r w:rsidRPr="009B546D">
        <w:rPr>
          <w:rFonts w:cstheme="minorHAnsi"/>
        </w:rPr>
        <w:t>B2C and B2B. The term B2C refers to the process of selling products and services directly between consumers who are the end-users of its products or services. Most companies that sell directly to consumers can be referred to as B2C companies. The term B2B refers to the form of transaction between businesses, such as one involving a manufacturer and wholesaler, or a wholesaler and a retailer. Business to business refers to business that is conducted between companies, rather than between a company and individual consumers. B2C e-commerce is currently 2</w:t>
      </w:r>
      <w:r w:rsidR="00E54B1E" w:rsidRPr="009B546D">
        <w:rPr>
          <w:rFonts w:cstheme="minorHAnsi"/>
        </w:rPr>
        <w:t xml:space="preserve"> per cent.</w:t>
      </w:r>
      <w:r w:rsidRPr="009B546D">
        <w:rPr>
          <w:rFonts w:cstheme="minorHAnsi"/>
        </w:rPr>
        <w:t xml:space="preserve"> of all consumer sales in Malaysia and this is forecasted to double</w:t>
      </w:r>
      <w:r w:rsidR="00D7479F" w:rsidRPr="00384557">
        <w:rPr>
          <w:rStyle w:val="FootnoteReference"/>
          <w:rFonts w:asciiTheme="minorHAnsi" w:hAnsiTheme="minorHAnsi" w:cstheme="minorHAnsi"/>
        </w:rPr>
        <w:footnoteReference w:id="11"/>
      </w:r>
      <w:r w:rsidRPr="00384557">
        <w:rPr>
          <w:rFonts w:cstheme="minorHAnsi"/>
        </w:rPr>
        <w:t>. Malaysia’s online B2C market and revenue is expected to show an annual growth rate (CAGR 2019-2023) of 11.4</w:t>
      </w:r>
      <w:r w:rsidR="00E54B1E" w:rsidRPr="009B546D">
        <w:rPr>
          <w:rFonts w:cstheme="minorHAnsi"/>
        </w:rPr>
        <w:t xml:space="preserve"> per cent</w:t>
      </w:r>
      <w:r w:rsidR="00D7479F" w:rsidRPr="00384557">
        <w:rPr>
          <w:rStyle w:val="FootnoteReference"/>
          <w:rFonts w:asciiTheme="minorHAnsi" w:hAnsiTheme="minorHAnsi" w:cstheme="minorHAnsi"/>
        </w:rPr>
        <w:footnoteReference w:id="12"/>
      </w:r>
      <w:r w:rsidRPr="00384557">
        <w:rPr>
          <w:rFonts w:cstheme="minorHAnsi"/>
        </w:rPr>
        <w:t>. The current market share of e-commer</w:t>
      </w:r>
      <w:r w:rsidRPr="009B546D">
        <w:rPr>
          <w:rFonts w:cstheme="minorHAnsi"/>
        </w:rPr>
        <w:t>ce in relation to traditional retail shows that it is in nascent stages compared to the more mature e-commerce markets such as the US and South Korea. B2B e-commerce is a relatively under</w:t>
      </w:r>
      <w:r w:rsidR="002D4211" w:rsidRPr="009B546D">
        <w:rPr>
          <w:rFonts w:cstheme="minorHAnsi"/>
        </w:rPr>
        <w:t>-</w:t>
      </w:r>
      <w:r w:rsidRPr="009B546D">
        <w:rPr>
          <w:rFonts w:cstheme="minorHAnsi"/>
        </w:rPr>
        <w:t>developed area of the market but has experienced high growth in the past 5 years, with the Malaysian market expected to grow to US$3.4 billion by 2020</w:t>
      </w:r>
      <w:r w:rsidR="00885372" w:rsidRPr="00384557">
        <w:rPr>
          <w:rStyle w:val="FootnoteReference"/>
          <w:rFonts w:asciiTheme="minorHAnsi" w:hAnsiTheme="minorHAnsi" w:cstheme="minorHAnsi"/>
        </w:rPr>
        <w:footnoteReference w:id="13"/>
      </w:r>
      <w:r w:rsidRPr="00384557">
        <w:rPr>
          <w:rFonts w:cstheme="minorHAnsi"/>
        </w:rPr>
        <w:t xml:space="preserve">. The growth of the B2C and B2B e-commerce markets of Malaysia will directly and indirectly have a positive impact on the business of Alchemist Codes, indirectly </w:t>
      </w:r>
      <w:r w:rsidRPr="009B546D">
        <w:rPr>
          <w:rFonts w:cstheme="minorHAnsi"/>
        </w:rPr>
        <w:t>through the increases in market confidence as well as directly through the increases in online merchants, users and transaction volumes.</w:t>
      </w:r>
    </w:p>
    <w:p w14:paraId="6D2F294D" w14:textId="19D2C27C" w:rsidR="00FA06E6" w:rsidRPr="009B546D" w:rsidRDefault="00FA06E6" w:rsidP="00F432B9">
      <w:pPr>
        <w:spacing w:after="120" w:line="240" w:lineRule="auto"/>
        <w:rPr>
          <w:rFonts w:cstheme="minorHAnsi"/>
        </w:rPr>
      </w:pPr>
      <w:r w:rsidRPr="009B546D">
        <w:rPr>
          <w:rFonts w:cstheme="minorHAnsi"/>
        </w:rPr>
        <w:t xml:space="preserve">E-commerce business models of distribution can also be broken down into pureplay players or omni-channel player. A pureplay e-commerce retailer is one that solely focuses on its e-commerce platform while an omni-channel player will engage in traditional retail alongside its e-commerce platform. Consumer mentality and perception is shifting to focus on digital retailers where increasingly users are solely mobile </w:t>
      </w:r>
      <w:r w:rsidR="006E6E54" w:rsidRPr="009B546D">
        <w:rPr>
          <w:rFonts w:cstheme="minorHAnsi"/>
        </w:rPr>
        <w:t>application</w:t>
      </w:r>
      <w:r w:rsidRPr="009B546D">
        <w:rPr>
          <w:rFonts w:cstheme="minorHAnsi"/>
        </w:rPr>
        <w:t xml:space="preserve">-based solutions for their day to day purchasing needs. Mobile application and social media-based marketing have shown to be more effective at reaching its target consumers and clientele than traditional mass media advertising and marketing channels. As retail brands race to provide consumers with a seamless digital experience that will ensure retention and secure their place alongside the disrupters, more and more traditional retailers are moving to an omni-channel distribution model. Increases in digital presence of B2C and B2B players and their shift to omni-channel distribution model will have a positive impact on the demand for the OCTAPLUS application. </w:t>
      </w:r>
    </w:p>
    <w:p w14:paraId="455061C3" w14:textId="06679D50" w:rsidR="00FA06E6" w:rsidRPr="009B546D" w:rsidRDefault="00FA06E6" w:rsidP="00F432B9">
      <w:pPr>
        <w:spacing w:after="120" w:line="240" w:lineRule="auto"/>
        <w:rPr>
          <w:rFonts w:cstheme="minorHAnsi"/>
        </w:rPr>
      </w:pPr>
      <w:r w:rsidRPr="009B546D">
        <w:rPr>
          <w:rFonts w:cstheme="minorHAnsi"/>
        </w:rPr>
        <w:t>The main impediments to business adoption of e-commerce-based solutions in Malaysia are the low levels of penetration of digital connection and technological infrastructure at the national level. The two main impediments are the slow broadband speed and lack of affordability of access to high speed broadband outside of highly urbanised areas. High speed broadband in Malaysia has a much higher overall access cost relative to consumers in developed markets. To address the slow business implementation of internet-based solutions and to increase household demand for high speed broadband, the Malaysian government has been increasing its investment into fixed broadband capacity. Concurrent to further investment, the Malaysian government needs to further encourage greater competition in the fixed broadband market across all levels of the telecom supply chain and the better enforcement of the current regulatory framework that exists.</w:t>
      </w:r>
    </w:p>
    <w:p w14:paraId="37C35A2B" w14:textId="457BCEF6" w:rsidR="00FA06E6" w:rsidRPr="009B546D" w:rsidRDefault="00FA06E6" w:rsidP="00F432B9">
      <w:pPr>
        <w:spacing w:line="240" w:lineRule="auto"/>
        <w:rPr>
          <w:rFonts w:cstheme="minorHAnsi"/>
          <w:b/>
          <w:bCs/>
        </w:rPr>
      </w:pPr>
      <w:r w:rsidRPr="009B546D">
        <w:rPr>
          <w:rFonts w:cstheme="minorHAnsi"/>
          <w:b/>
          <w:bCs/>
        </w:rPr>
        <w:t xml:space="preserve">Growth </w:t>
      </w:r>
      <w:r w:rsidR="001C32BA" w:rsidRPr="009B546D">
        <w:rPr>
          <w:rFonts w:cstheme="minorHAnsi"/>
          <w:b/>
          <w:bCs/>
        </w:rPr>
        <w:t>s</w:t>
      </w:r>
      <w:r w:rsidRPr="009B546D">
        <w:rPr>
          <w:rFonts w:cstheme="minorHAnsi"/>
          <w:b/>
          <w:bCs/>
        </w:rPr>
        <w:t>trategy</w:t>
      </w:r>
    </w:p>
    <w:p w14:paraId="5C6705C7" w14:textId="04BC7622" w:rsidR="00FA06E6" w:rsidRPr="009B546D" w:rsidRDefault="00FA06E6" w:rsidP="00496B89">
      <w:pPr>
        <w:spacing w:before="240" w:after="120" w:line="240" w:lineRule="auto"/>
        <w:rPr>
          <w:rFonts w:cstheme="minorHAnsi"/>
        </w:rPr>
      </w:pPr>
      <w:r w:rsidRPr="009B546D">
        <w:rPr>
          <w:rFonts w:cstheme="minorHAnsi"/>
        </w:rPr>
        <w:t>Alchemist Codes’ strategy is to capitalise on the significant mobile content market opportunity as consumers are increasingly using mobile content to enrich their interpersonal relationships and social experiences.</w:t>
      </w:r>
      <w:r w:rsidR="000C13A6" w:rsidRPr="009B546D">
        <w:rPr>
          <w:rFonts w:cstheme="minorHAnsi"/>
        </w:rPr>
        <w:t xml:space="preserve"> </w:t>
      </w:r>
      <w:r w:rsidRPr="009B546D">
        <w:rPr>
          <w:rFonts w:cstheme="minorHAnsi"/>
        </w:rPr>
        <w:t>Alchemist Codes believe</w:t>
      </w:r>
      <w:r w:rsidR="00C72DCD" w:rsidRPr="009B546D">
        <w:rPr>
          <w:rFonts w:cstheme="minorHAnsi"/>
        </w:rPr>
        <w:t>s</w:t>
      </w:r>
      <w:r w:rsidRPr="009B546D">
        <w:rPr>
          <w:rFonts w:cstheme="minorHAnsi"/>
        </w:rPr>
        <w:t xml:space="preserve"> increased data volume through OCTAPLUS will offer significant opportunity to develop and grow its digital advertising business and revenue, both in Malaysia and globally. </w:t>
      </w:r>
    </w:p>
    <w:p w14:paraId="0CD328D3" w14:textId="782707FD" w:rsidR="000508D0" w:rsidRPr="009B546D" w:rsidRDefault="00FA06E6" w:rsidP="00F432B9">
      <w:pPr>
        <w:spacing w:before="240" w:after="120" w:line="240" w:lineRule="auto"/>
        <w:rPr>
          <w:rFonts w:cstheme="minorHAnsi"/>
        </w:rPr>
      </w:pPr>
      <w:r w:rsidRPr="009B546D">
        <w:rPr>
          <w:rFonts w:cstheme="minorHAnsi"/>
        </w:rPr>
        <w:t>Alchemist Codes believe</w:t>
      </w:r>
      <w:r w:rsidR="001C32BA" w:rsidRPr="009B546D">
        <w:rPr>
          <w:rFonts w:cstheme="minorHAnsi"/>
        </w:rPr>
        <w:t>s</w:t>
      </w:r>
      <w:r w:rsidRPr="009B546D">
        <w:rPr>
          <w:rFonts w:cstheme="minorHAnsi"/>
        </w:rPr>
        <w:t xml:space="preserve"> the focus on developing 5G networks, both in Malaysia and globally, will benefit OCTAPLUS. Widespread implementation of 5G networks will increase bandwidth capabilities opening up OCTAPLUS for development of new features and functionality. Advances in smart device technology and portability (mobiles and tablets) continue to increase the accessibility and exposure of OCTAPLUS with an always connected culture rapidly developing enabling users to access OCTAPLUS on any device at any time anywhere.</w:t>
      </w:r>
    </w:p>
    <w:p w14:paraId="25639663" w14:textId="77777777" w:rsidR="00FA06E6" w:rsidRPr="009B546D" w:rsidRDefault="00FA06E6" w:rsidP="00F432B9">
      <w:pPr>
        <w:spacing w:before="120" w:after="120" w:line="240" w:lineRule="auto"/>
        <w:rPr>
          <w:rFonts w:cstheme="minorHAnsi"/>
        </w:rPr>
      </w:pPr>
      <w:r w:rsidRPr="009B546D">
        <w:rPr>
          <w:rFonts w:cstheme="minorHAnsi"/>
        </w:rPr>
        <w:lastRenderedPageBreak/>
        <w:t>Alchemist Codes’ growth plan is to:</w:t>
      </w:r>
    </w:p>
    <w:p w14:paraId="788D2569" w14:textId="39BF8AE2" w:rsidR="00FA06E6" w:rsidRPr="009B546D" w:rsidRDefault="00FA06E6" w:rsidP="00496B89">
      <w:pPr>
        <w:pStyle w:val="ListParagraph"/>
        <w:numPr>
          <w:ilvl w:val="0"/>
          <w:numId w:val="71"/>
        </w:numPr>
        <w:spacing w:before="120" w:after="120"/>
        <w:contextualSpacing w:val="0"/>
        <w:rPr>
          <w:rFonts w:asciiTheme="minorHAnsi" w:hAnsiTheme="minorHAnsi" w:cstheme="minorHAnsi"/>
          <w:sz w:val="20"/>
          <w:szCs w:val="20"/>
        </w:rPr>
      </w:pPr>
      <w:r w:rsidRPr="009B546D">
        <w:rPr>
          <w:rFonts w:asciiTheme="minorHAnsi" w:hAnsiTheme="minorHAnsi" w:cstheme="minorHAnsi"/>
          <w:b/>
          <w:bCs/>
          <w:sz w:val="20"/>
          <w:szCs w:val="20"/>
        </w:rPr>
        <w:t>Increas</w:t>
      </w:r>
      <w:r w:rsidR="001C32BA" w:rsidRPr="009B546D">
        <w:rPr>
          <w:rFonts w:asciiTheme="minorHAnsi" w:hAnsiTheme="minorHAnsi" w:cstheme="minorHAnsi"/>
          <w:b/>
          <w:bCs/>
          <w:sz w:val="20"/>
          <w:szCs w:val="20"/>
        </w:rPr>
        <w:t>e</w:t>
      </w:r>
      <w:r w:rsidRPr="009B546D">
        <w:rPr>
          <w:rFonts w:asciiTheme="minorHAnsi" w:hAnsiTheme="minorHAnsi" w:cstheme="minorHAnsi"/>
          <w:b/>
          <w:bCs/>
          <w:sz w:val="20"/>
          <w:szCs w:val="20"/>
        </w:rPr>
        <w:t xml:space="preserve"> user stickiness and grow user base: </w:t>
      </w:r>
      <w:r w:rsidRPr="009B546D">
        <w:rPr>
          <w:rFonts w:asciiTheme="minorHAnsi" w:hAnsiTheme="minorHAnsi" w:cstheme="minorHAnsi"/>
          <w:sz w:val="20"/>
          <w:szCs w:val="20"/>
        </w:rPr>
        <w:t xml:space="preserve">Alchemist Codes will aim to increase user stickiness and grow its registered user base by focusing on core marketing campaigns to increase recognition of OCTAPLUS domestically and internationally. </w:t>
      </w:r>
    </w:p>
    <w:p w14:paraId="59E117FE" w14:textId="77777777" w:rsidR="00FA06E6" w:rsidRPr="009B546D" w:rsidRDefault="00FA06E6" w:rsidP="00F432B9">
      <w:pPr>
        <w:pStyle w:val="ListParagraph"/>
        <w:numPr>
          <w:ilvl w:val="0"/>
          <w:numId w:val="71"/>
        </w:numPr>
        <w:spacing w:before="120" w:after="120"/>
        <w:contextualSpacing w:val="0"/>
        <w:rPr>
          <w:rFonts w:asciiTheme="minorHAnsi" w:hAnsiTheme="minorHAnsi" w:cstheme="minorHAnsi"/>
          <w:sz w:val="20"/>
          <w:szCs w:val="20"/>
        </w:rPr>
      </w:pPr>
      <w:r w:rsidRPr="009B546D">
        <w:rPr>
          <w:rFonts w:asciiTheme="minorHAnsi" w:hAnsiTheme="minorHAnsi" w:cstheme="minorHAnsi"/>
          <w:b/>
          <w:bCs/>
          <w:sz w:val="20"/>
          <w:szCs w:val="20"/>
        </w:rPr>
        <w:t xml:space="preserve">Partner with retailers who are forward thinking: </w:t>
      </w:r>
      <w:r w:rsidRPr="009B546D">
        <w:rPr>
          <w:rFonts w:asciiTheme="minorHAnsi" w:hAnsiTheme="minorHAnsi" w:cstheme="minorHAnsi"/>
          <w:sz w:val="20"/>
          <w:szCs w:val="20"/>
        </w:rPr>
        <w:t>Alchemist Codes will seek to partner with retailers who recognise the rapidly changing nature of e-commerce domestically and are prepared to change and invest</w:t>
      </w:r>
      <w:r w:rsidRPr="009B546D">
        <w:rPr>
          <w:rFonts w:asciiTheme="minorHAnsi" w:hAnsiTheme="minorHAnsi" w:cstheme="minorHAnsi"/>
          <w:b/>
          <w:bCs/>
          <w:sz w:val="20"/>
          <w:szCs w:val="20"/>
        </w:rPr>
        <w:t>.</w:t>
      </w:r>
    </w:p>
    <w:p w14:paraId="2B624603" w14:textId="043FDFF0" w:rsidR="00FA06E6" w:rsidRPr="009B546D" w:rsidRDefault="00FA06E6" w:rsidP="00650122">
      <w:pPr>
        <w:pStyle w:val="ListParagraph"/>
        <w:numPr>
          <w:ilvl w:val="0"/>
          <w:numId w:val="71"/>
        </w:numPr>
        <w:spacing w:before="120" w:after="120"/>
        <w:contextualSpacing w:val="0"/>
        <w:rPr>
          <w:rFonts w:asciiTheme="minorHAnsi" w:hAnsiTheme="minorHAnsi" w:cstheme="minorHAnsi"/>
          <w:sz w:val="20"/>
          <w:szCs w:val="20"/>
        </w:rPr>
      </w:pPr>
      <w:r w:rsidRPr="009B546D">
        <w:rPr>
          <w:rFonts w:asciiTheme="minorHAnsi" w:hAnsiTheme="minorHAnsi" w:cstheme="minorHAnsi"/>
          <w:b/>
          <w:bCs/>
          <w:sz w:val="20"/>
          <w:szCs w:val="20"/>
        </w:rPr>
        <w:t>Provide a package of support services to retailers:</w:t>
      </w:r>
      <w:r w:rsidRPr="009B546D">
        <w:rPr>
          <w:rFonts w:asciiTheme="minorHAnsi" w:hAnsiTheme="minorHAnsi" w:cstheme="minorHAnsi"/>
          <w:sz w:val="20"/>
          <w:szCs w:val="20"/>
        </w:rPr>
        <w:t xml:space="preserve"> OCTAPLUS is designed to simplify and reward the mobile and online shopping experience of</w:t>
      </w:r>
      <w:r w:rsidR="001C32BA" w:rsidRPr="009B546D">
        <w:rPr>
          <w:rFonts w:asciiTheme="minorHAnsi" w:hAnsiTheme="minorHAnsi" w:cstheme="minorHAnsi"/>
          <w:sz w:val="20"/>
          <w:szCs w:val="20"/>
        </w:rPr>
        <w:t xml:space="preserve"> its </w:t>
      </w:r>
      <w:r w:rsidRPr="009B546D">
        <w:rPr>
          <w:rFonts w:asciiTheme="minorHAnsi" w:hAnsiTheme="minorHAnsi" w:cstheme="minorHAnsi"/>
          <w:sz w:val="20"/>
          <w:szCs w:val="20"/>
        </w:rPr>
        <w:t>user</w:t>
      </w:r>
      <w:r w:rsidR="001C32BA" w:rsidRPr="009B546D">
        <w:rPr>
          <w:rFonts w:asciiTheme="minorHAnsi" w:hAnsiTheme="minorHAnsi" w:cstheme="minorHAnsi"/>
          <w:sz w:val="20"/>
          <w:szCs w:val="20"/>
        </w:rPr>
        <w:t>s</w:t>
      </w:r>
      <w:r w:rsidRPr="009B546D">
        <w:rPr>
          <w:rFonts w:asciiTheme="minorHAnsi" w:hAnsiTheme="minorHAnsi" w:cstheme="minorHAnsi"/>
          <w:sz w:val="20"/>
          <w:szCs w:val="20"/>
        </w:rPr>
        <w:t>. Alchemist Codes’ aim is to provide retailers using OCTAPLUS with levels of support and data analytics not offered by the limited number of competitors operating in the space.</w:t>
      </w:r>
    </w:p>
    <w:p w14:paraId="7424B9A7" w14:textId="77777777" w:rsidR="00FA06E6" w:rsidRPr="009B546D" w:rsidRDefault="00FA06E6" w:rsidP="00650122">
      <w:pPr>
        <w:pStyle w:val="ListParagraph"/>
        <w:numPr>
          <w:ilvl w:val="0"/>
          <w:numId w:val="71"/>
        </w:numPr>
        <w:spacing w:before="120" w:after="120"/>
        <w:contextualSpacing w:val="0"/>
        <w:rPr>
          <w:rFonts w:asciiTheme="minorHAnsi" w:hAnsiTheme="minorHAnsi" w:cstheme="minorHAnsi"/>
          <w:sz w:val="20"/>
          <w:szCs w:val="20"/>
        </w:rPr>
      </w:pPr>
      <w:r w:rsidRPr="009B546D">
        <w:rPr>
          <w:rFonts w:asciiTheme="minorHAnsi" w:hAnsiTheme="minorHAnsi" w:cstheme="minorHAnsi"/>
          <w:b/>
          <w:bCs/>
          <w:sz w:val="20"/>
          <w:szCs w:val="20"/>
        </w:rPr>
        <w:t>Extend partnerships with social media marketers:</w:t>
      </w:r>
      <w:r w:rsidRPr="009B546D">
        <w:rPr>
          <w:rFonts w:asciiTheme="minorHAnsi" w:hAnsiTheme="minorHAnsi" w:cstheme="minorHAnsi"/>
          <w:sz w:val="20"/>
          <w:szCs w:val="20"/>
        </w:rPr>
        <w:t xml:space="preserve"> Alchemist Codes is aiming to greatly increase the number of social media influencers on OCTAPLUS to increase the sphere of influencer with target users.</w:t>
      </w:r>
    </w:p>
    <w:p w14:paraId="3FF33055" w14:textId="217EB9E1" w:rsidR="00FA06E6" w:rsidRPr="009B546D" w:rsidRDefault="00FA06E6" w:rsidP="00650122">
      <w:pPr>
        <w:pStyle w:val="ListParagraph"/>
        <w:numPr>
          <w:ilvl w:val="0"/>
          <w:numId w:val="71"/>
        </w:numPr>
        <w:spacing w:before="120" w:after="120"/>
        <w:contextualSpacing w:val="0"/>
        <w:rPr>
          <w:rFonts w:asciiTheme="minorHAnsi" w:hAnsiTheme="minorHAnsi" w:cstheme="minorHAnsi"/>
          <w:sz w:val="20"/>
          <w:szCs w:val="20"/>
        </w:rPr>
      </w:pPr>
      <w:r w:rsidRPr="009B546D">
        <w:rPr>
          <w:rFonts w:asciiTheme="minorHAnsi" w:hAnsiTheme="minorHAnsi" w:cstheme="minorHAnsi"/>
          <w:b/>
          <w:bCs/>
          <w:sz w:val="20"/>
          <w:szCs w:val="20"/>
        </w:rPr>
        <w:t>Roll-out existing and new retailers:</w:t>
      </w:r>
      <w:r w:rsidRPr="009B546D">
        <w:rPr>
          <w:rFonts w:asciiTheme="minorHAnsi" w:hAnsiTheme="minorHAnsi" w:cstheme="minorHAnsi"/>
          <w:sz w:val="20"/>
          <w:szCs w:val="20"/>
        </w:rPr>
        <w:t xml:space="preserve"> Alchemist Codes currently has a small number of retailers on OCTAPLUS in order to maintain early mover advantage, Alchemist Codes intends to rapidly grow the number of retailers on the </w:t>
      </w:r>
      <w:r w:rsidR="002D0B56" w:rsidRPr="009B546D">
        <w:rPr>
          <w:rFonts w:asciiTheme="minorHAnsi" w:hAnsiTheme="minorHAnsi" w:cstheme="minorHAnsi"/>
          <w:sz w:val="20"/>
          <w:szCs w:val="20"/>
        </w:rPr>
        <w:t>application</w:t>
      </w:r>
      <w:r w:rsidRPr="009B546D">
        <w:rPr>
          <w:rFonts w:asciiTheme="minorHAnsi" w:hAnsiTheme="minorHAnsi" w:cstheme="minorHAnsi"/>
          <w:sz w:val="20"/>
          <w:szCs w:val="20"/>
        </w:rPr>
        <w:t xml:space="preserve"> to ensure high levels of user engagement and satisfaction.</w:t>
      </w:r>
    </w:p>
    <w:p w14:paraId="6F91FFAC" w14:textId="77777777" w:rsidR="00FA06E6" w:rsidRPr="009B546D" w:rsidRDefault="00FA06E6" w:rsidP="00650122">
      <w:pPr>
        <w:pStyle w:val="ListParagraph"/>
        <w:numPr>
          <w:ilvl w:val="0"/>
          <w:numId w:val="71"/>
        </w:numPr>
        <w:spacing w:before="120" w:after="120"/>
        <w:contextualSpacing w:val="0"/>
        <w:rPr>
          <w:rFonts w:asciiTheme="minorHAnsi" w:hAnsiTheme="minorHAnsi" w:cstheme="minorHAnsi"/>
          <w:sz w:val="20"/>
          <w:szCs w:val="20"/>
        </w:rPr>
      </w:pPr>
      <w:r w:rsidRPr="009B546D">
        <w:rPr>
          <w:rFonts w:asciiTheme="minorHAnsi" w:hAnsiTheme="minorHAnsi" w:cstheme="minorHAnsi"/>
          <w:b/>
          <w:bCs/>
          <w:sz w:val="20"/>
          <w:szCs w:val="20"/>
        </w:rPr>
        <w:t xml:space="preserve">Diversify product offering: </w:t>
      </w:r>
      <w:r w:rsidRPr="009B546D">
        <w:rPr>
          <w:rFonts w:asciiTheme="minorHAnsi" w:hAnsiTheme="minorHAnsi" w:cstheme="minorHAnsi"/>
          <w:sz w:val="20"/>
          <w:szCs w:val="20"/>
        </w:rPr>
        <w:t>Alchemist Codes intends to expand the product range on OCTAPLUS beyond current offering of retail fashion and beauty products into other fast-moving consumer goods categories including electronics.</w:t>
      </w:r>
    </w:p>
    <w:p w14:paraId="4F0A5EAC" w14:textId="77777777" w:rsidR="00FA06E6" w:rsidRPr="009B546D" w:rsidRDefault="00FA06E6" w:rsidP="00650122">
      <w:pPr>
        <w:pStyle w:val="ListParagraph"/>
        <w:numPr>
          <w:ilvl w:val="0"/>
          <w:numId w:val="71"/>
        </w:numPr>
        <w:spacing w:before="120" w:after="120"/>
        <w:contextualSpacing w:val="0"/>
        <w:rPr>
          <w:rFonts w:asciiTheme="minorHAnsi" w:hAnsiTheme="minorHAnsi" w:cstheme="minorHAnsi"/>
          <w:sz w:val="20"/>
          <w:szCs w:val="20"/>
        </w:rPr>
      </w:pPr>
      <w:r w:rsidRPr="009B546D">
        <w:rPr>
          <w:rFonts w:asciiTheme="minorHAnsi" w:hAnsiTheme="minorHAnsi" w:cstheme="minorHAnsi"/>
          <w:b/>
          <w:bCs/>
          <w:sz w:val="20"/>
          <w:szCs w:val="20"/>
        </w:rPr>
        <w:t xml:space="preserve">Diversify beyond demographics: </w:t>
      </w:r>
      <w:r w:rsidRPr="009B546D">
        <w:rPr>
          <w:rFonts w:asciiTheme="minorHAnsi" w:hAnsiTheme="minorHAnsi" w:cstheme="minorHAnsi"/>
          <w:sz w:val="20"/>
          <w:szCs w:val="20"/>
        </w:rPr>
        <w:t xml:space="preserve">Alchemist Codes recognises the possibility of new opportunities for OCTAPLUS in terms of geographic markets. Alchemist Codes anticipates that as its domestic user base grows it will target geographic locations with high levels of young Malaysian population and large Asia expat communities, such as the UK and Europe. </w:t>
      </w:r>
    </w:p>
    <w:p w14:paraId="5BDEC99E" w14:textId="4103847D" w:rsidR="00FA06E6" w:rsidRPr="009B546D" w:rsidRDefault="00FA06E6" w:rsidP="00650122">
      <w:pPr>
        <w:pStyle w:val="ListParagraph"/>
        <w:numPr>
          <w:ilvl w:val="0"/>
          <w:numId w:val="71"/>
        </w:numPr>
        <w:spacing w:before="120" w:after="120"/>
        <w:contextualSpacing w:val="0"/>
        <w:rPr>
          <w:rFonts w:asciiTheme="minorHAnsi" w:hAnsiTheme="minorHAnsi" w:cstheme="minorHAnsi"/>
          <w:sz w:val="20"/>
          <w:szCs w:val="20"/>
        </w:rPr>
      </w:pPr>
      <w:r w:rsidRPr="009B546D">
        <w:rPr>
          <w:rFonts w:asciiTheme="minorHAnsi" w:hAnsiTheme="minorHAnsi" w:cstheme="minorHAnsi"/>
          <w:b/>
          <w:bCs/>
          <w:sz w:val="20"/>
          <w:szCs w:val="20"/>
        </w:rPr>
        <w:t>Target in-</w:t>
      </w:r>
      <w:r w:rsidRPr="009B546D">
        <w:rPr>
          <w:rFonts w:asciiTheme="minorHAnsi" w:hAnsiTheme="minorHAnsi" w:cstheme="minorHAnsi"/>
          <w:sz w:val="20"/>
          <w:szCs w:val="20"/>
        </w:rPr>
        <w:t xml:space="preserve"> </w:t>
      </w:r>
      <w:r w:rsidRPr="009B546D">
        <w:rPr>
          <w:rFonts w:asciiTheme="minorHAnsi" w:hAnsiTheme="minorHAnsi" w:cstheme="minorHAnsi"/>
          <w:b/>
          <w:bCs/>
          <w:sz w:val="20"/>
          <w:szCs w:val="20"/>
        </w:rPr>
        <w:t>and out-bound tourism:</w:t>
      </w:r>
      <w:r w:rsidRPr="009B546D">
        <w:rPr>
          <w:rFonts w:asciiTheme="minorHAnsi" w:hAnsiTheme="minorHAnsi" w:cstheme="minorHAnsi"/>
          <w:sz w:val="20"/>
          <w:szCs w:val="20"/>
        </w:rPr>
        <w:t xml:space="preserve"> with business and leisure travel between European and Asian countries continuing to grow, Alchemist Codes intends to develop OCTAPLUS to target both in-bound and out-bound tourist and business economy between UK and South East Asia</w:t>
      </w:r>
      <w:r w:rsidR="00E54B1E" w:rsidRPr="009B546D">
        <w:rPr>
          <w:rFonts w:asciiTheme="minorHAnsi" w:hAnsiTheme="minorHAnsi" w:cstheme="minorHAnsi"/>
          <w:sz w:val="20"/>
          <w:szCs w:val="20"/>
        </w:rPr>
        <w:t>n</w:t>
      </w:r>
      <w:r w:rsidRPr="009B546D">
        <w:rPr>
          <w:rFonts w:asciiTheme="minorHAnsi" w:hAnsiTheme="minorHAnsi" w:cstheme="minorHAnsi"/>
          <w:sz w:val="20"/>
          <w:szCs w:val="20"/>
        </w:rPr>
        <w:t xml:space="preserve"> countries. </w:t>
      </w:r>
    </w:p>
    <w:p w14:paraId="0CE9AA23" w14:textId="77777777" w:rsidR="00FA06E6" w:rsidRPr="009B546D" w:rsidRDefault="00FA06E6" w:rsidP="00650122">
      <w:pPr>
        <w:pStyle w:val="ListParagraph"/>
        <w:numPr>
          <w:ilvl w:val="0"/>
          <w:numId w:val="71"/>
        </w:numPr>
        <w:spacing w:before="240" w:after="120"/>
        <w:contextualSpacing w:val="0"/>
        <w:rPr>
          <w:rFonts w:asciiTheme="minorHAnsi" w:hAnsiTheme="minorHAnsi" w:cstheme="minorHAnsi"/>
          <w:sz w:val="20"/>
          <w:szCs w:val="20"/>
        </w:rPr>
      </w:pPr>
      <w:r w:rsidRPr="009B546D">
        <w:rPr>
          <w:rFonts w:asciiTheme="minorHAnsi" w:hAnsiTheme="minorHAnsi" w:cstheme="minorHAnsi"/>
          <w:b/>
          <w:bCs/>
          <w:sz w:val="20"/>
          <w:szCs w:val="20"/>
        </w:rPr>
        <w:t>Commitment to research and development (R&amp;D):</w:t>
      </w:r>
      <w:r w:rsidRPr="009B546D">
        <w:rPr>
          <w:rFonts w:asciiTheme="minorHAnsi" w:hAnsiTheme="minorHAnsi" w:cstheme="minorHAnsi"/>
          <w:sz w:val="20"/>
          <w:szCs w:val="20"/>
        </w:rPr>
        <w:t xml:space="preserve"> Alchemist Codes intends to conduct ongoing R&amp;D into new technologies and innovations related to data mining, processing and AI for future implementation into OCTAPLUS. Alchemistic Codes believes that such investment increases the quality of analysis and data insights that can be extracted from OCTAPLUS benefiting both the user and retailer. Specific areas of focus may include data mining techniques such as pattern tracking, classifications, associations, outlier detection, clustering, regression and prediction. </w:t>
      </w:r>
    </w:p>
    <w:p w14:paraId="7B30BE3A" w14:textId="15ADAF5A" w:rsidR="00FA06E6" w:rsidRPr="009B546D" w:rsidRDefault="00FA06E6" w:rsidP="00F432B9">
      <w:pPr>
        <w:spacing w:after="120" w:line="240" w:lineRule="auto"/>
        <w:rPr>
          <w:rFonts w:cstheme="minorHAnsi"/>
        </w:rPr>
      </w:pPr>
      <w:r w:rsidRPr="009B546D">
        <w:rPr>
          <w:rFonts w:cstheme="minorHAnsi"/>
        </w:rPr>
        <w:t xml:space="preserve">Alchemist Codes believes that the two main hurdles that may limit the growth of OCTAPLUS are associated with growing the user base of OCTAPLUS and attracting a sufficient number of retailers onto OCTAPLUS. </w:t>
      </w:r>
    </w:p>
    <w:p w14:paraId="17FEBC25" w14:textId="77777777" w:rsidR="00FA06E6" w:rsidRPr="009B546D" w:rsidRDefault="00FA06E6" w:rsidP="00F432B9">
      <w:pPr>
        <w:spacing w:before="240" w:line="240" w:lineRule="auto"/>
        <w:rPr>
          <w:rFonts w:cstheme="minorHAnsi"/>
        </w:rPr>
      </w:pPr>
      <w:r w:rsidRPr="009B546D">
        <w:rPr>
          <w:rFonts w:cstheme="minorHAnsi"/>
        </w:rPr>
        <w:t>In addition to focusing on growing OCTAPLUS, Alchemist Codes intends to grow its software development, mobile and web application development and chat application development through:</w:t>
      </w:r>
    </w:p>
    <w:p w14:paraId="2284A1B3" w14:textId="77777777" w:rsidR="00FA06E6" w:rsidRPr="00EA2BB6" w:rsidRDefault="00FA06E6" w:rsidP="00EA2BB6">
      <w:pPr>
        <w:pStyle w:val="ListParagraph"/>
        <w:numPr>
          <w:ilvl w:val="0"/>
          <w:numId w:val="71"/>
        </w:numPr>
        <w:spacing w:before="120" w:after="120"/>
        <w:contextualSpacing w:val="0"/>
        <w:rPr>
          <w:rFonts w:asciiTheme="minorHAnsi" w:hAnsiTheme="minorHAnsi" w:cstheme="minorHAnsi"/>
          <w:b/>
          <w:bCs/>
          <w:sz w:val="20"/>
          <w:szCs w:val="20"/>
        </w:rPr>
      </w:pPr>
      <w:r w:rsidRPr="009B546D">
        <w:rPr>
          <w:rFonts w:asciiTheme="minorHAnsi" w:hAnsiTheme="minorHAnsi" w:cstheme="minorHAnsi"/>
          <w:b/>
          <w:bCs/>
          <w:sz w:val="20"/>
          <w:szCs w:val="20"/>
        </w:rPr>
        <w:t xml:space="preserve">Identification of new contract and tenders: </w:t>
      </w:r>
      <w:r w:rsidRPr="00650122">
        <w:rPr>
          <w:rFonts w:asciiTheme="minorHAnsi" w:hAnsiTheme="minorHAnsi" w:cstheme="minorHAnsi"/>
          <w:sz w:val="20"/>
          <w:szCs w:val="20"/>
        </w:rPr>
        <w:t>Alchemist Codes will continue to search for new opportunities and clients in relation to the chat application development</w:t>
      </w:r>
      <w:r w:rsidRPr="00EA2BB6">
        <w:rPr>
          <w:rFonts w:asciiTheme="minorHAnsi" w:hAnsiTheme="minorHAnsi" w:cstheme="minorHAnsi"/>
          <w:b/>
          <w:bCs/>
          <w:sz w:val="20"/>
          <w:szCs w:val="20"/>
        </w:rPr>
        <w:t xml:space="preserve">. </w:t>
      </w:r>
    </w:p>
    <w:p w14:paraId="553C03BA" w14:textId="4D0CA0E9" w:rsidR="00FA06E6" w:rsidRPr="00EA2BB6" w:rsidRDefault="00FA06E6" w:rsidP="00EA2BB6">
      <w:pPr>
        <w:pStyle w:val="ListParagraph"/>
        <w:numPr>
          <w:ilvl w:val="0"/>
          <w:numId w:val="71"/>
        </w:numPr>
        <w:spacing w:before="120" w:after="120"/>
        <w:contextualSpacing w:val="0"/>
        <w:rPr>
          <w:rFonts w:asciiTheme="minorHAnsi" w:hAnsiTheme="minorHAnsi" w:cstheme="minorHAnsi"/>
          <w:b/>
          <w:bCs/>
          <w:sz w:val="20"/>
          <w:szCs w:val="20"/>
        </w:rPr>
      </w:pPr>
      <w:r w:rsidRPr="009B546D">
        <w:rPr>
          <w:rFonts w:asciiTheme="minorHAnsi" w:hAnsiTheme="minorHAnsi" w:cstheme="minorHAnsi"/>
          <w:b/>
          <w:bCs/>
          <w:sz w:val="20"/>
          <w:szCs w:val="20"/>
        </w:rPr>
        <w:t>Develop new product offerings:</w:t>
      </w:r>
      <w:r w:rsidRPr="00EA2BB6">
        <w:rPr>
          <w:rFonts w:asciiTheme="minorHAnsi" w:hAnsiTheme="minorHAnsi" w:cstheme="minorHAnsi"/>
          <w:b/>
          <w:bCs/>
          <w:sz w:val="20"/>
          <w:szCs w:val="20"/>
        </w:rPr>
        <w:t xml:space="preserve"> </w:t>
      </w:r>
      <w:r w:rsidRPr="00650122">
        <w:rPr>
          <w:rFonts w:asciiTheme="minorHAnsi" w:hAnsiTheme="minorHAnsi" w:cstheme="minorHAnsi"/>
          <w:sz w:val="20"/>
          <w:szCs w:val="20"/>
        </w:rPr>
        <w:t>Alchemist Codes ha</w:t>
      </w:r>
      <w:r w:rsidR="00C72DCD" w:rsidRPr="00650122">
        <w:rPr>
          <w:rFonts w:asciiTheme="minorHAnsi" w:hAnsiTheme="minorHAnsi" w:cstheme="minorHAnsi"/>
          <w:sz w:val="20"/>
          <w:szCs w:val="20"/>
        </w:rPr>
        <w:t>s</w:t>
      </w:r>
      <w:r w:rsidRPr="00650122">
        <w:rPr>
          <w:rFonts w:asciiTheme="minorHAnsi" w:hAnsiTheme="minorHAnsi" w:cstheme="minorHAnsi"/>
          <w:sz w:val="20"/>
          <w:szCs w:val="20"/>
        </w:rPr>
        <w:t xml:space="preserve"> identified several complementary products for design and development such as a chatbot system to complement the existing messaging </w:t>
      </w:r>
      <w:r w:rsidR="006E6E54" w:rsidRPr="00650122">
        <w:rPr>
          <w:rFonts w:asciiTheme="minorHAnsi" w:hAnsiTheme="minorHAnsi" w:cstheme="minorHAnsi"/>
          <w:sz w:val="20"/>
          <w:szCs w:val="20"/>
        </w:rPr>
        <w:t>application</w:t>
      </w:r>
      <w:r w:rsidRPr="00650122">
        <w:rPr>
          <w:rFonts w:asciiTheme="minorHAnsi" w:hAnsiTheme="minorHAnsi" w:cstheme="minorHAnsi"/>
          <w:sz w:val="20"/>
          <w:szCs w:val="20"/>
        </w:rPr>
        <w:t>. As the current e-commerce market grows, Alchemist Codes believes that chatbots are increasingly necessary to keep up with the request and queries of consumers on a 24-7 basis. Alchemist Codes believes that chatbots provide a considerably more cost-effective method of customer servicing than the traditional human customer service team.</w:t>
      </w:r>
      <w:r w:rsidRPr="00EA2BB6">
        <w:rPr>
          <w:rFonts w:asciiTheme="minorHAnsi" w:hAnsiTheme="minorHAnsi" w:cstheme="minorHAnsi"/>
          <w:b/>
          <w:bCs/>
          <w:sz w:val="20"/>
          <w:szCs w:val="20"/>
        </w:rPr>
        <w:t xml:space="preserve"> </w:t>
      </w:r>
    </w:p>
    <w:p w14:paraId="7C1AA571" w14:textId="0A7FE2B2" w:rsidR="0032508A" w:rsidRPr="00EA2BB6" w:rsidRDefault="00FA06E6" w:rsidP="00EA2BB6">
      <w:pPr>
        <w:pStyle w:val="ListParagraph"/>
        <w:numPr>
          <w:ilvl w:val="0"/>
          <w:numId w:val="71"/>
        </w:numPr>
        <w:spacing w:before="120" w:after="120"/>
        <w:contextualSpacing w:val="0"/>
        <w:rPr>
          <w:rFonts w:cstheme="minorHAnsi"/>
          <w:b/>
          <w:bCs/>
        </w:rPr>
      </w:pPr>
      <w:r w:rsidRPr="009B546D">
        <w:rPr>
          <w:rFonts w:asciiTheme="minorHAnsi" w:hAnsiTheme="minorHAnsi" w:cstheme="minorHAnsi"/>
          <w:b/>
          <w:bCs/>
          <w:sz w:val="20"/>
          <w:szCs w:val="20"/>
        </w:rPr>
        <w:t>International expansion:</w:t>
      </w:r>
      <w:r w:rsidRPr="00EA2BB6">
        <w:rPr>
          <w:rFonts w:cstheme="minorHAnsi"/>
          <w:b/>
          <w:bCs/>
          <w:szCs w:val="20"/>
        </w:rPr>
        <w:t xml:space="preserve"> </w:t>
      </w:r>
      <w:r w:rsidRPr="00650122">
        <w:rPr>
          <w:rFonts w:asciiTheme="minorHAnsi" w:hAnsiTheme="minorHAnsi" w:cstheme="minorHAnsi"/>
          <w:sz w:val="20"/>
          <w:szCs w:val="20"/>
        </w:rPr>
        <w:t xml:space="preserve">Alchemist Codes believes that a potential market exists for a secured internal messaging </w:t>
      </w:r>
      <w:r w:rsidR="006E6E54" w:rsidRPr="00650122">
        <w:rPr>
          <w:rFonts w:asciiTheme="minorHAnsi" w:hAnsiTheme="minorHAnsi" w:cstheme="minorHAnsi"/>
          <w:sz w:val="20"/>
          <w:szCs w:val="20"/>
        </w:rPr>
        <w:t>application</w:t>
      </w:r>
      <w:r w:rsidRPr="00650122">
        <w:rPr>
          <w:rFonts w:asciiTheme="minorHAnsi" w:hAnsiTheme="minorHAnsi" w:cstheme="minorHAnsi"/>
          <w:sz w:val="20"/>
          <w:szCs w:val="20"/>
        </w:rPr>
        <w:t xml:space="preserve"> for Asian companies based in the UK. Alchemist Codes will seek to work with subsidiaries of large Asian international companies with operations in the UK to develop secure internal </w:t>
      </w:r>
      <w:r w:rsidRPr="00650122">
        <w:rPr>
          <w:rFonts w:asciiTheme="minorHAnsi" w:hAnsiTheme="minorHAnsi" w:cstheme="minorHAnsi"/>
          <w:sz w:val="20"/>
          <w:szCs w:val="20"/>
        </w:rPr>
        <w:lastRenderedPageBreak/>
        <w:t xml:space="preserve">messaging </w:t>
      </w:r>
      <w:r w:rsidR="006E6E54" w:rsidRPr="00650122">
        <w:rPr>
          <w:rFonts w:asciiTheme="minorHAnsi" w:hAnsiTheme="minorHAnsi" w:cstheme="minorHAnsi"/>
          <w:sz w:val="20"/>
          <w:szCs w:val="20"/>
        </w:rPr>
        <w:t>applications</w:t>
      </w:r>
      <w:r w:rsidRPr="00650122">
        <w:rPr>
          <w:rFonts w:asciiTheme="minorHAnsi" w:hAnsiTheme="minorHAnsi" w:cstheme="minorHAnsi"/>
          <w:sz w:val="20"/>
          <w:szCs w:val="20"/>
        </w:rPr>
        <w:t xml:space="preserve"> based on Alchemist Codes existing offering. Alchemist Codes believes that its messaging </w:t>
      </w:r>
      <w:r w:rsidR="006E6E54" w:rsidRPr="00650122">
        <w:rPr>
          <w:rFonts w:asciiTheme="minorHAnsi" w:hAnsiTheme="minorHAnsi" w:cstheme="minorHAnsi"/>
          <w:sz w:val="20"/>
          <w:szCs w:val="20"/>
        </w:rPr>
        <w:t>application</w:t>
      </w:r>
      <w:r w:rsidRPr="00650122">
        <w:rPr>
          <w:rFonts w:asciiTheme="minorHAnsi" w:hAnsiTheme="minorHAnsi" w:cstheme="minorHAnsi"/>
          <w:sz w:val="20"/>
          <w:szCs w:val="20"/>
        </w:rPr>
        <w:t xml:space="preserve"> is better served in terms of language, security, privacy and regional user habits than those currently available to Asian companies in the UK. </w:t>
      </w:r>
    </w:p>
    <w:p w14:paraId="7D9BC7D4" w14:textId="293BF45F" w:rsidR="00FA06E6" w:rsidRPr="009B546D" w:rsidRDefault="00FA06E6" w:rsidP="00F432B9">
      <w:pPr>
        <w:spacing w:line="240" w:lineRule="auto"/>
        <w:rPr>
          <w:rFonts w:cstheme="minorHAnsi"/>
          <w:b/>
          <w:bCs/>
        </w:rPr>
      </w:pPr>
      <w:r w:rsidRPr="009B546D">
        <w:rPr>
          <w:rFonts w:cstheme="minorHAnsi"/>
          <w:b/>
          <w:bCs/>
        </w:rPr>
        <w:t>Regulatory environment</w:t>
      </w:r>
    </w:p>
    <w:p w14:paraId="5C4E05BA" w14:textId="1D5CE4C4" w:rsidR="00FA06E6" w:rsidRPr="009B546D" w:rsidRDefault="00FA06E6" w:rsidP="00496B89">
      <w:pPr>
        <w:spacing w:before="120" w:after="120" w:line="240" w:lineRule="auto"/>
        <w:rPr>
          <w:rFonts w:cstheme="minorHAnsi"/>
        </w:rPr>
      </w:pPr>
      <w:r w:rsidRPr="009B546D">
        <w:rPr>
          <w:rFonts w:cstheme="minorHAnsi"/>
        </w:rPr>
        <w:t>Alchemist Codes believe</w:t>
      </w:r>
      <w:r w:rsidR="00C72DCD" w:rsidRPr="009B546D">
        <w:rPr>
          <w:rFonts w:cstheme="minorHAnsi"/>
        </w:rPr>
        <w:t>s</w:t>
      </w:r>
      <w:r w:rsidRPr="009B546D">
        <w:rPr>
          <w:rFonts w:cstheme="minorHAnsi"/>
        </w:rPr>
        <w:t xml:space="preserve"> that the following Malaysian legislation are most relevant to its business:</w:t>
      </w:r>
    </w:p>
    <w:p w14:paraId="383E9832" w14:textId="6DD47705" w:rsidR="00FA06E6" w:rsidRPr="009B546D" w:rsidRDefault="00FA06E6" w:rsidP="00F432B9">
      <w:pPr>
        <w:numPr>
          <w:ilvl w:val="0"/>
          <w:numId w:val="41"/>
        </w:numPr>
        <w:pBdr>
          <w:top w:val="nil"/>
          <w:left w:val="nil"/>
          <w:bottom w:val="nil"/>
          <w:right w:val="nil"/>
          <w:between w:val="nil"/>
        </w:pBdr>
        <w:spacing w:before="120" w:after="120" w:line="240" w:lineRule="auto"/>
        <w:rPr>
          <w:rFonts w:cstheme="minorHAnsi"/>
          <w:color w:val="000000"/>
        </w:rPr>
      </w:pPr>
      <w:r w:rsidRPr="009B546D">
        <w:rPr>
          <w:rFonts w:cstheme="minorHAnsi"/>
          <w:color w:val="000000"/>
        </w:rPr>
        <w:t>Electronic Commerce Act 2006 (ECA), which recogni</w:t>
      </w:r>
      <w:r w:rsidR="001C32BA" w:rsidRPr="009B546D">
        <w:rPr>
          <w:rFonts w:cstheme="minorHAnsi"/>
          <w:color w:val="000000"/>
        </w:rPr>
        <w:t>s</w:t>
      </w:r>
      <w:r w:rsidRPr="009B546D">
        <w:rPr>
          <w:rFonts w:cstheme="minorHAnsi"/>
          <w:color w:val="000000"/>
        </w:rPr>
        <w:t>es the validity of electronic contracts and signatures;</w:t>
      </w:r>
    </w:p>
    <w:p w14:paraId="54619805" w14:textId="77777777" w:rsidR="00FA06E6" w:rsidRPr="009B546D" w:rsidRDefault="00FA06E6" w:rsidP="00F432B9">
      <w:pPr>
        <w:numPr>
          <w:ilvl w:val="0"/>
          <w:numId w:val="41"/>
        </w:numPr>
        <w:pBdr>
          <w:top w:val="nil"/>
          <w:left w:val="nil"/>
          <w:bottom w:val="nil"/>
          <w:right w:val="nil"/>
          <w:between w:val="nil"/>
        </w:pBdr>
        <w:spacing w:after="120" w:line="240" w:lineRule="auto"/>
        <w:rPr>
          <w:rFonts w:cstheme="minorHAnsi"/>
          <w:color w:val="000000"/>
        </w:rPr>
      </w:pPr>
      <w:r w:rsidRPr="009B546D">
        <w:rPr>
          <w:rFonts w:cstheme="minorHAnsi"/>
          <w:color w:val="000000"/>
        </w:rPr>
        <w:t>Digital Signature Act 1997, which covers digital signatures;</w:t>
      </w:r>
    </w:p>
    <w:p w14:paraId="3F11DA33" w14:textId="77777777" w:rsidR="00FA06E6" w:rsidRPr="009B546D" w:rsidRDefault="00FA06E6" w:rsidP="00F432B9">
      <w:pPr>
        <w:numPr>
          <w:ilvl w:val="0"/>
          <w:numId w:val="41"/>
        </w:numPr>
        <w:pBdr>
          <w:top w:val="nil"/>
          <w:left w:val="nil"/>
          <w:bottom w:val="nil"/>
          <w:right w:val="nil"/>
          <w:between w:val="nil"/>
        </w:pBdr>
        <w:spacing w:after="120" w:line="240" w:lineRule="auto"/>
        <w:rPr>
          <w:rFonts w:cstheme="minorHAnsi"/>
          <w:color w:val="000000"/>
        </w:rPr>
      </w:pPr>
      <w:r w:rsidRPr="009B546D">
        <w:rPr>
          <w:rFonts w:cstheme="minorHAnsi"/>
          <w:color w:val="000000"/>
        </w:rPr>
        <w:t>Personal Data Protection Act 2010 (PDPA), which governs the use of personal data (including the personal data of website users);</w:t>
      </w:r>
    </w:p>
    <w:p w14:paraId="2AEC9CF6" w14:textId="77777777" w:rsidR="00FA06E6" w:rsidRPr="009B546D" w:rsidRDefault="00FA06E6" w:rsidP="00F432B9">
      <w:pPr>
        <w:numPr>
          <w:ilvl w:val="0"/>
          <w:numId w:val="41"/>
        </w:numPr>
        <w:pBdr>
          <w:top w:val="nil"/>
          <w:left w:val="nil"/>
          <w:bottom w:val="nil"/>
          <w:right w:val="nil"/>
          <w:between w:val="nil"/>
        </w:pBdr>
        <w:spacing w:after="120" w:line="240" w:lineRule="auto"/>
        <w:rPr>
          <w:rFonts w:cstheme="minorHAnsi"/>
          <w:color w:val="000000"/>
        </w:rPr>
      </w:pPr>
      <w:r w:rsidRPr="009B546D">
        <w:rPr>
          <w:rFonts w:cstheme="minorHAnsi"/>
          <w:color w:val="000000"/>
        </w:rPr>
        <w:t>Consumer Protection Act 1999 (CPA), which applies to all goods and services offered to consumers in trade (including any trade transaction conducted through electronic means) where goods/services are primarily purchased, used or consumed for personal, domestic or household purposes;</w:t>
      </w:r>
    </w:p>
    <w:p w14:paraId="524E5951" w14:textId="77777777" w:rsidR="00FA06E6" w:rsidRPr="009B546D" w:rsidRDefault="00FA06E6" w:rsidP="00F432B9">
      <w:pPr>
        <w:numPr>
          <w:ilvl w:val="0"/>
          <w:numId w:val="41"/>
        </w:numPr>
        <w:pBdr>
          <w:top w:val="nil"/>
          <w:left w:val="nil"/>
          <w:bottom w:val="nil"/>
          <w:right w:val="nil"/>
          <w:between w:val="nil"/>
        </w:pBdr>
        <w:spacing w:after="120" w:line="240" w:lineRule="auto"/>
        <w:rPr>
          <w:rFonts w:cstheme="minorHAnsi"/>
          <w:color w:val="000000"/>
        </w:rPr>
      </w:pPr>
      <w:r w:rsidRPr="009B546D">
        <w:rPr>
          <w:rFonts w:cstheme="minorHAnsi"/>
          <w:color w:val="000000"/>
        </w:rPr>
        <w:t>Consumer Protection (Electronic Trade Transactions) Regulations 2012 (ETT Regulations) which regulate operators that supply goods or services through a website or online marketplace;</w:t>
      </w:r>
    </w:p>
    <w:p w14:paraId="22C54B00" w14:textId="77777777" w:rsidR="00FA06E6" w:rsidRPr="009B546D" w:rsidRDefault="00FA06E6" w:rsidP="00F432B9">
      <w:pPr>
        <w:numPr>
          <w:ilvl w:val="0"/>
          <w:numId w:val="41"/>
        </w:numPr>
        <w:pBdr>
          <w:top w:val="nil"/>
          <w:left w:val="nil"/>
          <w:bottom w:val="nil"/>
          <w:right w:val="nil"/>
          <w:between w:val="nil"/>
        </w:pBdr>
        <w:spacing w:after="120" w:line="240" w:lineRule="auto"/>
        <w:rPr>
          <w:rFonts w:cstheme="minorHAnsi"/>
          <w:color w:val="000000"/>
        </w:rPr>
      </w:pPr>
      <w:r w:rsidRPr="009B546D">
        <w:rPr>
          <w:rFonts w:cstheme="minorHAnsi"/>
          <w:color w:val="000000"/>
        </w:rPr>
        <w:t>Trade Descriptions Act 2011 (TDA), which prohibits false trade descriptions and false or misleading statements, conduct and practices in relation to the supply of goods or services (including through electronic means);</w:t>
      </w:r>
    </w:p>
    <w:p w14:paraId="05DAF8EC" w14:textId="77777777" w:rsidR="00FA06E6" w:rsidRPr="009B546D" w:rsidRDefault="00FA06E6" w:rsidP="00F432B9">
      <w:pPr>
        <w:numPr>
          <w:ilvl w:val="0"/>
          <w:numId w:val="41"/>
        </w:numPr>
        <w:pBdr>
          <w:top w:val="nil"/>
          <w:left w:val="nil"/>
          <w:bottom w:val="nil"/>
          <w:right w:val="nil"/>
          <w:between w:val="nil"/>
        </w:pBdr>
        <w:spacing w:after="120" w:line="240" w:lineRule="auto"/>
        <w:rPr>
          <w:rFonts w:cstheme="minorHAnsi"/>
          <w:color w:val="000000"/>
        </w:rPr>
      </w:pPr>
      <w:r w:rsidRPr="009B546D">
        <w:rPr>
          <w:rFonts w:cstheme="minorHAnsi"/>
          <w:color w:val="000000"/>
        </w:rPr>
        <w:t>Sale of Goods Act 1957 (SGA), which governs contracts for the sale of goods in Malaysia; and</w:t>
      </w:r>
    </w:p>
    <w:p w14:paraId="3C8C38DF" w14:textId="77777777" w:rsidR="00FA06E6" w:rsidRPr="009B546D" w:rsidRDefault="00FA06E6" w:rsidP="00F432B9">
      <w:pPr>
        <w:numPr>
          <w:ilvl w:val="0"/>
          <w:numId w:val="41"/>
        </w:numPr>
        <w:pBdr>
          <w:top w:val="nil"/>
          <w:left w:val="nil"/>
          <w:bottom w:val="nil"/>
          <w:right w:val="nil"/>
          <w:between w:val="nil"/>
        </w:pBdr>
        <w:spacing w:after="120" w:line="240" w:lineRule="auto"/>
        <w:rPr>
          <w:rFonts w:cstheme="minorHAnsi"/>
          <w:color w:val="000000"/>
        </w:rPr>
      </w:pPr>
      <w:r w:rsidRPr="009B546D">
        <w:rPr>
          <w:rFonts w:cstheme="minorHAnsi"/>
          <w:color w:val="000000"/>
        </w:rPr>
        <w:t>Communications and Multimedia Act 1998 (CMA), which regulates the multimedia and communications industry in Malaysia, including content applications service providers (such as website operators).</w:t>
      </w:r>
    </w:p>
    <w:p w14:paraId="6A6E9342" w14:textId="1B87C1D3" w:rsidR="00FA06E6" w:rsidRPr="009B546D" w:rsidRDefault="00FA06E6" w:rsidP="00F432B9">
      <w:pPr>
        <w:spacing w:before="240" w:after="120" w:line="240" w:lineRule="auto"/>
        <w:jc w:val="left"/>
        <w:rPr>
          <w:rFonts w:cstheme="minorHAnsi"/>
          <w:i/>
        </w:rPr>
      </w:pPr>
      <w:r w:rsidRPr="009B546D">
        <w:rPr>
          <w:rFonts w:cstheme="minorHAnsi"/>
          <w:i/>
        </w:rPr>
        <w:t>Malaysia Digital Economy Company (MDEC)</w:t>
      </w:r>
      <w:r w:rsidR="001C32BA" w:rsidRPr="009B546D">
        <w:rPr>
          <w:rFonts w:cstheme="minorHAnsi"/>
          <w:i/>
        </w:rPr>
        <w:t>;</w:t>
      </w:r>
      <w:r w:rsidRPr="009B546D">
        <w:rPr>
          <w:rFonts w:cstheme="minorHAnsi"/>
          <w:i/>
        </w:rPr>
        <w:t xml:space="preserve"> Malaysia Super Corridor (MSC)</w:t>
      </w:r>
    </w:p>
    <w:p w14:paraId="2F14396C" w14:textId="75E8982F" w:rsidR="00FA06E6" w:rsidRPr="009B546D" w:rsidRDefault="00FA06E6" w:rsidP="00F432B9">
      <w:pPr>
        <w:spacing w:before="240" w:after="120" w:line="240" w:lineRule="auto"/>
        <w:rPr>
          <w:rFonts w:cstheme="minorHAnsi"/>
        </w:rPr>
      </w:pPr>
      <w:r w:rsidRPr="009B546D">
        <w:rPr>
          <w:rFonts w:cstheme="minorHAnsi"/>
        </w:rPr>
        <w:t>Established by the Malaysian government to accelerate the growth of the nation’s digital economy, the MSC status provides eligible ICT-related businesses, both local and foreign, with a wide range of incentives, rights and privileges to promote continued growth. Alchemist Codes has applied for MSC status and is therefore required to abide by MDEC’s rules and regulations. Alchemist Codes believes that based on the currently available information on Industry4WRD (Malaysia’s national policy on industry 4.0), the government is keen on pushing Malaysia to becoming more technologically capable and that the Malaysian government and regulatory environment of I</w:t>
      </w:r>
      <w:r w:rsidR="001C32BA" w:rsidRPr="009B546D">
        <w:rPr>
          <w:rFonts w:cstheme="minorHAnsi"/>
        </w:rPr>
        <w:t xml:space="preserve">nformation, Communication and </w:t>
      </w:r>
      <w:r w:rsidRPr="009B546D">
        <w:rPr>
          <w:rFonts w:cstheme="minorHAnsi"/>
        </w:rPr>
        <w:t>T</w:t>
      </w:r>
      <w:r w:rsidR="001C32BA" w:rsidRPr="009B546D">
        <w:rPr>
          <w:rFonts w:cstheme="minorHAnsi"/>
        </w:rPr>
        <w:t>echnology</w:t>
      </w:r>
      <w:r w:rsidRPr="009B546D">
        <w:rPr>
          <w:rFonts w:cstheme="minorHAnsi"/>
        </w:rPr>
        <w:t xml:space="preserve"> related sectors to be supportive rather than obstructive </w:t>
      </w:r>
      <w:r w:rsidR="004464A3" w:rsidRPr="009B546D">
        <w:rPr>
          <w:rFonts w:cstheme="minorHAnsi"/>
        </w:rPr>
        <w:t xml:space="preserve">to the business </w:t>
      </w:r>
      <w:r w:rsidR="00E8415F" w:rsidRPr="009B546D">
        <w:rPr>
          <w:rFonts w:cstheme="minorHAnsi"/>
        </w:rPr>
        <w:t xml:space="preserve">and beneficial </w:t>
      </w:r>
      <w:r w:rsidRPr="009B546D">
        <w:rPr>
          <w:rFonts w:cstheme="minorHAnsi"/>
        </w:rPr>
        <w:t xml:space="preserve">in the foreseeable future. </w:t>
      </w:r>
    </w:p>
    <w:p w14:paraId="35EBB409" w14:textId="5F58F974" w:rsidR="00FA06E6" w:rsidRPr="009B546D" w:rsidRDefault="00FA06E6" w:rsidP="00F432B9">
      <w:pPr>
        <w:spacing w:before="240" w:after="120" w:line="240" w:lineRule="auto"/>
        <w:jc w:val="left"/>
        <w:rPr>
          <w:rFonts w:cstheme="minorHAnsi"/>
          <w:i/>
        </w:rPr>
      </w:pPr>
      <w:r w:rsidRPr="009B546D">
        <w:rPr>
          <w:rFonts w:cstheme="minorHAnsi"/>
          <w:i/>
        </w:rPr>
        <w:t xml:space="preserve">Overseas </w:t>
      </w:r>
      <w:r w:rsidR="001C32BA" w:rsidRPr="009B546D">
        <w:rPr>
          <w:rFonts w:cstheme="minorHAnsi"/>
          <w:i/>
        </w:rPr>
        <w:t>r</w:t>
      </w:r>
      <w:r w:rsidRPr="009B546D">
        <w:rPr>
          <w:rFonts w:cstheme="minorHAnsi"/>
          <w:i/>
        </w:rPr>
        <w:t>ecruitment</w:t>
      </w:r>
    </w:p>
    <w:p w14:paraId="2E6681E8" w14:textId="56AD95D5" w:rsidR="00FA06E6" w:rsidRPr="009B546D" w:rsidRDefault="00FA06E6" w:rsidP="00F432B9">
      <w:pPr>
        <w:spacing w:before="240" w:after="120" w:line="240" w:lineRule="auto"/>
        <w:rPr>
          <w:rFonts w:cstheme="minorHAnsi"/>
        </w:rPr>
      </w:pPr>
      <w:r w:rsidRPr="009B546D">
        <w:rPr>
          <w:rFonts w:cstheme="minorHAnsi"/>
        </w:rPr>
        <w:t>MDEC</w:t>
      </w:r>
      <w:r w:rsidR="00E8415F" w:rsidRPr="009B546D">
        <w:rPr>
          <w:rFonts w:cstheme="minorHAnsi"/>
        </w:rPr>
        <w:t xml:space="preserve"> and</w:t>
      </w:r>
      <w:r w:rsidRPr="009B546D">
        <w:rPr>
          <w:rFonts w:cstheme="minorHAnsi"/>
        </w:rPr>
        <w:t xml:space="preserve"> MSC programs afford an expedited immigration process for skilled workers, which makes importing talent a widespread practice among Malaysia’s digital start-ups. The educated Malaysian diaspora could fill the skills gap and help expand the economy if they can be lured back. Talent Corporation Malaysia Berhad (TalentCorp), under the Prime Minister’s Department, aims to do the same through a variety of programs and incentives such as the Returning Expert Program (REP), which targets high-skilled Malaysian citizens. The program provides financial and other incentives, including a 15 percent flat income tax for five years and permanent residency for foreign spouses and children. Between 2011 and 2016, 4,121 Malaysians returned through REP. </w:t>
      </w:r>
    </w:p>
    <w:p w14:paraId="2D926372" w14:textId="77777777" w:rsidR="00FA06E6" w:rsidRPr="009B546D" w:rsidRDefault="00FA06E6" w:rsidP="00F432B9">
      <w:pPr>
        <w:spacing w:before="240" w:after="120" w:line="240" w:lineRule="auto"/>
        <w:jc w:val="left"/>
        <w:rPr>
          <w:rFonts w:cstheme="minorHAnsi"/>
          <w:i/>
        </w:rPr>
      </w:pPr>
      <w:r w:rsidRPr="009B546D">
        <w:rPr>
          <w:rFonts w:cstheme="minorHAnsi"/>
          <w:i/>
        </w:rPr>
        <w:t xml:space="preserve">Tax </w:t>
      </w:r>
    </w:p>
    <w:p w14:paraId="1A8F9607" w14:textId="6F1CC38C" w:rsidR="0032508A" w:rsidRPr="009B546D" w:rsidRDefault="00FA06E6" w:rsidP="00F432B9">
      <w:pPr>
        <w:spacing w:before="240" w:after="120" w:line="240" w:lineRule="auto"/>
        <w:rPr>
          <w:rFonts w:cstheme="minorHAnsi"/>
          <w:i/>
        </w:rPr>
      </w:pPr>
      <w:r w:rsidRPr="009B546D">
        <w:rPr>
          <w:rFonts w:cstheme="minorHAnsi"/>
        </w:rPr>
        <w:t>The Malaysian tax authorit</w:t>
      </w:r>
      <w:r w:rsidR="001C32BA" w:rsidRPr="009B546D">
        <w:rPr>
          <w:rFonts w:cstheme="minorHAnsi"/>
        </w:rPr>
        <w:t>y</w:t>
      </w:r>
      <w:r w:rsidR="00550AE0" w:rsidRPr="009B546D">
        <w:rPr>
          <w:rFonts w:cstheme="minorHAnsi"/>
        </w:rPr>
        <w:t>,</w:t>
      </w:r>
      <w:r w:rsidRPr="009B546D">
        <w:rPr>
          <w:rFonts w:cstheme="minorHAnsi"/>
        </w:rPr>
        <w:t xml:space="preserve"> in conjunction with MDEC</w:t>
      </w:r>
      <w:r w:rsidR="001C32BA" w:rsidRPr="009B546D">
        <w:rPr>
          <w:rFonts w:cstheme="minorHAnsi"/>
        </w:rPr>
        <w:t>,</w:t>
      </w:r>
      <w:r w:rsidRPr="009B546D">
        <w:rPr>
          <w:rFonts w:cstheme="minorHAnsi"/>
        </w:rPr>
        <w:t xml:space="preserve"> </w:t>
      </w:r>
      <w:r w:rsidR="00550AE0" w:rsidRPr="009B546D">
        <w:rPr>
          <w:rFonts w:cstheme="minorHAnsi"/>
        </w:rPr>
        <w:t xml:space="preserve">is </w:t>
      </w:r>
      <w:r w:rsidRPr="009B546D">
        <w:rPr>
          <w:rFonts w:cstheme="minorHAnsi"/>
        </w:rPr>
        <w:t>seeking to encourage IT sector development as well as start-ups by offering tax incentives. Alchemist Codes ha</w:t>
      </w:r>
      <w:r w:rsidR="00550AE0" w:rsidRPr="009B546D">
        <w:rPr>
          <w:rFonts w:cstheme="minorHAnsi"/>
        </w:rPr>
        <w:t>s</w:t>
      </w:r>
      <w:r w:rsidRPr="009B546D">
        <w:rPr>
          <w:rFonts w:cstheme="minorHAnsi"/>
        </w:rPr>
        <w:t xml:space="preserve"> applied for a licence that provides a </w:t>
      </w:r>
      <w:r w:rsidR="008338C1" w:rsidRPr="009B546D">
        <w:rPr>
          <w:rFonts w:cstheme="minorHAnsi"/>
        </w:rPr>
        <w:t>5</w:t>
      </w:r>
      <w:r w:rsidRPr="009B546D">
        <w:rPr>
          <w:rFonts w:cstheme="minorHAnsi"/>
        </w:rPr>
        <w:t xml:space="preserve"> year tax exemption</w:t>
      </w:r>
      <w:r w:rsidR="008338C1" w:rsidRPr="009B546D">
        <w:rPr>
          <w:rFonts w:cstheme="minorHAnsi"/>
        </w:rPr>
        <w:t xml:space="preserve"> with </w:t>
      </w:r>
      <w:r w:rsidR="00C55E72" w:rsidRPr="009B546D">
        <w:rPr>
          <w:rFonts w:cstheme="minorHAnsi"/>
        </w:rPr>
        <w:t>a 5 years extension</w:t>
      </w:r>
      <w:r w:rsidRPr="009B546D">
        <w:rPr>
          <w:rFonts w:cstheme="minorHAnsi"/>
        </w:rPr>
        <w:t>.</w:t>
      </w:r>
      <w:r w:rsidR="00217CBD" w:rsidRPr="009B546D">
        <w:rPr>
          <w:rFonts w:cstheme="minorHAnsi"/>
        </w:rPr>
        <w:t xml:space="preserve"> If granted, it would result in Alchemist Codes being tax exempt. Although the application has been submitted there is no certainty as to whether Alchemist Codes will be successful in obtaining the tax incentives.</w:t>
      </w:r>
    </w:p>
    <w:p w14:paraId="1AF365C4" w14:textId="77777777" w:rsidR="00FA06E6" w:rsidRPr="009B546D" w:rsidRDefault="00FA06E6" w:rsidP="00F432B9">
      <w:pPr>
        <w:spacing w:line="240" w:lineRule="auto"/>
        <w:rPr>
          <w:rFonts w:cstheme="minorHAnsi"/>
          <w:b/>
          <w:bCs/>
        </w:rPr>
      </w:pPr>
      <w:r w:rsidRPr="009B546D">
        <w:rPr>
          <w:rFonts w:cstheme="minorHAnsi"/>
          <w:b/>
          <w:bCs/>
        </w:rPr>
        <w:lastRenderedPageBreak/>
        <w:t>Competitive environment</w:t>
      </w:r>
    </w:p>
    <w:p w14:paraId="0693DB23" w14:textId="77777777" w:rsidR="00FA06E6" w:rsidRPr="009B546D" w:rsidRDefault="00FA06E6" w:rsidP="00F432B9">
      <w:pPr>
        <w:spacing w:line="240" w:lineRule="auto"/>
        <w:rPr>
          <w:rFonts w:cstheme="minorHAnsi"/>
        </w:rPr>
      </w:pPr>
      <w:r w:rsidRPr="009B546D">
        <w:rPr>
          <w:rFonts w:cstheme="minorHAnsi"/>
        </w:rPr>
        <w:t xml:space="preserve">Alchemist Codes believes that the domestic competitive environment for OCTAPLUS in Malaysia is relatively small currently and that the cashback market, particularly in the e-commerce sector, is in its infancy compared to Western markets. </w:t>
      </w:r>
    </w:p>
    <w:p w14:paraId="714A7367" w14:textId="7C3F74CB" w:rsidR="00FA06E6" w:rsidRPr="009B546D" w:rsidRDefault="00FA06E6" w:rsidP="00496B89">
      <w:pPr>
        <w:spacing w:after="120" w:line="240" w:lineRule="auto"/>
        <w:rPr>
          <w:rFonts w:cstheme="minorHAnsi"/>
          <w:szCs w:val="20"/>
        </w:rPr>
      </w:pPr>
      <w:r w:rsidRPr="009B546D">
        <w:rPr>
          <w:rFonts w:cstheme="minorHAnsi"/>
        </w:rPr>
        <w:t>The companies that Alchemist Codes believe</w:t>
      </w:r>
      <w:r w:rsidR="00550AE0" w:rsidRPr="009B546D">
        <w:rPr>
          <w:rFonts w:cstheme="minorHAnsi"/>
        </w:rPr>
        <w:t>s</w:t>
      </w:r>
      <w:r w:rsidRPr="009B546D">
        <w:rPr>
          <w:rFonts w:cstheme="minorHAnsi"/>
        </w:rPr>
        <w:t xml:space="preserve"> to be the primary competitors to OCTAPLUS are listed below</w:t>
      </w:r>
      <w:r w:rsidR="001C32BA" w:rsidRPr="009B546D">
        <w:rPr>
          <w:rFonts w:cstheme="minorHAnsi"/>
        </w:rPr>
        <w:t>,</w:t>
      </w:r>
      <w:r w:rsidRPr="009B546D">
        <w:rPr>
          <w:rFonts w:cstheme="minorHAnsi"/>
        </w:rPr>
        <w:t xml:space="preserve"> </w:t>
      </w:r>
      <w:r w:rsidR="001C32BA" w:rsidRPr="009B546D">
        <w:rPr>
          <w:rFonts w:cstheme="minorHAnsi"/>
        </w:rPr>
        <w:t>e</w:t>
      </w:r>
      <w:r w:rsidRPr="009B546D">
        <w:rPr>
          <w:rFonts w:cstheme="minorHAnsi"/>
        </w:rPr>
        <w:t xml:space="preserve">ach of which provides some form of cashback to its users for a variety of merchants. Although Alchemist </w:t>
      </w:r>
      <w:r w:rsidRPr="009B546D">
        <w:rPr>
          <w:rFonts w:cstheme="minorHAnsi"/>
          <w:szCs w:val="20"/>
        </w:rPr>
        <w:t>Codes believes the cashback market in Malaysia is in its early stage of development</w:t>
      </w:r>
      <w:r w:rsidR="001C32BA" w:rsidRPr="009B546D">
        <w:rPr>
          <w:rFonts w:cstheme="minorHAnsi"/>
          <w:szCs w:val="20"/>
        </w:rPr>
        <w:t>, all</w:t>
      </w:r>
      <w:r w:rsidRPr="009B546D">
        <w:rPr>
          <w:rFonts w:cstheme="minorHAnsi"/>
          <w:szCs w:val="20"/>
        </w:rPr>
        <w:t xml:space="preserve"> these three competitors have longer market presence than that of OCTAPLUS. </w:t>
      </w:r>
    </w:p>
    <w:p w14:paraId="503A1E45" w14:textId="6BC9291C" w:rsidR="00FA06E6" w:rsidRPr="009B546D" w:rsidRDefault="00FA06E6" w:rsidP="00F432B9">
      <w:pPr>
        <w:pStyle w:val="ListParagraph"/>
        <w:numPr>
          <w:ilvl w:val="0"/>
          <w:numId w:val="47"/>
        </w:numPr>
        <w:spacing w:after="120"/>
        <w:rPr>
          <w:rFonts w:asciiTheme="minorHAnsi" w:hAnsiTheme="minorHAnsi" w:cstheme="minorHAnsi"/>
          <w:sz w:val="20"/>
          <w:szCs w:val="20"/>
        </w:rPr>
      </w:pPr>
      <w:r w:rsidRPr="009B546D">
        <w:rPr>
          <w:rFonts w:asciiTheme="minorHAnsi" w:hAnsiTheme="minorHAnsi" w:cstheme="minorHAnsi"/>
          <w:i/>
          <w:iCs/>
          <w:sz w:val="20"/>
          <w:szCs w:val="20"/>
        </w:rPr>
        <w:t>Shopback</w:t>
      </w:r>
      <w:r w:rsidRPr="009B546D">
        <w:rPr>
          <w:rFonts w:asciiTheme="minorHAnsi" w:hAnsiTheme="minorHAnsi" w:cstheme="minorHAnsi"/>
          <w:sz w:val="20"/>
          <w:szCs w:val="20"/>
        </w:rPr>
        <w:t xml:space="preserve"> – Alchemist Codes believes that Shopback has the largest user base with the highest exposure rates</w:t>
      </w:r>
      <w:r w:rsidR="00F0043C" w:rsidRPr="009B546D">
        <w:rPr>
          <w:rFonts w:asciiTheme="minorHAnsi" w:hAnsiTheme="minorHAnsi" w:cstheme="minorHAnsi"/>
          <w:sz w:val="20"/>
          <w:szCs w:val="20"/>
        </w:rPr>
        <w:t xml:space="preserve">, </w:t>
      </w:r>
      <w:r w:rsidRPr="009B546D">
        <w:rPr>
          <w:rFonts w:asciiTheme="minorHAnsi" w:hAnsiTheme="minorHAnsi" w:cstheme="minorHAnsi"/>
          <w:sz w:val="20"/>
          <w:szCs w:val="20"/>
        </w:rPr>
        <w:t xml:space="preserve">largest selection of </w:t>
      </w:r>
      <w:r w:rsidR="000C13A6" w:rsidRPr="009B546D">
        <w:rPr>
          <w:rFonts w:asciiTheme="minorHAnsi" w:hAnsiTheme="minorHAnsi" w:cstheme="minorHAnsi"/>
          <w:sz w:val="20"/>
          <w:szCs w:val="20"/>
        </w:rPr>
        <w:t>retailers, and</w:t>
      </w:r>
      <w:r w:rsidRPr="009B546D">
        <w:rPr>
          <w:rFonts w:asciiTheme="minorHAnsi" w:hAnsiTheme="minorHAnsi" w:cstheme="minorHAnsi"/>
          <w:sz w:val="20"/>
          <w:szCs w:val="20"/>
        </w:rPr>
        <w:t xml:space="preserve"> currently offers highly competitive cashback rates</w:t>
      </w:r>
      <w:r w:rsidR="00F0043C" w:rsidRPr="009B546D">
        <w:rPr>
          <w:rFonts w:asciiTheme="minorHAnsi" w:hAnsiTheme="minorHAnsi" w:cstheme="minorHAnsi"/>
          <w:sz w:val="20"/>
          <w:szCs w:val="20"/>
        </w:rPr>
        <w:t xml:space="preserve"> and deals based promotions</w:t>
      </w:r>
      <w:r w:rsidRPr="009B546D">
        <w:rPr>
          <w:rFonts w:asciiTheme="minorHAnsi" w:hAnsiTheme="minorHAnsi" w:cstheme="minorHAnsi"/>
          <w:sz w:val="20"/>
          <w:szCs w:val="20"/>
        </w:rPr>
        <w:t>. Shopback also provides services internationally.</w:t>
      </w:r>
      <w:r w:rsidR="0050782A" w:rsidRPr="009B546D">
        <w:rPr>
          <w:rFonts w:asciiTheme="minorHAnsi" w:hAnsiTheme="minorHAnsi" w:cstheme="minorHAnsi"/>
          <w:sz w:val="20"/>
          <w:szCs w:val="20"/>
        </w:rPr>
        <w:t xml:space="preserve"> </w:t>
      </w:r>
    </w:p>
    <w:p w14:paraId="60A80D9D" w14:textId="4610841B" w:rsidR="00FA06E6" w:rsidRPr="009B546D" w:rsidRDefault="00FA06E6" w:rsidP="00F432B9">
      <w:pPr>
        <w:pStyle w:val="ListParagraph"/>
        <w:numPr>
          <w:ilvl w:val="0"/>
          <w:numId w:val="47"/>
        </w:numPr>
        <w:spacing w:after="120"/>
        <w:rPr>
          <w:rFonts w:asciiTheme="minorHAnsi" w:hAnsiTheme="minorHAnsi" w:cstheme="minorHAnsi"/>
          <w:sz w:val="20"/>
          <w:szCs w:val="20"/>
        </w:rPr>
      </w:pPr>
      <w:r w:rsidRPr="009B546D">
        <w:rPr>
          <w:rFonts w:asciiTheme="minorHAnsi" w:hAnsiTheme="minorHAnsi" w:cstheme="minorHAnsi"/>
          <w:i/>
          <w:iCs/>
          <w:sz w:val="20"/>
          <w:szCs w:val="20"/>
        </w:rPr>
        <w:t>Milkadeal</w:t>
      </w:r>
      <w:r w:rsidRPr="009B546D">
        <w:rPr>
          <w:rFonts w:asciiTheme="minorHAnsi" w:hAnsiTheme="minorHAnsi" w:cstheme="minorHAnsi"/>
          <w:sz w:val="20"/>
          <w:szCs w:val="20"/>
        </w:rPr>
        <w:t xml:space="preserve"> – </w:t>
      </w:r>
      <w:r w:rsidR="009B49CB" w:rsidRPr="009B546D">
        <w:rPr>
          <w:rFonts w:asciiTheme="minorHAnsi" w:hAnsiTheme="minorHAnsi" w:cstheme="minorHAnsi"/>
          <w:sz w:val="20"/>
          <w:szCs w:val="20"/>
        </w:rPr>
        <w:t>founded in 2011 and focuses on the B2C business model</w:t>
      </w:r>
      <w:r w:rsidR="003C6876" w:rsidRPr="009B546D">
        <w:rPr>
          <w:rFonts w:asciiTheme="minorHAnsi" w:hAnsiTheme="minorHAnsi" w:cstheme="minorHAnsi"/>
          <w:sz w:val="20"/>
          <w:szCs w:val="20"/>
        </w:rPr>
        <w:t>.</w:t>
      </w:r>
      <w:r w:rsidR="0071591E" w:rsidRPr="009B546D">
        <w:rPr>
          <w:rFonts w:asciiTheme="minorHAnsi" w:hAnsiTheme="minorHAnsi" w:cstheme="minorHAnsi"/>
          <w:sz w:val="20"/>
          <w:szCs w:val="20"/>
        </w:rPr>
        <w:t xml:space="preserve"> Milkadeal focuses on four main categories: Beauty, Fashion, Mar</w:t>
      </w:r>
      <w:r w:rsidR="00DF79F9" w:rsidRPr="009B546D">
        <w:rPr>
          <w:rFonts w:asciiTheme="minorHAnsi" w:hAnsiTheme="minorHAnsi" w:cstheme="minorHAnsi"/>
          <w:sz w:val="20"/>
          <w:szCs w:val="20"/>
        </w:rPr>
        <w:t>ketplace and Travel.</w:t>
      </w:r>
      <w:r w:rsidR="00EA6C4D" w:rsidRPr="009B546D">
        <w:rPr>
          <w:rFonts w:asciiTheme="minorHAnsi" w:hAnsiTheme="minorHAnsi" w:cstheme="minorHAnsi"/>
          <w:sz w:val="20"/>
          <w:szCs w:val="20"/>
        </w:rPr>
        <w:t xml:space="preserve"> Whilst it does provide cashbacks</w:t>
      </w:r>
      <w:r w:rsidR="00194782" w:rsidRPr="009B546D">
        <w:rPr>
          <w:rFonts w:asciiTheme="minorHAnsi" w:hAnsiTheme="minorHAnsi" w:cstheme="minorHAnsi"/>
          <w:sz w:val="20"/>
          <w:szCs w:val="20"/>
        </w:rPr>
        <w:t>, it does not source deals that are available</w:t>
      </w:r>
      <w:r w:rsidR="00C72FA1" w:rsidRPr="009B546D">
        <w:rPr>
          <w:rFonts w:asciiTheme="minorHAnsi" w:hAnsiTheme="minorHAnsi" w:cstheme="minorHAnsi"/>
          <w:sz w:val="20"/>
          <w:szCs w:val="20"/>
        </w:rPr>
        <w:t xml:space="preserve"> or provide comparisons</w:t>
      </w:r>
      <w:r w:rsidR="00B902FD" w:rsidRPr="009B546D">
        <w:rPr>
          <w:rFonts w:asciiTheme="minorHAnsi" w:hAnsiTheme="minorHAnsi" w:cstheme="minorHAnsi"/>
          <w:sz w:val="20"/>
          <w:szCs w:val="20"/>
        </w:rPr>
        <w:t>.</w:t>
      </w:r>
      <w:r w:rsidR="00C72FA1" w:rsidRPr="009B546D">
        <w:rPr>
          <w:rFonts w:asciiTheme="minorHAnsi" w:hAnsiTheme="minorHAnsi" w:cstheme="minorHAnsi"/>
          <w:sz w:val="20"/>
          <w:szCs w:val="20"/>
        </w:rPr>
        <w:t xml:space="preserve"> Milkadeal</w:t>
      </w:r>
      <w:r w:rsidR="00194782" w:rsidRPr="009B546D">
        <w:rPr>
          <w:rFonts w:asciiTheme="minorHAnsi" w:hAnsiTheme="minorHAnsi" w:cstheme="minorHAnsi"/>
          <w:sz w:val="20"/>
          <w:szCs w:val="20"/>
        </w:rPr>
        <w:t xml:space="preserve"> </w:t>
      </w:r>
      <w:r w:rsidR="00C72FA1" w:rsidRPr="009B546D">
        <w:rPr>
          <w:rFonts w:asciiTheme="minorHAnsi" w:hAnsiTheme="minorHAnsi" w:cstheme="minorHAnsi"/>
          <w:sz w:val="20"/>
          <w:szCs w:val="20"/>
        </w:rPr>
        <w:t xml:space="preserve">solely </w:t>
      </w:r>
      <w:r w:rsidR="00194782" w:rsidRPr="009B546D">
        <w:rPr>
          <w:rFonts w:asciiTheme="minorHAnsi" w:hAnsiTheme="minorHAnsi" w:cstheme="minorHAnsi"/>
          <w:sz w:val="20"/>
          <w:szCs w:val="20"/>
        </w:rPr>
        <w:t xml:space="preserve">focuses on </w:t>
      </w:r>
      <w:r w:rsidR="006E0919" w:rsidRPr="009B546D">
        <w:rPr>
          <w:rFonts w:asciiTheme="minorHAnsi" w:hAnsiTheme="minorHAnsi" w:cstheme="minorHAnsi"/>
          <w:sz w:val="20"/>
          <w:szCs w:val="20"/>
        </w:rPr>
        <w:t>routing users to the retailer’s website only.</w:t>
      </w:r>
    </w:p>
    <w:p w14:paraId="2A1F23FE" w14:textId="02A8D1DC" w:rsidR="00FA06E6" w:rsidRPr="009B546D" w:rsidRDefault="00FA06E6" w:rsidP="00F432B9">
      <w:pPr>
        <w:pStyle w:val="ListParagraph"/>
        <w:numPr>
          <w:ilvl w:val="0"/>
          <w:numId w:val="47"/>
        </w:numPr>
        <w:spacing w:after="120"/>
        <w:rPr>
          <w:rFonts w:asciiTheme="minorHAnsi" w:hAnsiTheme="minorHAnsi" w:cstheme="minorHAnsi"/>
          <w:i/>
          <w:iCs/>
          <w:sz w:val="20"/>
          <w:szCs w:val="20"/>
        </w:rPr>
      </w:pPr>
      <w:r w:rsidRPr="009B546D">
        <w:rPr>
          <w:rFonts w:asciiTheme="minorHAnsi" w:hAnsiTheme="minorHAnsi" w:cstheme="minorHAnsi"/>
          <w:i/>
          <w:iCs/>
          <w:sz w:val="20"/>
          <w:szCs w:val="20"/>
        </w:rPr>
        <w:t>RebateMango</w:t>
      </w:r>
      <w:r w:rsidR="001C32BA" w:rsidRPr="009B546D">
        <w:rPr>
          <w:rFonts w:asciiTheme="minorHAnsi" w:hAnsiTheme="minorHAnsi" w:cstheme="minorHAnsi"/>
          <w:i/>
          <w:iCs/>
          <w:sz w:val="20"/>
          <w:szCs w:val="20"/>
        </w:rPr>
        <w:t xml:space="preserve"> </w:t>
      </w:r>
      <w:r w:rsidR="001C32BA" w:rsidRPr="009B546D">
        <w:rPr>
          <w:rFonts w:asciiTheme="minorHAnsi" w:hAnsiTheme="minorHAnsi" w:cstheme="minorHAnsi"/>
          <w:sz w:val="20"/>
          <w:szCs w:val="20"/>
        </w:rPr>
        <w:t xml:space="preserve">– </w:t>
      </w:r>
      <w:r w:rsidR="009B49CB" w:rsidRPr="009B546D">
        <w:rPr>
          <w:rFonts w:asciiTheme="minorHAnsi" w:hAnsiTheme="minorHAnsi" w:cstheme="minorHAnsi"/>
          <w:sz w:val="20"/>
          <w:szCs w:val="20"/>
        </w:rPr>
        <w:t>founded</w:t>
      </w:r>
      <w:r w:rsidR="00D502D9" w:rsidRPr="009B546D">
        <w:rPr>
          <w:rFonts w:asciiTheme="minorHAnsi" w:hAnsiTheme="minorHAnsi" w:cstheme="minorHAnsi"/>
          <w:sz w:val="20"/>
          <w:szCs w:val="20"/>
        </w:rPr>
        <w:t xml:space="preserve"> in 2017 and focuses on B2C business model. </w:t>
      </w:r>
      <w:r w:rsidR="00655712" w:rsidRPr="009B546D">
        <w:rPr>
          <w:rFonts w:asciiTheme="minorHAnsi" w:hAnsiTheme="minorHAnsi" w:cstheme="minorHAnsi"/>
          <w:sz w:val="20"/>
          <w:szCs w:val="20"/>
        </w:rPr>
        <w:t>RebateMango provides cashback on a wide range of retail categories</w:t>
      </w:r>
      <w:r w:rsidR="00B902FD" w:rsidRPr="009B546D">
        <w:rPr>
          <w:rFonts w:asciiTheme="minorHAnsi" w:hAnsiTheme="minorHAnsi" w:cstheme="minorHAnsi"/>
          <w:sz w:val="20"/>
          <w:szCs w:val="20"/>
        </w:rPr>
        <w:t>. Whilst it does provide cashbacks, it does not source deals that are available or provide comparisons. Similar to Milkadeal, RebateMango solely focuses on routing users to the retailer’s website only.</w:t>
      </w:r>
    </w:p>
    <w:p w14:paraId="07B48697" w14:textId="2187946E" w:rsidR="00FA06E6" w:rsidRPr="009B546D" w:rsidRDefault="00FA06E6" w:rsidP="00F432B9">
      <w:pPr>
        <w:spacing w:after="120" w:line="240" w:lineRule="auto"/>
        <w:rPr>
          <w:rFonts w:cstheme="minorHAnsi"/>
        </w:rPr>
      </w:pPr>
      <w:r w:rsidRPr="009B546D">
        <w:rPr>
          <w:rFonts w:cstheme="minorHAnsi"/>
        </w:rPr>
        <w:t xml:space="preserve">Alchemist Codes believes that one of the key differentiators OCTAPLUS </w:t>
      </w:r>
      <w:r w:rsidR="00E54B1E" w:rsidRPr="009B546D">
        <w:rPr>
          <w:rFonts w:cstheme="minorHAnsi"/>
        </w:rPr>
        <w:t>possesses</w:t>
      </w:r>
      <w:r w:rsidRPr="009B546D">
        <w:rPr>
          <w:rFonts w:cstheme="minorHAnsi"/>
        </w:rPr>
        <w:t xml:space="preserve"> over existing competitors is the amount of research and development </w:t>
      </w:r>
      <w:r w:rsidR="008E7B57" w:rsidRPr="009B546D">
        <w:rPr>
          <w:rFonts w:cstheme="minorHAnsi"/>
        </w:rPr>
        <w:t xml:space="preserve">into </w:t>
      </w:r>
      <w:r w:rsidRPr="009B546D">
        <w:rPr>
          <w:rFonts w:cstheme="minorHAnsi"/>
        </w:rPr>
        <w:t xml:space="preserve">OCTAPLUS to ensure users and retailers benefit from trustworthy and genuine products and services reviews. Alchemist Codes believes that this is an area so far neglected by existing competition and that it can negatively impact user experience significantly affecting user adoption. </w:t>
      </w:r>
    </w:p>
    <w:p w14:paraId="23EE841F" w14:textId="3D3D29D9" w:rsidR="002A2FE5" w:rsidRPr="009B546D" w:rsidRDefault="00FA06E6" w:rsidP="00F432B9">
      <w:pPr>
        <w:spacing w:line="240" w:lineRule="auto"/>
        <w:rPr>
          <w:rFonts w:cstheme="minorHAnsi"/>
          <w:highlight w:val="yellow"/>
        </w:rPr>
      </w:pPr>
      <w:r w:rsidRPr="009B546D">
        <w:rPr>
          <w:rFonts w:cstheme="minorHAnsi"/>
        </w:rPr>
        <w:t xml:space="preserve">Alchemist Codes believes that other major differentiators between OCTAPLUS and its competitors include user specific features around target deals providing users with unique targeted deals not available on other sites and e-commerce </w:t>
      </w:r>
      <w:r w:rsidR="00E47EE0" w:rsidRPr="009B546D">
        <w:rPr>
          <w:rFonts w:cstheme="minorHAnsi"/>
        </w:rPr>
        <w:t>application</w:t>
      </w:r>
      <w:r w:rsidRPr="009B546D">
        <w:rPr>
          <w:rFonts w:cstheme="minorHAnsi"/>
        </w:rPr>
        <w:t>s and the development of social features which increase user content and engagement and drive sales for retailers. Due to the limited competition, Alchemist Codes believe</w:t>
      </w:r>
      <w:r w:rsidR="00E54B1E" w:rsidRPr="009B546D">
        <w:rPr>
          <w:rFonts w:cstheme="minorHAnsi"/>
        </w:rPr>
        <w:t>s</w:t>
      </w:r>
      <w:r w:rsidRPr="009B546D">
        <w:rPr>
          <w:rFonts w:cstheme="minorHAnsi"/>
        </w:rPr>
        <w:t xml:space="preserve"> that significant opportunities </w:t>
      </w:r>
      <w:r w:rsidR="00E54B1E" w:rsidRPr="009B546D">
        <w:rPr>
          <w:rFonts w:cstheme="minorHAnsi"/>
        </w:rPr>
        <w:t>exist</w:t>
      </w:r>
      <w:r w:rsidRPr="009B546D">
        <w:rPr>
          <w:rFonts w:cstheme="minorHAnsi"/>
        </w:rPr>
        <w:t xml:space="preserve"> to rapidly grow OCTAPLUS in the Malaysian market.</w:t>
      </w:r>
    </w:p>
    <w:p w14:paraId="2ADDCA98" w14:textId="104F58F4" w:rsidR="002A2FE5" w:rsidRPr="009B546D" w:rsidRDefault="002A2FE5" w:rsidP="00F432B9">
      <w:pPr>
        <w:spacing w:line="240" w:lineRule="auto"/>
        <w:jc w:val="left"/>
        <w:rPr>
          <w:rFonts w:eastAsiaTheme="majorEastAsia" w:cstheme="minorHAnsi"/>
          <w:b/>
          <w:color w:val="000000" w:themeColor="text1"/>
          <w:sz w:val="24"/>
          <w:szCs w:val="32"/>
        </w:rPr>
      </w:pPr>
      <w:r w:rsidRPr="009B546D">
        <w:rPr>
          <w:rFonts w:cstheme="minorHAnsi"/>
        </w:rPr>
        <w:br w:type="page"/>
      </w:r>
    </w:p>
    <w:p w14:paraId="2951B795" w14:textId="69C26716" w:rsidR="00D90E1F" w:rsidRPr="009B546D" w:rsidRDefault="00D90E1F" w:rsidP="00EA2BB6">
      <w:pPr>
        <w:pStyle w:val="Heading1"/>
        <w:keepNext w:val="0"/>
        <w:widowControl w:val="0"/>
        <w:spacing w:after="120" w:line="240" w:lineRule="auto"/>
        <w:jc w:val="center"/>
        <w:rPr>
          <w:rFonts w:asciiTheme="minorHAnsi" w:hAnsiTheme="minorHAnsi" w:cstheme="minorHAnsi"/>
          <w:sz w:val="20"/>
          <w:szCs w:val="20"/>
        </w:rPr>
      </w:pPr>
      <w:bookmarkStart w:id="33" w:name="_Toc35456739"/>
      <w:r w:rsidRPr="00384557">
        <w:rPr>
          <w:rFonts w:asciiTheme="minorHAnsi" w:hAnsiTheme="minorHAnsi" w:cstheme="minorHAnsi"/>
          <w:sz w:val="20"/>
          <w:szCs w:val="20"/>
        </w:rPr>
        <w:lastRenderedPageBreak/>
        <w:t>Part X</w:t>
      </w:r>
      <w:r w:rsidRPr="00384557">
        <w:rPr>
          <w:rFonts w:asciiTheme="minorHAnsi" w:hAnsiTheme="minorHAnsi" w:cstheme="minorHAnsi"/>
          <w:sz w:val="20"/>
          <w:szCs w:val="20"/>
        </w:rPr>
        <w:br/>
        <w:t>Existing Directors, the Proposed Director and Corporate Governance</w:t>
      </w:r>
      <w:bookmarkEnd w:id="33"/>
    </w:p>
    <w:p w14:paraId="79141B80" w14:textId="77777777" w:rsidR="00D90E1F" w:rsidRPr="009B546D" w:rsidRDefault="00D90E1F" w:rsidP="00EA2BB6">
      <w:pPr>
        <w:widowControl w:val="0"/>
        <w:spacing w:after="120" w:line="240" w:lineRule="auto"/>
        <w:rPr>
          <w:rFonts w:cstheme="minorHAnsi"/>
          <w:szCs w:val="20"/>
        </w:rPr>
      </w:pPr>
      <w:r w:rsidRPr="009B546D">
        <w:rPr>
          <w:rFonts w:cstheme="minorHAnsi"/>
          <w:szCs w:val="20"/>
        </w:rPr>
        <w:t xml:space="preserve">The Existing Directors and their current positions in the Company are as follows: </w:t>
      </w:r>
    </w:p>
    <w:tbl>
      <w:tblPr>
        <w:tblW w:w="5000" w:type="pct"/>
        <w:jc w:val="right"/>
        <w:tblLayout w:type="fixed"/>
        <w:tblCellMar>
          <w:left w:w="0" w:type="dxa"/>
          <w:right w:w="0" w:type="dxa"/>
        </w:tblCellMar>
        <w:tblLook w:val="01E0" w:firstRow="1" w:lastRow="1" w:firstColumn="1" w:lastColumn="1" w:noHBand="0" w:noVBand="0"/>
      </w:tblPr>
      <w:tblGrid>
        <w:gridCol w:w="3261"/>
        <w:gridCol w:w="3543"/>
        <w:gridCol w:w="2222"/>
      </w:tblGrid>
      <w:tr w:rsidR="00D90E1F" w:rsidRPr="009B546D" w14:paraId="024CB1B5" w14:textId="77777777" w:rsidTr="00A61A84">
        <w:trPr>
          <w:trHeight w:val="273"/>
          <w:jc w:val="right"/>
        </w:trPr>
        <w:tc>
          <w:tcPr>
            <w:tcW w:w="3261" w:type="dxa"/>
          </w:tcPr>
          <w:p w14:paraId="137008B8" w14:textId="77777777" w:rsidR="00D90E1F" w:rsidRPr="009B546D" w:rsidRDefault="00D90E1F" w:rsidP="00F432B9">
            <w:pPr>
              <w:pStyle w:val="TableParagraph"/>
              <w:spacing w:after="160"/>
              <w:ind w:left="69"/>
              <w:jc w:val="both"/>
              <w:rPr>
                <w:rFonts w:asciiTheme="minorHAnsi" w:hAnsiTheme="minorHAnsi" w:cstheme="minorHAnsi"/>
                <w:b/>
                <w:sz w:val="20"/>
                <w:szCs w:val="20"/>
                <w:lang w:val="en-GB"/>
              </w:rPr>
            </w:pPr>
            <w:r w:rsidRPr="009B546D">
              <w:rPr>
                <w:rFonts w:asciiTheme="minorHAnsi" w:hAnsiTheme="minorHAnsi" w:cstheme="minorHAnsi"/>
                <w:b/>
                <w:sz w:val="20"/>
                <w:szCs w:val="20"/>
                <w:lang w:val="en-GB"/>
              </w:rPr>
              <w:t>Name</w:t>
            </w:r>
          </w:p>
        </w:tc>
        <w:tc>
          <w:tcPr>
            <w:tcW w:w="3543" w:type="dxa"/>
          </w:tcPr>
          <w:p w14:paraId="4C0B4133" w14:textId="77777777" w:rsidR="00D90E1F" w:rsidRPr="009B546D" w:rsidRDefault="00D90E1F" w:rsidP="00F432B9">
            <w:pPr>
              <w:pStyle w:val="TableParagraph"/>
              <w:spacing w:after="160"/>
              <w:ind w:left="69"/>
              <w:jc w:val="center"/>
              <w:rPr>
                <w:rFonts w:asciiTheme="minorHAnsi" w:hAnsiTheme="minorHAnsi" w:cstheme="minorHAnsi"/>
                <w:b/>
                <w:sz w:val="20"/>
                <w:szCs w:val="20"/>
                <w:lang w:val="en-GB"/>
              </w:rPr>
            </w:pPr>
            <w:r w:rsidRPr="009B546D">
              <w:rPr>
                <w:rFonts w:asciiTheme="minorHAnsi" w:hAnsiTheme="minorHAnsi" w:cstheme="minorHAnsi"/>
                <w:b/>
                <w:sz w:val="20"/>
                <w:szCs w:val="20"/>
                <w:lang w:val="en-GB"/>
              </w:rPr>
              <w:t>Position</w:t>
            </w:r>
          </w:p>
        </w:tc>
        <w:tc>
          <w:tcPr>
            <w:tcW w:w="2222" w:type="dxa"/>
          </w:tcPr>
          <w:p w14:paraId="66D130DE" w14:textId="77777777" w:rsidR="00D90E1F" w:rsidRPr="009B546D" w:rsidRDefault="00D90E1F" w:rsidP="00F432B9">
            <w:pPr>
              <w:pStyle w:val="TableParagraph"/>
              <w:spacing w:after="160"/>
              <w:ind w:left="69"/>
              <w:jc w:val="center"/>
              <w:rPr>
                <w:rFonts w:asciiTheme="minorHAnsi" w:hAnsiTheme="minorHAnsi" w:cstheme="minorHAnsi"/>
                <w:b/>
                <w:sz w:val="20"/>
                <w:szCs w:val="20"/>
                <w:lang w:val="en-GB"/>
              </w:rPr>
            </w:pPr>
            <w:r w:rsidRPr="009B546D">
              <w:rPr>
                <w:rFonts w:asciiTheme="minorHAnsi" w:hAnsiTheme="minorHAnsi" w:cstheme="minorHAnsi"/>
                <w:b/>
                <w:sz w:val="20"/>
                <w:szCs w:val="20"/>
                <w:lang w:val="en-GB"/>
              </w:rPr>
              <w:t>Date appointed to Board</w:t>
            </w:r>
          </w:p>
        </w:tc>
      </w:tr>
      <w:tr w:rsidR="00D90E1F" w:rsidRPr="009B546D" w14:paraId="4306CD79" w14:textId="77777777" w:rsidTr="00A61A84">
        <w:trPr>
          <w:trHeight w:val="316"/>
          <w:jc w:val="right"/>
        </w:trPr>
        <w:tc>
          <w:tcPr>
            <w:tcW w:w="3261" w:type="dxa"/>
          </w:tcPr>
          <w:p w14:paraId="534A264C" w14:textId="77777777" w:rsidR="00D90E1F" w:rsidRPr="009B546D" w:rsidRDefault="00D90E1F" w:rsidP="00F432B9">
            <w:pPr>
              <w:pStyle w:val="TableParagraph"/>
              <w:spacing w:after="160"/>
              <w:ind w:left="69"/>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Graham Duncan</w:t>
            </w:r>
          </w:p>
        </w:tc>
        <w:tc>
          <w:tcPr>
            <w:tcW w:w="3543" w:type="dxa"/>
          </w:tcPr>
          <w:p w14:paraId="5EAC1EA1" w14:textId="77777777" w:rsidR="00D90E1F" w:rsidRPr="009B546D" w:rsidRDefault="00D90E1F" w:rsidP="00F432B9">
            <w:pPr>
              <w:widowControl w:val="0"/>
              <w:spacing w:line="240" w:lineRule="auto"/>
              <w:jc w:val="center"/>
              <w:rPr>
                <w:rFonts w:cstheme="minorHAnsi"/>
                <w:szCs w:val="20"/>
              </w:rPr>
            </w:pPr>
            <w:r w:rsidRPr="009B546D">
              <w:rPr>
                <w:rFonts w:cstheme="minorHAnsi"/>
                <w:szCs w:val="20"/>
              </w:rPr>
              <w:t>Independent Non-Executive Chairman</w:t>
            </w:r>
          </w:p>
        </w:tc>
        <w:tc>
          <w:tcPr>
            <w:tcW w:w="2222" w:type="dxa"/>
          </w:tcPr>
          <w:p w14:paraId="0C200259" w14:textId="77777777" w:rsidR="00D90E1F" w:rsidRPr="009B546D" w:rsidRDefault="00D90E1F" w:rsidP="00F432B9">
            <w:pPr>
              <w:widowControl w:val="0"/>
              <w:spacing w:line="240" w:lineRule="auto"/>
              <w:jc w:val="center"/>
              <w:rPr>
                <w:rFonts w:cstheme="minorHAnsi"/>
                <w:szCs w:val="20"/>
              </w:rPr>
            </w:pPr>
            <w:r w:rsidRPr="009B546D">
              <w:rPr>
                <w:rFonts w:cstheme="minorHAnsi"/>
                <w:szCs w:val="20"/>
              </w:rPr>
              <w:t>9 January 2018</w:t>
            </w:r>
          </w:p>
        </w:tc>
      </w:tr>
      <w:tr w:rsidR="00D90E1F" w:rsidRPr="009B546D" w14:paraId="4615E36A" w14:textId="77777777" w:rsidTr="00A61A84">
        <w:trPr>
          <w:trHeight w:val="362"/>
          <w:jc w:val="right"/>
        </w:trPr>
        <w:tc>
          <w:tcPr>
            <w:tcW w:w="3261" w:type="dxa"/>
          </w:tcPr>
          <w:p w14:paraId="6031CA5A" w14:textId="44D09B62" w:rsidR="00D90E1F" w:rsidRPr="009B546D" w:rsidRDefault="00D90E1F" w:rsidP="00F432B9">
            <w:pPr>
              <w:pStyle w:val="TableParagraph"/>
              <w:spacing w:after="160"/>
              <w:ind w:left="69"/>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 xml:space="preserve">Lee Chong Liang </w:t>
            </w:r>
            <w:r w:rsidR="009C41AB" w:rsidRPr="009B546D">
              <w:rPr>
                <w:rFonts w:asciiTheme="minorHAnsi" w:hAnsiTheme="minorHAnsi" w:cstheme="minorHAnsi"/>
                <w:sz w:val="20"/>
                <w:szCs w:val="20"/>
                <w:lang w:val="en-GB"/>
              </w:rPr>
              <w:t>(“</w:t>
            </w:r>
            <w:r w:rsidR="009C41AB" w:rsidRPr="00EA2BB6">
              <w:rPr>
                <w:rFonts w:asciiTheme="minorHAnsi" w:hAnsiTheme="minorHAnsi" w:cstheme="minorHAnsi"/>
                <w:b/>
                <w:bCs/>
                <w:sz w:val="20"/>
                <w:szCs w:val="20"/>
                <w:lang w:val="en-GB"/>
              </w:rPr>
              <w:t>Marcus</w:t>
            </w:r>
            <w:r w:rsidR="009C41AB" w:rsidRPr="009B546D">
              <w:rPr>
                <w:rFonts w:asciiTheme="minorHAnsi" w:hAnsiTheme="minorHAnsi" w:cstheme="minorHAnsi"/>
                <w:sz w:val="20"/>
                <w:szCs w:val="20"/>
                <w:lang w:val="en-GB"/>
              </w:rPr>
              <w:t>”)</w:t>
            </w:r>
          </w:p>
        </w:tc>
        <w:tc>
          <w:tcPr>
            <w:tcW w:w="3543" w:type="dxa"/>
          </w:tcPr>
          <w:p w14:paraId="712CCBCA" w14:textId="77777777" w:rsidR="00D90E1F" w:rsidRPr="009B546D" w:rsidRDefault="00D90E1F" w:rsidP="00F432B9">
            <w:pPr>
              <w:widowControl w:val="0"/>
              <w:spacing w:line="240" w:lineRule="auto"/>
              <w:jc w:val="center"/>
              <w:rPr>
                <w:rFonts w:cstheme="minorHAnsi"/>
                <w:szCs w:val="20"/>
              </w:rPr>
            </w:pPr>
            <w:r w:rsidRPr="009B546D">
              <w:rPr>
                <w:rFonts w:cstheme="minorHAnsi"/>
                <w:szCs w:val="20"/>
              </w:rPr>
              <w:t>Executive Director</w:t>
            </w:r>
          </w:p>
        </w:tc>
        <w:tc>
          <w:tcPr>
            <w:tcW w:w="2222" w:type="dxa"/>
          </w:tcPr>
          <w:p w14:paraId="5E92F034" w14:textId="6336A813" w:rsidR="00D90E1F" w:rsidRPr="009B546D" w:rsidRDefault="00D90E1F" w:rsidP="00F432B9">
            <w:pPr>
              <w:widowControl w:val="0"/>
              <w:spacing w:line="240" w:lineRule="auto"/>
              <w:jc w:val="center"/>
              <w:rPr>
                <w:rFonts w:cstheme="minorHAnsi"/>
                <w:szCs w:val="20"/>
              </w:rPr>
            </w:pPr>
            <w:r w:rsidRPr="009B546D">
              <w:rPr>
                <w:rFonts w:cstheme="minorHAnsi"/>
                <w:szCs w:val="20"/>
              </w:rPr>
              <w:t>9 January 2018</w:t>
            </w:r>
          </w:p>
        </w:tc>
      </w:tr>
      <w:tr w:rsidR="00A61A84" w:rsidRPr="009B546D" w14:paraId="766DA9D7" w14:textId="77777777" w:rsidTr="00A61A84">
        <w:trPr>
          <w:trHeight w:val="362"/>
          <w:jc w:val="right"/>
        </w:trPr>
        <w:tc>
          <w:tcPr>
            <w:tcW w:w="3261" w:type="dxa"/>
          </w:tcPr>
          <w:p w14:paraId="4BA3B24B" w14:textId="6CC3B1F1" w:rsidR="00A61A84" w:rsidRPr="009B546D" w:rsidRDefault="00A61A84" w:rsidP="00A61A84">
            <w:pPr>
              <w:pStyle w:val="TableParagraph"/>
              <w:spacing w:after="160"/>
              <w:ind w:left="69"/>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Soon Beng Gee (“</w:t>
            </w:r>
            <w:r w:rsidRPr="00EA2BB6">
              <w:rPr>
                <w:rFonts w:asciiTheme="minorHAnsi" w:hAnsiTheme="minorHAnsi" w:cstheme="minorHAnsi"/>
                <w:b/>
                <w:bCs/>
                <w:sz w:val="20"/>
                <w:szCs w:val="20"/>
                <w:lang w:val="en-GB"/>
              </w:rPr>
              <w:t>Nicholas</w:t>
            </w:r>
            <w:r w:rsidRPr="009B546D">
              <w:rPr>
                <w:rFonts w:asciiTheme="minorHAnsi" w:hAnsiTheme="minorHAnsi" w:cstheme="minorHAnsi"/>
                <w:sz w:val="20"/>
                <w:szCs w:val="20"/>
                <w:lang w:val="en-GB"/>
              </w:rPr>
              <w:t>”)</w:t>
            </w:r>
          </w:p>
        </w:tc>
        <w:tc>
          <w:tcPr>
            <w:tcW w:w="3543" w:type="dxa"/>
          </w:tcPr>
          <w:p w14:paraId="61FBB445" w14:textId="10251048" w:rsidR="00A61A84" w:rsidRPr="009B546D" w:rsidRDefault="00A61A84" w:rsidP="00A61A84">
            <w:pPr>
              <w:widowControl w:val="0"/>
              <w:spacing w:line="240" w:lineRule="auto"/>
              <w:jc w:val="center"/>
              <w:rPr>
                <w:rFonts w:cstheme="minorHAnsi"/>
                <w:szCs w:val="20"/>
              </w:rPr>
            </w:pPr>
            <w:r w:rsidRPr="009B546D">
              <w:rPr>
                <w:rFonts w:cstheme="minorHAnsi"/>
                <w:szCs w:val="20"/>
              </w:rPr>
              <w:t>Executive Director</w:t>
            </w:r>
          </w:p>
        </w:tc>
        <w:tc>
          <w:tcPr>
            <w:tcW w:w="2222" w:type="dxa"/>
          </w:tcPr>
          <w:p w14:paraId="103FB0C8" w14:textId="3340AFB1" w:rsidR="00A61A84" w:rsidRPr="009B546D" w:rsidRDefault="00A61A84" w:rsidP="00A61A84">
            <w:pPr>
              <w:widowControl w:val="0"/>
              <w:spacing w:line="240" w:lineRule="auto"/>
              <w:jc w:val="center"/>
              <w:rPr>
                <w:rFonts w:cstheme="minorHAnsi"/>
                <w:szCs w:val="20"/>
              </w:rPr>
            </w:pPr>
            <w:r w:rsidRPr="009B546D">
              <w:rPr>
                <w:rFonts w:cstheme="minorHAnsi"/>
                <w:szCs w:val="20"/>
              </w:rPr>
              <w:t>9 January 2018</w:t>
            </w:r>
          </w:p>
        </w:tc>
      </w:tr>
      <w:tr w:rsidR="00A61A84" w:rsidRPr="009B546D" w14:paraId="30C31CB1" w14:textId="77777777" w:rsidTr="00A61A84">
        <w:trPr>
          <w:trHeight w:val="362"/>
          <w:jc w:val="right"/>
        </w:trPr>
        <w:tc>
          <w:tcPr>
            <w:tcW w:w="3261" w:type="dxa"/>
          </w:tcPr>
          <w:p w14:paraId="50C24242" w14:textId="77777777" w:rsidR="00A61A84" w:rsidRPr="009B546D" w:rsidRDefault="00A61A84" w:rsidP="00A61A84">
            <w:pPr>
              <w:pStyle w:val="TableParagraph"/>
              <w:spacing w:after="160"/>
              <w:ind w:left="69"/>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Harry Chathli</w:t>
            </w:r>
          </w:p>
        </w:tc>
        <w:tc>
          <w:tcPr>
            <w:tcW w:w="3543" w:type="dxa"/>
          </w:tcPr>
          <w:p w14:paraId="4774B545" w14:textId="2712A8A7" w:rsidR="00A61A84" w:rsidRPr="009B546D" w:rsidRDefault="00661B6A" w:rsidP="00A61A84">
            <w:pPr>
              <w:widowControl w:val="0"/>
              <w:spacing w:line="240" w:lineRule="auto"/>
              <w:jc w:val="center"/>
              <w:rPr>
                <w:rFonts w:cstheme="minorHAnsi"/>
                <w:szCs w:val="20"/>
              </w:rPr>
            </w:pPr>
            <w:r>
              <w:rPr>
                <w:rFonts w:cstheme="minorHAnsi"/>
                <w:szCs w:val="20"/>
              </w:rPr>
              <w:t xml:space="preserve">Independent </w:t>
            </w:r>
            <w:r w:rsidR="00A61A84" w:rsidRPr="009B546D">
              <w:rPr>
                <w:rFonts w:cstheme="minorHAnsi"/>
                <w:szCs w:val="20"/>
              </w:rPr>
              <w:t>Non-Executive Director</w:t>
            </w:r>
          </w:p>
        </w:tc>
        <w:tc>
          <w:tcPr>
            <w:tcW w:w="2222" w:type="dxa"/>
          </w:tcPr>
          <w:p w14:paraId="635AE2FE" w14:textId="77777777" w:rsidR="00A61A84" w:rsidRPr="009B546D" w:rsidRDefault="00A61A84" w:rsidP="00A61A84">
            <w:pPr>
              <w:widowControl w:val="0"/>
              <w:spacing w:line="240" w:lineRule="auto"/>
              <w:jc w:val="center"/>
              <w:rPr>
                <w:rFonts w:cstheme="minorHAnsi"/>
                <w:szCs w:val="20"/>
              </w:rPr>
            </w:pPr>
            <w:r w:rsidRPr="009B546D">
              <w:rPr>
                <w:rFonts w:cstheme="minorHAnsi"/>
                <w:szCs w:val="20"/>
              </w:rPr>
              <w:t>9 January 2018</w:t>
            </w:r>
          </w:p>
        </w:tc>
      </w:tr>
      <w:tr w:rsidR="00A61A84" w:rsidRPr="009B546D" w14:paraId="79CFC206" w14:textId="77777777" w:rsidTr="00A61A84">
        <w:trPr>
          <w:trHeight w:val="362"/>
          <w:jc w:val="right"/>
        </w:trPr>
        <w:tc>
          <w:tcPr>
            <w:tcW w:w="3261" w:type="dxa"/>
          </w:tcPr>
          <w:p w14:paraId="16864ADC" w14:textId="7C4DC11E" w:rsidR="00A61A84" w:rsidRDefault="00A61A84" w:rsidP="00A61A84">
            <w:pPr>
              <w:pStyle w:val="TableParagraph"/>
              <w:spacing w:after="160"/>
              <w:ind w:left="69"/>
              <w:jc w:val="both"/>
              <w:rPr>
                <w:rFonts w:asciiTheme="minorHAnsi" w:hAnsiTheme="minorHAnsi" w:cstheme="minorHAnsi"/>
                <w:sz w:val="20"/>
                <w:szCs w:val="20"/>
                <w:lang w:val="en-GB"/>
              </w:rPr>
            </w:pPr>
          </w:p>
          <w:p w14:paraId="1D6E6E95" w14:textId="2EB63F5B" w:rsidR="009E353C" w:rsidRPr="009B546D" w:rsidRDefault="009E353C" w:rsidP="00EA2BB6">
            <w:pPr>
              <w:pStyle w:val="TableParagraph"/>
              <w:spacing w:after="160"/>
              <w:jc w:val="both"/>
              <w:rPr>
                <w:rFonts w:asciiTheme="minorHAnsi" w:hAnsiTheme="minorHAnsi" w:cstheme="minorHAnsi"/>
                <w:sz w:val="20"/>
                <w:szCs w:val="20"/>
                <w:lang w:val="en-GB"/>
              </w:rPr>
            </w:pPr>
          </w:p>
        </w:tc>
        <w:tc>
          <w:tcPr>
            <w:tcW w:w="3543" w:type="dxa"/>
          </w:tcPr>
          <w:p w14:paraId="30951EE0" w14:textId="4DF691FC" w:rsidR="00A61A84" w:rsidRPr="009B546D" w:rsidRDefault="00A61A84" w:rsidP="00A61A84">
            <w:pPr>
              <w:widowControl w:val="0"/>
              <w:spacing w:line="240" w:lineRule="auto"/>
              <w:jc w:val="center"/>
              <w:rPr>
                <w:rFonts w:cstheme="minorHAnsi"/>
                <w:szCs w:val="20"/>
              </w:rPr>
            </w:pPr>
          </w:p>
        </w:tc>
        <w:tc>
          <w:tcPr>
            <w:tcW w:w="2222" w:type="dxa"/>
          </w:tcPr>
          <w:p w14:paraId="63CE3B8F" w14:textId="074B5494" w:rsidR="00A61A84" w:rsidRPr="009B546D" w:rsidRDefault="00A61A84" w:rsidP="00A61A84">
            <w:pPr>
              <w:widowControl w:val="0"/>
              <w:spacing w:line="240" w:lineRule="auto"/>
              <w:jc w:val="center"/>
              <w:rPr>
                <w:rFonts w:cstheme="minorHAnsi"/>
                <w:szCs w:val="20"/>
              </w:rPr>
            </w:pPr>
          </w:p>
        </w:tc>
      </w:tr>
    </w:tbl>
    <w:p w14:paraId="483073CA" w14:textId="42B5BDC4" w:rsidR="00D90E1F" w:rsidRDefault="00D90E1F" w:rsidP="00F432B9">
      <w:pPr>
        <w:widowControl w:val="0"/>
        <w:spacing w:line="240" w:lineRule="auto"/>
        <w:rPr>
          <w:rFonts w:cstheme="minorHAnsi"/>
          <w:szCs w:val="20"/>
        </w:rPr>
      </w:pPr>
      <w:r w:rsidRPr="009B546D">
        <w:rPr>
          <w:rFonts w:cstheme="minorHAnsi"/>
          <w:szCs w:val="20"/>
        </w:rPr>
        <w:t xml:space="preserve">The business address of each of the Existing Directors is </w:t>
      </w:r>
      <w:r w:rsidR="00715033" w:rsidRPr="009B546D">
        <w:rPr>
          <w:rFonts w:cstheme="minorHAnsi"/>
          <w:szCs w:val="20"/>
        </w:rPr>
        <w:t>Genesis</w:t>
      </w:r>
      <w:r w:rsidR="00715033" w:rsidRPr="009B546D">
        <w:rPr>
          <w:rFonts w:cstheme="minorHAnsi"/>
          <w:spacing w:val="-4"/>
          <w:szCs w:val="20"/>
        </w:rPr>
        <w:t xml:space="preserve"> </w:t>
      </w:r>
      <w:r w:rsidR="00715033" w:rsidRPr="009B546D">
        <w:rPr>
          <w:rFonts w:cstheme="minorHAnsi"/>
          <w:szCs w:val="20"/>
        </w:rPr>
        <w:t>Building,</w:t>
      </w:r>
      <w:r w:rsidR="00715033" w:rsidRPr="009B546D">
        <w:rPr>
          <w:rFonts w:cstheme="minorHAnsi"/>
          <w:spacing w:val="-3"/>
          <w:szCs w:val="20"/>
        </w:rPr>
        <w:t xml:space="preserve"> </w:t>
      </w:r>
      <w:r w:rsidR="00715033" w:rsidRPr="009B546D">
        <w:rPr>
          <w:rFonts w:cstheme="minorHAnsi"/>
          <w:szCs w:val="20"/>
        </w:rPr>
        <w:t>5th</w:t>
      </w:r>
      <w:r w:rsidR="00715033" w:rsidRPr="009B546D">
        <w:rPr>
          <w:rFonts w:cstheme="minorHAnsi"/>
          <w:spacing w:val="-2"/>
          <w:szCs w:val="20"/>
        </w:rPr>
        <w:t xml:space="preserve"> </w:t>
      </w:r>
      <w:r w:rsidR="00715033" w:rsidRPr="009B546D">
        <w:rPr>
          <w:rFonts w:cstheme="minorHAnsi"/>
          <w:spacing w:val="-3"/>
          <w:szCs w:val="20"/>
        </w:rPr>
        <w:t xml:space="preserve">Floor, </w:t>
      </w:r>
      <w:r w:rsidR="00715033" w:rsidRPr="009B546D">
        <w:rPr>
          <w:rFonts w:cstheme="minorHAnsi"/>
          <w:szCs w:val="20"/>
        </w:rPr>
        <w:t>Genesis</w:t>
      </w:r>
      <w:r w:rsidR="00715033" w:rsidRPr="009B546D">
        <w:rPr>
          <w:rFonts w:cstheme="minorHAnsi"/>
          <w:spacing w:val="-4"/>
          <w:szCs w:val="20"/>
        </w:rPr>
        <w:t xml:space="preserve"> </w:t>
      </w:r>
      <w:r w:rsidR="00715033" w:rsidRPr="009B546D">
        <w:rPr>
          <w:rFonts w:cstheme="minorHAnsi"/>
          <w:szCs w:val="20"/>
        </w:rPr>
        <w:t>Close,</w:t>
      </w:r>
      <w:r w:rsidR="00715033" w:rsidRPr="009B546D">
        <w:rPr>
          <w:rFonts w:cstheme="minorHAnsi"/>
          <w:spacing w:val="-3"/>
          <w:szCs w:val="20"/>
        </w:rPr>
        <w:t xml:space="preserve"> </w:t>
      </w:r>
      <w:r w:rsidR="00715033" w:rsidRPr="009B546D">
        <w:rPr>
          <w:rFonts w:cstheme="minorHAnsi"/>
          <w:szCs w:val="20"/>
        </w:rPr>
        <w:t>PO</w:t>
      </w:r>
      <w:r w:rsidR="00715033" w:rsidRPr="009B546D">
        <w:rPr>
          <w:rFonts w:cstheme="minorHAnsi"/>
          <w:spacing w:val="-3"/>
          <w:szCs w:val="20"/>
        </w:rPr>
        <w:t xml:space="preserve"> </w:t>
      </w:r>
      <w:r w:rsidR="00715033" w:rsidRPr="009B546D">
        <w:rPr>
          <w:rFonts w:cstheme="minorHAnsi"/>
          <w:szCs w:val="20"/>
        </w:rPr>
        <w:t>Box</w:t>
      </w:r>
      <w:r w:rsidR="00715033" w:rsidRPr="009B546D">
        <w:rPr>
          <w:rFonts w:cstheme="minorHAnsi"/>
          <w:spacing w:val="-5"/>
          <w:szCs w:val="20"/>
        </w:rPr>
        <w:t xml:space="preserve"> </w:t>
      </w:r>
      <w:r w:rsidR="00715033" w:rsidRPr="009B546D">
        <w:rPr>
          <w:rFonts w:cstheme="minorHAnsi"/>
          <w:szCs w:val="20"/>
        </w:rPr>
        <w:t>446,</w:t>
      </w:r>
      <w:r w:rsidR="00715033" w:rsidRPr="009B546D">
        <w:rPr>
          <w:rFonts w:cstheme="minorHAnsi"/>
          <w:spacing w:val="-3"/>
          <w:szCs w:val="20"/>
        </w:rPr>
        <w:t xml:space="preserve"> </w:t>
      </w:r>
      <w:r w:rsidR="00715033" w:rsidRPr="009B546D">
        <w:rPr>
          <w:rFonts w:cstheme="minorHAnsi"/>
          <w:szCs w:val="20"/>
        </w:rPr>
        <w:t>Cayman</w:t>
      </w:r>
      <w:r w:rsidR="00715033" w:rsidRPr="009B546D">
        <w:rPr>
          <w:rFonts w:cstheme="minorHAnsi"/>
          <w:spacing w:val="-4"/>
          <w:szCs w:val="20"/>
        </w:rPr>
        <w:t xml:space="preserve"> </w:t>
      </w:r>
      <w:r w:rsidR="00715033" w:rsidRPr="009B546D">
        <w:rPr>
          <w:rFonts w:cstheme="minorHAnsi"/>
          <w:szCs w:val="20"/>
        </w:rPr>
        <w:t>Islands,</w:t>
      </w:r>
      <w:r w:rsidR="00715033" w:rsidRPr="009B546D">
        <w:rPr>
          <w:rFonts w:cstheme="minorHAnsi"/>
          <w:spacing w:val="2"/>
          <w:szCs w:val="20"/>
        </w:rPr>
        <w:t xml:space="preserve"> </w:t>
      </w:r>
      <w:r w:rsidR="00715033" w:rsidRPr="009B546D">
        <w:rPr>
          <w:rFonts w:cstheme="minorHAnsi"/>
          <w:szCs w:val="20"/>
        </w:rPr>
        <w:t>KY1- 1106</w:t>
      </w:r>
      <w:r w:rsidR="00550AE0" w:rsidRPr="009B546D">
        <w:rPr>
          <w:rFonts w:cstheme="minorHAnsi"/>
          <w:szCs w:val="20"/>
        </w:rPr>
        <w:t>.</w:t>
      </w:r>
      <w:r w:rsidR="00715033" w:rsidRPr="009B546D" w:rsidDel="00DB58D2">
        <w:rPr>
          <w:rFonts w:cstheme="minorHAnsi"/>
          <w:szCs w:val="20"/>
        </w:rPr>
        <w:t xml:space="preserve"> </w:t>
      </w:r>
    </w:p>
    <w:p w14:paraId="513DEEB4" w14:textId="5225D31F" w:rsidR="00BA08DD" w:rsidRPr="009B546D" w:rsidRDefault="00BA08DD" w:rsidP="00F432B9">
      <w:pPr>
        <w:widowControl w:val="0"/>
        <w:spacing w:line="240" w:lineRule="auto"/>
        <w:rPr>
          <w:rFonts w:cstheme="minorHAnsi"/>
          <w:szCs w:val="20"/>
        </w:rPr>
      </w:pPr>
      <w:r>
        <w:rPr>
          <w:rFonts w:cstheme="minorHAnsi"/>
          <w:szCs w:val="20"/>
        </w:rPr>
        <w:t xml:space="preserve">On Re-Admission, Nicholas will </w:t>
      </w:r>
      <w:r w:rsidR="0022159C">
        <w:rPr>
          <w:rFonts w:cstheme="minorHAnsi"/>
          <w:szCs w:val="20"/>
        </w:rPr>
        <w:t>change</w:t>
      </w:r>
      <w:r w:rsidR="00DF5EC3">
        <w:rPr>
          <w:rFonts w:cstheme="minorHAnsi"/>
          <w:szCs w:val="20"/>
        </w:rPr>
        <w:t xml:space="preserve"> his</w:t>
      </w:r>
      <w:r w:rsidR="0022159C">
        <w:rPr>
          <w:rFonts w:cstheme="minorHAnsi"/>
          <w:szCs w:val="20"/>
        </w:rPr>
        <w:t xml:space="preserve"> position </w:t>
      </w:r>
      <w:r w:rsidR="00782924">
        <w:rPr>
          <w:rFonts w:cstheme="minorHAnsi"/>
          <w:szCs w:val="20"/>
        </w:rPr>
        <w:t>as an Executive Director to a</w:t>
      </w:r>
      <w:r w:rsidR="0022159C">
        <w:rPr>
          <w:rFonts w:cstheme="minorHAnsi"/>
          <w:szCs w:val="20"/>
        </w:rPr>
        <w:t xml:space="preserve"> Non-Executive Director</w:t>
      </w:r>
      <w:r w:rsidR="00782924">
        <w:rPr>
          <w:rFonts w:cstheme="minorHAnsi"/>
          <w:szCs w:val="20"/>
        </w:rPr>
        <w:t>.</w:t>
      </w:r>
    </w:p>
    <w:p w14:paraId="05D6DCC9" w14:textId="77777777" w:rsidR="00D90E1F" w:rsidRPr="009B546D" w:rsidRDefault="00D90E1F" w:rsidP="00F432B9">
      <w:pPr>
        <w:widowControl w:val="0"/>
        <w:spacing w:line="240" w:lineRule="auto"/>
        <w:rPr>
          <w:rFonts w:cstheme="minorHAnsi"/>
          <w:szCs w:val="20"/>
        </w:rPr>
      </w:pPr>
      <w:r w:rsidRPr="009B546D">
        <w:rPr>
          <w:rFonts w:cstheme="minorHAnsi"/>
          <w:szCs w:val="20"/>
        </w:rPr>
        <w:t>Details of the Existing Directors and their backgrounds are as follows:</w:t>
      </w:r>
    </w:p>
    <w:p w14:paraId="1EE0BAAD" w14:textId="77777777" w:rsidR="00D90E1F" w:rsidRPr="009B546D" w:rsidRDefault="00D90E1F" w:rsidP="00F432B9">
      <w:pPr>
        <w:widowControl w:val="0"/>
        <w:spacing w:line="240" w:lineRule="auto"/>
        <w:rPr>
          <w:rFonts w:cstheme="minorHAnsi"/>
          <w:b/>
          <w:szCs w:val="20"/>
        </w:rPr>
      </w:pPr>
      <w:r w:rsidRPr="009B546D">
        <w:rPr>
          <w:rFonts w:cstheme="minorHAnsi"/>
          <w:b/>
          <w:szCs w:val="20"/>
        </w:rPr>
        <w:t xml:space="preserve">Graham Duncan, </w:t>
      </w:r>
      <w:r w:rsidRPr="009B546D">
        <w:rPr>
          <w:rFonts w:cstheme="minorHAnsi"/>
          <w:bCs/>
          <w:i/>
          <w:iCs/>
          <w:szCs w:val="20"/>
        </w:rPr>
        <w:t>Independent Non-Executive Chairman</w:t>
      </w:r>
    </w:p>
    <w:p w14:paraId="2E664668" w14:textId="68F6E7DD" w:rsidR="00D90E1F" w:rsidRPr="009B546D" w:rsidRDefault="00D90E1F" w:rsidP="00F432B9">
      <w:pPr>
        <w:widowControl w:val="0"/>
        <w:spacing w:line="240" w:lineRule="auto"/>
        <w:rPr>
          <w:rFonts w:cstheme="minorHAnsi"/>
          <w:szCs w:val="20"/>
        </w:rPr>
      </w:pPr>
      <w:r w:rsidRPr="009B546D">
        <w:rPr>
          <w:rFonts w:cstheme="minorHAnsi"/>
          <w:szCs w:val="20"/>
        </w:rPr>
        <w:t>Graham Duncan is a UK based chartered accountant with more than 20 years’ capital markets experience.</w:t>
      </w:r>
      <w:r w:rsidR="007D7B13" w:rsidRPr="009B546D">
        <w:rPr>
          <w:rFonts w:cstheme="minorHAnsi"/>
          <w:szCs w:val="20"/>
        </w:rPr>
        <w:t xml:space="preserve"> </w:t>
      </w:r>
      <w:r w:rsidRPr="009B546D">
        <w:rPr>
          <w:rFonts w:cstheme="minorHAnsi"/>
          <w:szCs w:val="20"/>
        </w:rPr>
        <w:t>He also holds the Corporate Finance Diploma issued by the Institute of Chartered Accountants in England and Wales. He is currently Chief Financial Officer to Code Investing Limited, an FCA regulated financial technology company that connects investors with small and medium enterprises seeking finance.</w:t>
      </w:r>
    </w:p>
    <w:p w14:paraId="24A7C92B" w14:textId="6FF8780C" w:rsidR="00D90E1F" w:rsidRPr="009B546D" w:rsidRDefault="00550AE0" w:rsidP="00F432B9">
      <w:pPr>
        <w:widowControl w:val="0"/>
        <w:spacing w:line="240" w:lineRule="auto"/>
        <w:rPr>
          <w:rFonts w:cstheme="minorHAnsi"/>
          <w:szCs w:val="20"/>
        </w:rPr>
      </w:pPr>
      <w:r w:rsidRPr="009B546D">
        <w:rPr>
          <w:rFonts w:cstheme="minorHAnsi"/>
          <w:szCs w:val="20"/>
        </w:rPr>
        <w:t>Since 2000, h</w:t>
      </w:r>
      <w:r w:rsidR="00D90E1F" w:rsidRPr="009B546D">
        <w:rPr>
          <w:rFonts w:cstheme="minorHAnsi"/>
          <w:szCs w:val="20"/>
        </w:rPr>
        <w:t xml:space="preserve">e has specialised in advising quoted companies with regard to financial reporting, transaction support and regulatory compliance. Since 2013, Graham has run a consultancy business providing advice to growing private and public companies in the UK and internationally. Clients have included Learning Technologies Group (an AIM-quoted e-leaning services and technologies business); Blue Prism (an AIM-quoted provider of an enterprise-strength Robotic Process Automation software platform); TechFinancials Inc (an AIM-quoted software developer that supplies simplified trading solutions to online brokers); and Escape Hunt Group (an AIM-quoted global provider of live ‘escape the room’ experiences). Until 2013, Graham was a capital markets director with Mazars LLP in London. Graham has worked closely with Asian companies and advised on the AIM admission of Pixel Media (a Hong-Kong based online advertising and media company) and Velosi Group (a Malaysian oil services company). </w:t>
      </w:r>
      <w:r w:rsidR="00715033" w:rsidRPr="009B546D">
        <w:rPr>
          <w:rFonts w:cstheme="minorHAnsi"/>
          <w:szCs w:val="20"/>
        </w:rPr>
        <w:t>He</w:t>
      </w:r>
      <w:r w:rsidR="00D90E1F" w:rsidRPr="009B546D">
        <w:rPr>
          <w:rFonts w:cstheme="minorHAnsi"/>
          <w:szCs w:val="20"/>
        </w:rPr>
        <w:t xml:space="preserve"> previously worked for an international firm of chartered accountants in Asia and was based in Hong Kong between 1993 and 1996. Between November 2014 and </w:t>
      </w:r>
      <w:r w:rsidR="00E16E08" w:rsidRPr="009B546D">
        <w:rPr>
          <w:rFonts w:cstheme="minorHAnsi"/>
          <w:szCs w:val="20"/>
        </w:rPr>
        <w:t>May 2016,</w:t>
      </w:r>
      <w:r w:rsidR="00D90E1F" w:rsidRPr="009B546D">
        <w:rPr>
          <w:rFonts w:cstheme="minorHAnsi"/>
          <w:szCs w:val="20"/>
        </w:rPr>
        <w:t xml:space="preserve"> he served as a non-executive director to Waratah Resources Limited, a company listed on the Australian Stock Exchange. He resides in the UK.</w:t>
      </w:r>
    </w:p>
    <w:p w14:paraId="5F898BBE" w14:textId="77777777" w:rsidR="00D90E1F" w:rsidRPr="009B546D" w:rsidRDefault="00D90E1F" w:rsidP="00F432B9">
      <w:pPr>
        <w:widowControl w:val="0"/>
        <w:spacing w:line="240" w:lineRule="auto"/>
        <w:rPr>
          <w:rFonts w:cstheme="minorHAnsi"/>
          <w:b/>
          <w:szCs w:val="20"/>
        </w:rPr>
      </w:pPr>
      <w:r w:rsidRPr="009B546D">
        <w:rPr>
          <w:rFonts w:cstheme="minorHAnsi"/>
          <w:b/>
          <w:szCs w:val="20"/>
        </w:rPr>
        <w:t xml:space="preserve">Lee Chong Liang (“Marcus”), </w:t>
      </w:r>
      <w:r w:rsidRPr="009B546D">
        <w:rPr>
          <w:rFonts w:cstheme="minorHAnsi"/>
          <w:bCs/>
          <w:i/>
          <w:iCs/>
          <w:szCs w:val="20"/>
        </w:rPr>
        <w:t>Executive Director</w:t>
      </w:r>
    </w:p>
    <w:p w14:paraId="3AC2F2AF" w14:textId="0AB934F2" w:rsidR="00D90E1F" w:rsidRPr="009B546D" w:rsidRDefault="00D90E1F" w:rsidP="00F432B9">
      <w:pPr>
        <w:widowControl w:val="0"/>
        <w:spacing w:line="240" w:lineRule="auto"/>
        <w:rPr>
          <w:rFonts w:cstheme="minorHAnsi"/>
          <w:szCs w:val="20"/>
        </w:rPr>
      </w:pPr>
      <w:r w:rsidRPr="009B546D">
        <w:rPr>
          <w:rFonts w:cstheme="minorHAnsi"/>
          <w:szCs w:val="20"/>
        </w:rPr>
        <w:t xml:space="preserve">Marcus has over eight years’ experience in business consultancy, specialising in shaping business models and entrepreneur mentoring. He currently works closely with Soon Beng Gee in Plymouth Infotech Limited, a company focused on information technology system services and business consultancy services for companies based in South East Asia, primarily in the e-commerce industry. </w:t>
      </w:r>
      <w:r w:rsidR="008268C4" w:rsidRPr="009B546D">
        <w:rPr>
          <w:rFonts w:cstheme="minorHAnsi"/>
          <w:szCs w:val="20"/>
        </w:rPr>
        <w:t>Marcus</w:t>
      </w:r>
      <w:r w:rsidR="006468D1" w:rsidRPr="009B546D">
        <w:rPr>
          <w:rFonts w:cstheme="minorHAnsi"/>
          <w:szCs w:val="20"/>
        </w:rPr>
        <w:t>’s</w:t>
      </w:r>
      <w:r w:rsidRPr="009B546D">
        <w:rPr>
          <w:rFonts w:cstheme="minorHAnsi"/>
          <w:szCs w:val="20"/>
        </w:rPr>
        <w:t xml:space="preserve"> principal responsibilities include business training with a focus on marketing and increasing revenue growth through strengthening brands, increasing member and consumer royalties and turnaround activities. Between 2010 to 2016, Marcus worked for Red Antz Event Sdn. Bhd. a company focused on event management and business consultancy services, as an associate providing business mentoring services to clients based in South East Asia. </w:t>
      </w:r>
    </w:p>
    <w:p w14:paraId="63E4E44F" w14:textId="63B464EF" w:rsidR="00D90E1F" w:rsidRPr="009B546D" w:rsidRDefault="00D90E1F" w:rsidP="00F432B9">
      <w:pPr>
        <w:widowControl w:val="0"/>
        <w:spacing w:line="240" w:lineRule="auto"/>
        <w:rPr>
          <w:rFonts w:cstheme="minorHAnsi"/>
          <w:szCs w:val="20"/>
        </w:rPr>
      </w:pPr>
      <w:r w:rsidRPr="009B546D">
        <w:rPr>
          <w:rFonts w:cstheme="minorHAnsi"/>
          <w:szCs w:val="20"/>
        </w:rPr>
        <w:t>Over the course of his career</w:t>
      </w:r>
      <w:r w:rsidR="008E6962" w:rsidRPr="009B546D">
        <w:rPr>
          <w:rFonts w:cstheme="minorHAnsi"/>
          <w:szCs w:val="20"/>
        </w:rPr>
        <w:t>,</w:t>
      </w:r>
      <w:r w:rsidRPr="009B546D">
        <w:rPr>
          <w:rFonts w:cstheme="minorHAnsi"/>
          <w:szCs w:val="20"/>
        </w:rPr>
        <w:t xml:space="preserve"> Marcus has been a business mentor and has provided entrepreneur training seminars to a wide variety of companies, including blue chip corporations. He graduated from the University of Nottingham Trent with a Master of Science in International Real Estate Investment and Finance in 2009.</w:t>
      </w:r>
      <w:r w:rsidR="007D7B13" w:rsidRPr="009B546D">
        <w:rPr>
          <w:rFonts w:cstheme="minorHAnsi"/>
          <w:szCs w:val="20"/>
        </w:rPr>
        <w:t xml:space="preserve"> </w:t>
      </w:r>
      <w:r w:rsidRPr="009B546D">
        <w:rPr>
          <w:rFonts w:cstheme="minorHAnsi"/>
          <w:szCs w:val="20"/>
        </w:rPr>
        <w:t>He resides in Malaysia</w:t>
      </w:r>
      <w:r w:rsidR="008E6962" w:rsidRPr="009B546D">
        <w:rPr>
          <w:rFonts w:cstheme="minorHAnsi"/>
          <w:szCs w:val="20"/>
        </w:rPr>
        <w:t>.</w:t>
      </w:r>
    </w:p>
    <w:p w14:paraId="0D5B8F7D" w14:textId="117B4D4F" w:rsidR="009F760B" w:rsidRDefault="009F760B" w:rsidP="00F432B9">
      <w:pPr>
        <w:widowControl w:val="0"/>
        <w:spacing w:line="240" w:lineRule="auto"/>
        <w:rPr>
          <w:rFonts w:cstheme="minorHAnsi"/>
          <w:szCs w:val="20"/>
        </w:rPr>
      </w:pPr>
    </w:p>
    <w:p w14:paraId="42517D1B" w14:textId="4B39517F" w:rsidR="0032508A" w:rsidRDefault="0032508A" w:rsidP="00F432B9">
      <w:pPr>
        <w:widowControl w:val="0"/>
        <w:spacing w:line="240" w:lineRule="auto"/>
        <w:rPr>
          <w:rFonts w:cstheme="minorHAnsi"/>
          <w:szCs w:val="20"/>
        </w:rPr>
      </w:pPr>
    </w:p>
    <w:p w14:paraId="70F8430F" w14:textId="77777777" w:rsidR="0032508A" w:rsidRPr="009B546D" w:rsidRDefault="0032508A" w:rsidP="00F432B9">
      <w:pPr>
        <w:widowControl w:val="0"/>
        <w:spacing w:line="240" w:lineRule="auto"/>
        <w:rPr>
          <w:rFonts w:cstheme="minorHAnsi"/>
          <w:szCs w:val="20"/>
        </w:rPr>
      </w:pPr>
    </w:p>
    <w:p w14:paraId="6D7CADB0" w14:textId="2A224CBC" w:rsidR="009F760B" w:rsidRPr="009B546D" w:rsidRDefault="009F760B" w:rsidP="00F432B9">
      <w:pPr>
        <w:widowControl w:val="0"/>
        <w:spacing w:line="240" w:lineRule="auto"/>
        <w:rPr>
          <w:rFonts w:cstheme="minorHAnsi"/>
          <w:b/>
          <w:szCs w:val="20"/>
        </w:rPr>
      </w:pPr>
      <w:r w:rsidRPr="009B546D">
        <w:rPr>
          <w:rFonts w:cstheme="minorHAnsi"/>
          <w:b/>
          <w:szCs w:val="20"/>
        </w:rPr>
        <w:t xml:space="preserve">Soon Beng Gee (“Nicholas”), </w:t>
      </w:r>
      <w:r w:rsidRPr="009B546D">
        <w:rPr>
          <w:rFonts w:cstheme="minorHAnsi"/>
          <w:bCs/>
          <w:i/>
          <w:iCs/>
          <w:szCs w:val="20"/>
        </w:rPr>
        <w:t>Executive Director</w:t>
      </w:r>
    </w:p>
    <w:p w14:paraId="63203A90" w14:textId="7F947BD2" w:rsidR="009F760B" w:rsidRPr="009B546D" w:rsidRDefault="009F760B" w:rsidP="00F432B9">
      <w:pPr>
        <w:widowControl w:val="0"/>
        <w:spacing w:line="240" w:lineRule="auto"/>
        <w:rPr>
          <w:rFonts w:cstheme="minorHAnsi"/>
          <w:szCs w:val="20"/>
        </w:rPr>
      </w:pPr>
      <w:r w:rsidRPr="009B546D">
        <w:rPr>
          <w:rFonts w:cstheme="minorHAnsi"/>
          <w:szCs w:val="20"/>
        </w:rPr>
        <w:t xml:space="preserve">Nicholas has broad industry experience, having operated businesses in the retail, trading and e-commerce sectors as well as in social commerce, </w:t>
      </w:r>
      <w:r w:rsidR="002C5BC5" w:rsidRPr="009B546D">
        <w:rPr>
          <w:rFonts w:cstheme="minorHAnsi"/>
          <w:szCs w:val="20"/>
        </w:rPr>
        <w:t xml:space="preserve">and </w:t>
      </w:r>
      <w:r w:rsidRPr="009B546D">
        <w:rPr>
          <w:rFonts w:cstheme="minorHAnsi"/>
          <w:szCs w:val="20"/>
        </w:rPr>
        <w:t xml:space="preserve">having worked in talent management and on-line marketing companies. He is currently the director and shareholder of Plymouth Infotech </w:t>
      </w:r>
      <w:r w:rsidR="003C7E8E" w:rsidRPr="009B546D">
        <w:rPr>
          <w:rFonts w:cstheme="minorHAnsi"/>
          <w:szCs w:val="20"/>
        </w:rPr>
        <w:t>Limited, a</w:t>
      </w:r>
      <w:r w:rsidRPr="009B546D">
        <w:rPr>
          <w:rFonts w:cstheme="minorHAnsi"/>
          <w:szCs w:val="20"/>
        </w:rPr>
        <w:t xml:space="preserve"> company focused on information technology system services and business consultancy services for companies based in South East Asia, primarily in the e-commerce industry. </w:t>
      </w:r>
    </w:p>
    <w:p w14:paraId="66738971" w14:textId="344352A8" w:rsidR="009F760B" w:rsidRPr="009B546D" w:rsidRDefault="009F760B" w:rsidP="00F432B9">
      <w:pPr>
        <w:widowControl w:val="0"/>
        <w:spacing w:line="240" w:lineRule="auto"/>
        <w:rPr>
          <w:rFonts w:cstheme="minorHAnsi"/>
          <w:szCs w:val="20"/>
        </w:rPr>
      </w:pPr>
      <w:r w:rsidRPr="009B546D">
        <w:rPr>
          <w:rFonts w:cstheme="minorHAnsi"/>
          <w:szCs w:val="20"/>
        </w:rPr>
        <w:t>Nicholas began his career in foreign exchange trading and became an early pioneer of automated trading in the Malaysian market, which introduced him to many customers</w:t>
      </w:r>
      <w:r w:rsidR="000F2E38" w:rsidRPr="009B546D">
        <w:rPr>
          <w:rFonts w:cstheme="minorHAnsi"/>
          <w:szCs w:val="20"/>
        </w:rPr>
        <w:t xml:space="preserve">, </w:t>
      </w:r>
      <w:r w:rsidRPr="009B546D">
        <w:rPr>
          <w:rFonts w:cstheme="minorHAnsi"/>
          <w:szCs w:val="20"/>
        </w:rPr>
        <w:t>including high net worth individuals. He developed an automated trading platform to operate across multiple industries, notably in the sphere of media, e-commerce and social networking. He worked for MAMA11 MART (M) Sdn. Bhd. (“</w:t>
      </w:r>
      <w:r w:rsidRPr="00EA2BB6">
        <w:rPr>
          <w:rFonts w:cstheme="minorHAnsi"/>
          <w:b/>
          <w:bCs/>
          <w:szCs w:val="20"/>
        </w:rPr>
        <w:t>MAMA11</w:t>
      </w:r>
      <w:r w:rsidRPr="009B546D">
        <w:rPr>
          <w:rFonts w:cstheme="minorHAnsi"/>
          <w:szCs w:val="20"/>
        </w:rPr>
        <w:t xml:space="preserve">”), which acquired vending machines. He introduced in-house software and hardware development and implemented real time stock updating systems to the vending machines. Now MAMA11 has become a retail automation specialist and leading vending machine service provider in the retail industry in Asia. He sold MAMA11 in 2017. Recently </w:t>
      </w:r>
      <w:r w:rsidR="00DC38C6" w:rsidRPr="009B546D">
        <w:rPr>
          <w:rFonts w:cstheme="minorHAnsi"/>
          <w:szCs w:val="20"/>
        </w:rPr>
        <w:t>Nicholas</w:t>
      </w:r>
      <w:r w:rsidR="00183F10" w:rsidRPr="009B546D">
        <w:rPr>
          <w:rFonts w:cstheme="minorHAnsi"/>
          <w:szCs w:val="20"/>
        </w:rPr>
        <w:t xml:space="preserve"> </w:t>
      </w:r>
      <w:r w:rsidRPr="009B546D">
        <w:rPr>
          <w:rFonts w:cstheme="minorHAnsi"/>
          <w:szCs w:val="20"/>
        </w:rPr>
        <w:t>has focused on business consultancy where he specialises in retail automation strategy and marketing with an emphasis on leveraging the purchasing power of social media.</w:t>
      </w:r>
    </w:p>
    <w:p w14:paraId="647B691F" w14:textId="55C91897" w:rsidR="009F760B" w:rsidRPr="009B546D" w:rsidRDefault="009F760B" w:rsidP="00F432B9">
      <w:pPr>
        <w:widowControl w:val="0"/>
        <w:spacing w:line="240" w:lineRule="auto"/>
        <w:rPr>
          <w:rFonts w:cstheme="minorHAnsi"/>
          <w:szCs w:val="20"/>
        </w:rPr>
      </w:pPr>
      <w:r w:rsidRPr="009B546D">
        <w:rPr>
          <w:rFonts w:cstheme="minorHAnsi"/>
          <w:szCs w:val="20"/>
        </w:rPr>
        <w:t>Nicholas graduated from the University of Westminster with a Master of Arts in International Business and Management in 2010. He resides in Malaysia.</w:t>
      </w:r>
    </w:p>
    <w:p w14:paraId="5F17A881" w14:textId="77777777" w:rsidR="00D90E1F" w:rsidRPr="009B546D" w:rsidRDefault="00D90E1F" w:rsidP="00F432B9">
      <w:pPr>
        <w:widowControl w:val="0"/>
        <w:spacing w:line="240" w:lineRule="auto"/>
        <w:rPr>
          <w:rFonts w:cstheme="minorHAnsi"/>
          <w:bCs/>
          <w:i/>
          <w:iCs/>
          <w:szCs w:val="20"/>
        </w:rPr>
      </w:pPr>
      <w:r w:rsidRPr="009B546D">
        <w:rPr>
          <w:rFonts w:cstheme="minorHAnsi"/>
          <w:b/>
          <w:szCs w:val="20"/>
        </w:rPr>
        <w:t>Harry Chathli,</w:t>
      </w:r>
      <w:r w:rsidRPr="009B546D">
        <w:rPr>
          <w:rFonts w:cstheme="minorHAnsi"/>
          <w:bCs/>
          <w:i/>
          <w:iCs/>
          <w:szCs w:val="20"/>
        </w:rPr>
        <w:t xml:space="preserve"> Independent Non-Executive Director</w:t>
      </w:r>
    </w:p>
    <w:p w14:paraId="29A835BB" w14:textId="0A5F2468" w:rsidR="00D90E1F" w:rsidRPr="009B546D" w:rsidRDefault="00D90E1F" w:rsidP="00F432B9">
      <w:pPr>
        <w:widowControl w:val="0"/>
        <w:spacing w:line="240" w:lineRule="auto"/>
        <w:rPr>
          <w:rFonts w:cstheme="minorHAnsi"/>
          <w:szCs w:val="20"/>
        </w:rPr>
      </w:pPr>
      <w:r w:rsidRPr="009B546D">
        <w:rPr>
          <w:rFonts w:cstheme="minorHAnsi"/>
          <w:szCs w:val="20"/>
        </w:rPr>
        <w:t xml:space="preserve">Harry is an experienced capital markets specialist with 25 </w:t>
      </w:r>
      <w:r w:rsidR="00A14734" w:rsidRPr="009B546D">
        <w:rPr>
          <w:rFonts w:cstheme="minorHAnsi"/>
          <w:szCs w:val="20"/>
        </w:rPr>
        <w:t>years’ experience</w:t>
      </w:r>
      <w:r w:rsidRPr="009B546D">
        <w:rPr>
          <w:rFonts w:cstheme="minorHAnsi"/>
          <w:szCs w:val="20"/>
        </w:rPr>
        <w:t xml:space="preserve"> in advising global companies, organisations and government agencies. </w:t>
      </w:r>
      <w:r w:rsidR="009B77C2" w:rsidRPr="009B546D">
        <w:rPr>
          <w:rFonts w:cstheme="minorHAnsi"/>
          <w:szCs w:val="20"/>
        </w:rPr>
        <w:t xml:space="preserve">He </w:t>
      </w:r>
      <w:r w:rsidRPr="009B546D">
        <w:rPr>
          <w:rFonts w:cstheme="minorHAnsi"/>
          <w:szCs w:val="20"/>
        </w:rPr>
        <w:t>is a director of Luther Pendragon Ltd, an independent communications consultancy, and a director of a capital markets advisory consultancy, Access Capital Markets. He is also Chairman of Lokcom Networks Ltd, an internet-of-things technology start-up company and a Non-executive Director of Green &amp; Smart Holdings plc, a Malaysian AIM-quoted renewable energy company.</w:t>
      </w:r>
    </w:p>
    <w:p w14:paraId="35220ABF" w14:textId="3BAB33FC" w:rsidR="00D90E1F" w:rsidRPr="009B546D" w:rsidRDefault="00D90E1F" w:rsidP="00F432B9">
      <w:pPr>
        <w:widowControl w:val="0"/>
        <w:spacing w:line="240" w:lineRule="auto"/>
        <w:rPr>
          <w:rFonts w:cstheme="minorHAnsi"/>
          <w:szCs w:val="20"/>
        </w:rPr>
      </w:pPr>
      <w:r w:rsidRPr="009B546D">
        <w:rPr>
          <w:rFonts w:cstheme="minorHAnsi"/>
          <w:szCs w:val="20"/>
        </w:rPr>
        <w:t xml:space="preserve">Over the past 18 years he has advised public companies listed on the London Stock Exchange’s </w:t>
      </w:r>
      <w:r w:rsidR="00134DBB" w:rsidRPr="009B546D">
        <w:rPr>
          <w:rFonts w:cstheme="minorHAnsi"/>
          <w:szCs w:val="20"/>
        </w:rPr>
        <w:t>M</w:t>
      </w:r>
      <w:r w:rsidRPr="009B546D">
        <w:rPr>
          <w:rFonts w:cstheme="minorHAnsi"/>
          <w:szCs w:val="20"/>
        </w:rPr>
        <w:t xml:space="preserve">ain </w:t>
      </w:r>
      <w:r w:rsidR="00134DBB" w:rsidRPr="009B546D">
        <w:rPr>
          <w:rFonts w:cstheme="minorHAnsi"/>
          <w:szCs w:val="20"/>
        </w:rPr>
        <w:t>M</w:t>
      </w:r>
      <w:r w:rsidRPr="009B546D">
        <w:rPr>
          <w:rFonts w:cstheme="minorHAnsi"/>
          <w:szCs w:val="20"/>
        </w:rPr>
        <w:t>arket and quoted on AIM, as well as on NASDAQ and other international bourses. Clients have included Taptica International Ltd, a mobile advertising technology company; Plus500 Ltd, an online service provider for retail customers to trade contracts-for-difference; Eckoh plc</w:t>
      </w:r>
      <w:r w:rsidR="00DC38C6" w:rsidRPr="009B546D">
        <w:rPr>
          <w:rFonts w:cstheme="minorHAnsi"/>
          <w:szCs w:val="20"/>
        </w:rPr>
        <w:t xml:space="preserve"> (now called Tremor Limited) </w:t>
      </w:r>
      <w:r w:rsidRPr="009B546D">
        <w:rPr>
          <w:rFonts w:cstheme="minorHAnsi"/>
          <w:szCs w:val="20"/>
        </w:rPr>
        <w:t>, a global provider of secure payment products and customer contact solutions; and ClearStar Inc, a technology and software-as-a-service provider to the background check industry. He has also worked within Asia, including advising on the IPOs of Malaysian companies Teliti International Ltd, software solutions business, renewable energy businesses MayAir Group plc</w:t>
      </w:r>
      <w:r w:rsidR="004B180C" w:rsidRPr="009B546D">
        <w:rPr>
          <w:rFonts w:cstheme="minorHAnsi"/>
          <w:szCs w:val="20"/>
        </w:rPr>
        <w:t>,</w:t>
      </w:r>
      <w:r w:rsidRPr="009B546D">
        <w:rPr>
          <w:rFonts w:cstheme="minorHAnsi"/>
          <w:szCs w:val="20"/>
        </w:rPr>
        <w:t xml:space="preserve"> and Green &amp; Smart Holdings Ltd.</w:t>
      </w:r>
    </w:p>
    <w:p w14:paraId="7603039F" w14:textId="77FA2D8B" w:rsidR="00D90E1F" w:rsidRPr="009B546D" w:rsidRDefault="00D90E1F" w:rsidP="00F432B9">
      <w:pPr>
        <w:widowControl w:val="0"/>
        <w:spacing w:line="240" w:lineRule="auto"/>
        <w:rPr>
          <w:rFonts w:cstheme="minorHAnsi"/>
          <w:szCs w:val="20"/>
        </w:rPr>
      </w:pPr>
      <w:r w:rsidRPr="009B546D">
        <w:rPr>
          <w:rFonts w:cstheme="minorHAnsi"/>
          <w:szCs w:val="20"/>
        </w:rPr>
        <w:t xml:space="preserve">Harry’s experience includes advising on international </w:t>
      </w:r>
      <w:r w:rsidR="009B77C2" w:rsidRPr="009B546D">
        <w:rPr>
          <w:rFonts w:cstheme="minorHAnsi"/>
          <w:szCs w:val="20"/>
        </w:rPr>
        <w:t>merger &amp; acquisition deals, initial public offerings, management buyouts, crisis communications as well as financial public relation</w:t>
      </w:r>
      <w:r w:rsidR="00134DBB" w:rsidRPr="009B546D">
        <w:rPr>
          <w:rFonts w:cstheme="minorHAnsi"/>
          <w:szCs w:val="20"/>
        </w:rPr>
        <w:t xml:space="preserve"> (PR)</w:t>
      </w:r>
      <w:r w:rsidR="009B77C2" w:rsidRPr="009B546D">
        <w:rPr>
          <w:rFonts w:cstheme="minorHAnsi"/>
          <w:szCs w:val="20"/>
        </w:rPr>
        <w:t>,</w:t>
      </w:r>
      <w:r w:rsidRPr="009B546D">
        <w:rPr>
          <w:rFonts w:cstheme="minorHAnsi"/>
          <w:szCs w:val="20"/>
        </w:rPr>
        <w:t xml:space="preserve"> starting in 1998 at Brunswick Group, a global partnership advising on business critical issues to companies in 14 countries. Prior to that, Harry worked for Adam Smith International, a global advisory and consulting business, with his particular focus being Vietnam. In 2004, he established a financial PR company, Corfin, which was then acquired by Luther Pendragon in 2011. He resides in the UK.</w:t>
      </w:r>
    </w:p>
    <w:p w14:paraId="6CAEDA7A" w14:textId="77777777" w:rsidR="00D90E1F" w:rsidRPr="009B546D" w:rsidRDefault="00D90E1F" w:rsidP="00F432B9">
      <w:pPr>
        <w:pStyle w:val="Heading2"/>
        <w:keepNext w:val="0"/>
        <w:widowControl w:val="0"/>
        <w:spacing w:before="0" w:after="160" w:line="240" w:lineRule="auto"/>
        <w:rPr>
          <w:rFonts w:asciiTheme="minorHAnsi" w:hAnsiTheme="minorHAnsi" w:cstheme="minorHAnsi"/>
          <w:szCs w:val="20"/>
        </w:rPr>
      </w:pPr>
      <w:r w:rsidRPr="009B546D">
        <w:rPr>
          <w:rFonts w:asciiTheme="minorHAnsi" w:hAnsiTheme="minorHAnsi" w:cstheme="minorHAnsi"/>
          <w:szCs w:val="20"/>
        </w:rPr>
        <w:t>The Proposed Director</w:t>
      </w:r>
    </w:p>
    <w:p w14:paraId="0B0073EF" w14:textId="3478FE63" w:rsidR="00D90E1F" w:rsidRPr="009B546D" w:rsidRDefault="00D90E1F" w:rsidP="00F432B9">
      <w:pPr>
        <w:widowControl w:val="0"/>
        <w:spacing w:line="240" w:lineRule="auto"/>
        <w:rPr>
          <w:rFonts w:cstheme="minorHAnsi"/>
          <w:szCs w:val="20"/>
        </w:rPr>
      </w:pPr>
      <w:r w:rsidRPr="009B546D">
        <w:rPr>
          <w:rFonts w:cstheme="minorHAnsi"/>
          <w:szCs w:val="20"/>
        </w:rPr>
        <w:t xml:space="preserve">From Re-Admission, the following director of </w:t>
      </w:r>
      <w:r w:rsidR="00AF0C4A" w:rsidRPr="009B546D">
        <w:rPr>
          <w:rFonts w:cstheme="minorHAnsi"/>
          <w:szCs w:val="20"/>
        </w:rPr>
        <w:t>Alchemist Codes</w:t>
      </w:r>
      <w:r w:rsidRPr="009B546D">
        <w:rPr>
          <w:rFonts w:cstheme="minorHAnsi"/>
          <w:szCs w:val="20"/>
        </w:rPr>
        <w:t xml:space="preserve"> will join the Board of the Enlarged Group: </w:t>
      </w:r>
    </w:p>
    <w:tbl>
      <w:tblPr>
        <w:tblW w:w="5000" w:type="pct"/>
        <w:jc w:val="right"/>
        <w:tblLayout w:type="fixed"/>
        <w:tblCellMar>
          <w:left w:w="0" w:type="dxa"/>
          <w:right w:w="0" w:type="dxa"/>
        </w:tblCellMar>
        <w:tblLook w:val="01E0" w:firstRow="1" w:lastRow="1" w:firstColumn="1" w:lastColumn="1" w:noHBand="0" w:noVBand="0"/>
      </w:tblPr>
      <w:tblGrid>
        <w:gridCol w:w="2694"/>
        <w:gridCol w:w="3260"/>
        <w:gridCol w:w="3072"/>
      </w:tblGrid>
      <w:tr w:rsidR="00D90E1F" w:rsidRPr="009B546D" w14:paraId="2CC687E7" w14:textId="77777777" w:rsidTr="007B5E1A">
        <w:trPr>
          <w:trHeight w:val="273"/>
          <w:jc w:val="right"/>
        </w:trPr>
        <w:tc>
          <w:tcPr>
            <w:tcW w:w="2694" w:type="dxa"/>
          </w:tcPr>
          <w:p w14:paraId="2B6C43CF" w14:textId="77777777" w:rsidR="00D90E1F" w:rsidRPr="009B546D" w:rsidRDefault="00D90E1F" w:rsidP="00F432B9">
            <w:pPr>
              <w:pStyle w:val="TableParagraph"/>
              <w:spacing w:after="160"/>
              <w:ind w:left="69"/>
              <w:jc w:val="both"/>
              <w:rPr>
                <w:rFonts w:asciiTheme="minorHAnsi" w:hAnsiTheme="minorHAnsi" w:cstheme="minorHAnsi"/>
                <w:b/>
                <w:sz w:val="20"/>
                <w:szCs w:val="20"/>
                <w:lang w:val="en-GB"/>
              </w:rPr>
            </w:pPr>
            <w:r w:rsidRPr="009B546D">
              <w:rPr>
                <w:rFonts w:asciiTheme="minorHAnsi" w:hAnsiTheme="minorHAnsi" w:cstheme="minorHAnsi"/>
                <w:b/>
                <w:sz w:val="20"/>
                <w:szCs w:val="20"/>
                <w:lang w:val="en-GB"/>
              </w:rPr>
              <w:t>Name</w:t>
            </w:r>
          </w:p>
        </w:tc>
        <w:tc>
          <w:tcPr>
            <w:tcW w:w="3260" w:type="dxa"/>
          </w:tcPr>
          <w:p w14:paraId="73722793" w14:textId="77777777" w:rsidR="00D90E1F" w:rsidRPr="009B546D" w:rsidRDefault="00D90E1F" w:rsidP="00F432B9">
            <w:pPr>
              <w:pStyle w:val="TableParagraph"/>
              <w:spacing w:after="160"/>
              <w:ind w:left="69"/>
              <w:jc w:val="center"/>
              <w:rPr>
                <w:rFonts w:asciiTheme="minorHAnsi" w:hAnsiTheme="minorHAnsi" w:cstheme="minorHAnsi"/>
                <w:b/>
                <w:sz w:val="20"/>
                <w:szCs w:val="20"/>
                <w:lang w:val="en-GB"/>
              </w:rPr>
            </w:pPr>
            <w:r w:rsidRPr="009B546D">
              <w:rPr>
                <w:rFonts w:asciiTheme="minorHAnsi" w:hAnsiTheme="minorHAnsi" w:cstheme="minorHAnsi"/>
                <w:b/>
                <w:sz w:val="20"/>
                <w:szCs w:val="20"/>
                <w:lang w:val="en-GB"/>
              </w:rPr>
              <w:t>Current Position</w:t>
            </w:r>
          </w:p>
        </w:tc>
        <w:tc>
          <w:tcPr>
            <w:tcW w:w="3072" w:type="dxa"/>
          </w:tcPr>
          <w:p w14:paraId="7D652843" w14:textId="77777777" w:rsidR="00D90E1F" w:rsidRPr="009B546D" w:rsidRDefault="00D90E1F" w:rsidP="00F432B9">
            <w:pPr>
              <w:pStyle w:val="TableParagraph"/>
              <w:spacing w:after="160"/>
              <w:ind w:left="69"/>
              <w:jc w:val="center"/>
              <w:rPr>
                <w:rFonts w:asciiTheme="minorHAnsi" w:hAnsiTheme="minorHAnsi" w:cstheme="minorHAnsi"/>
                <w:b/>
                <w:sz w:val="20"/>
                <w:szCs w:val="20"/>
                <w:lang w:val="en-GB"/>
              </w:rPr>
            </w:pPr>
            <w:r w:rsidRPr="009B546D">
              <w:rPr>
                <w:rFonts w:asciiTheme="minorHAnsi" w:hAnsiTheme="minorHAnsi" w:cstheme="minorHAnsi"/>
                <w:b/>
                <w:sz w:val="20"/>
                <w:szCs w:val="20"/>
                <w:lang w:val="en-GB"/>
              </w:rPr>
              <w:t>Proposed Position</w:t>
            </w:r>
          </w:p>
        </w:tc>
      </w:tr>
      <w:tr w:rsidR="00D90E1F" w:rsidRPr="009B546D" w14:paraId="085CB910" w14:textId="77777777" w:rsidTr="007B5E1A">
        <w:trPr>
          <w:trHeight w:val="316"/>
          <w:jc w:val="right"/>
        </w:trPr>
        <w:tc>
          <w:tcPr>
            <w:tcW w:w="2694" w:type="dxa"/>
          </w:tcPr>
          <w:p w14:paraId="5758829B" w14:textId="77777777" w:rsidR="00D90E1F" w:rsidRPr="009B546D" w:rsidRDefault="00D90E1F" w:rsidP="00F432B9">
            <w:pPr>
              <w:pStyle w:val="TableParagraph"/>
              <w:spacing w:after="160"/>
              <w:ind w:left="69"/>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Charles Yong Kai Yee</w:t>
            </w:r>
          </w:p>
        </w:tc>
        <w:tc>
          <w:tcPr>
            <w:tcW w:w="3260" w:type="dxa"/>
          </w:tcPr>
          <w:p w14:paraId="79975E67" w14:textId="77777777" w:rsidR="00D90E1F" w:rsidRPr="009B546D" w:rsidRDefault="00D90E1F" w:rsidP="00F432B9">
            <w:pPr>
              <w:widowControl w:val="0"/>
              <w:spacing w:line="240" w:lineRule="auto"/>
              <w:jc w:val="center"/>
              <w:rPr>
                <w:rFonts w:cstheme="minorHAnsi"/>
                <w:szCs w:val="20"/>
              </w:rPr>
            </w:pPr>
            <w:r w:rsidRPr="009B546D">
              <w:rPr>
                <w:rFonts w:cstheme="minorHAnsi"/>
                <w:szCs w:val="20"/>
              </w:rPr>
              <w:t>Director of Target</w:t>
            </w:r>
          </w:p>
        </w:tc>
        <w:tc>
          <w:tcPr>
            <w:tcW w:w="3072" w:type="dxa"/>
          </w:tcPr>
          <w:p w14:paraId="3F0D9D6A" w14:textId="77777777" w:rsidR="00D90E1F" w:rsidRPr="009B546D" w:rsidRDefault="00D90E1F" w:rsidP="00F432B9">
            <w:pPr>
              <w:widowControl w:val="0"/>
              <w:spacing w:line="240" w:lineRule="auto"/>
              <w:jc w:val="center"/>
              <w:rPr>
                <w:rFonts w:cstheme="minorHAnsi"/>
                <w:szCs w:val="20"/>
              </w:rPr>
            </w:pPr>
            <w:r w:rsidRPr="009B546D">
              <w:rPr>
                <w:rFonts w:cstheme="minorHAnsi"/>
                <w:szCs w:val="20"/>
              </w:rPr>
              <w:t>Executive Director of the Company</w:t>
            </w:r>
          </w:p>
        </w:tc>
      </w:tr>
    </w:tbl>
    <w:p w14:paraId="68344E36" w14:textId="77777777" w:rsidR="00D90E1F" w:rsidRPr="00EA2BB6" w:rsidRDefault="00D90E1F" w:rsidP="00F432B9">
      <w:pPr>
        <w:widowControl w:val="0"/>
        <w:spacing w:line="240" w:lineRule="auto"/>
        <w:rPr>
          <w:rFonts w:cstheme="minorHAnsi"/>
          <w:sz w:val="18"/>
          <w:szCs w:val="18"/>
        </w:rPr>
      </w:pPr>
      <w:r w:rsidRPr="00EA2BB6">
        <w:rPr>
          <w:rFonts w:cstheme="minorHAnsi"/>
          <w:sz w:val="18"/>
          <w:szCs w:val="18"/>
        </w:rPr>
        <w:t xml:space="preserve">Details of the Proposed Director and his background are as follows: </w:t>
      </w:r>
    </w:p>
    <w:p w14:paraId="63ED5789" w14:textId="77777777" w:rsidR="00782924" w:rsidRDefault="00782924" w:rsidP="00F432B9">
      <w:pPr>
        <w:widowControl w:val="0"/>
        <w:spacing w:line="240" w:lineRule="auto"/>
        <w:rPr>
          <w:rFonts w:cstheme="minorHAnsi"/>
          <w:b/>
          <w:bCs/>
          <w:szCs w:val="20"/>
        </w:rPr>
      </w:pPr>
    </w:p>
    <w:p w14:paraId="39A95EAF" w14:textId="10212DF9" w:rsidR="00D90E1F" w:rsidRPr="009B546D" w:rsidRDefault="00D90E1F" w:rsidP="00F432B9">
      <w:pPr>
        <w:widowControl w:val="0"/>
        <w:spacing w:line="240" w:lineRule="auto"/>
        <w:rPr>
          <w:rFonts w:cstheme="minorHAnsi"/>
          <w:i/>
          <w:iCs/>
          <w:szCs w:val="20"/>
        </w:rPr>
      </w:pPr>
      <w:r w:rsidRPr="009B546D">
        <w:rPr>
          <w:rFonts w:cstheme="minorHAnsi"/>
          <w:b/>
          <w:bCs/>
          <w:szCs w:val="20"/>
        </w:rPr>
        <w:lastRenderedPageBreak/>
        <w:t>Charles Yong Kai Yee,</w:t>
      </w:r>
      <w:r w:rsidRPr="009B546D">
        <w:rPr>
          <w:rFonts w:cstheme="minorHAnsi"/>
          <w:szCs w:val="20"/>
        </w:rPr>
        <w:t xml:space="preserve"> </w:t>
      </w:r>
      <w:r w:rsidRPr="009B546D">
        <w:rPr>
          <w:rFonts w:cstheme="minorHAnsi"/>
          <w:i/>
          <w:iCs/>
          <w:szCs w:val="20"/>
        </w:rPr>
        <w:t>Executive Director</w:t>
      </w:r>
    </w:p>
    <w:p w14:paraId="203F77A1" w14:textId="1058F9D4" w:rsidR="007240E0" w:rsidRPr="009B546D" w:rsidRDefault="004A5D48" w:rsidP="00F432B9">
      <w:pPr>
        <w:spacing w:line="240" w:lineRule="auto"/>
        <w:rPr>
          <w:rFonts w:cstheme="minorHAnsi"/>
        </w:rPr>
      </w:pPr>
      <w:r w:rsidRPr="009B546D">
        <w:rPr>
          <w:rFonts w:cstheme="minorHAnsi"/>
        </w:rPr>
        <w:t xml:space="preserve">Charles Yong Kai Yee is Chief Executive Officer </w:t>
      </w:r>
      <w:r w:rsidR="00EA7F98" w:rsidRPr="009B546D">
        <w:rPr>
          <w:rFonts w:cstheme="minorHAnsi"/>
        </w:rPr>
        <w:t xml:space="preserve">and Founder </w:t>
      </w:r>
      <w:r w:rsidRPr="009B546D">
        <w:rPr>
          <w:rFonts w:cstheme="minorHAnsi"/>
        </w:rPr>
        <w:t>of Alchemist Codes</w:t>
      </w:r>
      <w:r w:rsidR="00EA7F98" w:rsidRPr="009B546D">
        <w:rPr>
          <w:rFonts w:cstheme="minorHAnsi"/>
        </w:rPr>
        <w:t xml:space="preserve">. </w:t>
      </w:r>
      <w:r w:rsidR="002A2FE5" w:rsidRPr="009B546D">
        <w:rPr>
          <w:rFonts w:cstheme="minorHAnsi"/>
        </w:rPr>
        <w:t xml:space="preserve">He </w:t>
      </w:r>
      <w:r w:rsidRPr="009B546D">
        <w:rPr>
          <w:rFonts w:cstheme="minorHAnsi"/>
        </w:rPr>
        <w:t xml:space="preserve">founded </w:t>
      </w:r>
      <w:r w:rsidR="00DC5C6F" w:rsidRPr="009B546D">
        <w:rPr>
          <w:rFonts w:cstheme="minorHAnsi"/>
        </w:rPr>
        <w:t>Alchemist Codes</w:t>
      </w:r>
      <w:r w:rsidR="006B539E" w:rsidRPr="009B546D">
        <w:rPr>
          <w:rFonts w:cstheme="minorHAnsi"/>
        </w:rPr>
        <w:t xml:space="preserve"> i</w:t>
      </w:r>
      <w:r w:rsidRPr="009B546D">
        <w:rPr>
          <w:rFonts w:cstheme="minorHAnsi"/>
        </w:rPr>
        <w:t>n 2018</w:t>
      </w:r>
      <w:r w:rsidR="002A2FE5" w:rsidRPr="009B546D">
        <w:rPr>
          <w:rFonts w:cstheme="minorHAnsi"/>
        </w:rPr>
        <w:t xml:space="preserve"> and </w:t>
      </w:r>
      <w:r w:rsidRPr="009B546D">
        <w:rPr>
          <w:rFonts w:cstheme="minorHAnsi"/>
        </w:rPr>
        <w:t xml:space="preserve">his initial efforts were focused around the development of an enterprise messaging </w:t>
      </w:r>
      <w:r w:rsidR="00D55F24" w:rsidRPr="009B546D">
        <w:rPr>
          <w:rFonts w:cstheme="minorHAnsi"/>
        </w:rPr>
        <w:t>applications</w:t>
      </w:r>
      <w:r w:rsidRPr="009B546D">
        <w:rPr>
          <w:rFonts w:cstheme="minorHAnsi"/>
        </w:rPr>
        <w:t xml:space="preserve"> for corporate users.</w:t>
      </w:r>
      <w:r w:rsidR="00316BA2" w:rsidRPr="009B546D">
        <w:rPr>
          <w:rFonts w:cstheme="minorHAnsi"/>
        </w:rPr>
        <w:t xml:space="preserve"> Prior to founding Alchemist Codes</w:t>
      </w:r>
      <w:r w:rsidRPr="009B546D">
        <w:rPr>
          <w:rFonts w:cstheme="minorHAnsi"/>
        </w:rPr>
        <w:t xml:space="preserve">, </w:t>
      </w:r>
      <w:r w:rsidR="00316BA2" w:rsidRPr="009B546D">
        <w:rPr>
          <w:rFonts w:cstheme="minorHAnsi"/>
        </w:rPr>
        <w:t>Charles</w:t>
      </w:r>
      <w:r w:rsidRPr="009B546D">
        <w:rPr>
          <w:rFonts w:cstheme="minorHAnsi"/>
        </w:rPr>
        <w:t xml:space="preserve"> was the lead developer of MM intelligence technology Sdn Bhd</w:t>
      </w:r>
      <w:r w:rsidR="00316BA2" w:rsidRPr="009B546D">
        <w:rPr>
          <w:rFonts w:cstheme="minorHAnsi"/>
        </w:rPr>
        <w:t xml:space="preserve"> where </w:t>
      </w:r>
      <w:r w:rsidRPr="009B546D">
        <w:rPr>
          <w:rFonts w:cstheme="minorHAnsi"/>
        </w:rPr>
        <w:t>he headed a CMS system project and was responsible for managing and leading team of mobile and backend developers and performing Research &amp; Development on related new technologies</w:t>
      </w:r>
      <w:r w:rsidR="00DC5C6F" w:rsidRPr="009B546D">
        <w:rPr>
          <w:rFonts w:cstheme="minorHAnsi"/>
        </w:rPr>
        <w:t xml:space="preserve">. </w:t>
      </w:r>
      <w:r w:rsidRPr="009B546D">
        <w:rPr>
          <w:rFonts w:cstheme="minorHAnsi"/>
        </w:rPr>
        <w:t xml:space="preserve">In 2012, Charles was the Senior Design Engineer </w:t>
      </w:r>
      <w:r w:rsidR="002A2FE5" w:rsidRPr="009B546D">
        <w:rPr>
          <w:rFonts w:cstheme="minorHAnsi"/>
        </w:rPr>
        <w:t>at</w:t>
      </w:r>
      <w:r w:rsidRPr="009B546D">
        <w:rPr>
          <w:rFonts w:cstheme="minorHAnsi"/>
        </w:rPr>
        <w:t xml:space="preserve"> Itrimech Technology (M) Sdn Bhd</w:t>
      </w:r>
      <w:r w:rsidR="00316BA2" w:rsidRPr="009B546D">
        <w:rPr>
          <w:rFonts w:cstheme="minorHAnsi"/>
        </w:rPr>
        <w:t xml:space="preserve"> where he was</w:t>
      </w:r>
      <w:r w:rsidRPr="009B546D">
        <w:rPr>
          <w:rFonts w:cstheme="minorHAnsi"/>
        </w:rPr>
        <w:t xml:space="preserve"> actively involved in leading and delivering large scale I</w:t>
      </w:r>
      <w:r w:rsidR="00184AEC" w:rsidRPr="009B546D">
        <w:rPr>
          <w:rFonts w:cstheme="minorHAnsi"/>
        </w:rPr>
        <w:t>nternet of Things (IOT)</w:t>
      </w:r>
      <w:r w:rsidRPr="009B546D">
        <w:rPr>
          <w:rFonts w:cstheme="minorHAnsi"/>
        </w:rPr>
        <w:t xml:space="preserve"> applications for multiple </w:t>
      </w:r>
      <w:r w:rsidR="00316BA2" w:rsidRPr="009B546D">
        <w:rPr>
          <w:rFonts w:cstheme="minorHAnsi"/>
        </w:rPr>
        <w:t>institutes and corporations</w:t>
      </w:r>
      <w:r w:rsidRPr="009B546D">
        <w:rPr>
          <w:rFonts w:cstheme="minorHAnsi"/>
        </w:rPr>
        <w:t xml:space="preserve"> in Malaysia </w:t>
      </w:r>
      <w:r w:rsidR="002A2FE5" w:rsidRPr="009B546D">
        <w:rPr>
          <w:rFonts w:cstheme="minorHAnsi"/>
        </w:rPr>
        <w:t>including</w:t>
      </w:r>
      <w:r w:rsidRPr="009B546D">
        <w:rPr>
          <w:rFonts w:cstheme="minorHAnsi"/>
        </w:rPr>
        <w:t xml:space="preserve"> Taylor University and Sunway Group.</w:t>
      </w:r>
      <w:r w:rsidR="00DC5C6F" w:rsidRPr="009B546D">
        <w:rPr>
          <w:rFonts w:cstheme="minorHAnsi"/>
        </w:rPr>
        <w:t xml:space="preserve"> </w:t>
      </w:r>
      <w:r w:rsidRPr="009B546D">
        <w:rPr>
          <w:rFonts w:cstheme="minorHAnsi"/>
        </w:rPr>
        <w:t>Charles</w:t>
      </w:r>
      <w:r w:rsidR="00375B8A" w:rsidRPr="009B546D">
        <w:rPr>
          <w:rFonts w:cstheme="minorHAnsi"/>
        </w:rPr>
        <w:t xml:space="preserve"> obtained a </w:t>
      </w:r>
      <w:r w:rsidR="001424F8" w:rsidRPr="009B546D">
        <w:rPr>
          <w:rFonts w:cstheme="minorHAnsi"/>
        </w:rPr>
        <w:t>Bachelors in Engineering</w:t>
      </w:r>
      <w:r w:rsidR="00375B8A" w:rsidRPr="009B546D">
        <w:rPr>
          <w:rFonts w:cstheme="minorHAnsi"/>
        </w:rPr>
        <w:t xml:space="preserve"> with First Class Honours in Electrical Engineering</w:t>
      </w:r>
      <w:r w:rsidRPr="009B546D">
        <w:rPr>
          <w:rFonts w:cstheme="minorHAnsi"/>
        </w:rPr>
        <w:t xml:space="preserve"> from</w:t>
      </w:r>
      <w:r w:rsidR="00375B8A" w:rsidRPr="009B546D">
        <w:rPr>
          <w:rFonts w:cstheme="minorHAnsi"/>
        </w:rPr>
        <w:t xml:space="preserve"> the</w:t>
      </w:r>
      <w:r w:rsidRPr="009B546D">
        <w:rPr>
          <w:rFonts w:cstheme="minorHAnsi"/>
        </w:rPr>
        <w:t xml:space="preserve"> University of Bradford</w:t>
      </w:r>
      <w:r w:rsidR="00375B8A" w:rsidRPr="009B546D">
        <w:rPr>
          <w:rFonts w:cstheme="minorHAnsi"/>
        </w:rPr>
        <w:t>, UK</w:t>
      </w:r>
      <w:r w:rsidR="007240E0" w:rsidRPr="009B546D">
        <w:rPr>
          <w:rFonts w:cstheme="minorHAnsi"/>
        </w:rPr>
        <w:t>.</w:t>
      </w:r>
    </w:p>
    <w:p w14:paraId="380E42D8" w14:textId="4083ED9D" w:rsidR="00D90E1F" w:rsidRPr="009B546D" w:rsidRDefault="00D90E1F" w:rsidP="00F432B9">
      <w:pPr>
        <w:spacing w:line="240" w:lineRule="auto"/>
        <w:rPr>
          <w:rFonts w:cstheme="minorHAnsi"/>
          <w:szCs w:val="20"/>
        </w:rPr>
      </w:pPr>
      <w:r w:rsidRPr="009B546D">
        <w:rPr>
          <w:rFonts w:cstheme="minorHAnsi"/>
          <w:szCs w:val="20"/>
        </w:rPr>
        <w:t>Senior Management</w:t>
      </w:r>
      <w:r w:rsidR="004535FF" w:rsidRPr="009B546D">
        <w:rPr>
          <w:rFonts w:cstheme="minorHAnsi"/>
          <w:szCs w:val="20"/>
        </w:rPr>
        <w:t xml:space="preserve"> of Alchemist</w:t>
      </w:r>
    </w:p>
    <w:p w14:paraId="78FC6D29" w14:textId="1B71D98F" w:rsidR="00D90E1F" w:rsidRPr="009B546D" w:rsidRDefault="00D90E1F" w:rsidP="00F432B9">
      <w:pPr>
        <w:widowControl w:val="0"/>
        <w:spacing w:line="240" w:lineRule="auto"/>
        <w:rPr>
          <w:rFonts w:cstheme="minorHAnsi"/>
          <w:szCs w:val="20"/>
        </w:rPr>
      </w:pPr>
      <w:r w:rsidRPr="009B546D">
        <w:rPr>
          <w:rFonts w:cstheme="minorHAnsi"/>
          <w:szCs w:val="20"/>
        </w:rPr>
        <w:t xml:space="preserve">In addition to the Existing Directors and the Proposed Director, the following persons are considered relevant to establishing that the </w:t>
      </w:r>
      <w:r w:rsidR="004535FF" w:rsidRPr="009B546D">
        <w:rPr>
          <w:rFonts w:cstheme="minorHAnsi"/>
          <w:szCs w:val="20"/>
        </w:rPr>
        <w:t>Enlarged Group</w:t>
      </w:r>
      <w:r w:rsidRPr="009B546D">
        <w:rPr>
          <w:rFonts w:cstheme="minorHAnsi"/>
          <w:szCs w:val="20"/>
        </w:rPr>
        <w:t xml:space="preserve"> has the appropriate expertise and experience for the management of the business</w:t>
      </w:r>
      <w:r w:rsidR="008E190E" w:rsidRPr="009B546D">
        <w:rPr>
          <w:rFonts w:cstheme="minorHAnsi"/>
          <w:szCs w:val="20"/>
        </w:rPr>
        <w:t xml:space="preserve">. </w:t>
      </w:r>
      <w:r w:rsidRPr="009B546D">
        <w:rPr>
          <w:rFonts w:cstheme="minorHAnsi"/>
          <w:szCs w:val="20"/>
        </w:rPr>
        <w:t>Details of the Senior Management and their backgrounds are as follows:</w:t>
      </w:r>
    </w:p>
    <w:p w14:paraId="02946C89" w14:textId="5DFEF8E7" w:rsidR="00267836" w:rsidRPr="009B546D" w:rsidRDefault="00267836" w:rsidP="00F432B9">
      <w:pPr>
        <w:spacing w:line="240" w:lineRule="auto"/>
        <w:rPr>
          <w:rFonts w:cstheme="minorHAnsi"/>
          <w:b/>
          <w:bCs/>
        </w:rPr>
      </w:pPr>
      <w:r w:rsidRPr="009B546D">
        <w:rPr>
          <w:rFonts w:cstheme="minorHAnsi"/>
          <w:b/>
          <w:bCs/>
        </w:rPr>
        <w:t>Chau Hut Lim</w:t>
      </w:r>
      <w:r w:rsidR="00376269" w:rsidRPr="009B546D">
        <w:rPr>
          <w:rFonts w:cstheme="minorHAnsi"/>
          <w:b/>
          <w:bCs/>
        </w:rPr>
        <w:t xml:space="preserve">, </w:t>
      </w:r>
      <w:r w:rsidR="00376269" w:rsidRPr="009B546D">
        <w:rPr>
          <w:rFonts w:cstheme="minorHAnsi"/>
          <w:i/>
          <w:iCs/>
          <w:szCs w:val="20"/>
        </w:rPr>
        <w:t>Chief Technical Officer</w:t>
      </w:r>
    </w:p>
    <w:p w14:paraId="75F39115" w14:textId="7E5F2C9F" w:rsidR="00267836" w:rsidRPr="009B546D" w:rsidRDefault="00267836" w:rsidP="00F432B9">
      <w:pPr>
        <w:spacing w:line="240" w:lineRule="auto"/>
        <w:rPr>
          <w:rFonts w:cstheme="minorHAnsi"/>
        </w:rPr>
      </w:pPr>
      <w:r w:rsidRPr="009B546D">
        <w:rPr>
          <w:rFonts w:cstheme="minorHAnsi"/>
        </w:rPr>
        <w:t xml:space="preserve">Chau Hut Lim oversees the technical operations and development of the </w:t>
      </w:r>
      <w:r w:rsidR="00376269" w:rsidRPr="009B546D">
        <w:rPr>
          <w:rFonts w:cstheme="minorHAnsi"/>
        </w:rPr>
        <w:t>Alchemist</w:t>
      </w:r>
      <w:r w:rsidR="00000E8D" w:rsidRPr="009B546D">
        <w:rPr>
          <w:rFonts w:cstheme="minorHAnsi"/>
        </w:rPr>
        <w:t xml:space="preserve"> Codes</w:t>
      </w:r>
      <w:r w:rsidR="00CA0EBC" w:rsidRPr="009B546D">
        <w:rPr>
          <w:rFonts w:cstheme="minorHAnsi"/>
        </w:rPr>
        <w:t>’</w:t>
      </w:r>
      <w:r w:rsidR="00376269" w:rsidRPr="009B546D">
        <w:rPr>
          <w:rFonts w:cstheme="minorHAnsi"/>
        </w:rPr>
        <w:t xml:space="preserve"> platforms</w:t>
      </w:r>
      <w:r w:rsidRPr="009B546D">
        <w:rPr>
          <w:rFonts w:cstheme="minorHAnsi"/>
        </w:rPr>
        <w:t xml:space="preserve">. He has over 10 years of experience in the software engineering and software development with focus on the </w:t>
      </w:r>
      <w:r w:rsidR="00CA0EBC" w:rsidRPr="009B546D">
        <w:rPr>
          <w:rFonts w:cstheme="minorHAnsi"/>
        </w:rPr>
        <w:t>e-commerce</w:t>
      </w:r>
      <w:r w:rsidR="00376269" w:rsidRPr="009B546D">
        <w:rPr>
          <w:rFonts w:cstheme="minorHAnsi"/>
        </w:rPr>
        <w:t xml:space="preserve"> and </w:t>
      </w:r>
      <w:r w:rsidRPr="009B546D">
        <w:rPr>
          <w:rFonts w:cstheme="minorHAnsi"/>
        </w:rPr>
        <w:t xml:space="preserve">affiliate marketing industry. </w:t>
      </w:r>
      <w:r w:rsidR="00376269" w:rsidRPr="009B546D">
        <w:rPr>
          <w:rFonts w:cstheme="minorHAnsi"/>
        </w:rPr>
        <w:t>Prior to joining Alchemist Codes, he</w:t>
      </w:r>
      <w:r w:rsidRPr="009B546D">
        <w:rPr>
          <w:rFonts w:cstheme="minorHAnsi"/>
        </w:rPr>
        <w:t xml:space="preserve"> became the head of IT at AIO Synergy Holdings Berhad in 2014, during this period he also headed the development of a smart community </w:t>
      </w:r>
      <w:r w:rsidR="00D55F24" w:rsidRPr="009B546D">
        <w:rPr>
          <w:rFonts w:cstheme="minorHAnsi"/>
        </w:rPr>
        <w:t>applications</w:t>
      </w:r>
      <w:r w:rsidRPr="009B546D">
        <w:rPr>
          <w:rFonts w:cstheme="minorHAnsi"/>
        </w:rPr>
        <w:t xml:space="preserve">, Omnity, a social messaging </w:t>
      </w:r>
      <w:r w:rsidR="00D55F24" w:rsidRPr="009B546D">
        <w:rPr>
          <w:rFonts w:cstheme="minorHAnsi"/>
        </w:rPr>
        <w:t>applications</w:t>
      </w:r>
      <w:r w:rsidRPr="009B546D">
        <w:rPr>
          <w:rFonts w:cstheme="minorHAnsi"/>
        </w:rPr>
        <w:t xml:space="preserve">, </w:t>
      </w:r>
      <w:r w:rsidR="00DB11F6" w:rsidRPr="009B546D">
        <w:rPr>
          <w:rFonts w:cstheme="minorHAnsi"/>
        </w:rPr>
        <w:t>Omnichat and</w:t>
      </w:r>
      <w:r w:rsidRPr="009B546D">
        <w:rPr>
          <w:rFonts w:cstheme="minorHAnsi"/>
        </w:rPr>
        <w:t xml:space="preserve"> assisted in the development on an </w:t>
      </w:r>
      <w:r w:rsidR="00CA0EBC" w:rsidRPr="009B546D">
        <w:rPr>
          <w:rFonts w:cstheme="minorHAnsi"/>
        </w:rPr>
        <w:t>e-commerce</w:t>
      </w:r>
      <w:r w:rsidR="00376269" w:rsidRPr="009B546D">
        <w:rPr>
          <w:rFonts w:cstheme="minorHAnsi"/>
        </w:rPr>
        <w:t xml:space="preserve"> and marketing </w:t>
      </w:r>
      <w:r w:rsidRPr="009B546D">
        <w:rPr>
          <w:rFonts w:cstheme="minorHAnsi"/>
        </w:rPr>
        <w:t>affiliate system. In 2008, Chau was a Senior Software Engineer at CIS IT Solutions Sdn Bhd, where he mainly provided service to the financial, manufacturing and telecommunications industr</w:t>
      </w:r>
      <w:r w:rsidR="00F27209" w:rsidRPr="009B546D">
        <w:rPr>
          <w:rFonts w:cstheme="minorHAnsi"/>
        </w:rPr>
        <w:t>ies</w:t>
      </w:r>
      <w:r w:rsidRPr="009B546D">
        <w:rPr>
          <w:rFonts w:cstheme="minorHAnsi"/>
        </w:rPr>
        <w:t>. Chau</w:t>
      </w:r>
      <w:r w:rsidR="00FE7C28" w:rsidRPr="009B546D">
        <w:rPr>
          <w:rFonts w:cstheme="minorHAnsi"/>
        </w:rPr>
        <w:t xml:space="preserve">’s skills </w:t>
      </w:r>
      <w:r w:rsidR="00E516B4" w:rsidRPr="009B546D">
        <w:rPr>
          <w:rFonts w:cstheme="minorHAnsi"/>
        </w:rPr>
        <w:t>include</w:t>
      </w:r>
      <w:r w:rsidRPr="009B546D">
        <w:rPr>
          <w:rFonts w:cstheme="minorHAnsi"/>
        </w:rPr>
        <w:t xml:space="preserve"> web programming </w:t>
      </w:r>
      <w:r w:rsidR="00951856" w:rsidRPr="009B546D">
        <w:rPr>
          <w:rFonts w:cstheme="minorHAnsi"/>
        </w:rPr>
        <w:t>such as</w:t>
      </w:r>
      <w:r w:rsidRPr="009B546D">
        <w:rPr>
          <w:rFonts w:cstheme="minorHAnsi"/>
        </w:rPr>
        <w:t xml:space="preserve"> PHP, CSS3 and MongoDB. </w:t>
      </w:r>
      <w:r w:rsidR="00E516B4" w:rsidRPr="009B546D">
        <w:rPr>
          <w:rFonts w:cstheme="minorHAnsi"/>
        </w:rPr>
        <w:t xml:space="preserve">In addition, Chau has knowledge of </w:t>
      </w:r>
      <w:r w:rsidRPr="009B546D">
        <w:rPr>
          <w:rFonts w:cstheme="minorHAnsi"/>
        </w:rPr>
        <w:t>A</w:t>
      </w:r>
      <w:r w:rsidR="00951856" w:rsidRPr="009B546D">
        <w:rPr>
          <w:rFonts w:cstheme="minorHAnsi"/>
        </w:rPr>
        <w:t>WS</w:t>
      </w:r>
      <w:r w:rsidRPr="009B546D">
        <w:rPr>
          <w:rFonts w:cstheme="minorHAnsi"/>
        </w:rPr>
        <w:t xml:space="preserve"> services </w:t>
      </w:r>
      <w:r w:rsidR="00C47036" w:rsidRPr="009B546D">
        <w:rPr>
          <w:rFonts w:cstheme="minorHAnsi"/>
        </w:rPr>
        <w:t>such as</w:t>
      </w:r>
      <w:r w:rsidRPr="009B546D">
        <w:rPr>
          <w:rFonts w:cstheme="minorHAnsi"/>
        </w:rPr>
        <w:t xml:space="preserve"> machine learning including Amazon Forecast, Amazon Personalize, Amazon SageMaker and others </w:t>
      </w:r>
      <w:r w:rsidR="00146324" w:rsidRPr="009B546D">
        <w:rPr>
          <w:rFonts w:cstheme="minorHAnsi"/>
        </w:rPr>
        <w:t>such as</w:t>
      </w:r>
      <w:r w:rsidRPr="009B546D">
        <w:rPr>
          <w:rFonts w:cstheme="minorHAnsi"/>
        </w:rPr>
        <w:t xml:space="preserve"> Amazon EC2, Amazon Lambda, Amazon Shield, Amazon Inspector. Chau obtained </w:t>
      </w:r>
      <w:r w:rsidR="000731D7" w:rsidRPr="009B546D">
        <w:rPr>
          <w:rFonts w:cstheme="minorHAnsi"/>
        </w:rPr>
        <w:t>a Bachelors in Science in I</w:t>
      </w:r>
      <w:r w:rsidRPr="009B546D">
        <w:rPr>
          <w:rFonts w:cstheme="minorHAnsi"/>
        </w:rPr>
        <w:t xml:space="preserve">nformation </w:t>
      </w:r>
      <w:r w:rsidR="000731D7" w:rsidRPr="009B546D">
        <w:rPr>
          <w:rFonts w:cstheme="minorHAnsi"/>
        </w:rPr>
        <w:t>S</w:t>
      </w:r>
      <w:r w:rsidRPr="009B546D">
        <w:rPr>
          <w:rFonts w:cstheme="minorHAnsi"/>
        </w:rPr>
        <w:t xml:space="preserve">ystem </w:t>
      </w:r>
      <w:r w:rsidR="000731D7" w:rsidRPr="009B546D">
        <w:rPr>
          <w:rFonts w:cstheme="minorHAnsi"/>
        </w:rPr>
        <w:t>E</w:t>
      </w:r>
      <w:r w:rsidRPr="009B546D">
        <w:rPr>
          <w:rFonts w:cstheme="minorHAnsi"/>
        </w:rPr>
        <w:t xml:space="preserve">ngineering </w:t>
      </w:r>
      <w:r w:rsidR="000731D7" w:rsidRPr="009B546D">
        <w:rPr>
          <w:rFonts w:cstheme="minorHAnsi"/>
        </w:rPr>
        <w:t>from the</w:t>
      </w:r>
      <w:r w:rsidRPr="009B546D">
        <w:rPr>
          <w:rFonts w:cstheme="minorHAnsi"/>
        </w:rPr>
        <w:t xml:space="preserve"> University Tunku Abdul Rahman</w:t>
      </w:r>
      <w:r w:rsidR="000731D7" w:rsidRPr="009B546D">
        <w:rPr>
          <w:rFonts w:cstheme="minorHAnsi"/>
        </w:rPr>
        <w:t xml:space="preserve">, </w:t>
      </w:r>
      <w:r w:rsidRPr="009B546D">
        <w:rPr>
          <w:rFonts w:cstheme="minorHAnsi"/>
        </w:rPr>
        <w:t>Malaysia</w:t>
      </w:r>
      <w:r w:rsidR="000731D7" w:rsidRPr="009B546D">
        <w:rPr>
          <w:rFonts w:cstheme="minorHAnsi"/>
        </w:rPr>
        <w:t>.</w:t>
      </w:r>
    </w:p>
    <w:p w14:paraId="3761371F" w14:textId="1C6A1116" w:rsidR="004535FF" w:rsidRPr="009B546D" w:rsidRDefault="004535FF" w:rsidP="00F432B9">
      <w:pPr>
        <w:spacing w:after="120" w:line="240" w:lineRule="auto"/>
        <w:rPr>
          <w:rFonts w:cstheme="minorHAnsi"/>
          <w:b/>
          <w:bCs/>
        </w:rPr>
      </w:pPr>
      <w:r w:rsidRPr="009B546D">
        <w:rPr>
          <w:rFonts w:cstheme="minorHAnsi"/>
          <w:b/>
          <w:bCs/>
        </w:rPr>
        <w:t>Ricardo Li</w:t>
      </w:r>
      <w:r w:rsidR="00941B8D" w:rsidRPr="009B546D">
        <w:rPr>
          <w:rFonts w:cstheme="minorHAnsi"/>
          <w:b/>
          <w:bCs/>
        </w:rPr>
        <w:t xml:space="preserve">, </w:t>
      </w:r>
      <w:r w:rsidR="00941B8D" w:rsidRPr="009B546D">
        <w:rPr>
          <w:rFonts w:cstheme="minorHAnsi"/>
          <w:i/>
          <w:iCs/>
          <w:szCs w:val="20"/>
        </w:rPr>
        <w:t xml:space="preserve">Chief Operating </w:t>
      </w:r>
      <w:r w:rsidR="00770D97" w:rsidRPr="009B546D">
        <w:rPr>
          <w:rFonts w:cstheme="minorHAnsi"/>
          <w:i/>
          <w:iCs/>
          <w:szCs w:val="20"/>
        </w:rPr>
        <w:t>Officer</w:t>
      </w:r>
    </w:p>
    <w:p w14:paraId="49E7976B" w14:textId="243FC5A0" w:rsidR="004535FF" w:rsidRPr="009B546D" w:rsidRDefault="004535FF" w:rsidP="00F432B9">
      <w:pPr>
        <w:spacing w:after="120" w:line="240" w:lineRule="auto"/>
        <w:rPr>
          <w:rFonts w:cstheme="minorHAnsi"/>
        </w:rPr>
      </w:pPr>
      <w:r w:rsidRPr="009B546D">
        <w:rPr>
          <w:rFonts w:cstheme="minorHAnsi"/>
        </w:rPr>
        <w:t xml:space="preserve">Ricardo Li </w:t>
      </w:r>
      <w:r w:rsidR="00EC1CC3" w:rsidRPr="009B546D">
        <w:rPr>
          <w:rFonts w:cstheme="minorHAnsi"/>
        </w:rPr>
        <w:t>oversees</w:t>
      </w:r>
      <w:r w:rsidR="00D605A3" w:rsidRPr="009B546D">
        <w:rPr>
          <w:rFonts w:cstheme="minorHAnsi"/>
        </w:rPr>
        <w:t xml:space="preserve"> business development and marketing of Alchemist Codes as well as the domestic and international expansion plans. Prior to joining Alchemist Codes, Ricardo </w:t>
      </w:r>
      <w:r w:rsidRPr="009B546D">
        <w:rPr>
          <w:rFonts w:cstheme="minorHAnsi"/>
        </w:rPr>
        <w:t xml:space="preserve">was the </w:t>
      </w:r>
      <w:r w:rsidR="00D605A3" w:rsidRPr="009B546D">
        <w:rPr>
          <w:rFonts w:cstheme="minorHAnsi"/>
        </w:rPr>
        <w:t>COO</w:t>
      </w:r>
      <w:r w:rsidRPr="009B546D">
        <w:rPr>
          <w:rFonts w:cstheme="minorHAnsi"/>
        </w:rPr>
        <w:t xml:space="preserve"> of eBay South China, he created a brand-new business development system for the Chin</w:t>
      </w:r>
      <w:r w:rsidR="007F4867" w:rsidRPr="009B546D">
        <w:rPr>
          <w:rFonts w:cstheme="minorHAnsi"/>
        </w:rPr>
        <w:t>ese</w:t>
      </w:r>
      <w:r w:rsidRPr="009B546D">
        <w:rPr>
          <w:rFonts w:cstheme="minorHAnsi"/>
        </w:rPr>
        <w:t xml:space="preserve"> market</w:t>
      </w:r>
      <w:r w:rsidR="007F4867" w:rsidRPr="009B546D">
        <w:rPr>
          <w:rFonts w:cstheme="minorHAnsi"/>
        </w:rPr>
        <w:t xml:space="preserve"> which was subsequently widely used across Asia. </w:t>
      </w:r>
      <w:r w:rsidR="00B6194A" w:rsidRPr="009B546D">
        <w:rPr>
          <w:rFonts w:cstheme="minorHAnsi"/>
        </w:rPr>
        <w:t>In 200</w:t>
      </w:r>
      <w:r w:rsidR="000C2BAE" w:rsidRPr="009B546D">
        <w:rPr>
          <w:rFonts w:cstheme="minorHAnsi"/>
        </w:rPr>
        <w:t>3, Ricardo joined</w:t>
      </w:r>
      <w:r w:rsidRPr="009B546D">
        <w:rPr>
          <w:rFonts w:cstheme="minorHAnsi"/>
        </w:rPr>
        <w:t xml:space="preserve"> CPCNet </w:t>
      </w:r>
      <w:r w:rsidR="000C2BAE" w:rsidRPr="009B546D">
        <w:rPr>
          <w:rFonts w:cstheme="minorHAnsi"/>
        </w:rPr>
        <w:t xml:space="preserve">as a </w:t>
      </w:r>
      <w:r w:rsidRPr="009B546D">
        <w:rPr>
          <w:rFonts w:cstheme="minorHAnsi"/>
        </w:rPr>
        <w:t xml:space="preserve">Senior Sales Manager of Guangzhou business unit and was promoted as Sales </w:t>
      </w:r>
      <w:r w:rsidR="007A5DC6" w:rsidRPr="009B546D">
        <w:rPr>
          <w:rFonts w:cstheme="minorHAnsi"/>
        </w:rPr>
        <w:t>Director in</w:t>
      </w:r>
      <w:r w:rsidRPr="009B546D">
        <w:rPr>
          <w:rFonts w:cstheme="minorHAnsi"/>
        </w:rPr>
        <w:t xml:space="preserve"> January 2007</w:t>
      </w:r>
      <w:r w:rsidR="007A5DC6" w:rsidRPr="009B546D">
        <w:rPr>
          <w:rFonts w:cstheme="minorHAnsi"/>
        </w:rPr>
        <w:t xml:space="preserve">. Ricardo </w:t>
      </w:r>
      <w:r w:rsidRPr="009B546D">
        <w:rPr>
          <w:rFonts w:cstheme="minorHAnsi"/>
        </w:rPr>
        <w:t>supervis</w:t>
      </w:r>
      <w:r w:rsidR="007A5DC6" w:rsidRPr="009B546D">
        <w:rPr>
          <w:rFonts w:cstheme="minorHAnsi"/>
        </w:rPr>
        <w:t>ed</w:t>
      </w:r>
      <w:r w:rsidRPr="009B546D">
        <w:rPr>
          <w:rFonts w:cstheme="minorHAnsi"/>
        </w:rPr>
        <w:t xml:space="preserve"> sales teams in both North China and East China</w:t>
      </w:r>
      <w:r w:rsidR="007A5DC6" w:rsidRPr="009B546D">
        <w:rPr>
          <w:rFonts w:cstheme="minorHAnsi"/>
        </w:rPr>
        <w:t xml:space="preserve"> and</w:t>
      </w:r>
      <w:r w:rsidRPr="009B546D">
        <w:rPr>
          <w:rFonts w:cstheme="minorHAnsi"/>
        </w:rPr>
        <w:t xml:space="preserve"> </w:t>
      </w:r>
      <w:r w:rsidR="007A5DC6" w:rsidRPr="009B546D">
        <w:rPr>
          <w:rFonts w:cstheme="minorHAnsi"/>
        </w:rPr>
        <w:t>he was</w:t>
      </w:r>
      <w:r w:rsidRPr="009B546D">
        <w:rPr>
          <w:rFonts w:cstheme="minorHAnsi"/>
        </w:rPr>
        <w:t xml:space="preserve"> responsible for creating a customer service system and a CRM system. </w:t>
      </w:r>
      <w:r w:rsidR="007A5DC6" w:rsidRPr="009B546D">
        <w:rPr>
          <w:rFonts w:cstheme="minorHAnsi"/>
        </w:rPr>
        <w:t>At CPCNet, Ricardo has</w:t>
      </w:r>
      <w:r w:rsidRPr="009B546D">
        <w:rPr>
          <w:rFonts w:cstheme="minorHAnsi"/>
        </w:rPr>
        <w:t xml:space="preserve"> also provided consultation services for </w:t>
      </w:r>
      <w:r w:rsidR="00BA7B7A" w:rsidRPr="009B546D">
        <w:rPr>
          <w:rFonts w:cstheme="minorHAnsi"/>
        </w:rPr>
        <w:t>start-up</w:t>
      </w:r>
      <w:r w:rsidRPr="009B546D">
        <w:rPr>
          <w:rFonts w:cstheme="minorHAnsi"/>
        </w:rPr>
        <w:t xml:space="preserve"> company Peng Pai</w:t>
      </w:r>
      <w:r w:rsidR="007A5DC6" w:rsidRPr="009B546D">
        <w:rPr>
          <w:rFonts w:cstheme="minorHAnsi"/>
        </w:rPr>
        <w:t xml:space="preserve"> where </w:t>
      </w:r>
      <w:r w:rsidRPr="009B546D">
        <w:rPr>
          <w:rFonts w:cstheme="minorHAnsi"/>
        </w:rPr>
        <w:t xml:space="preserve">he assisted in setting up a strategy plan and marketing plan. He successfully </w:t>
      </w:r>
      <w:r w:rsidR="007A5DC6" w:rsidRPr="009B546D">
        <w:rPr>
          <w:rFonts w:cstheme="minorHAnsi"/>
        </w:rPr>
        <w:t xml:space="preserve">helped Peng Pai </w:t>
      </w:r>
      <w:r w:rsidR="00A73B1F" w:rsidRPr="009B546D">
        <w:rPr>
          <w:rFonts w:cstheme="minorHAnsi"/>
        </w:rPr>
        <w:t xml:space="preserve">expand into overseas markets </w:t>
      </w:r>
      <w:r w:rsidR="004D3567" w:rsidRPr="009B546D">
        <w:rPr>
          <w:rFonts w:cstheme="minorHAnsi"/>
        </w:rPr>
        <w:t>and set</w:t>
      </w:r>
      <w:r w:rsidR="007A5DC6" w:rsidRPr="009B546D">
        <w:rPr>
          <w:rFonts w:cstheme="minorHAnsi"/>
        </w:rPr>
        <w:t xml:space="preserve"> up cross border </w:t>
      </w:r>
      <w:r w:rsidR="004D3567" w:rsidRPr="009B546D">
        <w:rPr>
          <w:rFonts w:cstheme="minorHAnsi"/>
        </w:rPr>
        <w:t>platform</w:t>
      </w:r>
      <w:r w:rsidRPr="009B546D">
        <w:rPr>
          <w:rFonts w:cstheme="minorHAnsi"/>
        </w:rPr>
        <w:t xml:space="preserve">. He has helped many </w:t>
      </w:r>
      <w:r w:rsidR="004D3567" w:rsidRPr="009B546D">
        <w:rPr>
          <w:rFonts w:cstheme="minorHAnsi"/>
        </w:rPr>
        <w:t>multinational corporations</w:t>
      </w:r>
      <w:r w:rsidRPr="009B546D">
        <w:rPr>
          <w:rFonts w:cstheme="minorHAnsi"/>
        </w:rPr>
        <w:t>, including Fortune 500 companies</w:t>
      </w:r>
      <w:r w:rsidR="00573F60" w:rsidRPr="009B546D">
        <w:rPr>
          <w:rFonts w:cstheme="minorHAnsi"/>
        </w:rPr>
        <w:t>,</w:t>
      </w:r>
      <w:r w:rsidRPr="009B546D">
        <w:rPr>
          <w:rFonts w:cstheme="minorHAnsi"/>
        </w:rPr>
        <w:t xml:space="preserve"> to improve their </w:t>
      </w:r>
      <w:r w:rsidR="004D3567" w:rsidRPr="009B546D">
        <w:rPr>
          <w:rFonts w:cstheme="minorHAnsi"/>
        </w:rPr>
        <w:t>infrastructure.</w:t>
      </w:r>
      <w:r w:rsidRPr="009B546D">
        <w:rPr>
          <w:rFonts w:cstheme="minorHAnsi"/>
        </w:rPr>
        <w:t xml:space="preserve"> He was among the awardees of 38th Distinguish Sales Award program in HK, hosted by </w:t>
      </w:r>
      <w:r w:rsidR="00DB11F6">
        <w:rPr>
          <w:rFonts w:cstheme="minorHAnsi"/>
        </w:rPr>
        <w:t>SMEI</w:t>
      </w:r>
      <w:r w:rsidR="00DB11F6" w:rsidRPr="009B546D">
        <w:rPr>
          <w:rFonts w:cstheme="minorHAnsi"/>
        </w:rPr>
        <w:t xml:space="preserve"> </w:t>
      </w:r>
      <w:r w:rsidRPr="009B546D">
        <w:rPr>
          <w:rFonts w:cstheme="minorHAnsi"/>
        </w:rPr>
        <w:t xml:space="preserve">and HKMA. He was also awarded the professional selling skill certification from IMPAC University. He </w:t>
      </w:r>
      <w:r w:rsidR="000508D0" w:rsidRPr="009B546D">
        <w:rPr>
          <w:rFonts w:cstheme="minorHAnsi"/>
        </w:rPr>
        <w:t>has been a guest speaker</w:t>
      </w:r>
      <w:r w:rsidRPr="009B546D">
        <w:rPr>
          <w:rFonts w:cstheme="minorHAnsi"/>
        </w:rPr>
        <w:t xml:space="preserve"> </w:t>
      </w:r>
      <w:r w:rsidR="000508D0" w:rsidRPr="009B546D">
        <w:rPr>
          <w:rFonts w:cstheme="minorHAnsi"/>
        </w:rPr>
        <w:t xml:space="preserve">at the </w:t>
      </w:r>
      <w:r w:rsidRPr="009B546D">
        <w:rPr>
          <w:rFonts w:cstheme="minorHAnsi"/>
        </w:rPr>
        <w:t>APAC IT summit, host by</w:t>
      </w:r>
      <w:r w:rsidR="000508D0" w:rsidRPr="009B546D">
        <w:rPr>
          <w:rFonts w:cstheme="minorHAnsi"/>
        </w:rPr>
        <w:t xml:space="preserve"> the</w:t>
      </w:r>
      <w:r w:rsidRPr="009B546D">
        <w:rPr>
          <w:rFonts w:cstheme="minorHAnsi"/>
        </w:rPr>
        <w:t xml:space="preserve"> IDC.</w:t>
      </w:r>
    </w:p>
    <w:p w14:paraId="1749D44E" w14:textId="099D7156" w:rsidR="00D90E1F" w:rsidRPr="009B546D" w:rsidRDefault="00D90E1F" w:rsidP="00F432B9">
      <w:pPr>
        <w:pStyle w:val="Heading2"/>
        <w:keepNext w:val="0"/>
        <w:widowControl w:val="0"/>
        <w:spacing w:before="0" w:after="160" w:line="240" w:lineRule="auto"/>
        <w:rPr>
          <w:rFonts w:asciiTheme="minorHAnsi" w:hAnsiTheme="minorHAnsi" w:cstheme="minorHAnsi"/>
          <w:szCs w:val="20"/>
        </w:rPr>
      </w:pPr>
      <w:r w:rsidRPr="00384557">
        <w:rPr>
          <w:rFonts w:asciiTheme="minorHAnsi" w:hAnsiTheme="minorHAnsi" w:cstheme="minorHAnsi"/>
          <w:szCs w:val="20"/>
        </w:rPr>
        <w:t>Corporate Governance</w:t>
      </w:r>
    </w:p>
    <w:p w14:paraId="066275E7" w14:textId="03D27485" w:rsidR="00D90E1F" w:rsidRPr="009B546D" w:rsidRDefault="00D90E1F" w:rsidP="00F432B9">
      <w:pPr>
        <w:widowControl w:val="0"/>
        <w:spacing w:line="240" w:lineRule="auto"/>
        <w:rPr>
          <w:rFonts w:cstheme="minorHAnsi"/>
          <w:szCs w:val="20"/>
        </w:rPr>
      </w:pPr>
      <w:r w:rsidRPr="009B546D">
        <w:rPr>
          <w:rFonts w:cstheme="minorHAnsi"/>
          <w:szCs w:val="20"/>
        </w:rPr>
        <w:t>As a company with a Standard Listing, the Company is not required to comply with the provisions of the UK Corporate Governance Code. Nevertheless, the Board is committed to maintaining high standards of corporate governance and ha</w:t>
      </w:r>
      <w:r w:rsidR="00573F60" w:rsidRPr="009B546D">
        <w:rPr>
          <w:rFonts w:cstheme="minorHAnsi"/>
          <w:szCs w:val="20"/>
        </w:rPr>
        <w:t>s</w:t>
      </w:r>
      <w:r w:rsidRPr="009B546D">
        <w:rPr>
          <w:rFonts w:cstheme="minorHAnsi"/>
          <w:szCs w:val="20"/>
        </w:rPr>
        <w:t>, so far as is practicable given the Company’s size and nature, voluntarily adopted and compl</w:t>
      </w:r>
      <w:r w:rsidR="00573F60" w:rsidRPr="009B546D">
        <w:rPr>
          <w:rFonts w:cstheme="minorHAnsi"/>
          <w:szCs w:val="20"/>
        </w:rPr>
        <w:t>ies</w:t>
      </w:r>
      <w:r w:rsidRPr="009B546D">
        <w:rPr>
          <w:rFonts w:cstheme="minorHAnsi"/>
          <w:szCs w:val="20"/>
        </w:rPr>
        <w:t xml:space="preserve"> with the UK Cooperate Governance Code. However, at present, due to the size of the Company, the Directors acknowledge the adherence to certain provisions of the UK Corporate Governance Code ha</w:t>
      </w:r>
      <w:r w:rsidR="00BE0C81" w:rsidRPr="009B546D">
        <w:rPr>
          <w:rFonts w:cstheme="minorHAnsi"/>
          <w:szCs w:val="20"/>
        </w:rPr>
        <w:t>s</w:t>
      </w:r>
      <w:r w:rsidRPr="009B546D">
        <w:rPr>
          <w:rFonts w:cstheme="minorHAnsi"/>
          <w:szCs w:val="20"/>
        </w:rPr>
        <w:t xml:space="preserve"> been delayed until such time as the Board </w:t>
      </w:r>
      <w:r w:rsidR="00BE0C81" w:rsidRPr="009B546D">
        <w:rPr>
          <w:rFonts w:cstheme="minorHAnsi"/>
          <w:szCs w:val="20"/>
        </w:rPr>
        <w:t xml:space="preserve">is </w:t>
      </w:r>
      <w:r w:rsidRPr="009B546D">
        <w:rPr>
          <w:rFonts w:cstheme="minorHAnsi"/>
          <w:szCs w:val="20"/>
        </w:rPr>
        <w:t>able to fully adopt them.</w:t>
      </w:r>
    </w:p>
    <w:p w14:paraId="0A51CFED" w14:textId="3A3A0981" w:rsidR="00D90E1F" w:rsidRPr="009B546D" w:rsidRDefault="00D90E1F" w:rsidP="00F432B9">
      <w:pPr>
        <w:widowControl w:val="0"/>
        <w:spacing w:line="240" w:lineRule="auto"/>
        <w:rPr>
          <w:rFonts w:cstheme="minorHAnsi"/>
          <w:szCs w:val="20"/>
        </w:rPr>
      </w:pPr>
      <w:r w:rsidRPr="009B546D">
        <w:rPr>
          <w:rFonts w:cstheme="minorHAnsi"/>
          <w:szCs w:val="20"/>
        </w:rPr>
        <w:t xml:space="preserve">The Board holds timely board meetings as issues arise which require the attention of the Board. From Completion, the Board will be responsible for the management of the business of the Enlarged Group, setting the strategic direction of the Enlarged Group and establishing the policies of the Enlarged Group. It will be the Board’s responsibility to oversee the financial position of the Enlarged Group and monitor </w:t>
      </w:r>
      <w:r w:rsidR="00573F60" w:rsidRPr="009B546D">
        <w:rPr>
          <w:rFonts w:cstheme="minorHAnsi"/>
          <w:szCs w:val="20"/>
        </w:rPr>
        <w:t xml:space="preserve">its </w:t>
      </w:r>
      <w:r w:rsidRPr="009B546D">
        <w:rPr>
          <w:rFonts w:cstheme="minorHAnsi"/>
          <w:szCs w:val="20"/>
        </w:rPr>
        <w:t>business and affairs</w:t>
      </w:r>
      <w:r w:rsidR="00573F60" w:rsidRPr="009B546D">
        <w:rPr>
          <w:rFonts w:cstheme="minorHAnsi"/>
          <w:szCs w:val="20"/>
        </w:rPr>
        <w:t xml:space="preserve"> </w:t>
      </w:r>
      <w:r w:rsidRPr="009B546D">
        <w:rPr>
          <w:rFonts w:cstheme="minorHAnsi"/>
          <w:szCs w:val="20"/>
        </w:rPr>
        <w:lastRenderedPageBreak/>
        <w:t>on behalf of the Shareholders to whom they are accountable. The primary duty of the Board is to act in the best interests of the Company at all times. The Board will also address issues relating to internal control and the Enlarged Group’s approach to risk management and has formally adopted an anti-corruption and bribery policy.</w:t>
      </w:r>
    </w:p>
    <w:p w14:paraId="7FA262A1" w14:textId="298AFCB2" w:rsidR="00D90E1F" w:rsidRPr="009B546D" w:rsidRDefault="00D90E1F" w:rsidP="00F432B9">
      <w:pPr>
        <w:widowControl w:val="0"/>
        <w:spacing w:line="240" w:lineRule="auto"/>
        <w:rPr>
          <w:rFonts w:cstheme="minorHAnsi"/>
          <w:szCs w:val="20"/>
        </w:rPr>
      </w:pPr>
      <w:r w:rsidRPr="009B546D">
        <w:rPr>
          <w:rFonts w:cstheme="minorHAnsi"/>
          <w:szCs w:val="20"/>
        </w:rPr>
        <w:t>The Board has established an Audit Committee, a Renumeration Committee and Nomination Committee with formally delegated duties and responsibilities. Each committee comprises the non-executive directors</w:t>
      </w:r>
      <w:r w:rsidR="00573F60" w:rsidRPr="009B546D">
        <w:rPr>
          <w:rFonts w:cstheme="minorHAnsi"/>
          <w:szCs w:val="20"/>
        </w:rPr>
        <w:t xml:space="preserve"> of the Company.</w:t>
      </w:r>
    </w:p>
    <w:p w14:paraId="13AEA8C9" w14:textId="77777777" w:rsidR="00D90E1F" w:rsidRPr="009B546D" w:rsidRDefault="00D90E1F" w:rsidP="00F432B9">
      <w:pPr>
        <w:pStyle w:val="Heading2"/>
        <w:keepNext w:val="0"/>
        <w:widowControl w:val="0"/>
        <w:spacing w:before="0" w:after="160" w:line="240" w:lineRule="auto"/>
        <w:rPr>
          <w:rFonts w:asciiTheme="minorHAnsi" w:hAnsiTheme="minorHAnsi" w:cstheme="minorHAnsi"/>
          <w:szCs w:val="20"/>
        </w:rPr>
      </w:pPr>
      <w:r w:rsidRPr="009B546D">
        <w:rPr>
          <w:rFonts w:asciiTheme="minorHAnsi" w:hAnsiTheme="minorHAnsi" w:cstheme="minorHAnsi"/>
          <w:szCs w:val="20"/>
        </w:rPr>
        <w:t>Audit Committee</w:t>
      </w:r>
    </w:p>
    <w:p w14:paraId="2E8DE8E2" w14:textId="725E2621" w:rsidR="00D90E1F" w:rsidRPr="009B546D" w:rsidRDefault="00D90E1F" w:rsidP="00F432B9">
      <w:pPr>
        <w:widowControl w:val="0"/>
        <w:spacing w:line="240" w:lineRule="auto"/>
        <w:rPr>
          <w:rFonts w:cstheme="minorHAnsi"/>
          <w:szCs w:val="20"/>
        </w:rPr>
      </w:pPr>
      <w:r w:rsidRPr="009B546D">
        <w:rPr>
          <w:rFonts w:cstheme="minorHAnsi"/>
          <w:szCs w:val="20"/>
        </w:rPr>
        <w:t xml:space="preserve">The Audit Committee is responsible, amongst other things, for making recommendations to the Board on the appointment of auditors (and the audit fee) and monitoring and reviewing the integrity of the Company’s financial statements as well as reports from the Company’s auditors on those financial statements. The Audit Committee shall </w:t>
      </w:r>
      <w:r w:rsidR="00DB11F6" w:rsidRPr="009B546D">
        <w:rPr>
          <w:rFonts w:cstheme="minorHAnsi"/>
          <w:szCs w:val="20"/>
        </w:rPr>
        <w:t>meet</w:t>
      </w:r>
      <w:r w:rsidRPr="009B546D">
        <w:rPr>
          <w:rFonts w:cstheme="minorHAnsi"/>
          <w:szCs w:val="20"/>
        </w:rPr>
        <w:t xml:space="preserve"> at least twice per year and is chaired by </w:t>
      </w:r>
      <w:r w:rsidR="000F6C9B" w:rsidRPr="009B546D">
        <w:rPr>
          <w:rFonts w:cstheme="minorHAnsi"/>
          <w:szCs w:val="20"/>
        </w:rPr>
        <w:t>Graham Duncan</w:t>
      </w:r>
      <w:r w:rsidRPr="009B546D">
        <w:rPr>
          <w:rFonts w:cstheme="minorHAnsi"/>
          <w:szCs w:val="20"/>
        </w:rPr>
        <w:t>.</w:t>
      </w:r>
    </w:p>
    <w:p w14:paraId="152BF2FB" w14:textId="77777777" w:rsidR="00D90E1F" w:rsidRPr="009B546D" w:rsidRDefault="00D90E1F" w:rsidP="00F432B9">
      <w:pPr>
        <w:pStyle w:val="Heading2"/>
        <w:keepNext w:val="0"/>
        <w:widowControl w:val="0"/>
        <w:spacing w:before="0" w:after="160" w:line="240" w:lineRule="auto"/>
        <w:rPr>
          <w:rFonts w:asciiTheme="minorHAnsi" w:hAnsiTheme="minorHAnsi" w:cstheme="minorHAnsi"/>
          <w:szCs w:val="20"/>
        </w:rPr>
      </w:pPr>
      <w:r w:rsidRPr="009B546D">
        <w:rPr>
          <w:rFonts w:asciiTheme="minorHAnsi" w:hAnsiTheme="minorHAnsi" w:cstheme="minorHAnsi"/>
          <w:szCs w:val="20"/>
        </w:rPr>
        <w:t>Remuneration Committee</w:t>
      </w:r>
    </w:p>
    <w:p w14:paraId="52154898" w14:textId="03589846" w:rsidR="00D90E1F" w:rsidRPr="009B546D" w:rsidRDefault="00D90E1F" w:rsidP="00F432B9">
      <w:pPr>
        <w:widowControl w:val="0"/>
        <w:spacing w:line="240" w:lineRule="auto"/>
        <w:rPr>
          <w:rFonts w:cstheme="minorHAnsi"/>
          <w:szCs w:val="20"/>
        </w:rPr>
      </w:pPr>
      <w:r w:rsidRPr="009B546D">
        <w:rPr>
          <w:rFonts w:cstheme="minorHAnsi"/>
          <w:szCs w:val="20"/>
        </w:rPr>
        <w:t>The Remuneration Committee is responsible, amongst other things, for reviewing and approving the remuneration policy and total individual packages for the executive directors of the Company and the Group, approving the rules and basis for participations in any performance related pay-schemes, share incentive schemes and pension arrangements and obtaining reliable and up-to-date information about remuneration in other companies. The Remuneration Committee meet</w:t>
      </w:r>
      <w:r w:rsidR="0052167F" w:rsidRPr="009B546D">
        <w:rPr>
          <w:rFonts w:cstheme="minorHAnsi"/>
          <w:szCs w:val="20"/>
        </w:rPr>
        <w:t>s</w:t>
      </w:r>
      <w:r w:rsidRPr="009B546D">
        <w:rPr>
          <w:rFonts w:cstheme="minorHAnsi"/>
          <w:szCs w:val="20"/>
        </w:rPr>
        <w:t xml:space="preserve"> at least twice per year and is chaired by</w:t>
      </w:r>
      <w:r w:rsidR="00592584" w:rsidRPr="009B546D">
        <w:rPr>
          <w:rFonts w:cstheme="minorHAnsi"/>
          <w:szCs w:val="20"/>
        </w:rPr>
        <w:t xml:space="preserve"> </w:t>
      </w:r>
      <w:r w:rsidR="009C41AB" w:rsidRPr="009B546D">
        <w:rPr>
          <w:rFonts w:cstheme="minorHAnsi"/>
          <w:szCs w:val="20"/>
        </w:rPr>
        <w:t>Soon Beng Gee (“</w:t>
      </w:r>
      <w:r w:rsidR="00B8058C" w:rsidRPr="00EA2BB6">
        <w:rPr>
          <w:rFonts w:cstheme="minorHAnsi"/>
          <w:b/>
          <w:bCs/>
          <w:szCs w:val="20"/>
        </w:rPr>
        <w:t>Nicholas</w:t>
      </w:r>
      <w:r w:rsidR="009C41AB" w:rsidRPr="009B546D">
        <w:rPr>
          <w:rFonts w:cstheme="minorHAnsi"/>
          <w:szCs w:val="20"/>
        </w:rPr>
        <w:t>”)</w:t>
      </w:r>
      <w:r w:rsidRPr="009B546D">
        <w:rPr>
          <w:rFonts w:cstheme="minorHAnsi"/>
          <w:szCs w:val="20"/>
        </w:rPr>
        <w:t>.</w:t>
      </w:r>
    </w:p>
    <w:p w14:paraId="158EDF04" w14:textId="77777777" w:rsidR="00D90E1F" w:rsidRPr="009B546D" w:rsidRDefault="00D90E1F" w:rsidP="00F432B9">
      <w:pPr>
        <w:pStyle w:val="Heading2"/>
        <w:keepNext w:val="0"/>
        <w:widowControl w:val="0"/>
        <w:spacing w:before="0" w:after="160" w:line="240" w:lineRule="auto"/>
        <w:rPr>
          <w:rFonts w:asciiTheme="minorHAnsi" w:hAnsiTheme="minorHAnsi" w:cstheme="minorHAnsi"/>
          <w:szCs w:val="20"/>
        </w:rPr>
      </w:pPr>
      <w:r w:rsidRPr="009B546D">
        <w:rPr>
          <w:rFonts w:asciiTheme="minorHAnsi" w:hAnsiTheme="minorHAnsi" w:cstheme="minorHAnsi"/>
          <w:szCs w:val="20"/>
        </w:rPr>
        <w:t>Nomination Committee</w:t>
      </w:r>
    </w:p>
    <w:p w14:paraId="250E503B" w14:textId="78D66E72" w:rsidR="00D90E1F" w:rsidRPr="009B546D" w:rsidRDefault="00D90E1F" w:rsidP="00F432B9">
      <w:pPr>
        <w:widowControl w:val="0"/>
        <w:spacing w:line="240" w:lineRule="auto"/>
        <w:rPr>
          <w:rFonts w:cstheme="minorHAnsi"/>
          <w:szCs w:val="20"/>
        </w:rPr>
      </w:pPr>
      <w:r w:rsidRPr="009B546D">
        <w:rPr>
          <w:rFonts w:cstheme="minorHAnsi"/>
          <w:szCs w:val="20"/>
        </w:rPr>
        <w:t>The Nomination Committee is responsible, amongst other things, for reviewing the structure, size and composition of the Board and ensuring that it is comprised of the right balance of skills, knowledge and experience, identifying and nominating for approval candidates to fill any vacancies on the Board as and when they arise, giving full consideration to succession planning for the Group and making recommendations as to the composition of the other committees of the Board. The Nomination Committee meet</w:t>
      </w:r>
      <w:r w:rsidR="0052167F" w:rsidRPr="009B546D">
        <w:rPr>
          <w:rFonts w:cstheme="minorHAnsi"/>
          <w:szCs w:val="20"/>
        </w:rPr>
        <w:t>s</w:t>
      </w:r>
      <w:r w:rsidRPr="009B546D">
        <w:rPr>
          <w:rFonts w:cstheme="minorHAnsi"/>
          <w:szCs w:val="20"/>
        </w:rPr>
        <w:t xml:space="preserve"> at least twice per year and is chaired </w:t>
      </w:r>
      <w:r w:rsidR="009C41AB" w:rsidRPr="009B546D">
        <w:rPr>
          <w:rFonts w:cstheme="minorHAnsi"/>
          <w:szCs w:val="20"/>
        </w:rPr>
        <w:t>by Soon Beng Gee (“</w:t>
      </w:r>
      <w:r w:rsidR="009C41AB" w:rsidRPr="00EA2BB6">
        <w:rPr>
          <w:rFonts w:cstheme="minorHAnsi"/>
          <w:b/>
          <w:bCs/>
          <w:szCs w:val="20"/>
        </w:rPr>
        <w:t>Nicholas</w:t>
      </w:r>
      <w:r w:rsidR="009C41AB" w:rsidRPr="009B546D">
        <w:rPr>
          <w:rFonts w:cstheme="minorHAnsi"/>
          <w:szCs w:val="20"/>
        </w:rPr>
        <w:t>”)</w:t>
      </w:r>
      <w:r w:rsidR="00682BB9" w:rsidRPr="009B546D">
        <w:rPr>
          <w:rFonts w:cstheme="minorHAnsi"/>
          <w:szCs w:val="20"/>
        </w:rPr>
        <w:t>.</w:t>
      </w:r>
    </w:p>
    <w:p w14:paraId="3128AE9E" w14:textId="77777777" w:rsidR="00D90E1F" w:rsidRPr="009B546D" w:rsidRDefault="00D90E1F" w:rsidP="00F432B9">
      <w:pPr>
        <w:widowControl w:val="0"/>
        <w:spacing w:line="240" w:lineRule="auto"/>
        <w:rPr>
          <w:rFonts w:cstheme="minorHAnsi"/>
          <w:szCs w:val="20"/>
        </w:rPr>
      </w:pPr>
      <w:r w:rsidRPr="009B546D">
        <w:rPr>
          <w:rFonts w:cstheme="minorHAnsi"/>
          <w:szCs w:val="20"/>
        </w:rPr>
        <w:br w:type="page"/>
      </w:r>
    </w:p>
    <w:p w14:paraId="00BFAC4F" w14:textId="593F4560" w:rsidR="00D90E1F" w:rsidRPr="009B546D" w:rsidRDefault="00D90E1F" w:rsidP="00F432B9">
      <w:pPr>
        <w:pStyle w:val="Heading1"/>
        <w:keepNext w:val="0"/>
        <w:widowControl w:val="0"/>
        <w:spacing w:line="240" w:lineRule="auto"/>
        <w:jc w:val="center"/>
        <w:rPr>
          <w:rFonts w:asciiTheme="minorHAnsi" w:hAnsiTheme="minorHAnsi" w:cstheme="minorHAnsi"/>
          <w:sz w:val="20"/>
          <w:szCs w:val="20"/>
        </w:rPr>
      </w:pPr>
      <w:bookmarkStart w:id="34" w:name="_Toc35456740"/>
      <w:r w:rsidRPr="00384557">
        <w:rPr>
          <w:rFonts w:asciiTheme="minorHAnsi" w:hAnsiTheme="minorHAnsi" w:cstheme="minorHAnsi"/>
          <w:sz w:val="20"/>
          <w:szCs w:val="20"/>
        </w:rPr>
        <w:lastRenderedPageBreak/>
        <w:t>Part XI</w:t>
      </w:r>
      <w:r w:rsidRPr="00384557">
        <w:rPr>
          <w:rFonts w:asciiTheme="minorHAnsi" w:hAnsiTheme="minorHAnsi" w:cstheme="minorHAnsi"/>
          <w:sz w:val="20"/>
          <w:szCs w:val="20"/>
        </w:rPr>
        <w:br/>
        <w:t xml:space="preserve">Operating and Financial Review of </w:t>
      </w:r>
      <w:r w:rsidR="00A90DCA" w:rsidRPr="009B546D">
        <w:rPr>
          <w:rFonts w:asciiTheme="minorHAnsi" w:hAnsiTheme="minorHAnsi" w:cstheme="minorHAnsi"/>
          <w:sz w:val="20"/>
          <w:szCs w:val="20"/>
        </w:rPr>
        <w:t>AIQ</w:t>
      </w:r>
      <w:bookmarkEnd w:id="34"/>
    </w:p>
    <w:p w14:paraId="5441FC0F" w14:textId="77777777" w:rsidR="00D90E1F" w:rsidRPr="009B546D" w:rsidRDefault="00D90E1F" w:rsidP="00F432B9">
      <w:pPr>
        <w:widowControl w:val="0"/>
        <w:spacing w:line="240" w:lineRule="auto"/>
        <w:rPr>
          <w:rFonts w:cstheme="minorHAnsi"/>
          <w:szCs w:val="20"/>
        </w:rPr>
      </w:pPr>
    </w:p>
    <w:p w14:paraId="4D3E9691" w14:textId="6090A064" w:rsidR="00B13439" w:rsidRPr="00EA2BB6" w:rsidRDefault="00B13439" w:rsidP="00F432B9">
      <w:pPr>
        <w:spacing w:after="120" w:line="240" w:lineRule="auto"/>
        <w:rPr>
          <w:rFonts w:cstheme="minorHAnsi"/>
          <w:b/>
          <w:bCs/>
          <w:iCs/>
          <w:sz w:val="16"/>
          <w:szCs w:val="16"/>
        </w:rPr>
      </w:pPr>
      <w:r w:rsidRPr="00EA2BB6">
        <w:rPr>
          <w:rFonts w:cstheme="minorHAnsi"/>
          <w:b/>
          <w:bCs/>
          <w:iCs/>
          <w:sz w:val="16"/>
          <w:szCs w:val="16"/>
        </w:rPr>
        <w:t>The following operating and financial review contains financial information that has been extracted or derived</w:t>
      </w:r>
      <w:r w:rsidR="008E7B57" w:rsidRPr="00EA2BB6">
        <w:rPr>
          <w:rFonts w:cstheme="minorHAnsi"/>
          <w:b/>
          <w:bCs/>
          <w:iCs/>
          <w:sz w:val="16"/>
          <w:szCs w:val="16"/>
        </w:rPr>
        <w:t>,</w:t>
      </w:r>
      <w:r w:rsidRPr="00EA2BB6">
        <w:rPr>
          <w:rFonts w:cstheme="minorHAnsi"/>
          <w:b/>
          <w:bCs/>
          <w:iCs/>
          <w:sz w:val="16"/>
          <w:szCs w:val="16"/>
        </w:rPr>
        <w:t xml:space="preserve"> without material adjustment</w:t>
      </w:r>
      <w:r w:rsidR="008E7B57" w:rsidRPr="00EA2BB6">
        <w:rPr>
          <w:rFonts w:cstheme="minorHAnsi"/>
          <w:b/>
          <w:bCs/>
          <w:iCs/>
          <w:sz w:val="16"/>
          <w:szCs w:val="16"/>
        </w:rPr>
        <w:t>s</w:t>
      </w:r>
      <w:r w:rsidR="0052167F" w:rsidRPr="00EA2BB6">
        <w:rPr>
          <w:rFonts w:cstheme="minorHAnsi"/>
          <w:b/>
          <w:bCs/>
          <w:iCs/>
          <w:sz w:val="16"/>
          <w:szCs w:val="16"/>
        </w:rPr>
        <w:t>,</w:t>
      </w:r>
      <w:r w:rsidRPr="00EA2BB6">
        <w:rPr>
          <w:rFonts w:cstheme="minorHAnsi"/>
          <w:b/>
          <w:bCs/>
          <w:iCs/>
          <w:sz w:val="16"/>
          <w:szCs w:val="16"/>
        </w:rPr>
        <w:t xml:space="preserve"> from the AIQ financial information for the years ended 31 October 2018 and 31 October 2019, included in Part </w:t>
      </w:r>
      <w:r w:rsidR="00621231" w:rsidRPr="00EA2BB6">
        <w:rPr>
          <w:rFonts w:cstheme="minorHAnsi"/>
          <w:b/>
          <w:bCs/>
          <w:iCs/>
          <w:sz w:val="16"/>
          <w:szCs w:val="16"/>
        </w:rPr>
        <w:t>XIII</w:t>
      </w:r>
      <w:r w:rsidRPr="00EA2BB6">
        <w:rPr>
          <w:rFonts w:cstheme="minorHAnsi"/>
          <w:b/>
          <w:bCs/>
          <w:iCs/>
          <w:sz w:val="16"/>
          <w:szCs w:val="16"/>
        </w:rPr>
        <w:t xml:space="preserve"> (Financial Information on the Company)</w:t>
      </w:r>
      <w:r w:rsidR="003C5119" w:rsidRPr="00EA2BB6">
        <w:rPr>
          <w:rFonts w:cstheme="minorHAnsi"/>
          <w:b/>
          <w:bCs/>
          <w:iCs/>
          <w:sz w:val="16"/>
          <w:szCs w:val="16"/>
        </w:rPr>
        <w:t>, incorpo</w:t>
      </w:r>
      <w:r w:rsidR="000F121C" w:rsidRPr="00EA2BB6">
        <w:rPr>
          <w:rFonts w:cstheme="minorHAnsi"/>
          <w:b/>
          <w:bCs/>
          <w:iCs/>
          <w:sz w:val="16"/>
          <w:szCs w:val="16"/>
        </w:rPr>
        <w:t>rated by reference,</w:t>
      </w:r>
      <w:r w:rsidRPr="00EA2BB6">
        <w:rPr>
          <w:rFonts w:cstheme="minorHAnsi"/>
          <w:b/>
          <w:bCs/>
          <w:iCs/>
          <w:sz w:val="16"/>
          <w:szCs w:val="16"/>
        </w:rPr>
        <w:t xml:space="preserve"> prepared in accordance with IFRS.</w:t>
      </w:r>
    </w:p>
    <w:p w14:paraId="7523083F" w14:textId="1175D532" w:rsidR="00B13439" w:rsidRPr="00EA2BB6" w:rsidRDefault="00B13439" w:rsidP="00F432B9">
      <w:pPr>
        <w:spacing w:after="120" w:line="240" w:lineRule="auto"/>
        <w:rPr>
          <w:rFonts w:cstheme="minorHAnsi"/>
          <w:b/>
          <w:bCs/>
          <w:iCs/>
          <w:sz w:val="16"/>
          <w:szCs w:val="16"/>
        </w:rPr>
      </w:pPr>
      <w:r w:rsidRPr="00EA2BB6">
        <w:rPr>
          <w:rFonts w:cstheme="minorHAnsi"/>
          <w:b/>
          <w:bCs/>
          <w:iCs/>
          <w:sz w:val="16"/>
          <w:szCs w:val="16"/>
        </w:rPr>
        <w:t xml:space="preserve">The following discussion should be read in conjunction with the other information in this </w:t>
      </w:r>
      <w:r w:rsidR="008E7B57" w:rsidRPr="00EA2BB6">
        <w:rPr>
          <w:rFonts w:cstheme="minorHAnsi"/>
          <w:b/>
          <w:bCs/>
          <w:iCs/>
          <w:sz w:val="16"/>
          <w:szCs w:val="16"/>
        </w:rPr>
        <w:t>Prospectus</w:t>
      </w:r>
      <w:r w:rsidRPr="00EA2BB6">
        <w:rPr>
          <w:rFonts w:cstheme="minorHAnsi"/>
          <w:b/>
          <w:bCs/>
          <w:iCs/>
          <w:sz w:val="16"/>
          <w:szCs w:val="16"/>
        </w:rPr>
        <w:t xml:space="preserve">, in particular with the entire Part </w:t>
      </w:r>
      <w:r w:rsidR="00CD7933" w:rsidRPr="00EA2BB6">
        <w:rPr>
          <w:rFonts w:cstheme="minorHAnsi"/>
          <w:b/>
          <w:bCs/>
          <w:iCs/>
          <w:sz w:val="16"/>
          <w:szCs w:val="16"/>
        </w:rPr>
        <w:t>XVI</w:t>
      </w:r>
      <w:r w:rsidR="002963F3" w:rsidRPr="00EA2BB6">
        <w:rPr>
          <w:rFonts w:cstheme="minorHAnsi"/>
          <w:b/>
          <w:bCs/>
          <w:iCs/>
          <w:sz w:val="16"/>
          <w:szCs w:val="16"/>
        </w:rPr>
        <w:t>I</w:t>
      </w:r>
      <w:r w:rsidRPr="00EA2BB6">
        <w:rPr>
          <w:rFonts w:cstheme="minorHAnsi"/>
          <w:b/>
          <w:bCs/>
          <w:iCs/>
          <w:sz w:val="16"/>
          <w:szCs w:val="16"/>
        </w:rPr>
        <w:t xml:space="preserve"> </w:t>
      </w:r>
      <w:r w:rsidR="00024D72">
        <w:rPr>
          <w:rFonts w:cstheme="minorHAnsi"/>
          <w:b/>
          <w:bCs/>
          <w:iCs/>
          <w:sz w:val="16"/>
          <w:szCs w:val="16"/>
        </w:rPr>
        <w:t>‘</w:t>
      </w:r>
      <w:r w:rsidRPr="00EA2BB6">
        <w:rPr>
          <w:rFonts w:cstheme="minorHAnsi"/>
          <w:b/>
          <w:bCs/>
          <w:iCs/>
          <w:sz w:val="16"/>
          <w:szCs w:val="16"/>
        </w:rPr>
        <w:t>Unaudited Pro Forma Financial Information</w:t>
      </w:r>
      <w:r w:rsidR="00B84E8F" w:rsidRPr="00EA2BB6">
        <w:rPr>
          <w:rFonts w:cstheme="minorHAnsi"/>
          <w:b/>
          <w:bCs/>
          <w:iCs/>
          <w:sz w:val="16"/>
          <w:szCs w:val="16"/>
        </w:rPr>
        <w:t xml:space="preserve"> of the Net Assets of the Enlarged Group</w:t>
      </w:r>
      <w:r w:rsidR="00024D72">
        <w:rPr>
          <w:rFonts w:cstheme="minorHAnsi"/>
          <w:b/>
          <w:bCs/>
          <w:iCs/>
          <w:sz w:val="16"/>
          <w:szCs w:val="16"/>
        </w:rPr>
        <w:t>’</w:t>
      </w:r>
      <w:r w:rsidRPr="00EA2BB6">
        <w:rPr>
          <w:rFonts w:cstheme="minorHAnsi"/>
          <w:b/>
          <w:bCs/>
          <w:iCs/>
          <w:sz w:val="16"/>
          <w:szCs w:val="16"/>
        </w:rPr>
        <w:t xml:space="preserve">. This discussion contains forward-looking statements, which, although based on assumptions that the Directors consider reasonable, are subject to risks and uncertainties which could cause actual events or conditions to differ materially from those expressed or implied by the forward-looking statements. </w:t>
      </w:r>
    </w:p>
    <w:p w14:paraId="5C005557" w14:textId="11947796" w:rsidR="00B13439" w:rsidRPr="00EA2BB6" w:rsidRDefault="00B13439" w:rsidP="00F432B9">
      <w:pPr>
        <w:spacing w:after="120" w:line="240" w:lineRule="auto"/>
        <w:rPr>
          <w:rFonts w:cstheme="minorHAnsi"/>
          <w:b/>
          <w:bCs/>
          <w:iCs/>
          <w:sz w:val="16"/>
          <w:szCs w:val="16"/>
        </w:rPr>
      </w:pPr>
      <w:r w:rsidRPr="00EA2BB6">
        <w:rPr>
          <w:rFonts w:cstheme="minorHAnsi"/>
          <w:b/>
          <w:bCs/>
          <w:iCs/>
          <w:sz w:val="16"/>
          <w:szCs w:val="16"/>
        </w:rPr>
        <w:t xml:space="preserve">The key risks and uncertainties include, but are not limited to, those described in the section of this </w:t>
      </w:r>
      <w:r w:rsidR="008E7B57" w:rsidRPr="00EA2BB6">
        <w:rPr>
          <w:rFonts w:cstheme="minorHAnsi"/>
          <w:b/>
          <w:bCs/>
          <w:iCs/>
          <w:sz w:val="16"/>
          <w:szCs w:val="16"/>
        </w:rPr>
        <w:t xml:space="preserve">Prospectus </w:t>
      </w:r>
      <w:r w:rsidRPr="00EA2BB6">
        <w:rPr>
          <w:rFonts w:cstheme="minorHAnsi"/>
          <w:b/>
          <w:bCs/>
          <w:iCs/>
          <w:sz w:val="16"/>
          <w:szCs w:val="16"/>
        </w:rPr>
        <w:t xml:space="preserve">entitled </w:t>
      </w:r>
      <w:r w:rsidR="00024D72">
        <w:rPr>
          <w:rFonts w:cstheme="minorHAnsi"/>
          <w:b/>
          <w:bCs/>
          <w:iCs/>
          <w:sz w:val="16"/>
          <w:szCs w:val="16"/>
        </w:rPr>
        <w:t>‘</w:t>
      </w:r>
      <w:r w:rsidRPr="00EA2BB6">
        <w:rPr>
          <w:rFonts w:cstheme="minorHAnsi"/>
          <w:b/>
          <w:bCs/>
          <w:iCs/>
          <w:sz w:val="16"/>
          <w:szCs w:val="16"/>
        </w:rPr>
        <w:t>Risk Factors</w:t>
      </w:r>
      <w:r w:rsidR="00024D72">
        <w:rPr>
          <w:rFonts w:cstheme="minorHAnsi"/>
          <w:b/>
          <w:bCs/>
          <w:iCs/>
          <w:sz w:val="16"/>
          <w:szCs w:val="16"/>
        </w:rPr>
        <w:t>’</w:t>
      </w:r>
      <w:r w:rsidRPr="00EA2BB6">
        <w:rPr>
          <w:rFonts w:cstheme="minorHAnsi"/>
          <w:b/>
          <w:bCs/>
          <w:iCs/>
          <w:sz w:val="16"/>
          <w:szCs w:val="16"/>
        </w:rPr>
        <w:t xml:space="preserve"> </w:t>
      </w:r>
      <w:r w:rsidR="0052167F" w:rsidRPr="00EA2BB6">
        <w:rPr>
          <w:rFonts w:cstheme="minorHAnsi"/>
          <w:b/>
          <w:bCs/>
          <w:iCs/>
          <w:sz w:val="16"/>
          <w:szCs w:val="16"/>
        </w:rPr>
        <w:t>in Part II of this Prospectus.</w:t>
      </w:r>
    </w:p>
    <w:p w14:paraId="13D6DF92" w14:textId="77777777" w:rsidR="00B13439" w:rsidRPr="009B546D" w:rsidRDefault="00B13439" w:rsidP="00F432B9">
      <w:pPr>
        <w:spacing w:after="120" w:line="240" w:lineRule="auto"/>
        <w:rPr>
          <w:rFonts w:cstheme="minorHAnsi"/>
          <w:szCs w:val="20"/>
        </w:rPr>
      </w:pPr>
      <w:r w:rsidRPr="009B546D">
        <w:rPr>
          <w:rFonts w:cstheme="minorHAnsi"/>
          <w:b/>
          <w:szCs w:val="20"/>
        </w:rPr>
        <w:t>Overview</w:t>
      </w:r>
    </w:p>
    <w:p w14:paraId="354BAC45" w14:textId="7F654F28" w:rsidR="00B13439" w:rsidRPr="009B546D" w:rsidRDefault="00B13439" w:rsidP="00F432B9">
      <w:pPr>
        <w:spacing w:after="120" w:line="240" w:lineRule="auto"/>
        <w:rPr>
          <w:rFonts w:cstheme="minorHAnsi"/>
          <w:szCs w:val="20"/>
        </w:rPr>
      </w:pPr>
      <w:r w:rsidRPr="009B546D">
        <w:rPr>
          <w:rFonts w:cstheme="minorHAnsi"/>
          <w:szCs w:val="20"/>
        </w:rPr>
        <w:t>AIQ was listed on the</w:t>
      </w:r>
      <w:r w:rsidR="008E7B57" w:rsidRPr="009B546D">
        <w:rPr>
          <w:rFonts w:cstheme="minorHAnsi"/>
          <w:szCs w:val="20"/>
        </w:rPr>
        <w:t xml:space="preserve"> standard segment of</w:t>
      </w:r>
      <w:r w:rsidRPr="009B546D">
        <w:rPr>
          <w:rFonts w:cstheme="minorHAnsi"/>
          <w:szCs w:val="20"/>
        </w:rPr>
        <w:t xml:space="preserve"> London Stock Exchange’s Main Market for listed securities on 9 January 201</w:t>
      </w:r>
      <w:r w:rsidR="00AA045C" w:rsidRPr="009B546D">
        <w:rPr>
          <w:rFonts w:cstheme="minorHAnsi"/>
          <w:szCs w:val="20"/>
        </w:rPr>
        <w:t>8</w:t>
      </w:r>
      <w:r w:rsidRPr="009B546D">
        <w:rPr>
          <w:rFonts w:cstheme="minorHAnsi"/>
          <w:szCs w:val="20"/>
        </w:rPr>
        <w:t xml:space="preserve"> as a special purpose acquisition company to identify and complete acquisitions of companies or businesses in the </w:t>
      </w:r>
      <w:r w:rsidR="008E7B57" w:rsidRPr="009B546D">
        <w:rPr>
          <w:rFonts w:cstheme="minorHAnsi"/>
          <w:szCs w:val="20"/>
        </w:rPr>
        <w:t>e-commerce</w:t>
      </w:r>
      <w:r w:rsidRPr="009B546D">
        <w:rPr>
          <w:rFonts w:cstheme="minorHAnsi"/>
          <w:szCs w:val="20"/>
        </w:rPr>
        <w:t xml:space="preserve"> sector. As part of the listing, AIQ undertook a fundraising of approximately £4 million before expenses.</w:t>
      </w:r>
    </w:p>
    <w:p w14:paraId="331CB0CE" w14:textId="660C6101" w:rsidR="00B13439" w:rsidRPr="009B546D" w:rsidRDefault="00B13439" w:rsidP="00F432B9">
      <w:pPr>
        <w:spacing w:after="120" w:line="240" w:lineRule="auto"/>
        <w:rPr>
          <w:rFonts w:cstheme="minorHAnsi"/>
          <w:szCs w:val="20"/>
        </w:rPr>
      </w:pPr>
      <w:r w:rsidRPr="00384557">
        <w:rPr>
          <w:rFonts w:cstheme="minorHAnsi"/>
          <w:szCs w:val="20"/>
        </w:rPr>
        <w:t xml:space="preserve">AIQ has signed a conditional agreement to acquire the entire </w:t>
      </w:r>
      <w:r w:rsidR="008E7B57" w:rsidRPr="009B546D">
        <w:rPr>
          <w:rFonts w:cstheme="minorHAnsi"/>
          <w:szCs w:val="20"/>
        </w:rPr>
        <w:t xml:space="preserve">issued </w:t>
      </w:r>
      <w:r w:rsidRPr="009B546D">
        <w:rPr>
          <w:rFonts w:cstheme="minorHAnsi"/>
          <w:szCs w:val="20"/>
        </w:rPr>
        <w:t>share capital of Alchemist Codes for</w:t>
      </w:r>
      <w:r w:rsidR="00580EC1" w:rsidRPr="009B546D">
        <w:rPr>
          <w:rFonts w:cstheme="minorHAnsi"/>
          <w:szCs w:val="20"/>
        </w:rPr>
        <w:t xml:space="preserve"> approximately</w:t>
      </w:r>
      <w:r w:rsidRPr="009B546D">
        <w:rPr>
          <w:rFonts w:cstheme="minorHAnsi"/>
          <w:szCs w:val="20"/>
        </w:rPr>
        <w:t xml:space="preserve"> £2.3m to be satisfied by the issue of the </w:t>
      </w:r>
      <w:r w:rsidR="008E7B57" w:rsidRPr="009B546D">
        <w:rPr>
          <w:rFonts w:cstheme="minorHAnsi"/>
          <w:szCs w:val="20"/>
        </w:rPr>
        <w:t xml:space="preserve">Consideration </w:t>
      </w:r>
      <w:r w:rsidRPr="009B546D">
        <w:rPr>
          <w:rFonts w:cstheme="minorHAnsi"/>
          <w:szCs w:val="20"/>
        </w:rPr>
        <w:t xml:space="preserve">Shares </w:t>
      </w:r>
      <w:r w:rsidR="009E0796" w:rsidRPr="009B546D">
        <w:rPr>
          <w:rFonts w:cstheme="minorHAnsi"/>
          <w:szCs w:val="20"/>
        </w:rPr>
        <w:t>to the shareholders of Alchemist Codes</w:t>
      </w:r>
      <w:r w:rsidR="00A7032A" w:rsidRPr="009B546D">
        <w:rPr>
          <w:rFonts w:cstheme="minorHAnsi"/>
          <w:szCs w:val="20"/>
        </w:rPr>
        <w:t xml:space="preserve"> </w:t>
      </w:r>
      <w:r w:rsidR="008E7B57" w:rsidRPr="009B546D">
        <w:rPr>
          <w:rFonts w:cstheme="minorHAnsi"/>
          <w:szCs w:val="20"/>
        </w:rPr>
        <w:t xml:space="preserve">credited as fully paid </w:t>
      </w:r>
      <w:r w:rsidRPr="009B546D">
        <w:rPr>
          <w:rFonts w:cstheme="minorHAnsi"/>
          <w:szCs w:val="20"/>
        </w:rPr>
        <w:t xml:space="preserve">at a price of </w:t>
      </w:r>
      <w:r w:rsidR="003F7213" w:rsidRPr="009B546D">
        <w:rPr>
          <w:rFonts w:cstheme="minorHAnsi"/>
          <w:szCs w:val="20"/>
        </w:rPr>
        <w:t>17.8</w:t>
      </w:r>
      <w:r w:rsidRPr="009B546D">
        <w:rPr>
          <w:rFonts w:cstheme="minorHAnsi"/>
          <w:szCs w:val="20"/>
        </w:rPr>
        <w:t xml:space="preserve">p, which when </w:t>
      </w:r>
      <w:r w:rsidR="008E7B57" w:rsidRPr="009B546D">
        <w:rPr>
          <w:rFonts w:cstheme="minorHAnsi"/>
          <w:szCs w:val="20"/>
        </w:rPr>
        <w:t>issued</w:t>
      </w:r>
      <w:r w:rsidRPr="009B546D">
        <w:rPr>
          <w:rFonts w:cstheme="minorHAnsi"/>
          <w:szCs w:val="20"/>
        </w:rPr>
        <w:t xml:space="preserve"> will represent approximately </w:t>
      </w:r>
      <w:r w:rsidR="009E0796" w:rsidRPr="009B546D">
        <w:rPr>
          <w:rFonts w:cstheme="minorHAnsi"/>
          <w:szCs w:val="20"/>
        </w:rPr>
        <w:t>24.93</w:t>
      </w:r>
      <w:r w:rsidR="00A06491" w:rsidRPr="009B546D">
        <w:rPr>
          <w:rFonts w:cstheme="minorHAnsi"/>
          <w:szCs w:val="20"/>
        </w:rPr>
        <w:t xml:space="preserve"> per</w:t>
      </w:r>
      <w:r w:rsidRPr="009B546D">
        <w:rPr>
          <w:rFonts w:cstheme="minorHAnsi"/>
          <w:szCs w:val="20"/>
        </w:rPr>
        <w:t xml:space="preserve"> cent. of the Enlarged Share Capital.</w:t>
      </w:r>
    </w:p>
    <w:p w14:paraId="6EB78B3A" w14:textId="12361638" w:rsidR="00B13439" w:rsidRPr="009B546D" w:rsidRDefault="00B13439" w:rsidP="00F432B9">
      <w:pPr>
        <w:spacing w:after="120" w:line="240" w:lineRule="auto"/>
        <w:rPr>
          <w:rFonts w:cstheme="minorHAnsi"/>
          <w:szCs w:val="20"/>
        </w:rPr>
      </w:pPr>
      <w:r w:rsidRPr="009B546D">
        <w:rPr>
          <w:rFonts w:cstheme="minorHAnsi"/>
          <w:szCs w:val="20"/>
        </w:rPr>
        <w:t>The Company has published its financial results for the year ended 31 October 2019, which showed a cash balance of £</w:t>
      </w:r>
      <w:r w:rsidR="00F93E08" w:rsidRPr="009B546D">
        <w:rPr>
          <w:rFonts w:cstheme="minorHAnsi"/>
          <w:szCs w:val="20"/>
        </w:rPr>
        <w:t>3,703,592</w:t>
      </w:r>
      <w:r w:rsidRPr="009B546D">
        <w:rPr>
          <w:rFonts w:cstheme="minorHAnsi"/>
          <w:szCs w:val="20"/>
        </w:rPr>
        <w:t xml:space="preserve"> (2018: £4,103,928). Since the admission to the Official List of the FCA and to the London Stock Exchange’s Main Market on 9 January 201</w:t>
      </w:r>
      <w:r w:rsidR="008E7B57" w:rsidRPr="009B546D">
        <w:rPr>
          <w:rFonts w:cstheme="minorHAnsi"/>
          <w:szCs w:val="20"/>
        </w:rPr>
        <w:t>8</w:t>
      </w:r>
      <w:r w:rsidRPr="009B546D">
        <w:rPr>
          <w:rFonts w:cstheme="minorHAnsi"/>
          <w:szCs w:val="20"/>
        </w:rPr>
        <w:t xml:space="preserve"> to date, the Company’s operations have been limited to investigating potential acquisition targets and the current cash balance reflects the minor operating costs. The Company has no material liabilities other than in respect of the </w:t>
      </w:r>
      <w:r w:rsidR="008E7B57" w:rsidRPr="009B546D">
        <w:rPr>
          <w:rFonts w:cstheme="minorHAnsi"/>
          <w:szCs w:val="20"/>
        </w:rPr>
        <w:t xml:space="preserve">Proposed </w:t>
      </w:r>
      <w:r w:rsidRPr="009B546D">
        <w:rPr>
          <w:rFonts w:cstheme="minorHAnsi"/>
          <w:szCs w:val="20"/>
        </w:rPr>
        <w:t>Acquisition.</w:t>
      </w:r>
    </w:p>
    <w:p w14:paraId="12651959" w14:textId="77777777" w:rsidR="00B13439" w:rsidRPr="009B546D" w:rsidRDefault="00B13439" w:rsidP="00F432B9">
      <w:pPr>
        <w:spacing w:after="120" w:line="240" w:lineRule="auto"/>
        <w:rPr>
          <w:rFonts w:cstheme="minorHAnsi"/>
          <w:szCs w:val="20"/>
        </w:rPr>
      </w:pPr>
      <w:r w:rsidRPr="009B546D">
        <w:rPr>
          <w:rFonts w:cstheme="minorHAnsi"/>
          <w:b/>
          <w:szCs w:val="20"/>
        </w:rPr>
        <w:t>Capital resources</w:t>
      </w:r>
    </w:p>
    <w:p w14:paraId="4B8A26C0" w14:textId="6A8C5254" w:rsidR="00B13439" w:rsidRPr="009B546D" w:rsidRDefault="00B13439" w:rsidP="00F432B9">
      <w:pPr>
        <w:spacing w:after="120" w:line="240" w:lineRule="auto"/>
        <w:rPr>
          <w:rFonts w:cstheme="minorHAnsi"/>
          <w:szCs w:val="20"/>
        </w:rPr>
      </w:pPr>
      <w:r w:rsidRPr="00384557">
        <w:rPr>
          <w:rFonts w:cstheme="minorHAnsi"/>
          <w:szCs w:val="20"/>
        </w:rPr>
        <w:t xml:space="preserve">AIQ’s capital resources </w:t>
      </w:r>
      <w:r w:rsidR="00F93E08" w:rsidRPr="009B546D">
        <w:rPr>
          <w:rFonts w:cstheme="minorHAnsi"/>
          <w:szCs w:val="20"/>
        </w:rPr>
        <w:t xml:space="preserve">primarily </w:t>
      </w:r>
      <w:r w:rsidRPr="009B546D">
        <w:rPr>
          <w:rFonts w:cstheme="minorHAnsi"/>
          <w:szCs w:val="20"/>
        </w:rPr>
        <w:t xml:space="preserve">comprise </w:t>
      </w:r>
      <w:r w:rsidR="00F93E08" w:rsidRPr="009B546D">
        <w:rPr>
          <w:rFonts w:cstheme="minorHAnsi"/>
          <w:szCs w:val="20"/>
        </w:rPr>
        <w:t>its</w:t>
      </w:r>
      <w:r w:rsidRPr="009B546D">
        <w:rPr>
          <w:rFonts w:cstheme="minorHAnsi"/>
          <w:szCs w:val="20"/>
        </w:rPr>
        <w:t xml:space="preserve"> cash and cash equivalents.</w:t>
      </w:r>
    </w:p>
    <w:p w14:paraId="0DFD6F2A" w14:textId="1CC1714D" w:rsidR="00B13439" w:rsidRPr="009B546D" w:rsidRDefault="00B13439" w:rsidP="00F432B9">
      <w:pPr>
        <w:spacing w:after="120" w:line="240" w:lineRule="auto"/>
        <w:rPr>
          <w:rFonts w:cstheme="minorHAnsi"/>
          <w:szCs w:val="20"/>
        </w:rPr>
      </w:pPr>
      <w:r w:rsidRPr="009B546D">
        <w:rPr>
          <w:rFonts w:cstheme="minorHAnsi"/>
          <w:szCs w:val="20"/>
        </w:rPr>
        <w:t xml:space="preserve">For the </w:t>
      </w:r>
      <w:r w:rsidR="0011611E" w:rsidRPr="009B546D">
        <w:rPr>
          <w:rFonts w:cstheme="minorHAnsi"/>
          <w:szCs w:val="20"/>
        </w:rPr>
        <w:t xml:space="preserve">period </w:t>
      </w:r>
      <w:r w:rsidRPr="009B546D">
        <w:rPr>
          <w:rFonts w:cstheme="minorHAnsi"/>
          <w:szCs w:val="20"/>
        </w:rPr>
        <w:t xml:space="preserve">ended 31 October 2018, cash outflow from operations totalled </w:t>
      </w:r>
      <w:r w:rsidR="00DB11F6" w:rsidRPr="009B546D">
        <w:rPr>
          <w:rFonts w:cstheme="minorHAnsi"/>
          <w:szCs w:val="20"/>
        </w:rPr>
        <w:t>£ (</w:t>
      </w:r>
      <w:r w:rsidRPr="009B546D">
        <w:rPr>
          <w:rFonts w:cstheme="minorHAnsi"/>
          <w:szCs w:val="20"/>
        </w:rPr>
        <w:t xml:space="preserve">409,964). Cash inflows from financing activities amounted to a total of £4,366,814, which comprised of £4,366,814 from issue of </w:t>
      </w:r>
      <w:r w:rsidR="008E7B57" w:rsidRPr="009B546D">
        <w:rPr>
          <w:rFonts w:cstheme="minorHAnsi"/>
          <w:szCs w:val="20"/>
        </w:rPr>
        <w:t>Ordinary Shares</w:t>
      </w:r>
      <w:r w:rsidR="009E0796" w:rsidRPr="009B546D">
        <w:rPr>
          <w:rFonts w:cstheme="minorHAnsi"/>
          <w:szCs w:val="20"/>
        </w:rPr>
        <w:t>.</w:t>
      </w:r>
    </w:p>
    <w:p w14:paraId="4E9E68D0" w14:textId="5825E0BD" w:rsidR="00B13439" w:rsidRPr="009B546D" w:rsidRDefault="00B13439" w:rsidP="00F432B9">
      <w:pPr>
        <w:spacing w:after="120" w:line="240" w:lineRule="auto"/>
        <w:rPr>
          <w:rFonts w:cstheme="minorHAnsi"/>
          <w:szCs w:val="20"/>
        </w:rPr>
      </w:pPr>
      <w:r w:rsidRPr="009B546D">
        <w:rPr>
          <w:rFonts w:cstheme="minorHAnsi"/>
          <w:szCs w:val="20"/>
        </w:rPr>
        <w:t>The most recently published audited financial statements show a net cash outflow of £</w:t>
      </w:r>
      <w:r w:rsidR="004D072D" w:rsidRPr="009B546D">
        <w:rPr>
          <w:rFonts w:cstheme="minorHAnsi"/>
          <w:szCs w:val="20"/>
        </w:rPr>
        <w:t>364,706</w:t>
      </w:r>
      <w:r w:rsidRPr="009B546D">
        <w:rPr>
          <w:rFonts w:cstheme="minorHAnsi"/>
          <w:szCs w:val="20"/>
        </w:rPr>
        <w:t xml:space="preserve"> which was primarily due to an operating loss of £</w:t>
      </w:r>
      <w:r w:rsidR="000F121C" w:rsidRPr="009B546D">
        <w:rPr>
          <w:rFonts w:cstheme="minorHAnsi"/>
          <w:szCs w:val="20"/>
        </w:rPr>
        <w:t>503</w:t>
      </w:r>
      <w:r w:rsidR="002E2445" w:rsidRPr="009B546D">
        <w:rPr>
          <w:rFonts w:cstheme="minorHAnsi"/>
          <w:szCs w:val="20"/>
        </w:rPr>
        <w:t>,</w:t>
      </w:r>
      <w:r w:rsidR="000F121C" w:rsidRPr="009B546D">
        <w:rPr>
          <w:rFonts w:cstheme="minorHAnsi"/>
          <w:szCs w:val="20"/>
        </w:rPr>
        <w:t>608</w:t>
      </w:r>
      <w:r w:rsidRPr="009B546D">
        <w:rPr>
          <w:rFonts w:cstheme="minorHAnsi"/>
          <w:szCs w:val="20"/>
        </w:rPr>
        <w:t>.</w:t>
      </w:r>
    </w:p>
    <w:p w14:paraId="2E27C323" w14:textId="77777777" w:rsidR="00B13439" w:rsidRPr="009B546D" w:rsidRDefault="00B13439" w:rsidP="00F432B9">
      <w:pPr>
        <w:spacing w:after="120" w:line="240" w:lineRule="auto"/>
        <w:rPr>
          <w:rFonts w:cstheme="minorHAnsi"/>
          <w:szCs w:val="20"/>
        </w:rPr>
      </w:pPr>
      <w:r w:rsidRPr="009B546D">
        <w:rPr>
          <w:rFonts w:cstheme="minorHAnsi"/>
          <w:szCs w:val="20"/>
        </w:rPr>
        <w:t>AIQ does not have any restrictions on its ability to meet financial commitments as they fall due.</w:t>
      </w:r>
    </w:p>
    <w:p w14:paraId="4675EBCF" w14:textId="14FFD413" w:rsidR="00B13439" w:rsidRPr="009B546D" w:rsidRDefault="00B13439" w:rsidP="00F432B9">
      <w:pPr>
        <w:spacing w:after="120" w:line="240" w:lineRule="auto"/>
        <w:rPr>
          <w:rFonts w:cstheme="minorHAnsi"/>
          <w:szCs w:val="20"/>
        </w:rPr>
      </w:pPr>
      <w:r w:rsidRPr="009B546D">
        <w:rPr>
          <w:rFonts w:cstheme="minorHAnsi"/>
          <w:szCs w:val="20"/>
        </w:rPr>
        <w:t xml:space="preserve">The following table shows AIQ’s Statement of Comprehensive income </w:t>
      </w:r>
      <w:r w:rsidR="000F121C" w:rsidRPr="009B546D">
        <w:rPr>
          <w:rFonts w:cstheme="minorHAnsi"/>
          <w:szCs w:val="20"/>
        </w:rPr>
        <w:t>for the year ended</w:t>
      </w:r>
      <w:r w:rsidRPr="009B546D">
        <w:rPr>
          <w:rFonts w:cstheme="minorHAnsi"/>
          <w:szCs w:val="20"/>
        </w:rPr>
        <w:t xml:space="preserve"> 31 October 2019 (being the last date in respect of which the Company has published financial information) </w:t>
      </w:r>
      <w:r w:rsidR="000F121C" w:rsidRPr="009B546D">
        <w:rPr>
          <w:rFonts w:cstheme="minorHAnsi"/>
          <w:szCs w:val="20"/>
        </w:rPr>
        <w:t xml:space="preserve">and for the period from 11 October 2017 to 31 </w:t>
      </w:r>
      <w:r w:rsidR="00053CC4" w:rsidRPr="009B546D">
        <w:rPr>
          <w:rFonts w:cstheme="minorHAnsi"/>
          <w:szCs w:val="20"/>
        </w:rPr>
        <w:t>October 2018</w:t>
      </w:r>
      <w:r w:rsidRPr="009B546D">
        <w:rPr>
          <w:rFonts w:cstheme="minorHAnsi"/>
          <w:szCs w:val="20"/>
        </w:rPr>
        <w:t>.</w:t>
      </w:r>
    </w:p>
    <w:p w14:paraId="29C3F864" w14:textId="77777777" w:rsidR="0032508A" w:rsidRPr="009B546D" w:rsidRDefault="0032508A" w:rsidP="00F432B9">
      <w:pPr>
        <w:spacing w:line="240" w:lineRule="auto"/>
        <w:jc w:val="right"/>
        <w:rPr>
          <w:rFonts w:cstheme="minorHAnsi"/>
          <w:i/>
          <w:szCs w:val="20"/>
        </w:rPr>
      </w:pPr>
    </w:p>
    <w:tbl>
      <w:tblPr>
        <w:tblW w:w="6380" w:type="dxa"/>
        <w:tblLook w:val="04A0" w:firstRow="1" w:lastRow="0" w:firstColumn="1" w:lastColumn="0" w:noHBand="0" w:noVBand="1"/>
      </w:tblPr>
      <w:tblGrid>
        <w:gridCol w:w="2840"/>
        <w:gridCol w:w="1180"/>
        <w:gridCol w:w="1180"/>
        <w:gridCol w:w="1180"/>
      </w:tblGrid>
      <w:tr w:rsidR="00B13439" w:rsidRPr="009B546D" w14:paraId="72B34563" w14:textId="77777777" w:rsidTr="007B5E1A">
        <w:trPr>
          <w:trHeight w:val="240"/>
        </w:trPr>
        <w:tc>
          <w:tcPr>
            <w:tcW w:w="2840" w:type="dxa"/>
            <w:tcBorders>
              <w:top w:val="nil"/>
              <w:left w:val="nil"/>
              <w:bottom w:val="nil"/>
              <w:right w:val="nil"/>
            </w:tcBorders>
            <w:shd w:val="clear" w:color="auto" w:fill="auto"/>
            <w:noWrap/>
            <w:vAlign w:val="bottom"/>
            <w:hideMark/>
          </w:tcPr>
          <w:p w14:paraId="317ACAD6" w14:textId="77777777" w:rsidR="00B13439" w:rsidRPr="009B546D" w:rsidRDefault="00B13439" w:rsidP="00F432B9">
            <w:pPr>
              <w:spacing w:line="240" w:lineRule="auto"/>
              <w:rPr>
                <w:rFonts w:eastAsia="Times New Roman" w:cstheme="minorHAnsi"/>
                <w:lang w:eastAsia="en-GB"/>
              </w:rPr>
            </w:pPr>
          </w:p>
        </w:tc>
        <w:tc>
          <w:tcPr>
            <w:tcW w:w="1180" w:type="dxa"/>
            <w:tcBorders>
              <w:top w:val="nil"/>
              <w:left w:val="nil"/>
              <w:bottom w:val="nil"/>
              <w:right w:val="nil"/>
            </w:tcBorders>
            <w:shd w:val="clear" w:color="auto" w:fill="auto"/>
            <w:noWrap/>
            <w:vAlign w:val="bottom"/>
            <w:hideMark/>
          </w:tcPr>
          <w:p w14:paraId="4EC42F3C" w14:textId="77777777" w:rsidR="00B13439" w:rsidRPr="009B546D" w:rsidRDefault="00B13439" w:rsidP="00F432B9">
            <w:pPr>
              <w:spacing w:line="240" w:lineRule="auto"/>
              <w:rPr>
                <w:rFonts w:cstheme="minorHAnsi"/>
                <w:szCs w:val="20"/>
              </w:rPr>
            </w:pPr>
          </w:p>
        </w:tc>
        <w:tc>
          <w:tcPr>
            <w:tcW w:w="1180" w:type="dxa"/>
            <w:tcBorders>
              <w:top w:val="nil"/>
              <w:left w:val="nil"/>
              <w:bottom w:val="nil"/>
              <w:right w:val="nil"/>
            </w:tcBorders>
            <w:shd w:val="clear" w:color="auto" w:fill="auto"/>
            <w:noWrap/>
            <w:vAlign w:val="bottom"/>
            <w:hideMark/>
          </w:tcPr>
          <w:p w14:paraId="5754F32D" w14:textId="77777777" w:rsidR="00B13439" w:rsidRPr="009B546D" w:rsidRDefault="00B13439" w:rsidP="00F432B9">
            <w:pPr>
              <w:spacing w:line="240" w:lineRule="auto"/>
              <w:jc w:val="right"/>
              <w:rPr>
                <w:rFonts w:cstheme="minorHAnsi"/>
                <w:i/>
                <w:iCs/>
                <w:color w:val="000000"/>
                <w:szCs w:val="20"/>
              </w:rPr>
            </w:pPr>
            <w:r w:rsidRPr="009B546D">
              <w:rPr>
                <w:rFonts w:cstheme="minorHAnsi"/>
                <w:i/>
                <w:iCs/>
                <w:color w:val="000000"/>
                <w:szCs w:val="20"/>
              </w:rPr>
              <w:t>2019</w:t>
            </w:r>
          </w:p>
        </w:tc>
        <w:tc>
          <w:tcPr>
            <w:tcW w:w="1180" w:type="dxa"/>
            <w:tcBorders>
              <w:top w:val="nil"/>
              <w:left w:val="nil"/>
              <w:bottom w:val="nil"/>
              <w:right w:val="nil"/>
            </w:tcBorders>
            <w:shd w:val="clear" w:color="auto" w:fill="auto"/>
            <w:noWrap/>
            <w:vAlign w:val="bottom"/>
            <w:hideMark/>
          </w:tcPr>
          <w:p w14:paraId="7101F224" w14:textId="77777777" w:rsidR="00B13439" w:rsidRPr="009B546D" w:rsidRDefault="00B13439" w:rsidP="00F432B9">
            <w:pPr>
              <w:spacing w:line="240" w:lineRule="auto"/>
              <w:jc w:val="right"/>
              <w:rPr>
                <w:rFonts w:cstheme="minorHAnsi"/>
                <w:i/>
                <w:iCs/>
                <w:color w:val="000000"/>
                <w:szCs w:val="20"/>
              </w:rPr>
            </w:pPr>
            <w:r w:rsidRPr="009B546D">
              <w:rPr>
                <w:rFonts w:cstheme="minorHAnsi"/>
                <w:i/>
                <w:iCs/>
                <w:color w:val="000000"/>
                <w:szCs w:val="20"/>
              </w:rPr>
              <w:t>2018</w:t>
            </w:r>
          </w:p>
        </w:tc>
      </w:tr>
      <w:tr w:rsidR="00053CC4" w:rsidRPr="009B546D" w14:paraId="326F720F" w14:textId="77777777" w:rsidTr="007B5E1A">
        <w:trPr>
          <w:trHeight w:val="240"/>
        </w:trPr>
        <w:tc>
          <w:tcPr>
            <w:tcW w:w="2840" w:type="dxa"/>
            <w:tcBorders>
              <w:top w:val="nil"/>
              <w:left w:val="nil"/>
              <w:bottom w:val="nil"/>
              <w:right w:val="nil"/>
            </w:tcBorders>
            <w:shd w:val="clear" w:color="auto" w:fill="auto"/>
            <w:noWrap/>
            <w:vAlign w:val="bottom"/>
          </w:tcPr>
          <w:p w14:paraId="42153388" w14:textId="77777777" w:rsidR="00053CC4" w:rsidRPr="009B546D" w:rsidRDefault="00053CC4" w:rsidP="00F432B9">
            <w:pPr>
              <w:spacing w:line="240" w:lineRule="auto"/>
              <w:rPr>
                <w:rFonts w:eastAsia="Times New Roman" w:cstheme="minorHAnsi"/>
                <w:lang w:eastAsia="en-GB"/>
              </w:rPr>
            </w:pPr>
          </w:p>
        </w:tc>
        <w:tc>
          <w:tcPr>
            <w:tcW w:w="1180" w:type="dxa"/>
            <w:tcBorders>
              <w:top w:val="nil"/>
              <w:left w:val="nil"/>
              <w:bottom w:val="nil"/>
              <w:right w:val="nil"/>
            </w:tcBorders>
            <w:shd w:val="clear" w:color="auto" w:fill="auto"/>
            <w:noWrap/>
            <w:vAlign w:val="bottom"/>
          </w:tcPr>
          <w:p w14:paraId="4266CF35" w14:textId="77777777" w:rsidR="00053CC4" w:rsidRPr="009B546D" w:rsidRDefault="00053CC4" w:rsidP="00F432B9">
            <w:pPr>
              <w:spacing w:line="240" w:lineRule="auto"/>
              <w:rPr>
                <w:rFonts w:cstheme="minorHAnsi"/>
                <w:szCs w:val="20"/>
              </w:rPr>
            </w:pPr>
          </w:p>
        </w:tc>
        <w:tc>
          <w:tcPr>
            <w:tcW w:w="1180" w:type="dxa"/>
            <w:tcBorders>
              <w:top w:val="nil"/>
              <w:left w:val="nil"/>
              <w:bottom w:val="nil"/>
              <w:right w:val="nil"/>
            </w:tcBorders>
            <w:shd w:val="clear" w:color="auto" w:fill="auto"/>
            <w:noWrap/>
            <w:vAlign w:val="bottom"/>
          </w:tcPr>
          <w:p w14:paraId="7D28062F" w14:textId="7808AB99" w:rsidR="00053CC4" w:rsidRPr="009B546D" w:rsidRDefault="00053CC4" w:rsidP="00F432B9">
            <w:pPr>
              <w:spacing w:line="240" w:lineRule="auto"/>
              <w:jc w:val="right"/>
              <w:rPr>
                <w:rFonts w:cstheme="minorHAnsi"/>
                <w:i/>
                <w:iCs/>
                <w:color w:val="000000"/>
                <w:szCs w:val="20"/>
              </w:rPr>
            </w:pPr>
            <w:r w:rsidRPr="009B546D">
              <w:rPr>
                <w:rFonts w:cstheme="minorHAnsi"/>
                <w:i/>
                <w:iCs/>
                <w:color w:val="000000"/>
                <w:szCs w:val="20"/>
              </w:rPr>
              <w:t>£</w:t>
            </w:r>
          </w:p>
        </w:tc>
        <w:tc>
          <w:tcPr>
            <w:tcW w:w="1180" w:type="dxa"/>
            <w:tcBorders>
              <w:top w:val="nil"/>
              <w:left w:val="nil"/>
              <w:bottom w:val="nil"/>
              <w:right w:val="nil"/>
            </w:tcBorders>
            <w:shd w:val="clear" w:color="auto" w:fill="auto"/>
            <w:noWrap/>
            <w:vAlign w:val="bottom"/>
          </w:tcPr>
          <w:p w14:paraId="0382226D" w14:textId="7FABF7E0" w:rsidR="00053CC4" w:rsidRPr="009B546D" w:rsidRDefault="00053CC4" w:rsidP="00F432B9">
            <w:pPr>
              <w:spacing w:line="240" w:lineRule="auto"/>
              <w:jc w:val="right"/>
              <w:rPr>
                <w:rFonts w:cstheme="minorHAnsi"/>
                <w:i/>
                <w:iCs/>
                <w:color w:val="000000"/>
                <w:szCs w:val="20"/>
              </w:rPr>
            </w:pPr>
            <w:r w:rsidRPr="009B546D">
              <w:rPr>
                <w:rFonts w:cstheme="minorHAnsi"/>
                <w:i/>
                <w:iCs/>
                <w:color w:val="000000"/>
                <w:szCs w:val="20"/>
              </w:rPr>
              <w:t>£</w:t>
            </w:r>
          </w:p>
        </w:tc>
      </w:tr>
      <w:tr w:rsidR="00B13439" w:rsidRPr="009B546D" w14:paraId="1BBDA254" w14:textId="77777777" w:rsidTr="007B5E1A">
        <w:trPr>
          <w:trHeight w:val="255"/>
        </w:trPr>
        <w:tc>
          <w:tcPr>
            <w:tcW w:w="2840" w:type="dxa"/>
            <w:tcBorders>
              <w:top w:val="nil"/>
              <w:left w:val="nil"/>
              <w:bottom w:val="nil"/>
              <w:right w:val="nil"/>
            </w:tcBorders>
            <w:shd w:val="clear" w:color="auto" w:fill="auto"/>
            <w:noWrap/>
            <w:vAlign w:val="bottom"/>
            <w:hideMark/>
          </w:tcPr>
          <w:p w14:paraId="6279DFF9" w14:textId="77777777" w:rsidR="00B13439" w:rsidRPr="009B546D" w:rsidRDefault="00B13439" w:rsidP="00EA2BB6">
            <w:pPr>
              <w:spacing w:after="0" w:line="240" w:lineRule="auto"/>
              <w:rPr>
                <w:rFonts w:cstheme="minorHAnsi"/>
                <w:color w:val="000000"/>
                <w:szCs w:val="20"/>
              </w:rPr>
            </w:pPr>
            <w:r w:rsidRPr="009B546D">
              <w:rPr>
                <w:rFonts w:cstheme="minorHAnsi"/>
                <w:color w:val="000000"/>
                <w:szCs w:val="20"/>
              </w:rPr>
              <w:t xml:space="preserve">Revenue </w:t>
            </w:r>
          </w:p>
        </w:tc>
        <w:tc>
          <w:tcPr>
            <w:tcW w:w="1180" w:type="dxa"/>
            <w:tcBorders>
              <w:top w:val="nil"/>
              <w:left w:val="nil"/>
              <w:bottom w:val="nil"/>
              <w:right w:val="nil"/>
            </w:tcBorders>
            <w:shd w:val="clear" w:color="auto" w:fill="auto"/>
            <w:vAlign w:val="bottom"/>
            <w:hideMark/>
          </w:tcPr>
          <w:p w14:paraId="78923AC8" w14:textId="77777777" w:rsidR="00B13439" w:rsidRPr="009B546D" w:rsidRDefault="00B13439" w:rsidP="00EA2BB6">
            <w:pPr>
              <w:spacing w:after="0" w:line="240" w:lineRule="auto"/>
              <w:rPr>
                <w:rFonts w:cstheme="minorHAnsi"/>
                <w:color w:val="000000"/>
                <w:szCs w:val="20"/>
              </w:rPr>
            </w:pPr>
          </w:p>
        </w:tc>
        <w:tc>
          <w:tcPr>
            <w:tcW w:w="1180" w:type="dxa"/>
            <w:tcBorders>
              <w:top w:val="nil"/>
              <w:left w:val="nil"/>
              <w:bottom w:val="nil"/>
              <w:right w:val="nil"/>
            </w:tcBorders>
            <w:shd w:val="clear" w:color="auto" w:fill="auto"/>
            <w:vAlign w:val="bottom"/>
            <w:hideMark/>
          </w:tcPr>
          <w:p w14:paraId="1CE5F701" w14:textId="77777777" w:rsidR="00B13439" w:rsidRPr="009B546D" w:rsidRDefault="00B13439" w:rsidP="00EA2BB6">
            <w:pPr>
              <w:spacing w:after="0" w:line="240" w:lineRule="auto"/>
              <w:jc w:val="center"/>
              <w:rPr>
                <w:rFonts w:cstheme="minorHAnsi"/>
                <w:color w:val="000000"/>
                <w:szCs w:val="20"/>
              </w:rPr>
            </w:pPr>
            <w:r w:rsidRPr="009B546D">
              <w:rPr>
                <w:rFonts w:cstheme="minorHAnsi"/>
                <w:color w:val="000000"/>
                <w:szCs w:val="20"/>
              </w:rPr>
              <w:t xml:space="preserve">- </w:t>
            </w:r>
          </w:p>
        </w:tc>
        <w:tc>
          <w:tcPr>
            <w:tcW w:w="1180" w:type="dxa"/>
            <w:tcBorders>
              <w:top w:val="nil"/>
              <w:left w:val="nil"/>
              <w:bottom w:val="nil"/>
              <w:right w:val="nil"/>
            </w:tcBorders>
            <w:shd w:val="clear" w:color="auto" w:fill="auto"/>
            <w:vAlign w:val="bottom"/>
            <w:hideMark/>
          </w:tcPr>
          <w:p w14:paraId="3D41AE04" w14:textId="77777777" w:rsidR="00B13439" w:rsidRPr="009B546D" w:rsidRDefault="00B13439" w:rsidP="00EA2BB6">
            <w:pPr>
              <w:spacing w:after="0" w:line="240" w:lineRule="auto"/>
              <w:jc w:val="center"/>
              <w:rPr>
                <w:rFonts w:cstheme="minorHAnsi"/>
                <w:color w:val="000000"/>
                <w:szCs w:val="20"/>
              </w:rPr>
            </w:pPr>
            <w:r w:rsidRPr="009B546D">
              <w:rPr>
                <w:rFonts w:cstheme="minorHAnsi"/>
                <w:color w:val="000000"/>
                <w:szCs w:val="20"/>
              </w:rPr>
              <w:t xml:space="preserve">- </w:t>
            </w:r>
          </w:p>
        </w:tc>
      </w:tr>
      <w:tr w:rsidR="00B13439" w:rsidRPr="009B546D" w14:paraId="23187524" w14:textId="77777777" w:rsidTr="007B5E1A">
        <w:trPr>
          <w:trHeight w:val="255"/>
        </w:trPr>
        <w:tc>
          <w:tcPr>
            <w:tcW w:w="2840" w:type="dxa"/>
            <w:tcBorders>
              <w:top w:val="nil"/>
              <w:left w:val="nil"/>
              <w:bottom w:val="nil"/>
              <w:right w:val="nil"/>
            </w:tcBorders>
            <w:shd w:val="clear" w:color="auto" w:fill="auto"/>
            <w:noWrap/>
            <w:vAlign w:val="bottom"/>
            <w:hideMark/>
          </w:tcPr>
          <w:p w14:paraId="55091FF2" w14:textId="77777777" w:rsidR="00B13439" w:rsidRPr="009B546D" w:rsidRDefault="00B13439" w:rsidP="00EA2BB6">
            <w:pPr>
              <w:spacing w:after="0" w:line="240" w:lineRule="auto"/>
              <w:rPr>
                <w:rFonts w:cstheme="minorHAnsi"/>
                <w:color w:val="000000"/>
                <w:szCs w:val="20"/>
              </w:rPr>
            </w:pPr>
            <w:r w:rsidRPr="009B546D">
              <w:rPr>
                <w:rFonts w:cstheme="minorHAnsi"/>
                <w:color w:val="000000"/>
                <w:szCs w:val="20"/>
              </w:rPr>
              <w:t xml:space="preserve">Administrative expenses </w:t>
            </w:r>
          </w:p>
        </w:tc>
        <w:tc>
          <w:tcPr>
            <w:tcW w:w="1180" w:type="dxa"/>
            <w:tcBorders>
              <w:top w:val="nil"/>
              <w:left w:val="nil"/>
              <w:bottom w:val="nil"/>
              <w:right w:val="nil"/>
            </w:tcBorders>
            <w:shd w:val="clear" w:color="auto" w:fill="auto"/>
            <w:vAlign w:val="bottom"/>
            <w:hideMark/>
          </w:tcPr>
          <w:p w14:paraId="5A1B5FED" w14:textId="77777777" w:rsidR="00B13439" w:rsidRPr="009B546D" w:rsidRDefault="00B13439" w:rsidP="00EA2BB6">
            <w:pPr>
              <w:spacing w:after="0" w:line="240" w:lineRule="auto"/>
              <w:jc w:val="right"/>
              <w:rPr>
                <w:rFonts w:cstheme="minorHAnsi"/>
                <w:color w:val="000000"/>
                <w:szCs w:val="20"/>
              </w:rPr>
            </w:pPr>
          </w:p>
        </w:tc>
        <w:tc>
          <w:tcPr>
            <w:tcW w:w="1180" w:type="dxa"/>
            <w:tcBorders>
              <w:top w:val="nil"/>
              <w:left w:val="nil"/>
              <w:bottom w:val="nil"/>
              <w:right w:val="nil"/>
            </w:tcBorders>
            <w:shd w:val="clear" w:color="auto" w:fill="auto"/>
            <w:vAlign w:val="bottom"/>
            <w:hideMark/>
          </w:tcPr>
          <w:p w14:paraId="673BFF35" w14:textId="3577A895" w:rsidR="00B13439" w:rsidRPr="009B546D" w:rsidRDefault="00B13439" w:rsidP="00EA2BB6">
            <w:pPr>
              <w:spacing w:after="0" w:line="240" w:lineRule="auto"/>
              <w:jc w:val="right"/>
              <w:rPr>
                <w:rFonts w:cstheme="minorHAnsi"/>
                <w:szCs w:val="20"/>
              </w:rPr>
            </w:pPr>
            <w:r w:rsidRPr="009B546D">
              <w:rPr>
                <w:rFonts w:cstheme="minorHAnsi"/>
                <w:szCs w:val="20"/>
              </w:rPr>
              <w:t>(</w:t>
            </w:r>
            <w:r w:rsidR="004D072D" w:rsidRPr="009B546D">
              <w:rPr>
                <w:rFonts w:cstheme="minorHAnsi"/>
                <w:szCs w:val="20"/>
              </w:rPr>
              <w:t>4</w:t>
            </w:r>
            <w:r w:rsidR="009D56F9" w:rsidRPr="009B546D">
              <w:rPr>
                <w:rFonts w:cstheme="minorHAnsi"/>
                <w:szCs w:val="20"/>
              </w:rPr>
              <w:t>87</w:t>
            </w:r>
            <w:r w:rsidR="004D072D" w:rsidRPr="009B546D">
              <w:rPr>
                <w:rFonts w:cstheme="minorHAnsi"/>
                <w:szCs w:val="20"/>
              </w:rPr>
              <w:t>,791</w:t>
            </w:r>
            <w:r w:rsidRPr="009B546D">
              <w:rPr>
                <w:rFonts w:cstheme="minorHAnsi"/>
                <w:szCs w:val="20"/>
              </w:rPr>
              <w:t>)</w:t>
            </w:r>
          </w:p>
        </w:tc>
        <w:tc>
          <w:tcPr>
            <w:tcW w:w="1180" w:type="dxa"/>
            <w:tcBorders>
              <w:top w:val="nil"/>
              <w:left w:val="nil"/>
              <w:bottom w:val="nil"/>
              <w:right w:val="nil"/>
            </w:tcBorders>
            <w:shd w:val="clear" w:color="auto" w:fill="auto"/>
            <w:vAlign w:val="bottom"/>
            <w:hideMark/>
          </w:tcPr>
          <w:p w14:paraId="03BA749E" w14:textId="77777777" w:rsidR="00B13439" w:rsidRPr="009B546D" w:rsidRDefault="00B13439" w:rsidP="00EA2BB6">
            <w:pPr>
              <w:spacing w:after="0" w:line="240" w:lineRule="auto"/>
              <w:jc w:val="right"/>
              <w:rPr>
                <w:rFonts w:cstheme="minorHAnsi"/>
                <w:szCs w:val="20"/>
              </w:rPr>
            </w:pPr>
            <w:r w:rsidRPr="009B546D">
              <w:rPr>
                <w:rFonts w:cstheme="minorHAnsi"/>
                <w:szCs w:val="20"/>
              </w:rPr>
              <w:t>(381,806)</w:t>
            </w:r>
          </w:p>
        </w:tc>
      </w:tr>
      <w:tr w:rsidR="00B13439" w:rsidRPr="009B546D" w14:paraId="17470012" w14:textId="77777777" w:rsidTr="003633CD">
        <w:trPr>
          <w:trHeight w:val="255"/>
        </w:trPr>
        <w:tc>
          <w:tcPr>
            <w:tcW w:w="2840" w:type="dxa"/>
            <w:tcBorders>
              <w:top w:val="nil"/>
              <w:left w:val="nil"/>
              <w:bottom w:val="nil"/>
              <w:right w:val="nil"/>
            </w:tcBorders>
            <w:shd w:val="clear" w:color="auto" w:fill="auto"/>
            <w:noWrap/>
            <w:vAlign w:val="bottom"/>
            <w:hideMark/>
          </w:tcPr>
          <w:p w14:paraId="7C52B234" w14:textId="77777777" w:rsidR="00B13439" w:rsidRPr="009B546D" w:rsidRDefault="00B13439" w:rsidP="00EA2BB6">
            <w:pPr>
              <w:spacing w:after="0" w:line="240" w:lineRule="auto"/>
              <w:rPr>
                <w:rFonts w:cstheme="minorHAnsi"/>
                <w:color w:val="000000"/>
                <w:szCs w:val="20"/>
              </w:rPr>
            </w:pPr>
            <w:r w:rsidRPr="009B546D">
              <w:rPr>
                <w:rFonts w:cstheme="minorHAnsi"/>
                <w:color w:val="000000"/>
                <w:szCs w:val="20"/>
              </w:rPr>
              <w:t>Transaction costs</w:t>
            </w:r>
          </w:p>
        </w:tc>
        <w:tc>
          <w:tcPr>
            <w:tcW w:w="1180" w:type="dxa"/>
            <w:tcBorders>
              <w:top w:val="nil"/>
              <w:left w:val="nil"/>
              <w:bottom w:val="nil"/>
              <w:right w:val="nil"/>
            </w:tcBorders>
            <w:shd w:val="clear" w:color="auto" w:fill="auto"/>
            <w:vAlign w:val="bottom"/>
            <w:hideMark/>
          </w:tcPr>
          <w:p w14:paraId="0B8B63B7" w14:textId="77777777" w:rsidR="00B13439" w:rsidRPr="009B546D" w:rsidRDefault="00B13439" w:rsidP="00EA2BB6">
            <w:pPr>
              <w:spacing w:after="0" w:line="240" w:lineRule="auto"/>
              <w:rPr>
                <w:rFonts w:cstheme="minorHAnsi"/>
                <w:color w:val="000000"/>
                <w:szCs w:val="20"/>
              </w:rPr>
            </w:pPr>
          </w:p>
        </w:tc>
        <w:tc>
          <w:tcPr>
            <w:tcW w:w="1180" w:type="dxa"/>
            <w:tcBorders>
              <w:top w:val="nil"/>
              <w:left w:val="nil"/>
              <w:right w:val="nil"/>
            </w:tcBorders>
            <w:shd w:val="clear" w:color="auto" w:fill="auto"/>
            <w:vAlign w:val="bottom"/>
            <w:hideMark/>
          </w:tcPr>
          <w:p w14:paraId="7D7D0977" w14:textId="7F8B06FC" w:rsidR="00B13439" w:rsidRPr="009B546D" w:rsidRDefault="004D072D" w:rsidP="00EA2BB6">
            <w:pPr>
              <w:spacing w:after="0" w:line="240" w:lineRule="auto"/>
              <w:jc w:val="right"/>
              <w:rPr>
                <w:rFonts w:cstheme="minorHAnsi"/>
                <w:color w:val="000000"/>
                <w:szCs w:val="20"/>
              </w:rPr>
            </w:pPr>
            <w:r w:rsidRPr="009B546D">
              <w:rPr>
                <w:rFonts w:cstheme="minorHAnsi"/>
                <w:szCs w:val="20"/>
              </w:rPr>
              <w:t>-</w:t>
            </w:r>
          </w:p>
        </w:tc>
        <w:tc>
          <w:tcPr>
            <w:tcW w:w="1180" w:type="dxa"/>
            <w:tcBorders>
              <w:top w:val="nil"/>
              <w:left w:val="nil"/>
              <w:right w:val="nil"/>
            </w:tcBorders>
            <w:shd w:val="clear" w:color="auto" w:fill="auto"/>
            <w:vAlign w:val="bottom"/>
            <w:hideMark/>
          </w:tcPr>
          <w:p w14:paraId="40E11DF4" w14:textId="77777777" w:rsidR="00B13439" w:rsidRPr="009B546D" w:rsidRDefault="00B13439" w:rsidP="00EA2BB6">
            <w:pPr>
              <w:spacing w:after="0" w:line="240" w:lineRule="auto"/>
              <w:jc w:val="right"/>
              <w:rPr>
                <w:rFonts w:cstheme="minorHAnsi"/>
                <w:color w:val="000000"/>
                <w:szCs w:val="20"/>
              </w:rPr>
            </w:pPr>
            <w:r w:rsidRPr="009B546D">
              <w:rPr>
                <w:rFonts w:cstheme="minorHAnsi"/>
                <w:color w:val="000000"/>
                <w:szCs w:val="20"/>
              </w:rPr>
              <w:t>(438,096)</w:t>
            </w:r>
          </w:p>
        </w:tc>
      </w:tr>
      <w:tr w:rsidR="00B13439" w:rsidRPr="009B546D" w14:paraId="408F9A28" w14:textId="77777777" w:rsidTr="003633CD">
        <w:trPr>
          <w:trHeight w:val="255"/>
        </w:trPr>
        <w:tc>
          <w:tcPr>
            <w:tcW w:w="2840" w:type="dxa"/>
            <w:tcBorders>
              <w:top w:val="nil"/>
              <w:left w:val="nil"/>
              <w:bottom w:val="nil"/>
              <w:right w:val="nil"/>
            </w:tcBorders>
            <w:shd w:val="clear" w:color="auto" w:fill="auto"/>
            <w:noWrap/>
            <w:vAlign w:val="bottom"/>
            <w:hideMark/>
          </w:tcPr>
          <w:p w14:paraId="19DA71A2" w14:textId="77777777" w:rsidR="00B13439" w:rsidRPr="009B546D" w:rsidRDefault="00B13439" w:rsidP="00EA2BB6">
            <w:pPr>
              <w:spacing w:after="0" w:line="240" w:lineRule="auto"/>
              <w:rPr>
                <w:rFonts w:cstheme="minorHAnsi"/>
                <w:color w:val="000000"/>
                <w:szCs w:val="20"/>
              </w:rPr>
            </w:pPr>
            <w:r w:rsidRPr="009B546D">
              <w:rPr>
                <w:rFonts w:cstheme="minorHAnsi"/>
                <w:color w:val="000000"/>
                <w:szCs w:val="20"/>
              </w:rPr>
              <w:t xml:space="preserve">Gains on foreign exchange (net) </w:t>
            </w:r>
          </w:p>
        </w:tc>
        <w:tc>
          <w:tcPr>
            <w:tcW w:w="1180" w:type="dxa"/>
            <w:tcBorders>
              <w:top w:val="nil"/>
              <w:left w:val="nil"/>
              <w:bottom w:val="nil"/>
              <w:right w:val="nil"/>
            </w:tcBorders>
            <w:shd w:val="clear" w:color="auto" w:fill="auto"/>
            <w:vAlign w:val="bottom"/>
            <w:hideMark/>
          </w:tcPr>
          <w:p w14:paraId="6C460514" w14:textId="77777777" w:rsidR="00B13439" w:rsidRPr="009B546D" w:rsidRDefault="00B13439" w:rsidP="00EA2BB6">
            <w:pPr>
              <w:spacing w:after="0" w:line="240" w:lineRule="auto"/>
              <w:rPr>
                <w:rFonts w:cstheme="minorHAnsi"/>
                <w:color w:val="000000"/>
                <w:szCs w:val="20"/>
              </w:rPr>
            </w:pPr>
          </w:p>
        </w:tc>
        <w:tc>
          <w:tcPr>
            <w:tcW w:w="1180" w:type="dxa"/>
            <w:tcBorders>
              <w:top w:val="nil"/>
              <w:left w:val="nil"/>
              <w:bottom w:val="single" w:sz="4" w:space="0" w:color="auto"/>
              <w:right w:val="nil"/>
            </w:tcBorders>
            <w:shd w:val="clear" w:color="auto" w:fill="auto"/>
            <w:vAlign w:val="bottom"/>
            <w:hideMark/>
          </w:tcPr>
          <w:p w14:paraId="553DB711" w14:textId="1CEBB7F3" w:rsidR="00B13439" w:rsidRPr="009B546D" w:rsidRDefault="00B13439" w:rsidP="00EA2BB6">
            <w:pPr>
              <w:spacing w:after="0" w:line="240" w:lineRule="auto"/>
              <w:jc w:val="right"/>
              <w:rPr>
                <w:rFonts w:cstheme="minorHAnsi"/>
                <w:color w:val="000000"/>
                <w:szCs w:val="20"/>
              </w:rPr>
            </w:pPr>
            <w:r w:rsidRPr="009B546D">
              <w:rPr>
                <w:rFonts w:cstheme="minorHAnsi"/>
                <w:szCs w:val="20"/>
              </w:rPr>
              <w:t>(</w:t>
            </w:r>
            <w:r w:rsidR="00CF183A" w:rsidRPr="009B546D">
              <w:rPr>
                <w:rFonts w:cstheme="minorHAnsi"/>
                <w:szCs w:val="20"/>
              </w:rPr>
              <w:t>35,630</w:t>
            </w:r>
            <w:r w:rsidRPr="009B546D">
              <w:rPr>
                <w:rFonts w:cstheme="minorHAnsi"/>
                <w:szCs w:val="20"/>
              </w:rPr>
              <w:t>)</w:t>
            </w:r>
            <w:r w:rsidRPr="009B546D">
              <w:rPr>
                <w:rFonts w:cstheme="minorHAnsi"/>
                <w:color w:val="000000"/>
                <w:szCs w:val="20"/>
              </w:rPr>
              <w:t xml:space="preserve"> </w:t>
            </w:r>
          </w:p>
        </w:tc>
        <w:tc>
          <w:tcPr>
            <w:tcW w:w="1180" w:type="dxa"/>
            <w:tcBorders>
              <w:top w:val="nil"/>
              <w:left w:val="nil"/>
              <w:bottom w:val="single" w:sz="4" w:space="0" w:color="auto"/>
              <w:right w:val="nil"/>
            </w:tcBorders>
            <w:shd w:val="clear" w:color="auto" w:fill="auto"/>
            <w:vAlign w:val="bottom"/>
            <w:hideMark/>
          </w:tcPr>
          <w:p w14:paraId="3BA4E91C" w14:textId="23EFDC45" w:rsidR="00B13439" w:rsidRPr="009B546D" w:rsidRDefault="00B13439" w:rsidP="00EA2BB6">
            <w:pPr>
              <w:spacing w:after="0" w:line="240" w:lineRule="auto"/>
              <w:jc w:val="right"/>
              <w:rPr>
                <w:rFonts w:cstheme="minorHAnsi"/>
                <w:color w:val="000000"/>
                <w:szCs w:val="20"/>
              </w:rPr>
            </w:pPr>
            <w:r w:rsidRPr="009B546D">
              <w:rPr>
                <w:rFonts w:cstheme="minorHAnsi"/>
                <w:color w:val="000000"/>
                <w:szCs w:val="20"/>
              </w:rPr>
              <w:t>147,078</w:t>
            </w:r>
          </w:p>
        </w:tc>
      </w:tr>
      <w:tr w:rsidR="00B13439" w:rsidRPr="009B546D" w14:paraId="79955277" w14:textId="77777777" w:rsidTr="003633CD">
        <w:trPr>
          <w:trHeight w:val="255"/>
        </w:trPr>
        <w:tc>
          <w:tcPr>
            <w:tcW w:w="2840" w:type="dxa"/>
            <w:tcBorders>
              <w:top w:val="nil"/>
              <w:left w:val="nil"/>
              <w:bottom w:val="nil"/>
              <w:right w:val="nil"/>
            </w:tcBorders>
            <w:shd w:val="clear" w:color="auto" w:fill="auto"/>
            <w:noWrap/>
            <w:vAlign w:val="bottom"/>
            <w:hideMark/>
          </w:tcPr>
          <w:p w14:paraId="6019D934" w14:textId="77777777" w:rsidR="00B13439" w:rsidRPr="009B546D" w:rsidRDefault="00B13439" w:rsidP="00EA2BB6">
            <w:pPr>
              <w:spacing w:after="0" w:line="240" w:lineRule="auto"/>
              <w:rPr>
                <w:rFonts w:cstheme="minorHAnsi"/>
                <w:b/>
                <w:bCs/>
                <w:color w:val="000000"/>
                <w:szCs w:val="20"/>
              </w:rPr>
            </w:pPr>
            <w:r w:rsidRPr="009B546D">
              <w:rPr>
                <w:rFonts w:cstheme="minorHAnsi"/>
                <w:b/>
                <w:bCs/>
                <w:color w:val="000000"/>
                <w:szCs w:val="20"/>
              </w:rPr>
              <w:t xml:space="preserve">Operating loss </w:t>
            </w:r>
          </w:p>
        </w:tc>
        <w:tc>
          <w:tcPr>
            <w:tcW w:w="1180" w:type="dxa"/>
            <w:tcBorders>
              <w:top w:val="nil"/>
              <w:left w:val="nil"/>
              <w:bottom w:val="nil"/>
              <w:right w:val="nil"/>
            </w:tcBorders>
            <w:shd w:val="clear" w:color="auto" w:fill="auto"/>
            <w:noWrap/>
            <w:vAlign w:val="bottom"/>
            <w:hideMark/>
          </w:tcPr>
          <w:p w14:paraId="5AAE9693" w14:textId="77777777" w:rsidR="00B13439" w:rsidRPr="009B546D" w:rsidRDefault="00B13439" w:rsidP="00EA2BB6">
            <w:pPr>
              <w:spacing w:after="0" w:line="240" w:lineRule="auto"/>
              <w:rPr>
                <w:rFonts w:cstheme="minorHAnsi"/>
                <w:b/>
                <w:bCs/>
                <w:color w:val="000000"/>
                <w:szCs w:val="20"/>
              </w:rPr>
            </w:pPr>
          </w:p>
        </w:tc>
        <w:tc>
          <w:tcPr>
            <w:tcW w:w="1180" w:type="dxa"/>
            <w:tcBorders>
              <w:top w:val="single" w:sz="4" w:space="0" w:color="auto"/>
              <w:left w:val="nil"/>
              <w:right w:val="nil"/>
            </w:tcBorders>
            <w:shd w:val="clear" w:color="auto" w:fill="auto"/>
            <w:noWrap/>
            <w:vAlign w:val="bottom"/>
            <w:hideMark/>
          </w:tcPr>
          <w:p w14:paraId="76D37AD0" w14:textId="1397F114" w:rsidR="00B13439" w:rsidRPr="009B546D" w:rsidRDefault="00B13439" w:rsidP="00EA2BB6">
            <w:pPr>
              <w:spacing w:after="0" w:line="240" w:lineRule="auto"/>
              <w:jc w:val="right"/>
              <w:rPr>
                <w:rFonts w:cstheme="minorHAnsi"/>
                <w:b/>
                <w:bCs/>
                <w:color w:val="000000"/>
                <w:szCs w:val="20"/>
              </w:rPr>
            </w:pPr>
            <w:r w:rsidRPr="009B546D">
              <w:rPr>
                <w:rFonts w:cstheme="minorHAnsi"/>
                <w:b/>
                <w:bCs/>
                <w:color w:val="000000"/>
                <w:szCs w:val="20"/>
              </w:rPr>
              <w:t>(</w:t>
            </w:r>
            <w:r w:rsidR="00457962" w:rsidRPr="009B546D">
              <w:rPr>
                <w:rFonts w:cstheme="minorHAnsi"/>
                <w:b/>
                <w:bCs/>
                <w:color w:val="000000"/>
                <w:szCs w:val="20"/>
              </w:rPr>
              <w:t>5</w:t>
            </w:r>
            <w:r w:rsidR="00010F71" w:rsidRPr="009B546D">
              <w:rPr>
                <w:rFonts w:cstheme="minorHAnsi"/>
                <w:b/>
                <w:bCs/>
                <w:color w:val="000000"/>
                <w:szCs w:val="20"/>
              </w:rPr>
              <w:t>2</w:t>
            </w:r>
            <w:r w:rsidR="00457962" w:rsidRPr="009B546D">
              <w:rPr>
                <w:rFonts w:cstheme="minorHAnsi"/>
                <w:b/>
                <w:bCs/>
                <w:color w:val="000000"/>
                <w:szCs w:val="20"/>
              </w:rPr>
              <w:t>3</w:t>
            </w:r>
            <w:r w:rsidR="008D344E" w:rsidRPr="009B546D">
              <w:rPr>
                <w:rFonts w:cstheme="minorHAnsi"/>
                <w:b/>
                <w:bCs/>
                <w:color w:val="000000"/>
                <w:szCs w:val="20"/>
              </w:rPr>
              <w:t>,</w:t>
            </w:r>
            <w:r w:rsidR="00010F71" w:rsidRPr="009B546D">
              <w:rPr>
                <w:rFonts w:cstheme="minorHAnsi"/>
                <w:b/>
                <w:bCs/>
                <w:color w:val="000000"/>
                <w:szCs w:val="20"/>
              </w:rPr>
              <w:t>421</w:t>
            </w:r>
            <w:r w:rsidRPr="009B546D">
              <w:rPr>
                <w:rFonts w:cstheme="minorHAnsi"/>
                <w:b/>
                <w:bCs/>
                <w:color w:val="000000"/>
                <w:szCs w:val="20"/>
              </w:rPr>
              <w:t>)</w:t>
            </w:r>
          </w:p>
        </w:tc>
        <w:tc>
          <w:tcPr>
            <w:tcW w:w="1180" w:type="dxa"/>
            <w:tcBorders>
              <w:top w:val="single" w:sz="4" w:space="0" w:color="auto"/>
              <w:left w:val="nil"/>
              <w:right w:val="nil"/>
            </w:tcBorders>
            <w:shd w:val="clear" w:color="auto" w:fill="auto"/>
            <w:noWrap/>
            <w:vAlign w:val="bottom"/>
            <w:hideMark/>
          </w:tcPr>
          <w:p w14:paraId="2A1B6F9B" w14:textId="77777777" w:rsidR="00B13439" w:rsidRPr="009B546D" w:rsidRDefault="00B13439" w:rsidP="00EA2BB6">
            <w:pPr>
              <w:spacing w:after="0" w:line="240" w:lineRule="auto"/>
              <w:jc w:val="right"/>
              <w:rPr>
                <w:rFonts w:cstheme="minorHAnsi"/>
                <w:b/>
                <w:bCs/>
                <w:color w:val="000000"/>
                <w:szCs w:val="20"/>
              </w:rPr>
            </w:pPr>
            <w:r w:rsidRPr="009B546D">
              <w:rPr>
                <w:rFonts w:cstheme="minorHAnsi"/>
                <w:b/>
                <w:bCs/>
                <w:color w:val="000000"/>
                <w:szCs w:val="20"/>
              </w:rPr>
              <w:t>(672,824)</w:t>
            </w:r>
          </w:p>
        </w:tc>
      </w:tr>
      <w:tr w:rsidR="00B13439" w:rsidRPr="009B546D" w14:paraId="4CDF434D" w14:textId="77777777" w:rsidTr="003633CD">
        <w:trPr>
          <w:trHeight w:val="255"/>
        </w:trPr>
        <w:tc>
          <w:tcPr>
            <w:tcW w:w="2840" w:type="dxa"/>
            <w:tcBorders>
              <w:top w:val="nil"/>
              <w:left w:val="nil"/>
              <w:bottom w:val="nil"/>
              <w:right w:val="nil"/>
            </w:tcBorders>
            <w:shd w:val="clear" w:color="auto" w:fill="auto"/>
            <w:noWrap/>
            <w:vAlign w:val="bottom"/>
            <w:hideMark/>
          </w:tcPr>
          <w:p w14:paraId="7089922B" w14:textId="77777777" w:rsidR="00B13439" w:rsidRPr="009B546D" w:rsidRDefault="00B13439" w:rsidP="00EA2BB6">
            <w:pPr>
              <w:spacing w:after="0" w:line="240" w:lineRule="auto"/>
              <w:rPr>
                <w:rFonts w:cstheme="minorHAnsi"/>
                <w:color w:val="000000"/>
                <w:szCs w:val="20"/>
              </w:rPr>
            </w:pPr>
            <w:r w:rsidRPr="009B546D">
              <w:rPr>
                <w:rFonts w:cstheme="minorHAnsi"/>
                <w:color w:val="000000"/>
                <w:szCs w:val="20"/>
              </w:rPr>
              <w:t xml:space="preserve">Finance income </w:t>
            </w:r>
          </w:p>
        </w:tc>
        <w:tc>
          <w:tcPr>
            <w:tcW w:w="1180" w:type="dxa"/>
            <w:tcBorders>
              <w:top w:val="nil"/>
              <w:left w:val="nil"/>
              <w:bottom w:val="nil"/>
              <w:right w:val="nil"/>
            </w:tcBorders>
            <w:shd w:val="clear" w:color="auto" w:fill="auto"/>
            <w:noWrap/>
            <w:vAlign w:val="bottom"/>
            <w:hideMark/>
          </w:tcPr>
          <w:p w14:paraId="68B96E09" w14:textId="77777777" w:rsidR="00B13439" w:rsidRPr="009B546D" w:rsidRDefault="00B13439" w:rsidP="00EA2BB6">
            <w:pPr>
              <w:spacing w:after="0" w:line="240" w:lineRule="auto"/>
              <w:rPr>
                <w:rFonts w:cstheme="minorHAnsi"/>
                <w:color w:val="000000"/>
                <w:szCs w:val="20"/>
              </w:rPr>
            </w:pPr>
          </w:p>
        </w:tc>
        <w:tc>
          <w:tcPr>
            <w:tcW w:w="1180" w:type="dxa"/>
            <w:tcBorders>
              <w:top w:val="nil"/>
              <w:left w:val="nil"/>
              <w:bottom w:val="single" w:sz="4" w:space="0" w:color="auto"/>
              <w:right w:val="nil"/>
            </w:tcBorders>
            <w:shd w:val="clear" w:color="auto" w:fill="auto"/>
            <w:vAlign w:val="bottom"/>
            <w:hideMark/>
          </w:tcPr>
          <w:p w14:paraId="2CBF3732" w14:textId="38D0A365" w:rsidR="00B13439" w:rsidRPr="009B546D" w:rsidRDefault="008D344E" w:rsidP="00EA2BB6">
            <w:pPr>
              <w:spacing w:after="0" w:line="240" w:lineRule="auto"/>
              <w:jc w:val="right"/>
              <w:rPr>
                <w:rFonts w:cstheme="minorHAnsi"/>
                <w:color w:val="000000"/>
                <w:szCs w:val="20"/>
              </w:rPr>
            </w:pPr>
            <w:r w:rsidRPr="009B546D">
              <w:rPr>
                <w:rFonts w:cstheme="minorHAnsi"/>
                <w:color w:val="000000"/>
                <w:szCs w:val="20"/>
              </w:rPr>
              <w:t>19,843</w:t>
            </w:r>
          </w:p>
        </w:tc>
        <w:tc>
          <w:tcPr>
            <w:tcW w:w="1180" w:type="dxa"/>
            <w:tcBorders>
              <w:top w:val="nil"/>
              <w:left w:val="nil"/>
              <w:bottom w:val="single" w:sz="4" w:space="0" w:color="auto"/>
              <w:right w:val="nil"/>
            </w:tcBorders>
            <w:shd w:val="clear" w:color="auto" w:fill="auto"/>
            <w:vAlign w:val="bottom"/>
            <w:hideMark/>
          </w:tcPr>
          <w:p w14:paraId="3EB55088" w14:textId="77777777" w:rsidR="00B13439" w:rsidRPr="009B546D" w:rsidRDefault="00B13439" w:rsidP="00EA2BB6">
            <w:pPr>
              <w:spacing w:after="0" w:line="240" w:lineRule="auto"/>
              <w:jc w:val="right"/>
              <w:rPr>
                <w:rFonts w:cstheme="minorHAnsi"/>
                <w:color w:val="000000"/>
                <w:szCs w:val="20"/>
              </w:rPr>
            </w:pPr>
            <w:r w:rsidRPr="009B546D">
              <w:rPr>
                <w:rFonts w:cstheme="minorHAnsi"/>
                <w:color w:val="000000"/>
                <w:szCs w:val="20"/>
              </w:rPr>
              <w:t xml:space="preserve">18,548 </w:t>
            </w:r>
          </w:p>
        </w:tc>
      </w:tr>
      <w:tr w:rsidR="00B13439" w:rsidRPr="009B546D" w14:paraId="2CD12E3F" w14:textId="77777777" w:rsidTr="003633CD">
        <w:trPr>
          <w:trHeight w:val="255"/>
        </w:trPr>
        <w:tc>
          <w:tcPr>
            <w:tcW w:w="2840" w:type="dxa"/>
            <w:tcBorders>
              <w:top w:val="nil"/>
              <w:left w:val="nil"/>
              <w:bottom w:val="nil"/>
              <w:right w:val="nil"/>
            </w:tcBorders>
            <w:shd w:val="clear" w:color="auto" w:fill="auto"/>
            <w:noWrap/>
            <w:vAlign w:val="bottom"/>
            <w:hideMark/>
          </w:tcPr>
          <w:p w14:paraId="2C25CF45" w14:textId="77777777" w:rsidR="00B13439" w:rsidRPr="009B546D" w:rsidRDefault="00B13439" w:rsidP="00EA2BB6">
            <w:pPr>
              <w:spacing w:after="0" w:line="240" w:lineRule="auto"/>
              <w:rPr>
                <w:rFonts w:cstheme="minorHAnsi"/>
                <w:b/>
                <w:bCs/>
                <w:color w:val="000000"/>
                <w:szCs w:val="20"/>
              </w:rPr>
            </w:pPr>
            <w:r w:rsidRPr="009B546D">
              <w:rPr>
                <w:rFonts w:cstheme="minorHAnsi"/>
                <w:b/>
                <w:bCs/>
                <w:color w:val="000000"/>
                <w:szCs w:val="20"/>
              </w:rPr>
              <w:t xml:space="preserve">Loss before taxation </w:t>
            </w:r>
          </w:p>
        </w:tc>
        <w:tc>
          <w:tcPr>
            <w:tcW w:w="1180" w:type="dxa"/>
            <w:tcBorders>
              <w:top w:val="nil"/>
              <w:left w:val="nil"/>
              <w:bottom w:val="nil"/>
              <w:right w:val="nil"/>
            </w:tcBorders>
            <w:shd w:val="clear" w:color="auto" w:fill="auto"/>
            <w:noWrap/>
            <w:vAlign w:val="bottom"/>
            <w:hideMark/>
          </w:tcPr>
          <w:p w14:paraId="418D4BEE" w14:textId="77777777" w:rsidR="00B13439" w:rsidRPr="009B546D" w:rsidRDefault="00B13439" w:rsidP="00EA2BB6">
            <w:pPr>
              <w:spacing w:after="0" w:line="240" w:lineRule="auto"/>
              <w:rPr>
                <w:rFonts w:cstheme="minorHAnsi"/>
                <w:b/>
                <w:bCs/>
                <w:color w:val="000000"/>
                <w:szCs w:val="20"/>
              </w:rPr>
            </w:pPr>
          </w:p>
        </w:tc>
        <w:tc>
          <w:tcPr>
            <w:tcW w:w="1180" w:type="dxa"/>
            <w:tcBorders>
              <w:top w:val="single" w:sz="4" w:space="0" w:color="auto"/>
              <w:left w:val="nil"/>
              <w:bottom w:val="nil"/>
              <w:right w:val="nil"/>
            </w:tcBorders>
            <w:shd w:val="clear" w:color="auto" w:fill="auto"/>
            <w:noWrap/>
            <w:vAlign w:val="bottom"/>
            <w:hideMark/>
          </w:tcPr>
          <w:p w14:paraId="64A6B656" w14:textId="470845BC" w:rsidR="00B13439" w:rsidRPr="009B546D" w:rsidRDefault="008D344E" w:rsidP="00EA2BB6">
            <w:pPr>
              <w:spacing w:after="0" w:line="240" w:lineRule="auto"/>
              <w:jc w:val="right"/>
              <w:rPr>
                <w:rFonts w:cstheme="minorHAnsi"/>
                <w:b/>
                <w:bCs/>
                <w:color w:val="000000"/>
                <w:szCs w:val="20"/>
              </w:rPr>
            </w:pPr>
            <w:r w:rsidRPr="009B546D">
              <w:rPr>
                <w:rFonts w:cstheme="minorHAnsi"/>
                <w:b/>
                <w:bCs/>
                <w:color w:val="000000"/>
                <w:szCs w:val="20"/>
              </w:rPr>
              <w:t>(</w:t>
            </w:r>
            <w:r w:rsidR="009C76B6" w:rsidRPr="009B546D">
              <w:rPr>
                <w:rFonts w:cstheme="minorHAnsi"/>
                <w:b/>
                <w:bCs/>
                <w:color w:val="000000"/>
                <w:szCs w:val="20"/>
              </w:rPr>
              <w:t>503</w:t>
            </w:r>
            <w:r w:rsidRPr="009B546D">
              <w:rPr>
                <w:rFonts w:cstheme="minorHAnsi"/>
                <w:b/>
                <w:bCs/>
                <w:color w:val="000000"/>
                <w:szCs w:val="20"/>
              </w:rPr>
              <w:t>,608)</w:t>
            </w:r>
          </w:p>
        </w:tc>
        <w:tc>
          <w:tcPr>
            <w:tcW w:w="1180" w:type="dxa"/>
            <w:tcBorders>
              <w:top w:val="single" w:sz="4" w:space="0" w:color="auto"/>
              <w:left w:val="nil"/>
              <w:bottom w:val="nil"/>
              <w:right w:val="nil"/>
            </w:tcBorders>
            <w:shd w:val="clear" w:color="auto" w:fill="auto"/>
            <w:noWrap/>
            <w:vAlign w:val="bottom"/>
            <w:hideMark/>
          </w:tcPr>
          <w:p w14:paraId="6AADE904" w14:textId="77777777" w:rsidR="00B13439" w:rsidRPr="009B546D" w:rsidRDefault="00B13439" w:rsidP="00EA2BB6">
            <w:pPr>
              <w:spacing w:after="0" w:line="240" w:lineRule="auto"/>
              <w:jc w:val="right"/>
              <w:rPr>
                <w:rFonts w:cstheme="minorHAnsi"/>
                <w:b/>
                <w:bCs/>
                <w:color w:val="000000"/>
                <w:szCs w:val="20"/>
              </w:rPr>
            </w:pPr>
            <w:r w:rsidRPr="009B546D">
              <w:rPr>
                <w:rFonts w:cstheme="minorHAnsi"/>
                <w:b/>
                <w:bCs/>
                <w:color w:val="000000"/>
                <w:szCs w:val="20"/>
              </w:rPr>
              <w:t>(654,276)</w:t>
            </w:r>
          </w:p>
        </w:tc>
      </w:tr>
      <w:tr w:rsidR="00B13439" w:rsidRPr="009B546D" w14:paraId="3057EDCF" w14:textId="77777777" w:rsidTr="003633CD">
        <w:trPr>
          <w:trHeight w:val="255"/>
        </w:trPr>
        <w:tc>
          <w:tcPr>
            <w:tcW w:w="2840" w:type="dxa"/>
            <w:tcBorders>
              <w:top w:val="nil"/>
              <w:left w:val="nil"/>
              <w:bottom w:val="nil"/>
              <w:right w:val="nil"/>
            </w:tcBorders>
            <w:shd w:val="clear" w:color="auto" w:fill="auto"/>
            <w:noWrap/>
            <w:vAlign w:val="bottom"/>
            <w:hideMark/>
          </w:tcPr>
          <w:p w14:paraId="6FE80106" w14:textId="77777777" w:rsidR="00B13439" w:rsidRPr="009B546D" w:rsidRDefault="00B13439" w:rsidP="00EA2BB6">
            <w:pPr>
              <w:spacing w:after="0" w:line="240" w:lineRule="auto"/>
              <w:rPr>
                <w:rFonts w:cstheme="minorHAnsi"/>
                <w:color w:val="000000"/>
                <w:szCs w:val="20"/>
              </w:rPr>
            </w:pPr>
            <w:r w:rsidRPr="009B546D">
              <w:rPr>
                <w:rFonts w:cstheme="minorHAnsi"/>
                <w:color w:val="000000"/>
                <w:szCs w:val="20"/>
              </w:rPr>
              <w:t xml:space="preserve">Taxation </w:t>
            </w:r>
          </w:p>
        </w:tc>
        <w:tc>
          <w:tcPr>
            <w:tcW w:w="1180" w:type="dxa"/>
            <w:tcBorders>
              <w:top w:val="nil"/>
              <w:left w:val="nil"/>
              <w:bottom w:val="nil"/>
              <w:right w:val="nil"/>
            </w:tcBorders>
            <w:shd w:val="clear" w:color="auto" w:fill="auto"/>
            <w:noWrap/>
            <w:vAlign w:val="bottom"/>
            <w:hideMark/>
          </w:tcPr>
          <w:p w14:paraId="327C30BA" w14:textId="77777777" w:rsidR="00B13439" w:rsidRPr="009B546D" w:rsidRDefault="00B13439" w:rsidP="00EA2BB6">
            <w:pPr>
              <w:spacing w:after="0" w:line="240" w:lineRule="auto"/>
              <w:rPr>
                <w:rFonts w:cstheme="minorHAnsi"/>
                <w:color w:val="000000"/>
                <w:szCs w:val="20"/>
              </w:rPr>
            </w:pPr>
          </w:p>
        </w:tc>
        <w:tc>
          <w:tcPr>
            <w:tcW w:w="1180" w:type="dxa"/>
            <w:tcBorders>
              <w:top w:val="nil"/>
              <w:left w:val="nil"/>
              <w:bottom w:val="single" w:sz="4" w:space="0" w:color="auto"/>
              <w:right w:val="nil"/>
            </w:tcBorders>
            <w:shd w:val="clear" w:color="auto" w:fill="auto"/>
            <w:vAlign w:val="bottom"/>
            <w:hideMark/>
          </w:tcPr>
          <w:p w14:paraId="616618A0" w14:textId="77777777" w:rsidR="00B13439" w:rsidRPr="009B546D" w:rsidRDefault="00B13439" w:rsidP="00EA2BB6">
            <w:pPr>
              <w:spacing w:after="0" w:line="240" w:lineRule="auto"/>
              <w:jc w:val="right"/>
              <w:rPr>
                <w:rFonts w:cstheme="minorHAnsi"/>
                <w:color w:val="000000"/>
                <w:szCs w:val="20"/>
              </w:rPr>
            </w:pPr>
            <w:r w:rsidRPr="009B546D">
              <w:rPr>
                <w:rFonts w:cstheme="minorHAnsi"/>
                <w:color w:val="000000"/>
                <w:szCs w:val="20"/>
              </w:rPr>
              <w:t xml:space="preserve">- </w:t>
            </w:r>
          </w:p>
        </w:tc>
        <w:tc>
          <w:tcPr>
            <w:tcW w:w="1180" w:type="dxa"/>
            <w:tcBorders>
              <w:top w:val="nil"/>
              <w:left w:val="nil"/>
              <w:bottom w:val="single" w:sz="4" w:space="0" w:color="auto"/>
              <w:right w:val="nil"/>
            </w:tcBorders>
            <w:shd w:val="clear" w:color="auto" w:fill="auto"/>
            <w:vAlign w:val="bottom"/>
            <w:hideMark/>
          </w:tcPr>
          <w:p w14:paraId="24CB8FCA" w14:textId="77777777" w:rsidR="00B13439" w:rsidRPr="009B546D" w:rsidRDefault="00B13439" w:rsidP="00EA2BB6">
            <w:pPr>
              <w:spacing w:after="0" w:line="240" w:lineRule="auto"/>
              <w:jc w:val="right"/>
              <w:rPr>
                <w:rFonts w:cstheme="minorHAnsi"/>
                <w:color w:val="000000"/>
                <w:szCs w:val="20"/>
              </w:rPr>
            </w:pPr>
            <w:r w:rsidRPr="009B546D">
              <w:rPr>
                <w:rFonts w:cstheme="minorHAnsi"/>
                <w:color w:val="000000"/>
                <w:szCs w:val="20"/>
              </w:rPr>
              <w:t xml:space="preserve">- </w:t>
            </w:r>
          </w:p>
        </w:tc>
      </w:tr>
      <w:tr w:rsidR="00B13439" w:rsidRPr="009B546D" w14:paraId="2DD740E7" w14:textId="77777777" w:rsidTr="003633CD">
        <w:trPr>
          <w:trHeight w:val="255"/>
        </w:trPr>
        <w:tc>
          <w:tcPr>
            <w:tcW w:w="4020" w:type="dxa"/>
            <w:gridSpan w:val="2"/>
            <w:tcBorders>
              <w:top w:val="nil"/>
              <w:left w:val="nil"/>
              <w:bottom w:val="nil"/>
              <w:right w:val="nil"/>
            </w:tcBorders>
            <w:shd w:val="clear" w:color="auto" w:fill="auto"/>
            <w:noWrap/>
            <w:vAlign w:val="bottom"/>
            <w:hideMark/>
          </w:tcPr>
          <w:p w14:paraId="384AE53B" w14:textId="77777777" w:rsidR="00B13439" w:rsidRPr="009B546D" w:rsidRDefault="00B13439" w:rsidP="00EA2BB6">
            <w:pPr>
              <w:spacing w:after="0" w:line="240" w:lineRule="auto"/>
              <w:rPr>
                <w:rFonts w:cstheme="minorHAnsi"/>
                <w:b/>
                <w:bCs/>
                <w:color w:val="000000"/>
                <w:szCs w:val="20"/>
              </w:rPr>
            </w:pPr>
            <w:r w:rsidRPr="009B546D">
              <w:rPr>
                <w:rFonts w:cstheme="minorHAnsi"/>
                <w:b/>
                <w:bCs/>
                <w:color w:val="000000"/>
                <w:szCs w:val="20"/>
              </w:rPr>
              <w:t xml:space="preserve">Total comprehensive loss for the year/period </w:t>
            </w:r>
          </w:p>
        </w:tc>
        <w:tc>
          <w:tcPr>
            <w:tcW w:w="1180" w:type="dxa"/>
            <w:tcBorders>
              <w:top w:val="single" w:sz="4" w:space="0" w:color="auto"/>
              <w:left w:val="nil"/>
              <w:bottom w:val="single" w:sz="4" w:space="0" w:color="auto"/>
              <w:right w:val="nil"/>
            </w:tcBorders>
            <w:shd w:val="clear" w:color="auto" w:fill="auto"/>
            <w:noWrap/>
            <w:vAlign w:val="bottom"/>
            <w:hideMark/>
          </w:tcPr>
          <w:p w14:paraId="2C48E9C4" w14:textId="2368235A" w:rsidR="00B13439" w:rsidRPr="009B546D" w:rsidRDefault="009F5D91" w:rsidP="00EA2BB6">
            <w:pPr>
              <w:spacing w:after="0" w:line="240" w:lineRule="auto"/>
              <w:jc w:val="right"/>
              <w:rPr>
                <w:rFonts w:cstheme="minorHAnsi"/>
                <w:b/>
                <w:bCs/>
                <w:color w:val="000000"/>
                <w:szCs w:val="20"/>
              </w:rPr>
            </w:pPr>
            <w:r w:rsidRPr="009B546D">
              <w:rPr>
                <w:rFonts w:cstheme="minorHAnsi"/>
                <w:b/>
                <w:bCs/>
                <w:color w:val="000000"/>
                <w:szCs w:val="20"/>
              </w:rPr>
              <w:t>(503,608)</w:t>
            </w:r>
          </w:p>
        </w:tc>
        <w:tc>
          <w:tcPr>
            <w:tcW w:w="1180" w:type="dxa"/>
            <w:tcBorders>
              <w:top w:val="single" w:sz="4" w:space="0" w:color="auto"/>
              <w:left w:val="nil"/>
              <w:bottom w:val="single" w:sz="4" w:space="0" w:color="auto"/>
              <w:right w:val="nil"/>
            </w:tcBorders>
            <w:shd w:val="clear" w:color="auto" w:fill="auto"/>
            <w:noWrap/>
            <w:vAlign w:val="bottom"/>
            <w:hideMark/>
          </w:tcPr>
          <w:p w14:paraId="043CDC2C" w14:textId="77777777" w:rsidR="00B13439" w:rsidRPr="009B546D" w:rsidRDefault="00B13439" w:rsidP="00EA2BB6">
            <w:pPr>
              <w:spacing w:after="0" w:line="240" w:lineRule="auto"/>
              <w:jc w:val="right"/>
              <w:rPr>
                <w:rFonts w:cstheme="minorHAnsi"/>
                <w:b/>
                <w:bCs/>
                <w:color w:val="000000"/>
                <w:szCs w:val="20"/>
              </w:rPr>
            </w:pPr>
            <w:r w:rsidRPr="009B546D">
              <w:rPr>
                <w:rFonts w:cstheme="minorHAnsi"/>
                <w:b/>
                <w:bCs/>
                <w:color w:val="000000"/>
                <w:szCs w:val="20"/>
              </w:rPr>
              <w:t>(654,276)</w:t>
            </w:r>
          </w:p>
        </w:tc>
      </w:tr>
    </w:tbl>
    <w:p w14:paraId="2D7354BF" w14:textId="77777777" w:rsidR="00B13439" w:rsidRPr="009B546D" w:rsidRDefault="00B13439" w:rsidP="00F432B9">
      <w:pPr>
        <w:spacing w:line="240" w:lineRule="auto"/>
        <w:rPr>
          <w:rFonts w:cstheme="minorHAnsi"/>
          <w:szCs w:val="20"/>
        </w:rPr>
      </w:pPr>
    </w:p>
    <w:p w14:paraId="3C86FA74" w14:textId="6D20F64E" w:rsidR="00B13439" w:rsidRPr="009B546D" w:rsidRDefault="00B13439" w:rsidP="00F432B9">
      <w:pPr>
        <w:spacing w:after="120" w:line="240" w:lineRule="auto"/>
        <w:rPr>
          <w:rFonts w:cstheme="minorHAnsi"/>
          <w:szCs w:val="20"/>
        </w:rPr>
      </w:pPr>
      <w:r w:rsidRPr="009B546D">
        <w:rPr>
          <w:rFonts w:cstheme="minorHAnsi"/>
          <w:szCs w:val="20"/>
        </w:rPr>
        <w:t>The information above has been extracted</w:t>
      </w:r>
      <w:r w:rsidR="008E7B57" w:rsidRPr="009B546D">
        <w:rPr>
          <w:rFonts w:cstheme="minorHAnsi"/>
          <w:szCs w:val="20"/>
        </w:rPr>
        <w:t>,</w:t>
      </w:r>
      <w:r w:rsidRPr="009B546D">
        <w:rPr>
          <w:rFonts w:cstheme="minorHAnsi"/>
          <w:szCs w:val="20"/>
        </w:rPr>
        <w:t xml:space="preserve"> without material adjustment</w:t>
      </w:r>
      <w:r w:rsidR="008E7B57" w:rsidRPr="009B546D">
        <w:rPr>
          <w:rFonts w:cstheme="minorHAnsi"/>
          <w:szCs w:val="20"/>
        </w:rPr>
        <w:t>,</w:t>
      </w:r>
      <w:r w:rsidRPr="009B546D">
        <w:rPr>
          <w:rFonts w:cstheme="minorHAnsi"/>
          <w:szCs w:val="20"/>
        </w:rPr>
        <w:t xml:space="preserve"> from the audited annual report of AIQ for the </w:t>
      </w:r>
      <w:r w:rsidR="008E7B57" w:rsidRPr="009B546D">
        <w:rPr>
          <w:rFonts w:cstheme="minorHAnsi"/>
          <w:szCs w:val="20"/>
        </w:rPr>
        <w:t>year</w:t>
      </w:r>
      <w:r w:rsidRPr="009B546D">
        <w:rPr>
          <w:rFonts w:cstheme="minorHAnsi"/>
          <w:szCs w:val="20"/>
        </w:rPr>
        <w:t xml:space="preserve"> ended 31 October 2019 and</w:t>
      </w:r>
      <w:r w:rsidR="00F05EB1" w:rsidRPr="009B546D">
        <w:rPr>
          <w:rFonts w:cstheme="minorHAnsi"/>
          <w:szCs w:val="20"/>
        </w:rPr>
        <w:t xml:space="preserve"> for the period from 11 October 2017 to </w:t>
      </w:r>
      <w:r w:rsidRPr="009B546D">
        <w:rPr>
          <w:rFonts w:cstheme="minorHAnsi"/>
          <w:szCs w:val="20"/>
        </w:rPr>
        <w:t>31 October 2018.</w:t>
      </w:r>
    </w:p>
    <w:p w14:paraId="24DDE376" w14:textId="5D926ADB" w:rsidR="00B13439" w:rsidRPr="009B546D" w:rsidRDefault="00B13439" w:rsidP="00F432B9">
      <w:pPr>
        <w:spacing w:after="120" w:line="240" w:lineRule="auto"/>
        <w:rPr>
          <w:rFonts w:cstheme="minorHAnsi"/>
          <w:i/>
          <w:szCs w:val="20"/>
        </w:rPr>
      </w:pPr>
      <w:r w:rsidRPr="009B546D">
        <w:rPr>
          <w:rFonts w:cstheme="minorHAnsi"/>
          <w:szCs w:val="20"/>
        </w:rPr>
        <w:t>The following table shows AIQ’s Statement of Financial Position as at 31 October 2019 (being the last date in respect of which the Company has published financial information) for the years 2019 and 2018.</w:t>
      </w:r>
    </w:p>
    <w:tbl>
      <w:tblPr>
        <w:tblW w:w="6380" w:type="dxa"/>
        <w:tblLook w:val="04A0" w:firstRow="1" w:lastRow="0" w:firstColumn="1" w:lastColumn="0" w:noHBand="0" w:noVBand="1"/>
      </w:tblPr>
      <w:tblGrid>
        <w:gridCol w:w="2840"/>
        <w:gridCol w:w="1180"/>
        <w:gridCol w:w="1180"/>
        <w:gridCol w:w="1180"/>
      </w:tblGrid>
      <w:tr w:rsidR="00B13439" w:rsidRPr="009B546D" w14:paraId="6370AECA" w14:textId="77777777" w:rsidTr="007B5E1A">
        <w:trPr>
          <w:trHeight w:val="255"/>
        </w:trPr>
        <w:tc>
          <w:tcPr>
            <w:tcW w:w="2840" w:type="dxa"/>
            <w:tcBorders>
              <w:top w:val="nil"/>
              <w:left w:val="nil"/>
              <w:bottom w:val="nil"/>
              <w:right w:val="nil"/>
            </w:tcBorders>
            <w:shd w:val="clear" w:color="auto" w:fill="auto"/>
            <w:noWrap/>
            <w:vAlign w:val="bottom"/>
            <w:hideMark/>
          </w:tcPr>
          <w:p w14:paraId="6F6BE63A" w14:textId="77777777" w:rsidR="00B13439" w:rsidRPr="009B546D" w:rsidRDefault="00B13439" w:rsidP="00F432B9">
            <w:pPr>
              <w:spacing w:line="240" w:lineRule="auto"/>
              <w:rPr>
                <w:rFonts w:eastAsia="Times New Roman" w:cstheme="minorHAnsi"/>
                <w:lang w:eastAsia="en-GB"/>
              </w:rPr>
            </w:pPr>
          </w:p>
        </w:tc>
        <w:tc>
          <w:tcPr>
            <w:tcW w:w="1180" w:type="dxa"/>
            <w:tcBorders>
              <w:top w:val="nil"/>
              <w:left w:val="nil"/>
              <w:bottom w:val="nil"/>
              <w:right w:val="nil"/>
            </w:tcBorders>
            <w:shd w:val="clear" w:color="auto" w:fill="auto"/>
            <w:noWrap/>
            <w:vAlign w:val="bottom"/>
            <w:hideMark/>
          </w:tcPr>
          <w:p w14:paraId="196C4066" w14:textId="77777777" w:rsidR="00B13439" w:rsidRPr="009B546D" w:rsidRDefault="00B13439" w:rsidP="00F432B9">
            <w:pPr>
              <w:spacing w:line="240" w:lineRule="auto"/>
              <w:rPr>
                <w:rFonts w:cstheme="minorHAnsi"/>
                <w:szCs w:val="20"/>
              </w:rPr>
            </w:pPr>
          </w:p>
        </w:tc>
        <w:tc>
          <w:tcPr>
            <w:tcW w:w="1180" w:type="dxa"/>
            <w:tcBorders>
              <w:top w:val="nil"/>
              <w:left w:val="nil"/>
              <w:bottom w:val="nil"/>
              <w:right w:val="nil"/>
            </w:tcBorders>
            <w:shd w:val="clear" w:color="auto" w:fill="auto"/>
            <w:noWrap/>
            <w:vAlign w:val="bottom"/>
            <w:hideMark/>
          </w:tcPr>
          <w:p w14:paraId="68EF504F" w14:textId="77777777" w:rsidR="00B13439" w:rsidRPr="009B546D" w:rsidRDefault="00B13439" w:rsidP="00F432B9">
            <w:pPr>
              <w:spacing w:line="240" w:lineRule="auto"/>
              <w:jc w:val="right"/>
              <w:rPr>
                <w:rFonts w:cstheme="minorHAnsi"/>
                <w:i/>
                <w:iCs/>
                <w:color w:val="000000"/>
                <w:szCs w:val="20"/>
              </w:rPr>
            </w:pPr>
            <w:r w:rsidRPr="009B546D">
              <w:rPr>
                <w:rFonts w:cstheme="minorHAnsi"/>
                <w:i/>
                <w:iCs/>
                <w:color w:val="000000"/>
                <w:szCs w:val="20"/>
              </w:rPr>
              <w:t>2019</w:t>
            </w:r>
          </w:p>
        </w:tc>
        <w:tc>
          <w:tcPr>
            <w:tcW w:w="1180" w:type="dxa"/>
            <w:tcBorders>
              <w:top w:val="nil"/>
              <w:left w:val="nil"/>
              <w:bottom w:val="nil"/>
              <w:right w:val="nil"/>
            </w:tcBorders>
            <w:shd w:val="clear" w:color="auto" w:fill="auto"/>
            <w:noWrap/>
            <w:vAlign w:val="bottom"/>
            <w:hideMark/>
          </w:tcPr>
          <w:p w14:paraId="3FE8DCF0" w14:textId="77777777" w:rsidR="00B13439" w:rsidRPr="009B546D" w:rsidRDefault="00B13439" w:rsidP="00F432B9">
            <w:pPr>
              <w:spacing w:line="240" w:lineRule="auto"/>
              <w:jc w:val="right"/>
              <w:rPr>
                <w:rFonts w:cstheme="minorHAnsi"/>
                <w:i/>
                <w:iCs/>
                <w:color w:val="000000"/>
                <w:szCs w:val="20"/>
              </w:rPr>
            </w:pPr>
            <w:r w:rsidRPr="009B546D">
              <w:rPr>
                <w:rFonts w:cstheme="minorHAnsi"/>
                <w:i/>
                <w:iCs/>
                <w:color w:val="000000"/>
                <w:szCs w:val="20"/>
              </w:rPr>
              <w:t>2018</w:t>
            </w:r>
          </w:p>
        </w:tc>
      </w:tr>
      <w:tr w:rsidR="00F05EB1" w:rsidRPr="009B546D" w14:paraId="68C52289" w14:textId="77777777" w:rsidTr="007B5E1A">
        <w:trPr>
          <w:trHeight w:val="255"/>
        </w:trPr>
        <w:tc>
          <w:tcPr>
            <w:tcW w:w="2840" w:type="dxa"/>
            <w:tcBorders>
              <w:top w:val="nil"/>
              <w:left w:val="nil"/>
              <w:bottom w:val="nil"/>
              <w:right w:val="nil"/>
            </w:tcBorders>
            <w:shd w:val="clear" w:color="auto" w:fill="auto"/>
            <w:noWrap/>
            <w:vAlign w:val="bottom"/>
          </w:tcPr>
          <w:p w14:paraId="661233D2" w14:textId="77777777" w:rsidR="00F05EB1" w:rsidRPr="009B546D" w:rsidRDefault="00F05EB1" w:rsidP="00EA2BB6">
            <w:pPr>
              <w:spacing w:after="0" w:line="240" w:lineRule="auto"/>
              <w:rPr>
                <w:rFonts w:eastAsia="Times New Roman" w:cstheme="minorHAnsi"/>
                <w:lang w:eastAsia="en-GB"/>
              </w:rPr>
            </w:pPr>
          </w:p>
        </w:tc>
        <w:tc>
          <w:tcPr>
            <w:tcW w:w="1180" w:type="dxa"/>
            <w:tcBorders>
              <w:top w:val="nil"/>
              <w:left w:val="nil"/>
              <w:bottom w:val="nil"/>
              <w:right w:val="nil"/>
            </w:tcBorders>
            <w:shd w:val="clear" w:color="auto" w:fill="auto"/>
            <w:noWrap/>
            <w:vAlign w:val="bottom"/>
          </w:tcPr>
          <w:p w14:paraId="635AF141" w14:textId="77777777" w:rsidR="00F05EB1" w:rsidRPr="009B546D" w:rsidRDefault="00F05EB1" w:rsidP="00EA2BB6">
            <w:pPr>
              <w:spacing w:after="0" w:line="240" w:lineRule="auto"/>
              <w:rPr>
                <w:rFonts w:cstheme="minorHAnsi"/>
                <w:szCs w:val="20"/>
              </w:rPr>
            </w:pPr>
          </w:p>
        </w:tc>
        <w:tc>
          <w:tcPr>
            <w:tcW w:w="1180" w:type="dxa"/>
            <w:tcBorders>
              <w:top w:val="nil"/>
              <w:left w:val="nil"/>
              <w:bottom w:val="nil"/>
              <w:right w:val="nil"/>
            </w:tcBorders>
            <w:shd w:val="clear" w:color="auto" w:fill="auto"/>
            <w:noWrap/>
            <w:vAlign w:val="bottom"/>
          </w:tcPr>
          <w:p w14:paraId="32E62F05" w14:textId="6DCABE74" w:rsidR="00F05EB1" w:rsidRPr="009B546D" w:rsidRDefault="00F05EB1" w:rsidP="00EA2BB6">
            <w:pPr>
              <w:spacing w:after="0" w:line="240" w:lineRule="auto"/>
              <w:jc w:val="right"/>
              <w:rPr>
                <w:rFonts w:cstheme="minorHAnsi"/>
                <w:i/>
                <w:iCs/>
                <w:color w:val="000000"/>
                <w:szCs w:val="20"/>
              </w:rPr>
            </w:pPr>
            <w:r w:rsidRPr="009B546D">
              <w:rPr>
                <w:rFonts w:cstheme="minorHAnsi"/>
                <w:i/>
                <w:iCs/>
                <w:color w:val="000000"/>
                <w:szCs w:val="20"/>
              </w:rPr>
              <w:t>£</w:t>
            </w:r>
          </w:p>
        </w:tc>
        <w:tc>
          <w:tcPr>
            <w:tcW w:w="1180" w:type="dxa"/>
            <w:tcBorders>
              <w:top w:val="nil"/>
              <w:left w:val="nil"/>
              <w:bottom w:val="nil"/>
              <w:right w:val="nil"/>
            </w:tcBorders>
            <w:shd w:val="clear" w:color="auto" w:fill="auto"/>
            <w:noWrap/>
            <w:vAlign w:val="bottom"/>
          </w:tcPr>
          <w:p w14:paraId="43A69594" w14:textId="15F95C6F" w:rsidR="00F05EB1" w:rsidRPr="009B546D" w:rsidRDefault="00F05EB1" w:rsidP="00EA2BB6">
            <w:pPr>
              <w:spacing w:after="0" w:line="240" w:lineRule="auto"/>
              <w:jc w:val="right"/>
              <w:rPr>
                <w:rFonts w:cstheme="minorHAnsi"/>
                <w:i/>
                <w:iCs/>
                <w:color w:val="000000"/>
                <w:szCs w:val="20"/>
              </w:rPr>
            </w:pPr>
            <w:r w:rsidRPr="009B546D">
              <w:rPr>
                <w:rFonts w:cstheme="minorHAnsi"/>
                <w:i/>
                <w:iCs/>
                <w:color w:val="000000"/>
                <w:szCs w:val="20"/>
              </w:rPr>
              <w:t>£</w:t>
            </w:r>
          </w:p>
        </w:tc>
      </w:tr>
      <w:tr w:rsidR="00B13439" w:rsidRPr="009B546D" w14:paraId="2BB1BA06" w14:textId="77777777" w:rsidTr="007B5E1A">
        <w:trPr>
          <w:trHeight w:val="255"/>
        </w:trPr>
        <w:tc>
          <w:tcPr>
            <w:tcW w:w="2840" w:type="dxa"/>
            <w:tcBorders>
              <w:top w:val="nil"/>
              <w:left w:val="nil"/>
              <w:bottom w:val="nil"/>
              <w:right w:val="nil"/>
            </w:tcBorders>
            <w:shd w:val="clear" w:color="auto" w:fill="auto"/>
            <w:noWrap/>
            <w:vAlign w:val="bottom"/>
            <w:hideMark/>
          </w:tcPr>
          <w:p w14:paraId="74EE5FC9" w14:textId="77777777" w:rsidR="00B13439" w:rsidRPr="009B546D" w:rsidRDefault="00B13439" w:rsidP="00EA2BB6">
            <w:pPr>
              <w:spacing w:after="0" w:line="240" w:lineRule="auto"/>
              <w:rPr>
                <w:rFonts w:cstheme="minorHAnsi"/>
                <w:b/>
                <w:bCs/>
                <w:color w:val="000000"/>
                <w:szCs w:val="20"/>
              </w:rPr>
            </w:pPr>
            <w:r w:rsidRPr="009B546D">
              <w:rPr>
                <w:rFonts w:cstheme="minorHAnsi"/>
                <w:b/>
                <w:bCs/>
                <w:color w:val="000000"/>
                <w:szCs w:val="20"/>
              </w:rPr>
              <w:t xml:space="preserve">Assets </w:t>
            </w:r>
          </w:p>
        </w:tc>
        <w:tc>
          <w:tcPr>
            <w:tcW w:w="1180" w:type="dxa"/>
            <w:tcBorders>
              <w:top w:val="nil"/>
              <w:left w:val="nil"/>
              <w:bottom w:val="nil"/>
              <w:right w:val="nil"/>
            </w:tcBorders>
            <w:shd w:val="clear" w:color="auto" w:fill="auto"/>
            <w:noWrap/>
            <w:vAlign w:val="bottom"/>
            <w:hideMark/>
          </w:tcPr>
          <w:p w14:paraId="77DD8B24" w14:textId="77777777" w:rsidR="00B13439" w:rsidRPr="009B546D" w:rsidRDefault="00B13439" w:rsidP="00EA2BB6">
            <w:pPr>
              <w:spacing w:after="0" w:line="240" w:lineRule="auto"/>
              <w:rPr>
                <w:rFonts w:cstheme="minorHAnsi"/>
                <w:b/>
                <w:bCs/>
                <w:color w:val="000000"/>
                <w:szCs w:val="20"/>
              </w:rPr>
            </w:pPr>
          </w:p>
        </w:tc>
        <w:tc>
          <w:tcPr>
            <w:tcW w:w="1180" w:type="dxa"/>
            <w:tcBorders>
              <w:top w:val="nil"/>
              <w:left w:val="nil"/>
              <w:bottom w:val="nil"/>
              <w:right w:val="nil"/>
            </w:tcBorders>
            <w:shd w:val="clear" w:color="auto" w:fill="auto"/>
            <w:noWrap/>
            <w:vAlign w:val="bottom"/>
            <w:hideMark/>
          </w:tcPr>
          <w:p w14:paraId="092FDE4A" w14:textId="77777777" w:rsidR="00B13439" w:rsidRPr="009B546D" w:rsidRDefault="00B13439" w:rsidP="00EA2BB6">
            <w:pPr>
              <w:spacing w:after="0" w:line="240" w:lineRule="auto"/>
              <w:rPr>
                <w:rFonts w:cstheme="minorHAnsi"/>
                <w:szCs w:val="20"/>
              </w:rPr>
            </w:pPr>
          </w:p>
        </w:tc>
        <w:tc>
          <w:tcPr>
            <w:tcW w:w="1180" w:type="dxa"/>
            <w:tcBorders>
              <w:top w:val="nil"/>
              <w:left w:val="nil"/>
              <w:bottom w:val="nil"/>
              <w:right w:val="nil"/>
            </w:tcBorders>
            <w:shd w:val="clear" w:color="auto" w:fill="auto"/>
            <w:noWrap/>
            <w:vAlign w:val="bottom"/>
            <w:hideMark/>
          </w:tcPr>
          <w:p w14:paraId="0C6F7A41" w14:textId="77777777" w:rsidR="00B13439" w:rsidRPr="009B546D" w:rsidRDefault="00B13439" w:rsidP="00EA2BB6">
            <w:pPr>
              <w:spacing w:after="0" w:line="240" w:lineRule="auto"/>
              <w:rPr>
                <w:rFonts w:cstheme="minorHAnsi"/>
                <w:szCs w:val="20"/>
              </w:rPr>
            </w:pPr>
          </w:p>
        </w:tc>
      </w:tr>
      <w:tr w:rsidR="00B13439" w:rsidRPr="009B546D" w14:paraId="147ED59F" w14:textId="77777777" w:rsidTr="007B5E1A">
        <w:trPr>
          <w:trHeight w:val="255"/>
        </w:trPr>
        <w:tc>
          <w:tcPr>
            <w:tcW w:w="2840" w:type="dxa"/>
            <w:tcBorders>
              <w:top w:val="nil"/>
              <w:left w:val="nil"/>
              <w:bottom w:val="nil"/>
              <w:right w:val="nil"/>
            </w:tcBorders>
            <w:shd w:val="clear" w:color="auto" w:fill="auto"/>
            <w:noWrap/>
            <w:vAlign w:val="bottom"/>
            <w:hideMark/>
          </w:tcPr>
          <w:p w14:paraId="5C3A4AAD" w14:textId="77777777" w:rsidR="00B13439" w:rsidRPr="009B546D" w:rsidRDefault="00B13439" w:rsidP="00EA2BB6">
            <w:pPr>
              <w:spacing w:after="0" w:line="240" w:lineRule="auto"/>
              <w:rPr>
                <w:rFonts w:cstheme="minorHAnsi"/>
                <w:b/>
                <w:bCs/>
                <w:color w:val="000000"/>
                <w:szCs w:val="20"/>
              </w:rPr>
            </w:pPr>
            <w:r w:rsidRPr="009B546D">
              <w:rPr>
                <w:rFonts w:cstheme="minorHAnsi"/>
                <w:b/>
                <w:bCs/>
                <w:color w:val="000000"/>
                <w:szCs w:val="20"/>
              </w:rPr>
              <w:t xml:space="preserve">Current assets </w:t>
            </w:r>
          </w:p>
        </w:tc>
        <w:tc>
          <w:tcPr>
            <w:tcW w:w="1180" w:type="dxa"/>
            <w:tcBorders>
              <w:top w:val="nil"/>
              <w:left w:val="nil"/>
              <w:bottom w:val="nil"/>
              <w:right w:val="nil"/>
            </w:tcBorders>
            <w:shd w:val="clear" w:color="auto" w:fill="auto"/>
            <w:noWrap/>
            <w:vAlign w:val="bottom"/>
            <w:hideMark/>
          </w:tcPr>
          <w:p w14:paraId="434FA82A" w14:textId="77777777" w:rsidR="00B13439" w:rsidRPr="009B546D" w:rsidRDefault="00B13439" w:rsidP="00EA2BB6">
            <w:pPr>
              <w:spacing w:after="0" w:line="240" w:lineRule="auto"/>
              <w:rPr>
                <w:rFonts w:cstheme="minorHAnsi"/>
                <w:b/>
                <w:bCs/>
                <w:color w:val="000000"/>
                <w:szCs w:val="20"/>
              </w:rPr>
            </w:pPr>
          </w:p>
        </w:tc>
        <w:tc>
          <w:tcPr>
            <w:tcW w:w="1180" w:type="dxa"/>
            <w:tcBorders>
              <w:top w:val="nil"/>
              <w:left w:val="nil"/>
              <w:bottom w:val="nil"/>
              <w:right w:val="nil"/>
            </w:tcBorders>
            <w:shd w:val="clear" w:color="auto" w:fill="auto"/>
            <w:noWrap/>
            <w:vAlign w:val="bottom"/>
            <w:hideMark/>
          </w:tcPr>
          <w:p w14:paraId="61F31A83" w14:textId="77777777" w:rsidR="00B13439" w:rsidRPr="009B546D" w:rsidRDefault="00B13439" w:rsidP="00EA2BB6">
            <w:pPr>
              <w:spacing w:after="0" w:line="240" w:lineRule="auto"/>
              <w:rPr>
                <w:rFonts w:cstheme="minorHAnsi"/>
                <w:szCs w:val="20"/>
              </w:rPr>
            </w:pPr>
          </w:p>
        </w:tc>
        <w:tc>
          <w:tcPr>
            <w:tcW w:w="1180" w:type="dxa"/>
            <w:tcBorders>
              <w:top w:val="nil"/>
              <w:left w:val="nil"/>
              <w:bottom w:val="nil"/>
              <w:right w:val="nil"/>
            </w:tcBorders>
            <w:shd w:val="clear" w:color="auto" w:fill="auto"/>
            <w:noWrap/>
            <w:vAlign w:val="bottom"/>
            <w:hideMark/>
          </w:tcPr>
          <w:p w14:paraId="464D09D4" w14:textId="77777777" w:rsidR="00B13439" w:rsidRPr="009B546D" w:rsidRDefault="00B13439" w:rsidP="00EA2BB6">
            <w:pPr>
              <w:spacing w:after="0" w:line="240" w:lineRule="auto"/>
              <w:rPr>
                <w:rFonts w:cstheme="minorHAnsi"/>
                <w:szCs w:val="20"/>
              </w:rPr>
            </w:pPr>
          </w:p>
        </w:tc>
      </w:tr>
      <w:tr w:rsidR="00B13439" w:rsidRPr="009B546D" w14:paraId="441E129A" w14:textId="77777777" w:rsidTr="003633CD">
        <w:trPr>
          <w:trHeight w:val="255"/>
        </w:trPr>
        <w:tc>
          <w:tcPr>
            <w:tcW w:w="2840" w:type="dxa"/>
            <w:tcBorders>
              <w:top w:val="nil"/>
              <w:left w:val="nil"/>
              <w:bottom w:val="nil"/>
              <w:right w:val="nil"/>
            </w:tcBorders>
            <w:shd w:val="clear" w:color="auto" w:fill="auto"/>
            <w:noWrap/>
            <w:vAlign w:val="bottom"/>
            <w:hideMark/>
          </w:tcPr>
          <w:p w14:paraId="60D5F2CD" w14:textId="77777777" w:rsidR="00B13439" w:rsidRPr="009B546D" w:rsidRDefault="00B13439" w:rsidP="00EA2BB6">
            <w:pPr>
              <w:spacing w:after="0" w:line="240" w:lineRule="auto"/>
              <w:rPr>
                <w:rFonts w:cstheme="minorHAnsi"/>
                <w:color w:val="000000"/>
                <w:szCs w:val="20"/>
              </w:rPr>
            </w:pPr>
            <w:r w:rsidRPr="009B546D">
              <w:rPr>
                <w:rFonts w:cstheme="minorHAnsi"/>
                <w:color w:val="000000"/>
                <w:szCs w:val="20"/>
              </w:rPr>
              <w:t xml:space="preserve">Prepayments </w:t>
            </w:r>
          </w:p>
        </w:tc>
        <w:tc>
          <w:tcPr>
            <w:tcW w:w="1180" w:type="dxa"/>
            <w:tcBorders>
              <w:top w:val="nil"/>
              <w:left w:val="nil"/>
              <w:bottom w:val="nil"/>
              <w:right w:val="nil"/>
            </w:tcBorders>
            <w:shd w:val="clear" w:color="auto" w:fill="auto"/>
            <w:noWrap/>
            <w:vAlign w:val="bottom"/>
            <w:hideMark/>
          </w:tcPr>
          <w:p w14:paraId="0AD08B9A" w14:textId="77777777" w:rsidR="00B13439" w:rsidRPr="009B546D" w:rsidRDefault="00B13439" w:rsidP="00EA2BB6">
            <w:pPr>
              <w:spacing w:after="0" w:line="240" w:lineRule="auto"/>
              <w:rPr>
                <w:rFonts w:cstheme="minorHAnsi"/>
                <w:color w:val="000000"/>
                <w:szCs w:val="20"/>
              </w:rPr>
            </w:pPr>
          </w:p>
        </w:tc>
        <w:tc>
          <w:tcPr>
            <w:tcW w:w="1180" w:type="dxa"/>
            <w:tcBorders>
              <w:top w:val="nil"/>
              <w:left w:val="nil"/>
              <w:right w:val="nil"/>
            </w:tcBorders>
            <w:shd w:val="clear" w:color="auto" w:fill="auto"/>
            <w:noWrap/>
            <w:vAlign w:val="bottom"/>
            <w:hideMark/>
          </w:tcPr>
          <w:p w14:paraId="7D884059" w14:textId="47EF93B3" w:rsidR="00B13439" w:rsidRPr="009B546D" w:rsidRDefault="008D344E" w:rsidP="00EA2BB6">
            <w:pPr>
              <w:spacing w:after="0" w:line="240" w:lineRule="auto"/>
              <w:jc w:val="right"/>
              <w:rPr>
                <w:rFonts w:cstheme="minorHAnsi"/>
                <w:color w:val="000000"/>
                <w:szCs w:val="20"/>
              </w:rPr>
            </w:pPr>
            <w:r w:rsidRPr="009B546D">
              <w:rPr>
                <w:rFonts w:cstheme="minorHAnsi"/>
                <w:szCs w:val="20"/>
              </w:rPr>
              <w:t>12,300</w:t>
            </w:r>
          </w:p>
        </w:tc>
        <w:tc>
          <w:tcPr>
            <w:tcW w:w="1180" w:type="dxa"/>
            <w:tcBorders>
              <w:top w:val="nil"/>
              <w:left w:val="nil"/>
              <w:right w:val="nil"/>
            </w:tcBorders>
            <w:shd w:val="clear" w:color="auto" w:fill="auto"/>
            <w:noWrap/>
            <w:vAlign w:val="bottom"/>
            <w:hideMark/>
          </w:tcPr>
          <w:p w14:paraId="6F199961" w14:textId="77777777" w:rsidR="00B13439" w:rsidRPr="009B546D" w:rsidRDefault="00B13439" w:rsidP="00EA2BB6">
            <w:pPr>
              <w:spacing w:after="0" w:line="240" w:lineRule="auto"/>
              <w:jc w:val="right"/>
              <w:rPr>
                <w:rFonts w:cstheme="minorHAnsi"/>
                <w:color w:val="000000"/>
                <w:szCs w:val="20"/>
              </w:rPr>
            </w:pPr>
            <w:r w:rsidRPr="009B546D">
              <w:rPr>
                <w:rFonts w:cstheme="minorHAnsi"/>
                <w:color w:val="000000"/>
                <w:szCs w:val="20"/>
              </w:rPr>
              <w:t>15,708</w:t>
            </w:r>
          </w:p>
        </w:tc>
      </w:tr>
      <w:tr w:rsidR="00B13439" w:rsidRPr="009B546D" w14:paraId="44EAABEB" w14:textId="77777777" w:rsidTr="003633CD">
        <w:trPr>
          <w:trHeight w:val="255"/>
        </w:trPr>
        <w:tc>
          <w:tcPr>
            <w:tcW w:w="2840" w:type="dxa"/>
            <w:tcBorders>
              <w:top w:val="nil"/>
              <w:left w:val="nil"/>
              <w:bottom w:val="nil"/>
              <w:right w:val="nil"/>
            </w:tcBorders>
            <w:shd w:val="clear" w:color="auto" w:fill="auto"/>
            <w:noWrap/>
            <w:vAlign w:val="bottom"/>
            <w:hideMark/>
          </w:tcPr>
          <w:p w14:paraId="50BC7B3B" w14:textId="77777777" w:rsidR="00B13439" w:rsidRPr="009B546D" w:rsidRDefault="00B13439" w:rsidP="00EA2BB6">
            <w:pPr>
              <w:spacing w:after="0" w:line="240" w:lineRule="auto"/>
              <w:rPr>
                <w:rFonts w:cstheme="minorHAnsi"/>
                <w:color w:val="000000"/>
                <w:szCs w:val="20"/>
              </w:rPr>
            </w:pPr>
            <w:r w:rsidRPr="009B546D">
              <w:rPr>
                <w:rFonts w:cstheme="minorHAnsi"/>
                <w:color w:val="000000"/>
                <w:szCs w:val="20"/>
              </w:rPr>
              <w:t xml:space="preserve">Cash and cash equivalents </w:t>
            </w:r>
          </w:p>
        </w:tc>
        <w:tc>
          <w:tcPr>
            <w:tcW w:w="1180" w:type="dxa"/>
            <w:tcBorders>
              <w:top w:val="nil"/>
              <w:left w:val="nil"/>
              <w:bottom w:val="nil"/>
              <w:right w:val="nil"/>
            </w:tcBorders>
            <w:shd w:val="clear" w:color="auto" w:fill="auto"/>
            <w:noWrap/>
            <w:vAlign w:val="bottom"/>
            <w:hideMark/>
          </w:tcPr>
          <w:p w14:paraId="69D065BD" w14:textId="77777777" w:rsidR="00B13439" w:rsidRPr="009B546D" w:rsidRDefault="00B13439" w:rsidP="00EA2BB6">
            <w:pPr>
              <w:spacing w:after="0" w:line="240" w:lineRule="auto"/>
              <w:rPr>
                <w:rFonts w:cstheme="minorHAnsi"/>
                <w:color w:val="000000"/>
                <w:szCs w:val="20"/>
              </w:rPr>
            </w:pPr>
          </w:p>
        </w:tc>
        <w:tc>
          <w:tcPr>
            <w:tcW w:w="1180" w:type="dxa"/>
            <w:tcBorders>
              <w:top w:val="nil"/>
              <w:left w:val="nil"/>
              <w:bottom w:val="single" w:sz="4" w:space="0" w:color="auto"/>
              <w:right w:val="nil"/>
            </w:tcBorders>
            <w:shd w:val="clear" w:color="auto" w:fill="auto"/>
            <w:noWrap/>
            <w:vAlign w:val="bottom"/>
            <w:hideMark/>
          </w:tcPr>
          <w:p w14:paraId="7ADC05A8" w14:textId="5BF889CF" w:rsidR="00B13439" w:rsidRPr="009B546D" w:rsidRDefault="008D344E" w:rsidP="00EA2BB6">
            <w:pPr>
              <w:spacing w:after="0" w:line="240" w:lineRule="auto"/>
              <w:jc w:val="right"/>
              <w:rPr>
                <w:rFonts w:cstheme="minorHAnsi"/>
                <w:color w:val="000000"/>
                <w:szCs w:val="20"/>
              </w:rPr>
            </w:pPr>
            <w:r w:rsidRPr="009B546D">
              <w:rPr>
                <w:rFonts w:cstheme="minorHAnsi"/>
                <w:szCs w:val="20"/>
              </w:rPr>
              <w:t>3,703,592</w:t>
            </w:r>
            <w:r w:rsidR="00B13439" w:rsidRPr="009B546D">
              <w:rPr>
                <w:rFonts w:cstheme="minorHAnsi"/>
                <w:color w:val="000000"/>
                <w:szCs w:val="20"/>
              </w:rPr>
              <w:t xml:space="preserve"> </w:t>
            </w:r>
          </w:p>
        </w:tc>
        <w:tc>
          <w:tcPr>
            <w:tcW w:w="1180" w:type="dxa"/>
            <w:tcBorders>
              <w:top w:val="nil"/>
              <w:left w:val="nil"/>
              <w:bottom w:val="single" w:sz="4" w:space="0" w:color="auto"/>
              <w:right w:val="nil"/>
            </w:tcBorders>
            <w:shd w:val="clear" w:color="auto" w:fill="auto"/>
            <w:noWrap/>
            <w:vAlign w:val="bottom"/>
            <w:hideMark/>
          </w:tcPr>
          <w:p w14:paraId="65D203DA" w14:textId="77777777" w:rsidR="00B13439" w:rsidRPr="009B546D" w:rsidRDefault="00B13439" w:rsidP="00EA2BB6">
            <w:pPr>
              <w:spacing w:after="0" w:line="240" w:lineRule="auto"/>
              <w:jc w:val="right"/>
              <w:rPr>
                <w:rFonts w:cstheme="minorHAnsi"/>
                <w:color w:val="000000"/>
                <w:szCs w:val="20"/>
              </w:rPr>
            </w:pPr>
            <w:r w:rsidRPr="009B546D">
              <w:rPr>
                <w:rFonts w:cstheme="minorHAnsi"/>
                <w:color w:val="000000"/>
                <w:szCs w:val="20"/>
              </w:rPr>
              <w:t xml:space="preserve">4,103,928 </w:t>
            </w:r>
          </w:p>
        </w:tc>
      </w:tr>
      <w:tr w:rsidR="00B13439" w:rsidRPr="009B546D" w14:paraId="2F38D765" w14:textId="77777777" w:rsidTr="003633CD">
        <w:trPr>
          <w:trHeight w:val="255"/>
        </w:trPr>
        <w:tc>
          <w:tcPr>
            <w:tcW w:w="2840" w:type="dxa"/>
            <w:tcBorders>
              <w:top w:val="nil"/>
              <w:left w:val="nil"/>
              <w:bottom w:val="nil"/>
              <w:right w:val="nil"/>
            </w:tcBorders>
            <w:shd w:val="clear" w:color="auto" w:fill="auto"/>
            <w:noWrap/>
            <w:vAlign w:val="bottom"/>
            <w:hideMark/>
          </w:tcPr>
          <w:p w14:paraId="79D23B85" w14:textId="77777777" w:rsidR="00B13439" w:rsidRPr="009B546D" w:rsidRDefault="00B13439" w:rsidP="00EA2BB6">
            <w:pPr>
              <w:spacing w:after="0" w:line="240" w:lineRule="auto"/>
              <w:rPr>
                <w:rFonts w:cstheme="minorHAnsi"/>
                <w:b/>
                <w:bCs/>
                <w:color w:val="000000"/>
                <w:szCs w:val="20"/>
              </w:rPr>
            </w:pPr>
            <w:r w:rsidRPr="009B546D">
              <w:rPr>
                <w:rFonts w:cstheme="minorHAnsi"/>
                <w:b/>
                <w:bCs/>
                <w:color w:val="000000"/>
                <w:szCs w:val="20"/>
              </w:rPr>
              <w:t xml:space="preserve">Total current assets </w:t>
            </w:r>
          </w:p>
        </w:tc>
        <w:tc>
          <w:tcPr>
            <w:tcW w:w="1180" w:type="dxa"/>
            <w:tcBorders>
              <w:top w:val="nil"/>
              <w:left w:val="nil"/>
              <w:bottom w:val="nil"/>
              <w:right w:val="nil"/>
            </w:tcBorders>
            <w:shd w:val="clear" w:color="auto" w:fill="auto"/>
            <w:noWrap/>
            <w:vAlign w:val="bottom"/>
            <w:hideMark/>
          </w:tcPr>
          <w:p w14:paraId="114265C4" w14:textId="77777777" w:rsidR="00B13439" w:rsidRPr="009B546D" w:rsidRDefault="00B13439" w:rsidP="00EA2BB6">
            <w:pPr>
              <w:spacing w:after="0" w:line="240" w:lineRule="auto"/>
              <w:rPr>
                <w:rFonts w:cstheme="minorHAnsi"/>
                <w:b/>
                <w:bCs/>
                <w:color w:val="000000"/>
                <w:szCs w:val="20"/>
              </w:rPr>
            </w:pPr>
          </w:p>
        </w:tc>
        <w:tc>
          <w:tcPr>
            <w:tcW w:w="1180" w:type="dxa"/>
            <w:tcBorders>
              <w:top w:val="single" w:sz="4" w:space="0" w:color="auto"/>
              <w:left w:val="nil"/>
              <w:bottom w:val="single" w:sz="4" w:space="0" w:color="auto"/>
              <w:right w:val="nil"/>
            </w:tcBorders>
            <w:shd w:val="clear" w:color="auto" w:fill="auto"/>
            <w:noWrap/>
            <w:vAlign w:val="bottom"/>
            <w:hideMark/>
          </w:tcPr>
          <w:p w14:paraId="3B46BAD7" w14:textId="10DF49D0" w:rsidR="00B13439" w:rsidRPr="009B546D" w:rsidRDefault="008D344E" w:rsidP="00EA2BB6">
            <w:pPr>
              <w:spacing w:after="0" w:line="240" w:lineRule="auto"/>
              <w:jc w:val="right"/>
              <w:rPr>
                <w:rFonts w:cstheme="minorHAnsi"/>
                <w:color w:val="000000"/>
                <w:szCs w:val="20"/>
              </w:rPr>
            </w:pPr>
            <w:r w:rsidRPr="009B546D">
              <w:rPr>
                <w:rFonts w:cstheme="minorHAnsi"/>
                <w:szCs w:val="20"/>
              </w:rPr>
              <w:t>3,715,892</w:t>
            </w:r>
            <w:r w:rsidR="00B13439" w:rsidRPr="009B546D">
              <w:rPr>
                <w:rFonts w:cstheme="minorHAnsi"/>
                <w:color w:val="000000"/>
                <w:szCs w:val="20"/>
              </w:rPr>
              <w:t xml:space="preserve"> </w:t>
            </w:r>
          </w:p>
        </w:tc>
        <w:tc>
          <w:tcPr>
            <w:tcW w:w="1180" w:type="dxa"/>
            <w:tcBorders>
              <w:top w:val="single" w:sz="4" w:space="0" w:color="auto"/>
              <w:left w:val="nil"/>
              <w:bottom w:val="single" w:sz="4" w:space="0" w:color="auto"/>
              <w:right w:val="nil"/>
            </w:tcBorders>
            <w:shd w:val="clear" w:color="auto" w:fill="auto"/>
            <w:noWrap/>
            <w:vAlign w:val="bottom"/>
            <w:hideMark/>
          </w:tcPr>
          <w:p w14:paraId="237A8B25" w14:textId="77777777" w:rsidR="00B13439" w:rsidRPr="009B546D" w:rsidRDefault="00B13439" w:rsidP="00EA2BB6">
            <w:pPr>
              <w:spacing w:after="0" w:line="240" w:lineRule="auto"/>
              <w:jc w:val="right"/>
              <w:rPr>
                <w:rFonts w:cstheme="minorHAnsi"/>
                <w:color w:val="000000"/>
                <w:szCs w:val="20"/>
              </w:rPr>
            </w:pPr>
            <w:r w:rsidRPr="009B546D">
              <w:rPr>
                <w:rFonts w:cstheme="minorHAnsi"/>
                <w:color w:val="000000"/>
                <w:szCs w:val="20"/>
              </w:rPr>
              <w:t xml:space="preserve">4,119,636 </w:t>
            </w:r>
          </w:p>
        </w:tc>
      </w:tr>
      <w:tr w:rsidR="00B13439" w:rsidRPr="009B546D" w14:paraId="28E737C1" w14:textId="77777777" w:rsidTr="003633CD">
        <w:trPr>
          <w:trHeight w:val="255"/>
        </w:trPr>
        <w:tc>
          <w:tcPr>
            <w:tcW w:w="2840" w:type="dxa"/>
            <w:tcBorders>
              <w:top w:val="nil"/>
              <w:left w:val="nil"/>
              <w:bottom w:val="nil"/>
              <w:right w:val="nil"/>
            </w:tcBorders>
            <w:shd w:val="clear" w:color="auto" w:fill="auto"/>
            <w:noWrap/>
            <w:vAlign w:val="bottom"/>
            <w:hideMark/>
          </w:tcPr>
          <w:p w14:paraId="32AC0613" w14:textId="77777777" w:rsidR="00B13439" w:rsidRPr="009B546D" w:rsidRDefault="00B13439" w:rsidP="00EA2BB6">
            <w:pPr>
              <w:spacing w:after="0" w:line="240" w:lineRule="auto"/>
              <w:rPr>
                <w:rFonts w:cstheme="minorHAnsi"/>
                <w:b/>
                <w:bCs/>
                <w:color w:val="000000"/>
                <w:szCs w:val="20"/>
              </w:rPr>
            </w:pPr>
            <w:r w:rsidRPr="009B546D">
              <w:rPr>
                <w:rFonts w:cstheme="minorHAnsi"/>
                <w:b/>
                <w:bCs/>
                <w:color w:val="000000"/>
                <w:szCs w:val="20"/>
              </w:rPr>
              <w:t xml:space="preserve">Total assets </w:t>
            </w:r>
          </w:p>
        </w:tc>
        <w:tc>
          <w:tcPr>
            <w:tcW w:w="1180" w:type="dxa"/>
            <w:tcBorders>
              <w:top w:val="nil"/>
              <w:left w:val="nil"/>
              <w:bottom w:val="nil"/>
              <w:right w:val="nil"/>
            </w:tcBorders>
            <w:shd w:val="clear" w:color="auto" w:fill="auto"/>
            <w:noWrap/>
            <w:vAlign w:val="bottom"/>
            <w:hideMark/>
          </w:tcPr>
          <w:p w14:paraId="0C71CC37" w14:textId="77777777" w:rsidR="00B13439" w:rsidRPr="009B546D" w:rsidRDefault="00B13439" w:rsidP="00EA2BB6">
            <w:pPr>
              <w:spacing w:after="0" w:line="240" w:lineRule="auto"/>
              <w:rPr>
                <w:rFonts w:cstheme="minorHAnsi"/>
                <w:b/>
                <w:bCs/>
                <w:color w:val="000000"/>
                <w:szCs w:val="20"/>
              </w:rPr>
            </w:pPr>
          </w:p>
        </w:tc>
        <w:tc>
          <w:tcPr>
            <w:tcW w:w="1180" w:type="dxa"/>
            <w:tcBorders>
              <w:top w:val="single" w:sz="4" w:space="0" w:color="auto"/>
              <w:left w:val="nil"/>
              <w:bottom w:val="single" w:sz="4" w:space="0" w:color="auto"/>
              <w:right w:val="nil"/>
            </w:tcBorders>
            <w:shd w:val="clear" w:color="auto" w:fill="auto"/>
            <w:noWrap/>
            <w:vAlign w:val="bottom"/>
            <w:hideMark/>
          </w:tcPr>
          <w:p w14:paraId="04B40E22" w14:textId="64416113" w:rsidR="00B13439" w:rsidRPr="009B546D" w:rsidRDefault="008D344E" w:rsidP="00EA2BB6">
            <w:pPr>
              <w:spacing w:after="0" w:line="240" w:lineRule="auto"/>
              <w:jc w:val="right"/>
              <w:rPr>
                <w:rFonts w:cstheme="minorHAnsi"/>
                <w:color w:val="000000"/>
                <w:szCs w:val="20"/>
              </w:rPr>
            </w:pPr>
            <w:r w:rsidRPr="009B546D">
              <w:rPr>
                <w:rFonts w:cstheme="minorHAnsi"/>
                <w:szCs w:val="20"/>
              </w:rPr>
              <w:t>3,715,892</w:t>
            </w:r>
            <w:r w:rsidR="00B13439" w:rsidRPr="009B546D">
              <w:rPr>
                <w:rFonts w:cstheme="minorHAnsi"/>
                <w:color w:val="000000"/>
                <w:szCs w:val="20"/>
              </w:rPr>
              <w:t xml:space="preserve"> </w:t>
            </w:r>
          </w:p>
        </w:tc>
        <w:tc>
          <w:tcPr>
            <w:tcW w:w="1180" w:type="dxa"/>
            <w:tcBorders>
              <w:top w:val="single" w:sz="4" w:space="0" w:color="auto"/>
              <w:left w:val="nil"/>
              <w:bottom w:val="single" w:sz="4" w:space="0" w:color="auto"/>
              <w:right w:val="nil"/>
            </w:tcBorders>
            <w:shd w:val="clear" w:color="auto" w:fill="auto"/>
            <w:noWrap/>
            <w:vAlign w:val="bottom"/>
            <w:hideMark/>
          </w:tcPr>
          <w:p w14:paraId="0A8EF204" w14:textId="77777777" w:rsidR="00B13439" w:rsidRPr="009B546D" w:rsidRDefault="00B13439" w:rsidP="00EA2BB6">
            <w:pPr>
              <w:spacing w:after="0" w:line="240" w:lineRule="auto"/>
              <w:jc w:val="right"/>
              <w:rPr>
                <w:rFonts w:cstheme="minorHAnsi"/>
                <w:color w:val="000000"/>
                <w:szCs w:val="20"/>
              </w:rPr>
            </w:pPr>
            <w:r w:rsidRPr="009B546D">
              <w:rPr>
                <w:rFonts w:cstheme="minorHAnsi"/>
                <w:color w:val="000000"/>
                <w:szCs w:val="20"/>
              </w:rPr>
              <w:t xml:space="preserve">4,119,636 </w:t>
            </w:r>
          </w:p>
        </w:tc>
      </w:tr>
      <w:tr w:rsidR="00B13439" w:rsidRPr="009B546D" w14:paraId="67E9774F" w14:textId="77777777" w:rsidTr="003633CD">
        <w:trPr>
          <w:trHeight w:val="255"/>
        </w:trPr>
        <w:tc>
          <w:tcPr>
            <w:tcW w:w="2840" w:type="dxa"/>
            <w:tcBorders>
              <w:top w:val="nil"/>
              <w:left w:val="nil"/>
              <w:bottom w:val="nil"/>
              <w:right w:val="nil"/>
            </w:tcBorders>
            <w:shd w:val="clear" w:color="auto" w:fill="auto"/>
            <w:noWrap/>
            <w:vAlign w:val="bottom"/>
            <w:hideMark/>
          </w:tcPr>
          <w:p w14:paraId="4952B8B6" w14:textId="77777777" w:rsidR="00B13439" w:rsidRPr="009B546D" w:rsidRDefault="00B13439" w:rsidP="00EA2BB6">
            <w:pPr>
              <w:spacing w:after="0" w:line="240" w:lineRule="auto"/>
              <w:jc w:val="right"/>
              <w:rPr>
                <w:rFonts w:cstheme="minorHAnsi"/>
                <w:color w:val="000000"/>
                <w:szCs w:val="20"/>
              </w:rPr>
            </w:pPr>
          </w:p>
        </w:tc>
        <w:tc>
          <w:tcPr>
            <w:tcW w:w="1180" w:type="dxa"/>
            <w:tcBorders>
              <w:top w:val="nil"/>
              <w:left w:val="nil"/>
              <w:bottom w:val="nil"/>
              <w:right w:val="nil"/>
            </w:tcBorders>
            <w:shd w:val="clear" w:color="auto" w:fill="auto"/>
            <w:noWrap/>
            <w:vAlign w:val="bottom"/>
            <w:hideMark/>
          </w:tcPr>
          <w:p w14:paraId="0584F08B" w14:textId="77777777" w:rsidR="00B13439" w:rsidRPr="009B546D" w:rsidRDefault="00B13439" w:rsidP="00EA2BB6">
            <w:pPr>
              <w:spacing w:after="0" w:line="240" w:lineRule="auto"/>
              <w:rPr>
                <w:rFonts w:cstheme="minorHAnsi"/>
                <w:szCs w:val="20"/>
              </w:rPr>
            </w:pPr>
          </w:p>
        </w:tc>
        <w:tc>
          <w:tcPr>
            <w:tcW w:w="1180" w:type="dxa"/>
            <w:tcBorders>
              <w:top w:val="single" w:sz="4" w:space="0" w:color="auto"/>
              <w:left w:val="nil"/>
              <w:bottom w:val="nil"/>
              <w:right w:val="nil"/>
            </w:tcBorders>
            <w:shd w:val="clear" w:color="auto" w:fill="auto"/>
            <w:noWrap/>
            <w:vAlign w:val="bottom"/>
            <w:hideMark/>
          </w:tcPr>
          <w:p w14:paraId="580CB07A" w14:textId="77777777" w:rsidR="00B13439" w:rsidRPr="009B546D" w:rsidRDefault="00B13439" w:rsidP="00EA2BB6">
            <w:pPr>
              <w:spacing w:after="0" w:line="240" w:lineRule="auto"/>
              <w:rPr>
                <w:rFonts w:cstheme="minorHAnsi"/>
                <w:szCs w:val="20"/>
              </w:rPr>
            </w:pPr>
          </w:p>
        </w:tc>
        <w:tc>
          <w:tcPr>
            <w:tcW w:w="1180" w:type="dxa"/>
            <w:tcBorders>
              <w:top w:val="single" w:sz="4" w:space="0" w:color="auto"/>
              <w:left w:val="nil"/>
              <w:bottom w:val="nil"/>
              <w:right w:val="nil"/>
            </w:tcBorders>
            <w:shd w:val="clear" w:color="auto" w:fill="auto"/>
            <w:noWrap/>
            <w:vAlign w:val="bottom"/>
            <w:hideMark/>
          </w:tcPr>
          <w:p w14:paraId="79DB2A0F" w14:textId="77777777" w:rsidR="00B13439" w:rsidRPr="009B546D" w:rsidRDefault="00B13439" w:rsidP="00EA2BB6">
            <w:pPr>
              <w:spacing w:after="0" w:line="240" w:lineRule="auto"/>
              <w:rPr>
                <w:rFonts w:cstheme="minorHAnsi"/>
                <w:szCs w:val="20"/>
              </w:rPr>
            </w:pPr>
          </w:p>
        </w:tc>
      </w:tr>
      <w:tr w:rsidR="00B13439" w:rsidRPr="009B546D" w14:paraId="1534DF31" w14:textId="77777777" w:rsidTr="007B5E1A">
        <w:trPr>
          <w:trHeight w:val="255"/>
        </w:trPr>
        <w:tc>
          <w:tcPr>
            <w:tcW w:w="2840" w:type="dxa"/>
            <w:tcBorders>
              <w:top w:val="nil"/>
              <w:left w:val="nil"/>
              <w:bottom w:val="nil"/>
              <w:right w:val="nil"/>
            </w:tcBorders>
            <w:shd w:val="clear" w:color="auto" w:fill="auto"/>
            <w:noWrap/>
            <w:vAlign w:val="bottom"/>
            <w:hideMark/>
          </w:tcPr>
          <w:p w14:paraId="02930744" w14:textId="77777777" w:rsidR="00B13439" w:rsidRPr="009B546D" w:rsidRDefault="00B13439" w:rsidP="00EA2BB6">
            <w:pPr>
              <w:spacing w:after="0" w:line="240" w:lineRule="auto"/>
              <w:rPr>
                <w:rFonts w:cstheme="minorHAnsi"/>
                <w:b/>
                <w:bCs/>
                <w:color w:val="000000"/>
                <w:szCs w:val="20"/>
              </w:rPr>
            </w:pPr>
            <w:r w:rsidRPr="009B546D">
              <w:rPr>
                <w:rFonts w:cstheme="minorHAnsi"/>
                <w:b/>
                <w:bCs/>
                <w:color w:val="000000"/>
                <w:szCs w:val="20"/>
              </w:rPr>
              <w:t xml:space="preserve">Equity and liabilities </w:t>
            </w:r>
          </w:p>
        </w:tc>
        <w:tc>
          <w:tcPr>
            <w:tcW w:w="1180" w:type="dxa"/>
            <w:tcBorders>
              <w:top w:val="nil"/>
              <w:left w:val="nil"/>
              <w:bottom w:val="nil"/>
              <w:right w:val="nil"/>
            </w:tcBorders>
            <w:shd w:val="clear" w:color="auto" w:fill="auto"/>
            <w:noWrap/>
            <w:vAlign w:val="bottom"/>
            <w:hideMark/>
          </w:tcPr>
          <w:p w14:paraId="5D8A6EF4" w14:textId="77777777" w:rsidR="00B13439" w:rsidRPr="009B546D" w:rsidRDefault="00B13439" w:rsidP="00EA2BB6">
            <w:pPr>
              <w:spacing w:after="0" w:line="240" w:lineRule="auto"/>
              <w:rPr>
                <w:rFonts w:cstheme="minorHAnsi"/>
                <w:b/>
                <w:bCs/>
                <w:color w:val="000000"/>
                <w:szCs w:val="20"/>
              </w:rPr>
            </w:pPr>
          </w:p>
        </w:tc>
        <w:tc>
          <w:tcPr>
            <w:tcW w:w="1180" w:type="dxa"/>
            <w:tcBorders>
              <w:top w:val="nil"/>
              <w:left w:val="nil"/>
              <w:bottom w:val="nil"/>
              <w:right w:val="nil"/>
            </w:tcBorders>
            <w:shd w:val="clear" w:color="auto" w:fill="auto"/>
            <w:noWrap/>
            <w:vAlign w:val="bottom"/>
            <w:hideMark/>
          </w:tcPr>
          <w:p w14:paraId="22CF69C6" w14:textId="77777777" w:rsidR="00B13439" w:rsidRPr="009B546D" w:rsidRDefault="00B13439" w:rsidP="00EA2BB6">
            <w:pPr>
              <w:spacing w:after="0" w:line="240" w:lineRule="auto"/>
              <w:rPr>
                <w:rFonts w:cstheme="minorHAnsi"/>
                <w:szCs w:val="20"/>
              </w:rPr>
            </w:pPr>
          </w:p>
        </w:tc>
        <w:tc>
          <w:tcPr>
            <w:tcW w:w="1180" w:type="dxa"/>
            <w:tcBorders>
              <w:top w:val="nil"/>
              <w:left w:val="nil"/>
              <w:bottom w:val="nil"/>
              <w:right w:val="nil"/>
            </w:tcBorders>
            <w:shd w:val="clear" w:color="auto" w:fill="auto"/>
            <w:noWrap/>
            <w:vAlign w:val="bottom"/>
            <w:hideMark/>
          </w:tcPr>
          <w:p w14:paraId="0A19A753" w14:textId="77777777" w:rsidR="00B13439" w:rsidRPr="009B546D" w:rsidRDefault="00B13439" w:rsidP="00EA2BB6">
            <w:pPr>
              <w:spacing w:after="0" w:line="240" w:lineRule="auto"/>
              <w:rPr>
                <w:rFonts w:cstheme="minorHAnsi"/>
                <w:szCs w:val="20"/>
              </w:rPr>
            </w:pPr>
          </w:p>
        </w:tc>
      </w:tr>
      <w:tr w:rsidR="00B13439" w:rsidRPr="009B546D" w14:paraId="19B61E41" w14:textId="77777777" w:rsidTr="007B5E1A">
        <w:trPr>
          <w:trHeight w:val="255"/>
        </w:trPr>
        <w:tc>
          <w:tcPr>
            <w:tcW w:w="2840" w:type="dxa"/>
            <w:tcBorders>
              <w:top w:val="nil"/>
              <w:left w:val="nil"/>
              <w:bottom w:val="nil"/>
              <w:right w:val="nil"/>
            </w:tcBorders>
            <w:shd w:val="clear" w:color="auto" w:fill="auto"/>
            <w:noWrap/>
            <w:vAlign w:val="bottom"/>
            <w:hideMark/>
          </w:tcPr>
          <w:p w14:paraId="28630B95" w14:textId="77777777" w:rsidR="00B13439" w:rsidRPr="009B546D" w:rsidRDefault="00B13439" w:rsidP="00EA2BB6">
            <w:pPr>
              <w:spacing w:after="0" w:line="240" w:lineRule="auto"/>
              <w:rPr>
                <w:rFonts w:cstheme="minorHAnsi"/>
                <w:b/>
                <w:bCs/>
                <w:color w:val="000000"/>
                <w:szCs w:val="20"/>
              </w:rPr>
            </w:pPr>
            <w:r w:rsidRPr="009B546D">
              <w:rPr>
                <w:rFonts w:cstheme="minorHAnsi"/>
                <w:b/>
                <w:bCs/>
                <w:color w:val="000000"/>
                <w:szCs w:val="20"/>
              </w:rPr>
              <w:t xml:space="preserve">Capital and reserves </w:t>
            </w:r>
          </w:p>
        </w:tc>
        <w:tc>
          <w:tcPr>
            <w:tcW w:w="1180" w:type="dxa"/>
            <w:tcBorders>
              <w:top w:val="nil"/>
              <w:left w:val="nil"/>
              <w:bottom w:val="nil"/>
              <w:right w:val="nil"/>
            </w:tcBorders>
            <w:shd w:val="clear" w:color="auto" w:fill="auto"/>
            <w:noWrap/>
            <w:vAlign w:val="bottom"/>
            <w:hideMark/>
          </w:tcPr>
          <w:p w14:paraId="7AC0101E" w14:textId="77777777" w:rsidR="00B13439" w:rsidRPr="009B546D" w:rsidRDefault="00B13439" w:rsidP="00EA2BB6">
            <w:pPr>
              <w:spacing w:after="0" w:line="240" w:lineRule="auto"/>
              <w:rPr>
                <w:rFonts w:cstheme="minorHAnsi"/>
                <w:b/>
                <w:bCs/>
                <w:color w:val="000000"/>
                <w:szCs w:val="20"/>
              </w:rPr>
            </w:pPr>
          </w:p>
        </w:tc>
        <w:tc>
          <w:tcPr>
            <w:tcW w:w="1180" w:type="dxa"/>
            <w:tcBorders>
              <w:top w:val="nil"/>
              <w:left w:val="nil"/>
              <w:bottom w:val="nil"/>
              <w:right w:val="nil"/>
            </w:tcBorders>
            <w:shd w:val="clear" w:color="auto" w:fill="auto"/>
            <w:noWrap/>
            <w:vAlign w:val="bottom"/>
            <w:hideMark/>
          </w:tcPr>
          <w:p w14:paraId="3537498F" w14:textId="77777777" w:rsidR="00B13439" w:rsidRPr="009B546D" w:rsidRDefault="00B13439" w:rsidP="00EA2BB6">
            <w:pPr>
              <w:spacing w:after="0" w:line="240" w:lineRule="auto"/>
              <w:rPr>
                <w:rFonts w:cstheme="minorHAnsi"/>
                <w:szCs w:val="20"/>
              </w:rPr>
            </w:pPr>
          </w:p>
        </w:tc>
        <w:tc>
          <w:tcPr>
            <w:tcW w:w="1180" w:type="dxa"/>
            <w:tcBorders>
              <w:top w:val="nil"/>
              <w:left w:val="nil"/>
              <w:bottom w:val="nil"/>
              <w:right w:val="nil"/>
            </w:tcBorders>
            <w:shd w:val="clear" w:color="auto" w:fill="auto"/>
            <w:noWrap/>
            <w:vAlign w:val="bottom"/>
            <w:hideMark/>
          </w:tcPr>
          <w:p w14:paraId="250DB3C4" w14:textId="77777777" w:rsidR="00B13439" w:rsidRPr="009B546D" w:rsidRDefault="00B13439" w:rsidP="00EA2BB6">
            <w:pPr>
              <w:spacing w:after="0" w:line="240" w:lineRule="auto"/>
              <w:rPr>
                <w:rFonts w:cstheme="minorHAnsi"/>
                <w:szCs w:val="20"/>
              </w:rPr>
            </w:pPr>
          </w:p>
        </w:tc>
      </w:tr>
      <w:tr w:rsidR="00B13439" w:rsidRPr="009B546D" w14:paraId="24FC482B" w14:textId="77777777" w:rsidTr="007B5E1A">
        <w:trPr>
          <w:trHeight w:val="255"/>
        </w:trPr>
        <w:tc>
          <w:tcPr>
            <w:tcW w:w="2840" w:type="dxa"/>
            <w:tcBorders>
              <w:top w:val="nil"/>
              <w:left w:val="nil"/>
              <w:bottom w:val="nil"/>
              <w:right w:val="nil"/>
            </w:tcBorders>
            <w:shd w:val="clear" w:color="auto" w:fill="auto"/>
            <w:noWrap/>
            <w:vAlign w:val="bottom"/>
            <w:hideMark/>
          </w:tcPr>
          <w:p w14:paraId="7AB351FE" w14:textId="77777777" w:rsidR="00B13439" w:rsidRPr="009B546D" w:rsidRDefault="00B13439" w:rsidP="00EA2BB6">
            <w:pPr>
              <w:spacing w:after="0" w:line="240" w:lineRule="auto"/>
              <w:rPr>
                <w:rFonts w:cstheme="minorHAnsi"/>
                <w:color w:val="000000"/>
                <w:szCs w:val="20"/>
              </w:rPr>
            </w:pPr>
            <w:r w:rsidRPr="009B546D">
              <w:rPr>
                <w:rFonts w:cstheme="minorHAnsi"/>
                <w:color w:val="000000"/>
                <w:szCs w:val="20"/>
              </w:rPr>
              <w:t xml:space="preserve">Ordinary shares </w:t>
            </w:r>
          </w:p>
        </w:tc>
        <w:tc>
          <w:tcPr>
            <w:tcW w:w="1180" w:type="dxa"/>
            <w:tcBorders>
              <w:top w:val="nil"/>
              <w:left w:val="nil"/>
              <w:bottom w:val="nil"/>
              <w:right w:val="nil"/>
            </w:tcBorders>
            <w:shd w:val="clear" w:color="auto" w:fill="auto"/>
            <w:noWrap/>
            <w:vAlign w:val="bottom"/>
            <w:hideMark/>
          </w:tcPr>
          <w:p w14:paraId="4C5D67D2" w14:textId="77777777" w:rsidR="00B13439" w:rsidRPr="009B546D" w:rsidRDefault="00B13439" w:rsidP="00EA2BB6">
            <w:pPr>
              <w:spacing w:after="0" w:line="240" w:lineRule="auto"/>
              <w:rPr>
                <w:rFonts w:cstheme="minorHAnsi"/>
                <w:color w:val="000000"/>
                <w:szCs w:val="20"/>
              </w:rPr>
            </w:pPr>
          </w:p>
        </w:tc>
        <w:tc>
          <w:tcPr>
            <w:tcW w:w="1180" w:type="dxa"/>
            <w:tcBorders>
              <w:top w:val="nil"/>
              <w:left w:val="nil"/>
              <w:bottom w:val="nil"/>
              <w:right w:val="nil"/>
            </w:tcBorders>
            <w:shd w:val="clear" w:color="auto" w:fill="auto"/>
            <w:noWrap/>
            <w:vAlign w:val="bottom"/>
            <w:hideMark/>
          </w:tcPr>
          <w:p w14:paraId="3664C885" w14:textId="4C6A8BCE" w:rsidR="00B13439" w:rsidRPr="009B546D" w:rsidRDefault="008D344E" w:rsidP="00EA2BB6">
            <w:pPr>
              <w:spacing w:after="0" w:line="240" w:lineRule="auto"/>
              <w:jc w:val="right"/>
              <w:rPr>
                <w:rFonts w:cstheme="minorHAnsi"/>
                <w:color w:val="000000"/>
                <w:szCs w:val="20"/>
              </w:rPr>
            </w:pPr>
            <w:r w:rsidRPr="009B546D">
              <w:rPr>
                <w:rFonts w:cstheme="minorHAnsi"/>
                <w:szCs w:val="20"/>
              </w:rPr>
              <w:t>518,394</w:t>
            </w:r>
            <w:r w:rsidRPr="009B546D">
              <w:rPr>
                <w:rFonts w:cstheme="minorHAnsi"/>
                <w:color w:val="000000"/>
                <w:szCs w:val="20"/>
              </w:rPr>
              <w:t xml:space="preserve"> </w:t>
            </w:r>
          </w:p>
        </w:tc>
        <w:tc>
          <w:tcPr>
            <w:tcW w:w="1180" w:type="dxa"/>
            <w:tcBorders>
              <w:top w:val="nil"/>
              <w:left w:val="nil"/>
              <w:bottom w:val="nil"/>
              <w:right w:val="nil"/>
            </w:tcBorders>
            <w:shd w:val="clear" w:color="auto" w:fill="auto"/>
            <w:noWrap/>
            <w:vAlign w:val="bottom"/>
            <w:hideMark/>
          </w:tcPr>
          <w:p w14:paraId="536D5900" w14:textId="77777777" w:rsidR="00B13439" w:rsidRPr="009B546D" w:rsidRDefault="00B13439" w:rsidP="00EA2BB6">
            <w:pPr>
              <w:spacing w:after="0" w:line="240" w:lineRule="auto"/>
              <w:jc w:val="right"/>
              <w:rPr>
                <w:rFonts w:cstheme="minorHAnsi"/>
                <w:color w:val="000000"/>
                <w:szCs w:val="20"/>
              </w:rPr>
            </w:pPr>
            <w:r w:rsidRPr="009B546D">
              <w:rPr>
                <w:rFonts w:cstheme="minorHAnsi"/>
                <w:color w:val="000000"/>
                <w:szCs w:val="20"/>
              </w:rPr>
              <w:t xml:space="preserve">518,394 </w:t>
            </w:r>
          </w:p>
        </w:tc>
      </w:tr>
      <w:tr w:rsidR="00B13439" w:rsidRPr="009B546D" w14:paraId="3FA5F651" w14:textId="77777777" w:rsidTr="007B5E1A">
        <w:trPr>
          <w:trHeight w:val="255"/>
        </w:trPr>
        <w:tc>
          <w:tcPr>
            <w:tcW w:w="2840" w:type="dxa"/>
            <w:tcBorders>
              <w:top w:val="nil"/>
              <w:left w:val="nil"/>
              <w:bottom w:val="nil"/>
              <w:right w:val="nil"/>
            </w:tcBorders>
            <w:shd w:val="clear" w:color="auto" w:fill="auto"/>
            <w:noWrap/>
            <w:vAlign w:val="bottom"/>
            <w:hideMark/>
          </w:tcPr>
          <w:p w14:paraId="7D695410" w14:textId="77777777" w:rsidR="00B13439" w:rsidRPr="009B546D" w:rsidRDefault="00B13439" w:rsidP="00EA2BB6">
            <w:pPr>
              <w:spacing w:after="0" w:line="240" w:lineRule="auto"/>
              <w:rPr>
                <w:rFonts w:cstheme="minorHAnsi"/>
                <w:color w:val="000000"/>
                <w:szCs w:val="20"/>
              </w:rPr>
            </w:pPr>
            <w:r w:rsidRPr="009B546D">
              <w:rPr>
                <w:rFonts w:cstheme="minorHAnsi"/>
                <w:color w:val="000000"/>
                <w:szCs w:val="20"/>
              </w:rPr>
              <w:t xml:space="preserve">Share premium </w:t>
            </w:r>
          </w:p>
        </w:tc>
        <w:tc>
          <w:tcPr>
            <w:tcW w:w="1180" w:type="dxa"/>
            <w:tcBorders>
              <w:top w:val="nil"/>
              <w:left w:val="nil"/>
              <w:bottom w:val="nil"/>
              <w:right w:val="nil"/>
            </w:tcBorders>
            <w:shd w:val="clear" w:color="auto" w:fill="auto"/>
            <w:noWrap/>
            <w:vAlign w:val="bottom"/>
            <w:hideMark/>
          </w:tcPr>
          <w:p w14:paraId="4CCADDBA" w14:textId="77777777" w:rsidR="00B13439" w:rsidRPr="009B546D" w:rsidRDefault="00B13439" w:rsidP="00EA2BB6">
            <w:pPr>
              <w:spacing w:after="0" w:line="240" w:lineRule="auto"/>
              <w:rPr>
                <w:rFonts w:cstheme="minorHAnsi"/>
                <w:color w:val="000000"/>
                <w:szCs w:val="20"/>
              </w:rPr>
            </w:pPr>
          </w:p>
        </w:tc>
        <w:tc>
          <w:tcPr>
            <w:tcW w:w="1180" w:type="dxa"/>
            <w:tcBorders>
              <w:top w:val="nil"/>
              <w:left w:val="nil"/>
              <w:bottom w:val="nil"/>
              <w:right w:val="nil"/>
            </w:tcBorders>
            <w:shd w:val="clear" w:color="auto" w:fill="auto"/>
            <w:noWrap/>
            <w:vAlign w:val="bottom"/>
            <w:hideMark/>
          </w:tcPr>
          <w:p w14:paraId="1DA90269" w14:textId="07C643B2" w:rsidR="00B13439" w:rsidRPr="009B546D" w:rsidRDefault="008D344E" w:rsidP="00EA2BB6">
            <w:pPr>
              <w:spacing w:after="0" w:line="240" w:lineRule="auto"/>
              <w:jc w:val="right"/>
              <w:rPr>
                <w:rFonts w:cstheme="minorHAnsi"/>
                <w:color w:val="000000"/>
                <w:szCs w:val="20"/>
              </w:rPr>
            </w:pPr>
            <w:r w:rsidRPr="009B546D">
              <w:rPr>
                <w:rFonts w:cstheme="minorHAnsi"/>
                <w:szCs w:val="20"/>
              </w:rPr>
              <w:t>3,848,420</w:t>
            </w:r>
            <w:r w:rsidR="00B13439" w:rsidRPr="009B546D">
              <w:rPr>
                <w:rFonts w:cstheme="minorHAnsi"/>
                <w:color w:val="000000"/>
                <w:szCs w:val="20"/>
              </w:rPr>
              <w:t xml:space="preserve"> </w:t>
            </w:r>
          </w:p>
        </w:tc>
        <w:tc>
          <w:tcPr>
            <w:tcW w:w="1180" w:type="dxa"/>
            <w:tcBorders>
              <w:top w:val="nil"/>
              <w:left w:val="nil"/>
              <w:bottom w:val="nil"/>
              <w:right w:val="nil"/>
            </w:tcBorders>
            <w:shd w:val="clear" w:color="auto" w:fill="auto"/>
            <w:noWrap/>
            <w:vAlign w:val="bottom"/>
            <w:hideMark/>
          </w:tcPr>
          <w:p w14:paraId="77CE47D0" w14:textId="77777777" w:rsidR="00B13439" w:rsidRPr="009B546D" w:rsidRDefault="00B13439" w:rsidP="00EA2BB6">
            <w:pPr>
              <w:spacing w:after="0" w:line="240" w:lineRule="auto"/>
              <w:jc w:val="right"/>
              <w:rPr>
                <w:rFonts w:cstheme="minorHAnsi"/>
                <w:color w:val="000000"/>
                <w:szCs w:val="20"/>
              </w:rPr>
            </w:pPr>
            <w:r w:rsidRPr="009B546D">
              <w:rPr>
                <w:rFonts w:cstheme="minorHAnsi"/>
                <w:color w:val="000000"/>
                <w:szCs w:val="20"/>
              </w:rPr>
              <w:t xml:space="preserve">3,848,420 </w:t>
            </w:r>
          </w:p>
        </w:tc>
      </w:tr>
      <w:tr w:rsidR="00B13439" w:rsidRPr="009B546D" w14:paraId="7CAC9E62" w14:textId="77777777" w:rsidTr="003633CD">
        <w:trPr>
          <w:trHeight w:val="255"/>
        </w:trPr>
        <w:tc>
          <w:tcPr>
            <w:tcW w:w="2840" w:type="dxa"/>
            <w:tcBorders>
              <w:top w:val="nil"/>
              <w:left w:val="nil"/>
              <w:bottom w:val="nil"/>
              <w:right w:val="nil"/>
            </w:tcBorders>
            <w:shd w:val="clear" w:color="auto" w:fill="auto"/>
            <w:noWrap/>
            <w:vAlign w:val="bottom"/>
            <w:hideMark/>
          </w:tcPr>
          <w:p w14:paraId="5CE74FB9" w14:textId="77777777" w:rsidR="00B13439" w:rsidRPr="009B546D" w:rsidRDefault="00B13439" w:rsidP="00EA2BB6">
            <w:pPr>
              <w:spacing w:after="0" w:line="240" w:lineRule="auto"/>
              <w:rPr>
                <w:rFonts w:cstheme="minorHAnsi"/>
                <w:color w:val="000000"/>
                <w:szCs w:val="20"/>
              </w:rPr>
            </w:pPr>
            <w:r w:rsidRPr="009B546D">
              <w:rPr>
                <w:rFonts w:cstheme="minorHAnsi"/>
                <w:color w:val="000000"/>
                <w:szCs w:val="20"/>
              </w:rPr>
              <w:t xml:space="preserve">Accumulated losses </w:t>
            </w:r>
          </w:p>
        </w:tc>
        <w:tc>
          <w:tcPr>
            <w:tcW w:w="1180" w:type="dxa"/>
            <w:tcBorders>
              <w:top w:val="nil"/>
              <w:left w:val="nil"/>
              <w:bottom w:val="nil"/>
              <w:right w:val="nil"/>
            </w:tcBorders>
            <w:shd w:val="clear" w:color="auto" w:fill="auto"/>
            <w:noWrap/>
            <w:vAlign w:val="bottom"/>
            <w:hideMark/>
          </w:tcPr>
          <w:p w14:paraId="30EA654B" w14:textId="77777777" w:rsidR="00B13439" w:rsidRPr="009B546D" w:rsidRDefault="00B13439" w:rsidP="00EA2BB6">
            <w:pPr>
              <w:spacing w:after="0" w:line="240" w:lineRule="auto"/>
              <w:rPr>
                <w:rFonts w:cstheme="minorHAnsi"/>
                <w:color w:val="000000"/>
                <w:szCs w:val="20"/>
              </w:rPr>
            </w:pPr>
          </w:p>
        </w:tc>
        <w:tc>
          <w:tcPr>
            <w:tcW w:w="1180" w:type="dxa"/>
            <w:tcBorders>
              <w:top w:val="nil"/>
              <w:left w:val="nil"/>
              <w:bottom w:val="single" w:sz="4" w:space="0" w:color="auto"/>
              <w:right w:val="nil"/>
            </w:tcBorders>
            <w:shd w:val="clear" w:color="auto" w:fill="auto"/>
            <w:noWrap/>
            <w:vAlign w:val="bottom"/>
            <w:hideMark/>
          </w:tcPr>
          <w:p w14:paraId="2B3CB61B" w14:textId="2495FA89" w:rsidR="00B13439" w:rsidRPr="009B546D" w:rsidRDefault="000D5040" w:rsidP="00EA2BB6">
            <w:pPr>
              <w:spacing w:after="0" w:line="240" w:lineRule="auto"/>
              <w:jc w:val="right"/>
              <w:rPr>
                <w:rFonts w:cstheme="minorHAnsi"/>
                <w:color w:val="000000"/>
                <w:szCs w:val="20"/>
              </w:rPr>
            </w:pPr>
            <w:r w:rsidRPr="009B546D">
              <w:rPr>
                <w:rFonts w:cstheme="minorHAnsi"/>
                <w:szCs w:val="20"/>
              </w:rPr>
              <w:t>(1,1</w:t>
            </w:r>
            <w:r w:rsidR="00F05EB1" w:rsidRPr="009B546D">
              <w:rPr>
                <w:rFonts w:cstheme="minorHAnsi"/>
                <w:szCs w:val="20"/>
              </w:rPr>
              <w:t>57</w:t>
            </w:r>
            <w:r w:rsidRPr="009B546D">
              <w:rPr>
                <w:rFonts w:cstheme="minorHAnsi"/>
                <w:szCs w:val="20"/>
              </w:rPr>
              <w:t>,884)</w:t>
            </w:r>
          </w:p>
        </w:tc>
        <w:tc>
          <w:tcPr>
            <w:tcW w:w="1180" w:type="dxa"/>
            <w:tcBorders>
              <w:top w:val="nil"/>
              <w:left w:val="nil"/>
              <w:bottom w:val="single" w:sz="4" w:space="0" w:color="auto"/>
              <w:right w:val="nil"/>
            </w:tcBorders>
            <w:shd w:val="clear" w:color="auto" w:fill="auto"/>
            <w:noWrap/>
            <w:vAlign w:val="bottom"/>
            <w:hideMark/>
          </w:tcPr>
          <w:p w14:paraId="5322E4B4" w14:textId="77777777" w:rsidR="00B13439" w:rsidRPr="009B546D" w:rsidRDefault="00B13439" w:rsidP="00EA2BB6">
            <w:pPr>
              <w:spacing w:after="0" w:line="240" w:lineRule="auto"/>
              <w:jc w:val="right"/>
              <w:rPr>
                <w:rFonts w:cstheme="minorHAnsi"/>
                <w:color w:val="000000"/>
                <w:szCs w:val="20"/>
              </w:rPr>
            </w:pPr>
            <w:r w:rsidRPr="009B546D">
              <w:rPr>
                <w:rFonts w:cstheme="minorHAnsi"/>
                <w:color w:val="000000"/>
                <w:szCs w:val="20"/>
              </w:rPr>
              <w:t>(654,276)</w:t>
            </w:r>
          </w:p>
        </w:tc>
      </w:tr>
      <w:tr w:rsidR="00B13439" w:rsidRPr="009B546D" w14:paraId="59F943AA" w14:textId="77777777" w:rsidTr="003633CD">
        <w:trPr>
          <w:trHeight w:val="255"/>
        </w:trPr>
        <w:tc>
          <w:tcPr>
            <w:tcW w:w="2840" w:type="dxa"/>
            <w:tcBorders>
              <w:top w:val="nil"/>
              <w:left w:val="nil"/>
              <w:bottom w:val="nil"/>
              <w:right w:val="nil"/>
            </w:tcBorders>
            <w:shd w:val="clear" w:color="auto" w:fill="auto"/>
            <w:noWrap/>
            <w:vAlign w:val="bottom"/>
            <w:hideMark/>
          </w:tcPr>
          <w:p w14:paraId="0545235F" w14:textId="77777777" w:rsidR="00B13439" w:rsidRPr="009B546D" w:rsidRDefault="00B13439" w:rsidP="00EA2BB6">
            <w:pPr>
              <w:spacing w:after="0" w:line="240" w:lineRule="auto"/>
              <w:rPr>
                <w:rFonts w:cstheme="minorHAnsi"/>
                <w:b/>
                <w:bCs/>
                <w:color w:val="000000"/>
                <w:szCs w:val="20"/>
              </w:rPr>
            </w:pPr>
            <w:r w:rsidRPr="009B546D">
              <w:rPr>
                <w:rFonts w:cstheme="minorHAnsi"/>
                <w:b/>
                <w:bCs/>
                <w:color w:val="000000"/>
                <w:szCs w:val="20"/>
              </w:rPr>
              <w:t xml:space="preserve">Total equity </w:t>
            </w:r>
          </w:p>
        </w:tc>
        <w:tc>
          <w:tcPr>
            <w:tcW w:w="1180" w:type="dxa"/>
            <w:tcBorders>
              <w:top w:val="nil"/>
              <w:left w:val="nil"/>
              <w:bottom w:val="nil"/>
              <w:right w:val="nil"/>
            </w:tcBorders>
            <w:shd w:val="clear" w:color="auto" w:fill="auto"/>
            <w:noWrap/>
            <w:vAlign w:val="bottom"/>
            <w:hideMark/>
          </w:tcPr>
          <w:p w14:paraId="486A9A19" w14:textId="77777777" w:rsidR="00B13439" w:rsidRPr="009B546D" w:rsidRDefault="00B13439" w:rsidP="00EA2BB6">
            <w:pPr>
              <w:spacing w:after="0" w:line="240" w:lineRule="auto"/>
              <w:jc w:val="right"/>
              <w:rPr>
                <w:rFonts w:cstheme="minorHAnsi"/>
                <w:b/>
                <w:bCs/>
                <w:color w:val="000000"/>
                <w:szCs w:val="20"/>
              </w:rPr>
            </w:pPr>
          </w:p>
        </w:tc>
        <w:tc>
          <w:tcPr>
            <w:tcW w:w="1180" w:type="dxa"/>
            <w:tcBorders>
              <w:top w:val="single" w:sz="4" w:space="0" w:color="auto"/>
              <w:left w:val="nil"/>
              <w:bottom w:val="single" w:sz="4" w:space="0" w:color="auto"/>
              <w:right w:val="nil"/>
            </w:tcBorders>
            <w:shd w:val="clear" w:color="auto" w:fill="auto"/>
            <w:noWrap/>
            <w:vAlign w:val="bottom"/>
            <w:hideMark/>
          </w:tcPr>
          <w:p w14:paraId="3CA69FD4" w14:textId="28B91856" w:rsidR="00B13439" w:rsidRPr="009B546D" w:rsidRDefault="000D5040" w:rsidP="00EA2BB6">
            <w:pPr>
              <w:spacing w:after="0" w:line="240" w:lineRule="auto"/>
              <w:jc w:val="right"/>
              <w:rPr>
                <w:rFonts w:cstheme="minorHAnsi"/>
                <w:color w:val="000000"/>
                <w:szCs w:val="20"/>
              </w:rPr>
            </w:pPr>
            <w:r w:rsidRPr="009B546D">
              <w:rPr>
                <w:rFonts w:cstheme="minorHAnsi"/>
                <w:color w:val="000000"/>
                <w:szCs w:val="20"/>
              </w:rPr>
              <w:t>3,2</w:t>
            </w:r>
            <w:r w:rsidR="00A80C91" w:rsidRPr="009B546D">
              <w:rPr>
                <w:rFonts w:cstheme="minorHAnsi"/>
                <w:color w:val="000000"/>
                <w:szCs w:val="20"/>
              </w:rPr>
              <w:t>08</w:t>
            </w:r>
            <w:r w:rsidRPr="009B546D">
              <w:rPr>
                <w:rFonts w:cstheme="minorHAnsi"/>
                <w:color w:val="000000"/>
                <w:szCs w:val="20"/>
              </w:rPr>
              <w:t>,930</w:t>
            </w:r>
            <w:r w:rsidR="00B13439" w:rsidRPr="009B546D">
              <w:rPr>
                <w:rFonts w:cstheme="minorHAnsi"/>
                <w:color w:val="000000"/>
                <w:szCs w:val="20"/>
              </w:rPr>
              <w:t xml:space="preserve"> </w:t>
            </w:r>
          </w:p>
        </w:tc>
        <w:tc>
          <w:tcPr>
            <w:tcW w:w="1180" w:type="dxa"/>
            <w:tcBorders>
              <w:top w:val="single" w:sz="4" w:space="0" w:color="auto"/>
              <w:left w:val="nil"/>
              <w:bottom w:val="single" w:sz="4" w:space="0" w:color="auto"/>
              <w:right w:val="nil"/>
            </w:tcBorders>
            <w:shd w:val="clear" w:color="auto" w:fill="auto"/>
            <w:noWrap/>
            <w:vAlign w:val="bottom"/>
            <w:hideMark/>
          </w:tcPr>
          <w:p w14:paraId="5F4E4D53" w14:textId="77777777" w:rsidR="00B13439" w:rsidRPr="009B546D" w:rsidRDefault="00B13439" w:rsidP="00EA2BB6">
            <w:pPr>
              <w:spacing w:after="0" w:line="240" w:lineRule="auto"/>
              <w:jc w:val="right"/>
              <w:rPr>
                <w:rFonts w:cstheme="minorHAnsi"/>
                <w:color w:val="000000"/>
                <w:szCs w:val="20"/>
              </w:rPr>
            </w:pPr>
            <w:r w:rsidRPr="009B546D">
              <w:rPr>
                <w:rFonts w:cstheme="minorHAnsi"/>
                <w:color w:val="000000"/>
                <w:szCs w:val="20"/>
              </w:rPr>
              <w:t>3,712,538</w:t>
            </w:r>
          </w:p>
        </w:tc>
      </w:tr>
      <w:tr w:rsidR="00B13439" w:rsidRPr="009B546D" w14:paraId="488DDC50" w14:textId="77777777" w:rsidTr="003633CD">
        <w:trPr>
          <w:trHeight w:val="255"/>
        </w:trPr>
        <w:tc>
          <w:tcPr>
            <w:tcW w:w="2840" w:type="dxa"/>
            <w:tcBorders>
              <w:top w:val="nil"/>
              <w:left w:val="nil"/>
              <w:bottom w:val="nil"/>
              <w:right w:val="nil"/>
            </w:tcBorders>
            <w:shd w:val="clear" w:color="auto" w:fill="auto"/>
            <w:noWrap/>
            <w:vAlign w:val="bottom"/>
            <w:hideMark/>
          </w:tcPr>
          <w:p w14:paraId="4AA5BAC8" w14:textId="77777777" w:rsidR="00B13439" w:rsidRPr="009B546D" w:rsidRDefault="00B13439" w:rsidP="00EA2BB6">
            <w:pPr>
              <w:spacing w:after="0" w:line="240" w:lineRule="auto"/>
              <w:jc w:val="right"/>
              <w:rPr>
                <w:rFonts w:cstheme="minorHAnsi"/>
                <w:color w:val="000000"/>
                <w:szCs w:val="20"/>
              </w:rPr>
            </w:pPr>
          </w:p>
        </w:tc>
        <w:tc>
          <w:tcPr>
            <w:tcW w:w="1180" w:type="dxa"/>
            <w:tcBorders>
              <w:top w:val="nil"/>
              <w:left w:val="nil"/>
              <w:bottom w:val="nil"/>
              <w:right w:val="nil"/>
            </w:tcBorders>
            <w:shd w:val="clear" w:color="auto" w:fill="auto"/>
            <w:noWrap/>
            <w:vAlign w:val="bottom"/>
            <w:hideMark/>
          </w:tcPr>
          <w:p w14:paraId="52FB6552" w14:textId="77777777" w:rsidR="00B13439" w:rsidRPr="009B546D" w:rsidRDefault="00B13439" w:rsidP="00EA2BB6">
            <w:pPr>
              <w:spacing w:after="0" w:line="240" w:lineRule="auto"/>
              <w:rPr>
                <w:rFonts w:cstheme="minorHAnsi"/>
                <w:szCs w:val="20"/>
              </w:rPr>
            </w:pPr>
          </w:p>
        </w:tc>
        <w:tc>
          <w:tcPr>
            <w:tcW w:w="1180" w:type="dxa"/>
            <w:tcBorders>
              <w:top w:val="single" w:sz="4" w:space="0" w:color="auto"/>
              <w:left w:val="nil"/>
              <w:bottom w:val="nil"/>
              <w:right w:val="nil"/>
            </w:tcBorders>
            <w:shd w:val="clear" w:color="auto" w:fill="auto"/>
            <w:noWrap/>
            <w:vAlign w:val="bottom"/>
            <w:hideMark/>
          </w:tcPr>
          <w:p w14:paraId="116ACC64" w14:textId="77777777" w:rsidR="00B13439" w:rsidRPr="009B546D" w:rsidRDefault="00B13439" w:rsidP="00EA2BB6">
            <w:pPr>
              <w:spacing w:after="0" w:line="240" w:lineRule="auto"/>
              <w:rPr>
                <w:rFonts w:cstheme="minorHAnsi"/>
                <w:szCs w:val="20"/>
              </w:rPr>
            </w:pPr>
          </w:p>
        </w:tc>
        <w:tc>
          <w:tcPr>
            <w:tcW w:w="1180" w:type="dxa"/>
            <w:tcBorders>
              <w:top w:val="single" w:sz="4" w:space="0" w:color="auto"/>
              <w:left w:val="nil"/>
              <w:bottom w:val="nil"/>
              <w:right w:val="nil"/>
            </w:tcBorders>
            <w:shd w:val="clear" w:color="auto" w:fill="auto"/>
            <w:noWrap/>
            <w:vAlign w:val="bottom"/>
            <w:hideMark/>
          </w:tcPr>
          <w:p w14:paraId="492FC463" w14:textId="77777777" w:rsidR="00B13439" w:rsidRPr="009B546D" w:rsidRDefault="00B13439" w:rsidP="00EA2BB6">
            <w:pPr>
              <w:spacing w:after="0" w:line="240" w:lineRule="auto"/>
              <w:rPr>
                <w:rFonts w:cstheme="minorHAnsi"/>
                <w:szCs w:val="20"/>
              </w:rPr>
            </w:pPr>
          </w:p>
        </w:tc>
      </w:tr>
      <w:tr w:rsidR="00B13439" w:rsidRPr="009B546D" w14:paraId="18150013" w14:textId="77777777" w:rsidTr="007B5E1A">
        <w:trPr>
          <w:trHeight w:val="255"/>
        </w:trPr>
        <w:tc>
          <w:tcPr>
            <w:tcW w:w="2840" w:type="dxa"/>
            <w:tcBorders>
              <w:top w:val="nil"/>
              <w:left w:val="nil"/>
              <w:bottom w:val="nil"/>
              <w:right w:val="nil"/>
            </w:tcBorders>
            <w:shd w:val="clear" w:color="auto" w:fill="auto"/>
            <w:noWrap/>
            <w:vAlign w:val="bottom"/>
            <w:hideMark/>
          </w:tcPr>
          <w:p w14:paraId="0549B472" w14:textId="77777777" w:rsidR="00B13439" w:rsidRPr="009B546D" w:rsidRDefault="00B13439" w:rsidP="00EA2BB6">
            <w:pPr>
              <w:spacing w:after="0" w:line="240" w:lineRule="auto"/>
              <w:rPr>
                <w:rFonts w:cstheme="minorHAnsi"/>
                <w:b/>
                <w:bCs/>
                <w:color w:val="000000"/>
                <w:szCs w:val="20"/>
              </w:rPr>
            </w:pPr>
            <w:r w:rsidRPr="009B546D">
              <w:rPr>
                <w:rFonts w:cstheme="minorHAnsi"/>
                <w:b/>
                <w:bCs/>
                <w:color w:val="000000"/>
                <w:szCs w:val="20"/>
              </w:rPr>
              <w:t xml:space="preserve">Liabilities </w:t>
            </w:r>
          </w:p>
        </w:tc>
        <w:tc>
          <w:tcPr>
            <w:tcW w:w="1180" w:type="dxa"/>
            <w:tcBorders>
              <w:top w:val="nil"/>
              <w:left w:val="nil"/>
              <w:bottom w:val="nil"/>
              <w:right w:val="nil"/>
            </w:tcBorders>
            <w:shd w:val="clear" w:color="auto" w:fill="auto"/>
            <w:noWrap/>
            <w:vAlign w:val="bottom"/>
            <w:hideMark/>
          </w:tcPr>
          <w:p w14:paraId="779C228C" w14:textId="77777777" w:rsidR="00B13439" w:rsidRPr="009B546D" w:rsidRDefault="00B13439" w:rsidP="00EA2BB6">
            <w:pPr>
              <w:spacing w:after="0" w:line="240" w:lineRule="auto"/>
              <w:rPr>
                <w:rFonts w:cstheme="minorHAnsi"/>
                <w:b/>
                <w:bCs/>
                <w:color w:val="000000"/>
                <w:szCs w:val="20"/>
              </w:rPr>
            </w:pPr>
          </w:p>
        </w:tc>
        <w:tc>
          <w:tcPr>
            <w:tcW w:w="1180" w:type="dxa"/>
            <w:tcBorders>
              <w:top w:val="nil"/>
              <w:left w:val="nil"/>
              <w:bottom w:val="nil"/>
              <w:right w:val="nil"/>
            </w:tcBorders>
            <w:shd w:val="clear" w:color="auto" w:fill="auto"/>
            <w:noWrap/>
            <w:vAlign w:val="bottom"/>
            <w:hideMark/>
          </w:tcPr>
          <w:p w14:paraId="3BE64A59" w14:textId="77777777" w:rsidR="00B13439" w:rsidRPr="009B546D" w:rsidRDefault="00B13439" w:rsidP="00EA2BB6">
            <w:pPr>
              <w:spacing w:after="0" w:line="240" w:lineRule="auto"/>
              <w:rPr>
                <w:rFonts w:cstheme="minorHAnsi"/>
                <w:szCs w:val="20"/>
              </w:rPr>
            </w:pPr>
          </w:p>
        </w:tc>
        <w:tc>
          <w:tcPr>
            <w:tcW w:w="1180" w:type="dxa"/>
            <w:tcBorders>
              <w:top w:val="nil"/>
              <w:left w:val="nil"/>
              <w:bottom w:val="nil"/>
              <w:right w:val="nil"/>
            </w:tcBorders>
            <w:shd w:val="clear" w:color="auto" w:fill="auto"/>
            <w:noWrap/>
            <w:vAlign w:val="bottom"/>
            <w:hideMark/>
          </w:tcPr>
          <w:p w14:paraId="0CBF0AFB" w14:textId="77777777" w:rsidR="00B13439" w:rsidRPr="009B546D" w:rsidRDefault="00B13439" w:rsidP="00EA2BB6">
            <w:pPr>
              <w:spacing w:after="0" w:line="240" w:lineRule="auto"/>
              <w:rPr>
                <w:rFonts w:cstheme="minorHAnsi"/>
                <w:szCs w:val="20"/>
              </w:rPr>
            </w:pPr>
          </w:p>
        </w:tc>
      </w:tr>
      <w:tr w:rsidR="00B13439" w:rsidRPr="009B546D" w14:paraId="02537FB8" w14:textId="77777777" w:rsidTr="007B5E1A">
        <w:trPr>
          <w:trHeight w:val="255"/>
        </w:trPr>
        <w:tc>
          <w:tcPr>
            <w:tcW w:w="2840" w:type="dxa"/>
            <w:tcBorders>
              <w:top w:val="nil"/>
              <w:left w:val="nil"/>
              <w:bottom w:val="nil"/>
              <w:right w:val="nil"/>
            </w:tcBorders>
            <w:shd w:val="clear" w:color="auto" w:fill="auto"/>
            <w:noWrap/>
            <w:vAlign w:val="bottom"/>
            <w:hideMark/>
          </w:tcPr>
          <w:p w14:paraId="78B097EA" w14:textId="77777777" w:rsidR="00B13439" w:rsidRPr="009B546D" w:rsidRDefault="00B13439" w:rsidP="00EA2BB6">
            <w:pPr>
              <w:spacing w:after="0" w:line="240" w:lineRule="auto"/>
              <w:rPr>
                <w:rFonts w:cstheme="minorHAnsi"/>
                <w:b/>
                <w:bCs/>
                <w:color w:val="000000"/>
                <w:szCs w:val="20"/>
              </w:rPr>
            </w:pPr>
            <w:r w:rsidRPr="009B546D">
              <w:rPr>
                <w:rFonts w:cstheme="minorHAnsi"/>
                <w:b/>
                <w:bCs/>
                <w:color w:val="000000"/>
                <w:szCs w:val="20"/>
              </w:rPr>
              <w:t xml:space="preserve">Current liabilities </w:t>
            </w:r>
          </w:p>
        </w:tc>
        <w:tc>
          <w:tcPr>
            <w:tcW w:w="1180" w:type="dxa"/>
            <w:tcBorders>
              <w:top w:val="nil"/>
              <w:left w:val="nil"/>
              <w:bottom w:val="nil"/>
              <w:right w:val="nil"/>
            </w:tcBorders>
            <w:shd w:val="clear" w:color="auto" w:fill="auto"/>
            <w:noWrap/>
            <w:vAlign w:val="bottom"/>
            <w:hideMark/>
          </w:tcPr>
          <w:p w14:paraId="29C0E2FF" w14:textId="77777777" w:rsidR="00B13439" w:rsidRPr="009B546D" w:rsidRDefault="00B13439" w:rsidP="00EA2BB6">
            <w:pPr>
              <w:spacing w:after="0" w:line="240" w:lineRule="auto"/>
              <w:rPr>
                <w:rFonts w:cstheme="minorHAnsi"/>
                <w:b/>
                <w:bCs/>
                <w:color w:val="000000"/>
                <w:szCs w:val="20"/>
              </w:rPr>
            </w:pPr>
          </w:p>
        </w:tc>
        <w:tc>
          <w:tcPr>
            <w:tcW w:w="1180" w:type="dxa"/>
            <w:tcBorders>
              <w:top w:val="nil"/>
              <w:left w:val="nil"/>
              <w:bottom w:val="nil"/>
              <w:right w:val="nil"/>
            </w:tcBorders>
            <w:shd w:val="clear" w:color="auto" w:fill="auto"/>
            <w:noWrap/>
            <w:vAlign w:val="bottom"/>
            <w:hideMark/>
          </w:tcPr>
          <w:p w14:paraId="67D11532" w14:textId="77777777" w:rsidR="00B13439" w:rsidRPr="009B546D" w:rsidRDefault="00B13439" w:rsidP="00EA2BB6">
            <w:pPr>
              <w:spacing w:after="0" w:line="240" w:lineRule="auto"/>
              <w:rPr>
                <w:rFonts w:cstheme="minorHAnsi"/>
                <w:szCs w:val="20"/>
              </w:rPr>
            </w:pPr>
          </w:p>
        </w:tc>
        <w:tc>
          <w:tcPr>
            <w:tcW w:w="1180" w:type="dxa"/>
            <w:tcBorders>
              <w:top w:val="nil"/>
              <w:left w:val="nil"/>
              <w:bottom w:val="nil"/>
              <w:right w:val="nil"/>
            </w:tcBorders>
            <w:shd w:val="clear" w:color="auto" w:fill="auto"/>
            <w:noWrap/>
            <w:vAlign w:val="bottom"/>
            <w:hideMark/>
          </w:tcPr>
          <w:p w14:paraId="5B2700B8" w14:textId="77777777" w:rsidR="00B13439" w:rsidRPr="009B546D" w:rsidRDefault="00B13439" w:rsidP="00EA2BB6">
            <w:pPr>
              <w:spacing w:after="0" w:line="240" w:lineRule="auto"/>
              <w:rPr>
                <w:rFonts w:cstheme="minorHAnsi"/>
                <w:szCs w:val="20"/>
              </w:rPr>
            </w:pPr>
          </w:p>
        </w:tc>
      </w:tr>
      <w:tr w:rsidR="00B13439" w:rsidRPr="009B546D" w14:paraId="2A4175B0" w14:textId="77777777" w:rsidTr="007B5E1A">
        <w:trPr>
          <w:trHeight w:val="255"/>
        </w:trPr>
        <w:tc>
          <w:tcPr>
            <w:tcW w:w="2840" w:type="dxa"/>
            <w:tcBorders>
              <w:top w:val="nil"/>
              <w:left w:val="nil"/>
              <w:bottom w:val="nil"/>
              <w:right w:val="nil"/>
            </w:tcBorders>
            <w:shd w:val="clear" w:color="auto" w:fill="auto"/>
            <w:noWrap/>
            <w:vAlign w:val="bottom"/>
            <w:hideMark/>
          </w:tcPr>
          <w:p w14:paraId="58576665" w14:textId="77777777" w:rsidR="00B13439" w:rsidRPr="009B546D" w:rsidRDefault="00B13439" w:rsidP="00EA2BB6">
            <w:pPr>
              <w:spacing w:after="0" w:line="240" w:lineRule="auto"/>
              <w:rPr>
                <w:rFonts w:cstheme="minorHAnsi"/>
                <w:color w:val="000000"/>
                <w:szCs w:val="20"/>
              </w:rPr>
            </w:pPr>
            <w:r w:rsidRPr="009B546D">
              <w:rPr>
                <w:rFonts w:cstheme="minorHAnsi"/>
                <w:color w:val="000000"/>
                <w:szCs w:val="20"/>
              </w:rPr>
              <w:t xml:space="preserve">Accruals </w:t>
            </w:r>
          </w:p>
        </w:tc>
        <w:tc>
          <w:tcPr>
            <w:tcW w:w="1180" w:type="dxa"/>
            <w:tcBorders>
              <w:top w:val="nil"/>
              <w:left w:val="nil"/>
              <w:bottom w:val="nil"/>
              <w:right w:val="nil"/>
            </w:tcBorders>
            <w:shd w:val="clear" w:color="auto" w:fill="auto"/>
            <w:noWrap/>
            <w:vAlign w:val="bottom"/>
            <w:hideMark/>
          </w:tcPr>
          <w:p w14:paraId="2C002582" w14:textId="77777777" w:rsidR="00B13439" w:rsidRPr="009B546D" w:rsidRDefault="00B13439" w:rsidP="00EA2BB6">
            <w:pPr>
              <w:spacing w:after="0" w:line="240" w:lineRule="auto"/>
              <w:rPr>
                <w:rFonts w:cstheme="minorHAnsi"/>
                <w:color w:val="000000"/>
                <w:szCs w:val="20"/>
              </w:rPr>
            </w:pPr>
          </w:p>
        </w:tc>
        <w:tc>
          <w:tcPr>
            <w:tcW w:w="1180" w:type="dxa"/>
            <w:tcBorders>
              <w:top w:val="nil"/>
              <w:left w:val="nil"/>
              <w:bottom w:val="nil"/>
              <w:right w:val="nil"/>
            </w:tcBorders>
            <w:shd w:val="clear" w:color="auto" w:fill="auto"/>
            <w:noWrap/>
            <w:vAlign w:val="bottom"/>
            <w:hideMark/>
          </w:tcPr>
          <w:p w14:paraId="1CABBD87" w14:textId="5FE7686B" w:rsidR="00B13439" w:rsidRPr="009B546D" w:rsidRDefault="00A80C91" w:rsidP="00EA2BB6">
            <w:pPr>
              <w:spacing w:after="0" w:line="240" w:lineRule="auto"/>
              <w:jc w:val="right"/>
              <w:rPr>
                <w:rFonts w:cstheme="minorHAnsi"/>
                <w:color w:val="000000"/>
                <w:szCs w:val="20"/>
              </w:rPr>
            </w:pPr>
            <w:r w:rsidRPr="009B546D">
              <w:rPr>
                <w:rFonts w:cstheme="minorHAnsi"/>
                <w:szCs w:val="20"/>
              </w:rPr>
              <w:t>218,151</w:t>
            </w:r>
          </w:p>
        </w:tc>
        <w:tc>
          <w:tcPr>
            <w:tcW w:w="1180" w:type="dxa"/>
            <w:tcBorders>
              <w:top w:val="nil"/>
              <w:left w:val="nil"/>
              <w:bottom w:val="nil"/>
              <w:right w:val="nil"/>
            </w:tcBorders>
            <w:shd w:val="clear" w:color="auto" w:fill="auto"/>
            <w:noWrap/>
            <w:vAlign w:val="bottom"/>
            <w:hideMark/>
          </w:tcPr>
          <w:p w14:paraId="03929A98" w14:textId="77777777" w:rsidR="00B13439" w:rsidRPr="009B546D" w:rsidRDefault="00B13439" w:rsidP="00EA2BB6">
            <w:pPr>
              <w:spacing w:after="0" w:line="240" w:lineRule="auto"/>
              <w:jc w:val="right"/>
              <w:rPr>
                <w:rFonts w:cstheme="minorHAnsi"/>
                <w:color w:val="000000"/>
                <w:szCs w:val="20"/>
              </w:rPr>
            </w:pPr>
            <w:r w:rsidRPr="009B546D">
              <w:rPr>
                <w:rFonts w:cstheme="minorHAnsi"/>
                <w:color w:val="000000"/>
                <w:szCs w:val="20"/>
              </w:rPr>
              <w:t>118,287</w:t>
            </w:r>
          </w:p>
        </w:tc>
      </w:tr>
      <w:tr w:rsidR="00B13439" w:rsidRPr="009B546D" w14:paraId="0AABAA92" w14:textId="77777777" w:rsidTr="003633CD">
        <w:trPr>
          <w:trHeight w:val="255"/>
        </w:trPr>
        <w:tc>
          <w:tcPr>
            <w:tcW w:w="2840" w:type="dxa"/>
            <w:tcBorders>
              <w:top w:val="nil"/>
              <w:left w:val="nil"/>
              <w:bottom w:val="nil"/>
              <w:right w:val="nil"/>
            </w:tcBorders>
            <w:shd w:val="clear" w:color="auto" w:fill="auto"/>
            <w:noWrap/>
            <w:vAlign w:val="bottom"/>
            <w:hideMark/>
          </w:tcPr>
          <w:p w14:paraId="2C4CAAD1" w14:textId="77777777" w:rsidR="00B13439" w:rsidRPr="009B546D" w:rsidRDefault="00B13439" w:rsidP="00EA2BB6">
            <w:pPr>
              <w:spacing w:after="0" w:line="240" w:lineRule="auto"/>
              <w:rPr>
                <w:rFonts w:cstheme="minorHAnsi"/>
                <w:color w:val="000000"/>
                <w:szCs w:val="20"/>
              </w:rPr>
            </w:pPr>
            <w:r w:rsidRPr="009B546D">
              <w:rPr>
                <w:rFonts w:cstheme="minorHAnsi"/>
                <w:color w:val="000000"/>
                <w:szCs w:val="20"/>
              </w:rPr>
              <w:t>Amounts due to a director</w:t>
            </w:r>
          </w:p>
        </w:tc>
        <w:tc>
          <w:tcPr>
            <w:tcW w:w="1180" w:type="dxa"/>
            <w:tcBorders>
              <w:top w:val="nil"/>
              <w:left w:val="nil"/>
              <w:bottom w:val="nil"/>
              <w:right w:val="nil"/>
            </w:tcBorders>
            <w:shd w:val="clear" w:color="auto" w:fill="auto"/>
            <w:noWrap/>
            <w:vAlign w:val="bottom"/>
            <w:hideMark/>
          </w:tcPr>
          <w:p w14:paraId="1441F184" w14:textId="77777777" w:rsidR="00B13439" w:rsidRPr="009B546D" w:rsidRDefault="00B13439" w:rsidP="00EA2BB6">
            <w:pPr>
              <w:spacing w:after="0" w:line="240" w:lineRule="auto"/>
              <w:rPr>
                <w:rFonts w:cstheme="minorHAnsi"/>
                <w:color w:val="000000"/>
                <w:szCs w:val="20"/>
              </w:rPr>
            </w:pPr>
          </w:p>
        </w:tc>
        <w:tc>
          <w:tcPr>
            <w:tcW w:w="1180" w:type="dxa"/>
            <w:tcBorders>
              <w:top w:val="nil"/>
              <w:left w:val="nil"/>
              <w:bottom w:val="single" w:sz="4" w:space="0" w:color="auto"/>
              <w:right w:val="nil"/>
            </w:tcBorders>
            <w:shd w:val="clear" w:color="auto" w:fill="auto"/>
            <w:noWrap/>
            <w:vAlign w:val="bottom"/>
            <w:hideMark/>
          </w:tcPr>
          <w:p w14:paraId="40DB0369" w14:textId="1B5A0D53" w:rsidR="00B13439" w:rsidRPr="009B546D" w:rsidRDefault="00D24380" w:rsidP="00EA2BB6">
            <w:pPr>
              <w:spacing w:after="0" w:line="240" w:lineRule="auto"/>
              <w:jc w:val="right"/>
              <w:rPr>
                <w:rFonts w:cstheme="minorHAnsi"/>
                <w:color w:val="000000"/>
                <w:szCs w:val="20"/>
              </w:rPr>
            </w:pPr>
            <w:r w:rsidRPr="009B546D">
              <w:rPr>
                <w:rFonts w:cstheme="minorHAnsi"/>
                <w:color w:val="000000"/>
                <w:szCs w:val="20"/>
              </w:rPr>
              <w:t>288,811</w:t>
            </w:r>
            <w:r w:rsidR="00B13439" w:rsidRPr="009B546D">
              <w:rPr>
                <w:rFonts w:cstheme="minorHAnsi"/>
                <w:color w:val="000000"/>
                <w:szCs w:val="20"/>
              </w:rPr>
              <w:t xml:space="preserve"> </w:t>
            </w:r>
          </w:p>
        </w:tc>
        <w:tc>
          <w:tcPr>
            <w:tcW w:w="1180" w:type="dxa"/>
            <w:tcBorders>
              <w:top w:val="nil"/>
              <w:left w:val="nil"/>
              <w:bottom w:val="single" w:sz="4" w:space="0" w:color="auto"/>
              <w:right w:val="nil"/>
            </w:tcBorders>
            <w:shd w:val="clear" w:color="auto" w:fill="auto"/>
            <w:noWrap/>
            <w:vAlign w:val="bottom"/>
            <w:hideMark/>
          </w:tcPr>
          <w:p w14:paraId="2D1E9E4D" w14:textId="77777777" w:rsidR="00B13439" w:rsidRPr="009B546D" w:rsidRDefault="00B13439" w:rsidP="00EA2BB6">
            <w:pPr>
              <w:spacing w:after="0" w:line="240" w:lineRule="auto"/>
              <w:jc w:val="right"/>
              <w:rPr>
                <w:rFonts w:cstheme="minorHAnsi"/>
                <w:color w:val="000000"/>
                <w:szCs w:val="20"/>
              </w:rPr>
            </w:pPr>
            <w:r w:rsidRPr="009B546D">
              <w:rPr>
                <w:rFonts w:cstheme="minorHAnsi"/>
                <w:color w:val="000000"/>
                <w:szCs w:val="20"/>
              </w:rPr>
              <w:t xml:space="preserve">288,811 </w:t>
            </w:r>
          </w:p>
        </w:tc>
      </w:tr>
      <w:tr w:rsidR="00B13439" w:rsidRPr="009B546D" w14:paraId="73678EBA" w14:textId="77777777" w:rsidTr="003633CD">
        <w:trPr>
          <w:trHeight w:val="255"/>
        </w:trPr>
        <w:tc>
          <w:tcPr>
            <w:tcW w:w="2840" w:type="dxa"/>
            <w:tcBorders>
              <w:top w:val="nil"/>
              <w:left w:val="nil"/>
              <w:bottom w:val="nil"/>
              <w:right w:val="nil"/>
            </w:tcBorders>
            <w:shd w:val="clear" w:color="auto" w:fill="auto"/>
            <w:noWrap/>
            <w:vAlign w:val="bottom"/>
            <w:hideMark/>
          </w:tcPr>
          <w:p w14:paraId="76BB5829" w14:textId="77777777" w:rsidR="00B13439" w:rsidRPr="009B546D" w:rsidRDefault="00B13439" w:rsidP="00EA2BB6">
            <w:pPr>
              <w:spacing w:after="0" w:line="240" w:lineRule="auto"/>
              <w:rPr>
                <w:rFonts w:cstheme="minorHAnsi"/>
                <w:b/>
                <w:bCs/>
                <w:color w:val="000000"/>
                <w:szCs w:val="20"/>
              </w:rPr>
            </w:pPr>
            <w:r w:rsidRPr="009B546D">
              <w:rPr>
                <w:rFonts w:cstheme="minorHAnsi"/>
                <w:b/>
                <w:bCs/>
                <w:color w:val="000000"/>
                <w:szCs w:val="20"/>
              </w:rPr>
              <w:t xml:space="preserve">Total current liabilities </w:t>
            </w:r>
          </w:p>
        </w:tc>
        <w:tc>
          <w:tcPr>
            <w:tcW w:w="1180" w:type="dxa"/>
            <w:tcBorders>
              <w:top w:val="nil"/>
              <w:left w:val="nil"/>
              <w:bottom w:val="nil"/>
              <w:right w:val="nil"/>
            </w:tcBorders>
            <w:shd w:val="clear" w:color="auto" w:fill="auto"/>
            <w:noWrap/>
            <w:vAlign w:val="bottom"/>
            <w:hideMark/>
          </w:tcPr>
          <w:p w14:paraId="0C3214C9" w14:textId="77777777" w:rsidR="00B13439" w:rsidRPr="009B546D" w:rsidRDefault="00B13439" w:rsidP="00EA2BB6">
            <w:pPr>
              <w:spacing w:after="0" w:line="240" w:lineRule="auto"/>
              <w:rPr>
                <w:rFonts w:cstheme="minorHAnsi"/>
                <w:b/>
                <w:bCs/>
                <w:color w:val="000000"/>
                <w:szCs w:val="20"/>
              </w:rPr>
            </w:pPr>
          </w:p>
        </w:tc>
        <w:tc>
          <w:tcPr>
            <w:tcW w:w="1180" w:type="dxa"/>
            <w:tcBorders>
              <w:top w:val="single" w:sz="4" w:space="0" w:color="auto"/>
              <w:left w:val="nil"/>
              <w:bottom w:val="single" w:sz="4" w:space="0" w:color="auto"/>
              <w:right w:val="nil"/>
            </w:tcBorders>
            <w:shd w:val="clear" w:color="auto" w:fill="auto"/>
            <w:noWrap/>
            <w:vAlign w:val="bottom"/>
            <w:hideMark/>
          </w:tcPr>
          <w:p w14:paraId="7854081B" w14:textId="4B9DAE28" w:rsidR="00B13439" w:rsidRPr="009B546D" w:rsidRDefault="007A045A" w:rsidP="00EA2BB6">
            <w:pPr>
              <w:spacing w:after="0" w:line="240" w:lineRule="auto"/>
              <w:jc w:val="right"/>
              <w:rPr>
                <w:rFonts w:cstheme="minorHAnsi"/>
                <w:color w:val="000000"/>
                <w:szCs w:val="20"/>
              </w:rPr>
            </w:pPr>
            <w:r w:rsidRPr="009B546D">
              <w:rPr>
                <w:rFonts w:cstheme="minorHAnsi"/>
                <w:szCs w:val="20"/>
              </w:rPr>
              <w:t>506,962</w:t>
            </w:r>
            <w:r w:rsidR="00B13439" w:rsidRPr="009B546D">
              <w:rPr>
                <w:rFonts w:cstheme="minorHAnsi"/>
                <w:color w:val="000000"/>
                <w:szCs w:val="20"/>
              </w:rPr>
              <w:t xml:space="preserve"> </w:t>
            </w:r>
          </w:p>
        </w:tc>
        <w:tc>
          <w:tcPr>
            <w:tcW w:w="1180" w:type="dxa"/>
            <w:tcBorders>
              <w:top w:val="single" w:sz="4" w:space="0" w:color="auto"/>
              <w:left w:val="nil"/>
              <w:bottom w:val="single" w:sz="4" w:space="0" w:color="auto"/>
              <w:right w:val="nil"/>
            </w:tcBorders>
            <w:shd w:val="clear" w:color="auto" w:fill="auto"/>
            <w:noWrap/>
            <w:vAlign w:val="bottom"/>
            <w:hideMark/>
          </w:tcPr>
          <w:p w14:paraId="4AC7F0A4" w14:textId="77777777" w:rsidR="00B13439" w:rsidRPr="009B546D" w:rsidRDefault="00B13439" w:rsidP="00EA2BB6">
            <w:pPr>
              <w:spacing w:after="0" w:line="240" w:lineRule="auto"/>
              <w:jc w:val="right"/>
              <w:rPr>
                <w:rFonts w:cstheme="minorHAnsi"/>
                <w:color w:val="000000"/>
                <w:szCs w:val="20"/>
              </w:rPr>
            </w:pPr>
            <w:r w:rsidRPr="009B546D">
              <w:rPr>
                <w:rFonts w:cstheme="minorHAnsi"/>
                <w:color w:val="000000"/>
                <w:szCs w:val="20"/>
              </w:rPr>
              <w:t xml:space="preserve">407,098 </w:t>
            </w:r>
          </w:p>
        </w:tc>
      </w:tr>
      <w:tr w:rsidR="00B13439" w:rsidRPr="009B546D" w14:paraId="0DEAABCF" w14:textId="77777777" w:rsidTr="003633CD">
        <w:trPr>
          <w:trHeight w:val="255"/>
        </w:trPr>
        <w:tc>
          <w:tcPr>
            <w:tcW w:w="2840" w:type="dxa"/>
            <w:tcBorders>
              <w:top w:val="nil"/>
              <w:left w:val="nil"/>
              <w:bottom w:val="nil"/>
              <w:right w:val="nil"/>
            </w:tcBorders>
            <w:shd w:val="clear" w:color="auto" w:fill="auto"/>
            <w:noWrap/>
            <w:vAlign w:val="bottom"/>
            <w:hideMark/>
          </w:tcPr>
          <w:p w14:paraId="66DB7CE4" w14:textId="77777777" w:rsidR="00B13439" w:rsidRPr="009B546D" w:rsidRDefault="00B13439" w:rsidP="00EA2BB6">
            <w:pPr>
              <w:spacing w:after="0" w:line="240" w:lineRule="auto"/>
              <w:jc w:val="right"/>
              <w:rPr>
                <w:rFonts w:cstheme="minorHAnsi"/>
                <w:color w:val="000000"/>
                <w:szCs w:val="20"/>
              </w:rPr>
            </w:pPr>
          </w:p>
        </w:tc>
        <w:tc>
          <w:tcPr>
            <w:tcW w:w="1180" w:type="dxa"/>
            <w:tcBorders>
              <w:top w:val="nil"/>
              <w:left w:val="nil"/>
              <w:bottom w:val="nil"/>
              <w:right w:val="nil"/>
            </w:tcBorders>
            <w:shd w:val="clear" w:color="auto" w:fill="auto"/>
            <w:noWrap/>
            <w:vAlign w:val="bottom"/>
            <w:hideMark/>
          </w:tcPr>
          <w:p w14:paraId="0D531278" w14:textId="77777777" w:rsidR="00B13439" w:rsidRPr="009B546D" w:rsidRDefault="00B13439" w:rsidP="00EA2BB6">
            <w:pPr>
              <w:spacing w:after="0" w:line="240" w:lineRule="auto"/>
              <w:rPr>
                <w:rFonts w:cstheme="minorHAnsi"/>
                <w:szCs w:val="20"/>
              </w:rPr>
            </w:pPr>
          </w:p>
        </w:tc>
        <w:tc>
          <w:tcPr>
            <w:tcW w:w="1180" w:type="dxa"/>
            <w:tcBorders>
              <w:top w:val="single" w:sz="4" w:space="0" w:color="auto"/>
              <w:left w:val="nil"/>
              <w:right w:val="nil"/>
            </w:tcBorders>
            <w:shd w:val="clear" w:color="auto" w:fill="auto"/>
            <w:noWrap/>
            <w:vAlign w:val="bottom"/>
            <w:hideMark/>
          </w:tcPr>
          <w:p w14:paraId="46F83EB0" w14:textId="77777777" w:rsidR="00B13439" w:rsidRPr="009B546D" w:rsidRDefault="00B13439" w:rsidP="00EA2BB6">
            <w:pPr>
              <w:spacing w:after="0" w:line="240" w:lineRule="auto"/>
              <w:rPr>
                <w:rFonts w:cstheme="minorHAnsi"/>
                <w:szCs w:val="20"/>
              </w:rPr>
            </w:pPr>
          </w:p>
        </w:tc>
        <w:tc>
          <w:tcPr>
            <w:tcW w:w="1180" w:type="dxa"/>
            <w:tcBorders>
              <w:top w:val="single" w:sz="4" w:space="0" w:color="auto"/>
              <w:left w:val="nil"/>
              <w:right w:val="nil"/>
            </w:tcBorders>
            <w:shd w:val="clear" w:color="auto" w:fill="auto"/>
            <w:noWrap/>
            <w:vAlign w:val="bottom"/>
            <w:hideMark/>
          </w:tcPr>
          <w:p w14:paraId="3C89CF83" w14:textId="77777777" w:rsidR="00B13439" w:rsidRPr="009B546D" w:rsidRDefault="00B13439" w:rsidP="00EA2BB6">
            <w:pPr>
              <w:spacing w:after="0" w:line="240" w:lineRule="auto"/>
              <w:rPr>
                <w:rFonts w:cstheme="minorHAnsi"/>
                <w:szCs w:val="20"/>
              </w:rPr>
            </w:pPr>
          </w:p>
        </w:tc>
      </w:tr>
      <w:tr w:rsidR="00B13439" w:rsidRPr="009B546D" w14:paraId="0B0DE70D" w14:textId="77777777" w:rsidTr="003633CD">
        <w:trPr>
          <w:trHeight w:val="255"/>
        </w:trPr>
        <w:tc>
          <w:tcPr>
            <w:tcW w:w="2840" w:type="dxa"/>
            <w:tcBorders>
              <w:top w:val="nil"/>
              <w:left w:val="nil"/>
              <w:bottom w:val="nil"/>
              <w:right w:val="nil"/>
            </w:tcBorders>
            <w:shd w:val="clear" w:color="auto" w:fill="auto"/>
            <w:noWrap/>
            <w:vAlign w:val="bottom"/>
            <w:hideMark/>
          </w:tcPr>
          <w:p w14:paraId="7ECDE828" w14:textId="77777777" w:rsidR="00B13439" w:rsidRPr="009B546D" w:rsidRDefault="00B13439" w:rsidP="00EA2BB6">
            <w:pPr>
              <w:spacing w:after="0" w:line="240" w:lineRule="auto"/>
              <w:rPr>
                <w:rFonts w:cstheme="minorHAnsi"/>
                <w:b/>
                <w:bCs/>
                <w:color w:val="000000"/>
                <w:szCs w:val="20"/>
              </w:rPr>
            </w:pPr>
            <w:r w:rsidRPr="009B546D">
              <w:rPr>
                <w:rFonts w:cstheme="minorHAnsi"/>
                <w:b/>
                <w:bCs/>
                <w:color w:val="000000"/>
                <w:szCs w:val="20"/>
              </w:rPr>
              <w:t xml:space="preserve">Total equity and liabilities </w:t>
            </w:r>
          </w:p>
        </w:tc>
        <w:tc>
          <w:tcPr>
            <w:tcW w:w="1180" w:type="dxa"/>
            <w:tcBorders>
              <w:top w:val="nil"/>
              <w:left w:val="nil"/>
              <w:bottom w:val="nil"/>
              <w:right w:val="nil"/>
            </w:tcBorders>
            <w:shd w:val="clear" w:color="auto" w:fill="auto"/>
            <w:noWrap/>
            <w:vAlign w:val="bottom"/>
            <w:hideMark/>
          </w:tcPr>
          <w:p w14:paraId="3C503D12" w14:textId="77777777" w:rsidR="00B13439" w:rsidRPr="009B546D" w:rsidRDefault="00B13439" w:rsidP="00EA2BB6">
            <w:pPr>
              <w:spacing w:after="0" w:line="240" w:lineRule="auto"/>
              <w:rPr>
                <w:rFonts w:cstheme="minorHAnsi"/>
                <w:b/>
                <w:bCs/>
                <w:color w:val="000000"/>
                <w:szCs w:val="20"/>
              </w:rPr>
            </w:pPr>
          </w:p>
        </w:tc>
        <w:tc>
          <w:tcPr>
            <w:tcW w:w="1180" w:type="dxa"/>
            <w:tcBorders>
              <w:top w:val="nil"/>
              <w:left w:val="nil"/>
              <w:bottom w:val="single" w:sz="4" w:space="0" w:color="auto"/>
              <w:right w:val="nil"/>
            </w:tcBorders>
            <w:shd w:val="clear" w:color="auto" w:fill="auto"/>
            <w:noWrap/>
            <w:vAlign w:val="bottom"/>
            <w:hideMark/>
          </w:tcPr>
          <w:p w14:paraId="6D439CCD" w14:textId="41DA6E82" w:rsidR="00B13439" w:rsidRPr="009B546D" w:rsidRDefault="00D36415" w:rsidP="00EA2BB6">
            <w:pPr>
              <w:spacing w:after="0" w:line="240" w:lineRule="auto"/>
              <w:jc w:val="right"/>
              <w:rPr>
                <w:rFonts w:cstheme="minorHAnsi"/>
                <w:color w:val="000000"/>
                <w:szCs w:val="20"/>
              </w:rPr>
            </w:pPr>
            <w:r w:rsidRPr="009B546D">
              <w:rPr>
                <w:rFonts w:cstheme="minorHAnsi"/>
                <w:szCs w:val="20"/>
              </w:rPr>
              <w:t>3,715,892</w:t>
            </w:r>
          </w:p>
        </w:tc>
        <w:tc>
          <w:tcPr>
            <w:tcW w:w="1180" w:type="dxa"/>
            <w:tcBorders>
              <w:top w:val="nil"/>
              <w:left w:val="nil"/>
              <w:bottom w:val="single" w:sz="4" w:space="0" w:color="auto"/>
              <w:right w:val="nil"/>
            </w:tcBorders>
            <w:shd w:val="clear" w:color="auto" w:fill="auto"/>
            <w:noWrap/>
            <w:vAlign w:val="bottom"/>
            <w:hideMark/>
          </w:tcPr>
          <w:p w14:paraId="55E34654" w14:textId="77777777" w:rsidR="00B13439" w:rsidRPr="009B546D" w:rsidRDefault="00B13439" w:rsidP="00EA2BB6">
            <w:pPr>
              <w:spacing w:after="0" w:line="240" w:lineRule="auto"/>
              <w:jc w:val="right"/>
              <w:rPr>
                <w:rFonts w:cstheme="minorHAnsi"/>
                <w:color w:val="000000"/>
                <w:szCs w:val="20"/>
              </w:rPr>
            </w:pPr>
            <w:r w:rsidRPr="009B546D">
              <w:rPr>
                <w:rFonts w:cstheme="minorHAnsi"/>
                <w:color w:val="000000"/>
                <w:szCs w:val="20"/>
              </w:rPr>
              <w:t xml:space="preserve">4,119,636 </w:t>
            </w:r>
          </w:p>
        </w:tc>
      </w:tr>
    </w:tbl>
    <w:p w14:paraId="3974084A" w14:textId="77777777" w:rsidR="001210A3" w:rsidRDefault="001210A3" w:rsidP="001210A3">
      <w:pPr>
        <w:spacing w:after="240" w:line="240" w:lineRule="auto"/>
        <w:rPr>
          <w:rFonts w:cstheme="minorHAnsi"/>
          <w:szCs w:val="20"/>
        </w:rPr>
      </w:pPr>
    </w:p>
    <w:p w14:paraId="6ABF02E5" w14:textId="01AF343F" w:rsidR="00B13439" w:rsidRPr="009B546D" w:rsidRDefault="00B13439" w:rsidP="00EA2BB6">
      <w:pPr>
        <w:spacing w:after="240" w:line="240" w:lineRule="auto"/>
        <w:rPr>
          <w:rFonts w:cstheme="minorHAnsi"/>
          <w:szCs w:val="20"/>
        </w:rPr>
      </w:pPr>
      <w:r w:rsidRPr="009B546D">
        <w:rPr>
          <w:rFonts w:cstheme="minorHAnsi"/>
          <w:szCs w:val="20"/>
        </w:rPr>
        <w:t>The information above has been extracted</w:t>
      </w:r>
      <w:r w:rsidR="008E7B57" w:rsidRPr="009B546D">
        <w:rPr>
          <w:rFonts w:cstheme="minorHAnsi"/>
          <w:szCs w:val="20"/>
        </w:rPr>
        <w:t>,</w:t>
      </w:r>
      <w:r w:rsidRPr="009B546D">
        <w:rPr>
          <w:rFonts w:cstheme="minorHAnsi"/>
          <w:szCs w:val="20"/>
        </w:rPr>
        <w:t xml:space="preserve"> without material adjustment</w:t>
      </w:r>
      <w:r w:rsidR="008E7B57" w:rsidRPr="009B546D">
        <w:rPr>
          <w:rFonts w:cstheme="minorHAnsi"/>
          <w:szCs w:val="20"/>
        </w:rPr>
        <w:t>,</w:t>
      </w:r>
      <w:r w:rsidRPr="009B546D">
        <w:rPr>
          <w:rFonts w:cstheme="minorHAnsi"/>
          <w:szCs w:val="20"/>
        </w:rPr>
        <w:t xml:space="preserve"> from the audited annual report of AIQ for the </w:t>
      </w:r>
      <w:r w:rsidR="008E7B57" w:rsidRPr="009B546D">
        <w:rPr>
          <w:rFonts w:cstheme="minorHAnsi"/>
          <w:szCs w:val="20"/>
        </w:rPr>
        <w:t xml:space="preserve">year </w:t>
      </w:r>
      <w:r w:rsidRPr="009B546D">
        <w:rPr>
          <w:rFonts w:cstheme="minorHAnsi"/>
          <w:szCs w:val="20"/>
        </w:rPr>
        <w:t xml:space="preserve">ended 31 October 2019 and </w:t>
      </w:r>
      <w:r w:rsidR="007A045A" w:rsidRPr="009B546D">
        <w:rPr>
          <w:rFonts w:cstheme="minorHAnsi"/>
          <w:szCs w:val="20"/>
        </w:rPr>
        <w:t xml:space="preserve">for the period ended </w:t>
      </w:r>
      <w:r w:rsidRPr="009B546D">
        <w:rPr>
          <w:rFonts w:cstheme="minorHAnsi"/>
          <w:szCs w:val="20"/>
        </w:rPr>
        <w:t>31 October 2018.</w:t>
      </w:r>
    </w:p>
    <w:p w14:paraId="3CDF0ACB" w14:textId="1CCE7978" w:rsidR="00B13439" w:rsidRPr="009B546D" w:rsidRDefault="00B13439" w:rsidP="00F432B9">
      <w:pPr>
        <w:spacing w:after="120" w:line="240" w:lineRule="auto"/>
        <w:rPr>
          <w:rFonts w:cstheme="minorHAnsi"/>
          <w:b/>
        </w:rPr>
      </w:pPr>
      <w:r w:rsidRPr="00384557">
        <w:rPr>
          <w:rFonts w:cstheme="minorHAnsi"/>
          <w:b/>
          <w:szCs w:val="20"/>
        </w:rPr>
        <w:t>Capitalisation and Indebtedness</w:t>
      </w:r>
    </w:p>
    <w:p w14:paraId="5680E36F" w14:textId="512BF234" w:rsidR="006B3AE0" w:rsidRPr="00D4158A" w:rsidRDefault="006B3AE0" w:rsidP="00D4158A">
      <w:pPr>
        <w:spacing w:after="120" w:line="240" w:lineRule="auto"/>
        <w:rPr>
          <w:rFonts w:cstheme="minorHAnsi"/>
        </w:rPr>
      </w:pPr>
      <w:r w:rsidRPr="00D4158A">
        <w:rPr>
          <w:rFonts w:cstheme="minorHAnsi"/>
          <w:szCs w:val="20"/>
        </w:rPr>
        <w:t>The following tables show the capitalisation and indebtedness of the Company as at 31 October 2019 and 31 December 2019 respectively.</w:t>
      </w:r>
      <w:r w:rsidR="00B575FC">
        <w:rPr>
          <w:rFonts w:cstheme="minorHAnsi"/>
          <w:szCs w:val="20"/>
        </w:rPr>
        <w:t xml:space="preserve"> </w:t>
      </w:r>
      <w:r w:rsidRPr="00D4158A">
        <w:rPr>
          <w:rFonts w:cstheme="minorHAnsi"/>
          <w:szCs w:val="20"/>
        </w:rPr>
        <w:t>The figures have been prepared under IFRS, using policies which are consistent with those used in preparing the financial statements of the Company.</w:t>
      </w:r>
    </w:p>
    <w:p w14:paraId="29A1F3C4" w14:textId="591957C8" w:rsidR="006B3AE0" w:rsidRPr="00D4158A" w:rsidRDefault="006B3AE0" w:rsidP="00D4158A">
      <w:pPr>
        <w:spacing w:after="120" w:line="240" w:lineRule="auto"/>
        <w:rPr>
          <w:rFonts w:cstheme="minorHAnsi"/>
        </w:rPr>
      </w:pPr>
      <w:r w:rsidRPr="00D4158A">
        <w:rPr>
          <w:rFonts w:cstheme="minorHAnsi"/>
          <w:szCs w:val="20"/>
        </w:rPr>
        <w:t>The figures for the Company’s capitalisation have been extracted without material adjustment from the audited financial statements for the year ended 31 October 2019, incorporated by reference.</w:t>
      </w:r>
      <w:r w:rsidR="00B575FC">
        <w:rPr>
          <w:rFonts w:cstheme="minorHAnsi"/>
          <w:szCs w:val="20"/>
        </w:rPr>
        <w:t xml:space="preserve"> </w:t>
      </w:r>
      <w:r w:rsidRPr="00D4158A">
        <w:rPr>
          <w:rFonts w:cstheme="minorHAnsi"/>
          <w:szCs w:val="20"/>
        </w:rPr>
        <w:t>The indebtedness figures have been extracted from the underlying accounting records of the Company as at 31 December 2019.</w:t>
      </w:r>
    </w:p>
    <w:p w14:paraId="02820B31" w14:textId="77777777" w:rsidR="00B16A60" w:rsidRPr="009B546D" w:rsidRDefault="00B16A60" w:rsidP="00F432B9">
      <w:pPr>
        <w:pStyle w:val="Doctext"/>
        <w:spacing w:line="240" w:lineRule="auto"/>
        <w:rPr>
          <w:rFonts w:asciiTheme="minorHAnsi" w:hAnsiTheme="minorHAnsi" w:cstheme="minorHAnsi"/>
          <w:b/>
          <w:sz w:val="18"/>
          <w:szCs w:val="18"/>
          <w:lang w:val="en-GB"/>
        </w:rPr>
      </w:pPr>
      <w:r w:rsidRPr="009B546D">
        <w:rPr>
          <w:rFonts w:asciiTheme="minorHAnsi" w:eastAsia="Arial Unicode MS" w:hAnsiTheme="minorHAnsi" w:cstheme="minorHAnsi"/>
          <w:b/>
          <w:sz w:val="18"/>
          <w:szCs w:val="18"/>
          <w:lang w:val="en-GB"/>
        </w:rPr>
        <w:t>The Company</w:t>
      </w:r>
      <w:r w:rsidRPr="009B546D">
        <w:rPr>
          <w:rFonts w:asciiTheme="minorHAnsi" w:hAnsiTheme="minorHAnsi" w:cstheme="minorHAnsi"/>
          <w:b/>
          <w:sz w:val="18"/>
          <w:szCs w:val="18"/>
        </w:rPr>
        <w:t xml:space="preserve"> </w:t>
      </w:r>
    </w:p>
    <w:p w14:paraId="51F3FDEA" w14:textId="77777777" w:rsidR="00B16A60" w:rsidRPr="009B546D" w:rsidRDefault="00B16A60" w:rsidP="00F432B9">
      <w:pPr>
        <w:pStyle w:val="Doctext"/>
        <w:spacing w:before="0" w:line="240" w:lineRule="auto"/>
        <w:rPr>
          <w:rFonts w:asciiTheme="minorHAnsi" w:hAnsiTheme="minorHAnsi" w:cstheme="minorHAnsi"/>
          <w:sz w:val="18"/>
          <w:szCs w:val="18"/>
          <w:lang w:val="en-GB"/>
        </w:rPr>
      </w:pPr>
    </w:p>
    <w:tbl>
      <w:tblPr>
        <w:tblW w:w="5000" w:type="pct"/>
        <w:tblLayout w:type="fixed"/>
        <w:tblCellMar>
          <w:left w:w="115" w:type="dxa"/>
          <w:right w:w="115" w:type="dxa"/>
        </w:tblCellMar>
        <w:tblLook w:val="01E0" w:firstRow="1" w:lastRow="1" w:firstColumn="1" w:lastColumn="1" w:noHBand="0" w:noVBand="0"/>
      </w:tblPr>
      <w:tblGrid>
        <w:gridCol w:w="6822"/>
        <w:gridCol w:w="2204"/>
      </w:tblGrid>
      <w:tr w:rsidR="00B16A60" w:rsidRPr="009B546D" w14:paraId="47C0ADD4" w14:textId="77777777" w:rsidTr="00682BB9">
        <w:trPr>
          <w:tblHeader/>
        </w:trPr>
        <w:tc>
          <w:tcPr>
            <w:tcW w:w="3779" w:type="pct"/>
          </w:tcPr>
          <w:p w14:paraId="1860CCCF" w14:textId="77777777" w:rsidR="00B16A60" w:rsidRPr="009B546D" w:rsidRDefault="00B16A60" w:rsidP="00F432B9">
            <w:pPr>
              <w:pStyle w:val="Doctext"/>
              <w:spacing w:before="0" w:line="240" w:lineRule="auto"/>
              <w:rPr>
                <w:rFonts w:asciiTheme="minorHAnsi" w:hAnsiTheme="minorHAnsi" w:cstheme="minorHAnsi"/>
                <w:b/>
                <w:sz w:val="18"/>
                <w:szCs w:val="18"/>
                <w:lang w:val="en-GB"/>
              </w:rPr>
            </w:pPr>
            <w:r w:rsidRPr="009B546D">
              <w:rPr>
                <w:rFonts w:asciiTheme="minorHAnsi" w:hAnsiTheme="minorHAnsi" w:cstheme="minorHAnsi"/>
                <w:b/>
                <w:sz w:val="18"/>
                <w:szCs w:val="18"/>
                <w:lang w:val="en-GB"/>
              </w:rPr>
              <w:t xml:space="preserve"> (£'000)</w:t>
            </w:r>
          </w:p>
        </w:tc>
        <w:tc>
          <w:tcPr>
            <w:tcW w:w="1221" w:type="pct"/>
          </w:tcPr>
          <w:p w14:paraId="549DE0AA" w14:textId="4929AE22" w:rsidR="00B16A60" w:rsidRPr="009B546D" w:rsidRDefault="00B16A60" w:rsidP="00F432B9">
            <w:pPr>
              <w:pStyle w:val="Doctext"/>
              <w:pBdr>
                <w:bottom w:val="single" w:sz="4" w:space="1" w:color="auto"/>
              </w:pBdr>
              <w:spacing w:before="0" w:line="240" w:lineRule="auto"/>
              <w:jc w:val="right"/>
              <w:rPr>
                <w:rFonts w:asciiTheme="minorHAnsi" w:hAnsiTheme="minorHAnsi" w:cstheme="minorHAnsi"/>
                <w:b/>
                <w:sz w:val="18"/>
                <w:szCs w:val="18"/>
                <w:lang w:val="en-GB"/>
              </w:rPr>
            </w:pPr>
            <w:r w:rsidRPr="009B546D">
              <w:rPr>
                <w:rFonts w:asciiTheme="minorHAnsi" w:hAnsiTheme="minorHAnsi" w:cstheme="minorHAnsi"/>
                <w:b/>
                <w:sz w:val="18"/>
                <w:szCs w:val="18"/>
                <w:lang w:val="en-GB"/>
              </w:rPr>
              <w:t xml:space="preserve">As at 31 </w:t>
            </w:r>
            <w:r w:rsidR="00CD5A02">
              <w:rPr>
                <w:rFonts w:asciiTheme="minorHAnsi" w:hAnsiTheme="minorHAnsi" w:cstheme="minorHAnsi"/>
                <w:b/>
                <w:sz w:val="18"/>
                <w:szCs w:val="18"/>
                <w:lang w:val="en-GB"/>
              </w:rPr>
              <w:t>December</w:t>
            </w:r>
            <w:r w:rsidR="00CD5A02" w:rsidRPr="009B546D">
              <w:rPr>
                <w:rFonts w:asciiTheme="minorHAnsi" w:hAnsiTheme="minorHAnsi" w:cstheme="minorHAnsi"/>
                <w:b/>
                <w:sz w:val="18"/>
                <w:szCs w:val="18"/>
                <w:lang w:val="en-GB"/>
              </w:rPr>
              <w:t xml:space="preserve"> </w:t>
            </w:r>
            <w:r w:rsidRPr="009B546D">
              <w:rPr>
                <w:rFonts w:asciiTheme="minorHAnsi" w:hAnsiTheme="minorHAnsi" w:cstheme="minorHAnsi"/>
                <w:b/>
                <w:sz w:val="18"/>
                <w:szCs w:val="18"/>
                <w:lang w:val="en-GB"/>
              </w:rPr>
              <w:t>2019</w:t>
            </w:r>
          </w:p>
        </w:tc>
      </w:tr>
      <w:tr w:rsidR="00B16A60" w:rsidRPr="009B546D" w14:paraId="7E6725F9" w14:textId="77777777" w:rsidTr="00682BB9">
        <w:tc>
          <w:tcPr>
            <w:tcW w:w="3779" w:type="pct"/>
          </w:tcPr>
          <w:p w14:paraId="45D97036" w14:textId="77777777" w:rsidR="00B16A60" w:rsidRPr="009B546D" w:rsidRDefault="00B16A60" w:rsidP="00F432B9">
            <w:pPr>
              <w:pStyle w:val="Docnormal"/>
              <w:tabs>
                <w:tab w:val="left" w:leader="dot" w:pos="5635"/>
              </w:tabs>
              <w:spacing w:line="240" w:lineRule="auto"/>
              <w:rPr>
                <w:rFonts w:asciiTheme="minorHAnsi" w:hAnsiTheme="minorHAnsi" w:cstheme="minorHAnsi"/>
                <w:sz w:val="18"/>
                <w:szCs w:val="18"/>
                <w:lang w:val="en-GB"/>
              </w:rPr>
            </w:pPr>
          </w:p>
        </w:tc>
        <w:tc>
          <w:tcPr>
            <w:tcW w:w="1221" w:type="pct"/>
          </w:tcPr>
          <w:p w14:paraId="41B2AB6C" w14:textId="5F0A286A" w:rsidR="00B16A60" w:rsidRPr="009B546D" w:rsidRDefault="00B16A60" w:rsidP="00F432B9">
            <w:pPr>
              <w:pStyle w:val="Docnormal"/>
              <w:pBdr>
                <w:bottom w:val="single" w:sz="4" w:space="1" w:color="auto"/>
              </w:pBdr>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w:t>
            </w:r>
            <w:r w:rsidR="00CD5A02" w:rsidRPr="00D4158A">
              <w:rPr>
                <w:rFonts w:asciiTheme="minorHAnsi" w:hAnsiTheme="minorHAnsi" w:cstheme="minorHAnsi"/>
                <w:i/>
                <w:iCs/>
                <w:sz w:val="18"/>
                <w:szCs w:val="18"/>
                <w:lang w:val="en-GB"/>
              </w:rPr>
              <w:t>Una</w:t>
            </w:r>
            <w:r w:rsidRPr="009B546D">
              <w:rPr>
                <w:rFonts w:asciiTheme="minorHAnsi" w:hAnsiTheme="minorHAnsi" w:cstheme="minorHAnsi"/>
                <w:i/>
                <w:sz w:val="18"/>
                <w:szCs w:val="18"/>
                <w:lang w:val="en-GB"/>
              </w:rPr>
              <w:t>udited</w:t>
            </w:r>
            <w:r w:rsidRPr="009B546D">
              <w:rPr>
                <w:rFonts w:asciiTheme="minorHAnsi" w:hAnsiTheme="minorHAnsi" w:cstheme="minorHAnsi"/>
                <w:sz w:val="18"/>
                <w:szCs w:val="18"/>
                <w:lang w:val="en-GB"/>
              </w:rPr>
              <w:t>)</w:t>
            </w:r>
          </w:p>
        </w:tc>
      </w:tr>
      <w:tr w:rsidR="00B16A60" w:rsidRPr="009B546D" w14:paraId="74D5D608" w14:textId="77777777" w:rsidTr="00682BB9">
        <w:tc>
          <w:tcPr>
            <w:tcW w:w="3779" w:type="pct"/>
          </w:tcPr>
          <w:p w14:paraId="5628B632" w14:textId="77777777" w:rsidR="00B16A60" w:rsidRPr="009B546D" w:rsidRDefault="00B16A60" w:rsidP="00F432B9">
            <w:pPr>
              <w:pStyle w:val="Docnormal"/>
              <w:tabs>
                <w:tab w:val="left" w:leader="dot" w:pos="5635"/>
              </w:tabs>
              <w:spacing w:line="240" w:lineRule="auto"/>
              <w:jc w:val="both"/>
              <w:rPr>
                <w:rFonts w:asciiTheme="minorHAnsi" w:hAnsiTheme="minorHAnsi" w:cstheme="minorHAnsi"/>
                <w:sz w:val="18"/>
                <w:szCs w:val="18"/>
                <w:lang w:val="en-GB"/>
              </w:rPr>
            </w:pPr>
            <w:r w:rsidRPr="009B546D">
              <w:rPr>
                <w:rFonts w:asciiTheme="minorHAnsi" w:hAnsiTheme="minorHAnsi" w:cstheme="minorHAnsi"/>
                <w:b/>
                <w:sz w:val="18"/>
                <w:szCs w:val="18"/>
                <w:lang w:val="en-GB"/>
              </w:rPr>
              <w:t>Total current debt:</w:t>
            </w:r>
          </w:p>
        </w:tc>
        <w:tc>
          <w:tcPr>
            <w:tcW w:w="1221" w:type="pct"/>
          </w:tcPr>
          <w:p w14:paraId="72E27600"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p>
        </w:tc>
      </w:tr>
      <w:tr w:rsidR="00B16A60" w:rsidRPr="009B546D" w14:paraId="3DE0C02B" w14:textId="77777777" w:rsidTr="00682BB9">
        <w:tc>
          <w:tcPr>
            <w:tcW w:w="3779" w:type="pct"/>
          </w:tcPr>
          <w:p w14:paraId="4A80F0CF" w14:textId="77777777" w:rsidR="00B16A60" w:rsidRPr="009B546D" w:rsidRDefault="00B16A60" w:rsidP="00F432B9">
            <w:pPr>
              <w:pStyle w:val="Docnormal"/>
              <w:tabs>
                <w:tab w:val="left" w:leader="dot" w:pos="5840"/>
              </w:tabs>
              <w:spacing w:line="240" w:lineRule="auto"/>
              <w:rPr>
                <w:rFonts w:asciiTheme="minorHAnsi" w:hAnsiTheme="minorHAnsi" w:cstheme="minorHAnsi"/>
                <w:sz w:val="18"/>
                <w:szCs w:val="18"/>
                <w:lang w:val="en-GB"/>
              </w:rPr>
            </w:pPr>
            <w:r w:rsidRPr="009B546D">
              <w:rPr>
                <w:rFonts w:asciiTheme="minorHAnsi" w:hAnsiTheme="minorHAnsi" w:cstheme="minorHAnsi"/>
                <w:sz w:val="18"/>
                <w:szCs w:val="18"/>
                <w:lang w:val="en-GB"/>
              </w:rPr>
              <w:t>- Guaranteed</w:t>
            </w:r>
          </w:p>
        </w:tc>
        <w:tc>
          <w:tcPr>
            <w:tcW w:w="1221" w:type="pct"/>
          </w:tcPr>
          <w:p w14:paraId="4FA3116F"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w:t>
            </w:r>
          </w:p>
        </w:tc>
      </w:tr>
      <w:tr w:rsidR="00B16A60" w:rsidRPr="009B546D" w14:paraId="69DB87AB" w14:textId="77777777" w:rsidTr="00682BB9">
        <w:tc>
          <w:tcPr>
            <w:tcW w:w="3779" w:type="pct"/>
          </w:tcPr>
          <w:p w14:paraId="7238FA39" w14:textId="77777777" w:rsidR="00B16A60" w:rsidRPr="009B546D" w:rsidRDefault="00B16A60" w:rsidP="00F432B9">
            <w:pPr>
              <w:pStyle w:val="Docnormal"/>
              <w:tabs>
                <w:tab w:val="left" w:leader="dot" w:pos="5840"/>
              </w:tabs>
              <w:spacing w:line="240" w:lineRule="auto"/>
              <w:rPr>
                <w:rFonts w:asciiTheme="minorHAnsi" w:hAnsiTheme="minorHAnsi" w:cstheme="minorHAnsi"/>
                <w:sz w:val="18"/>
                <w:szCs w:val="18"/>
                <w:lang w:val="en-GB"/>
              </w:rPr>
            </w:pPr>
            <w:r w:rsidRPr="009B546D">
              <w:rPr>
                <w:rFonts w:asciiTheme="minorHAnsi" w:hAnsiTheme="minorHAnsi" w:cstheme="minorHAnsi"/>
                <w:sz w:val="18"/>
                <w:szCs w:val="18"/>
                <w:lang w:val="en-GB"/>
              </w:rPr>
              <w:t>- Secured</w:t>
            </w:r>
          </w:p>
        </w:tc>
        <w:tc>
          <w:tcPr>
            <w:tcW w:w="1221" w:type="pct"/>
          </w:tcPr>
          <w:p w14:paraId="0EE45D4A"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w:t>
            </w:r>
          </w:p>
        </w:tc>
      </w:tr>
      <w:tr w:rsidR="00B16A60" w:rsidRPr="009B546D" w14:paraId="34EA1CC4" w14:textId="77777777" w:rsidTr="00682BB9">
        <w:tc>
          <w:tcPr>
            <w:tcW w:w="3779" w:type="pct"/>
          </w:tcPr>
          <w:p w14:paraId="25F09645" w14:textId="77777777" w:rsidR="00B16A60" w:rsidRPr="009B546D" w:rsidRDefault="00B16A60" w:rsidP="00F432B9">
            <w:pPr>
              <w:pStyle w:val="Docnormal"/>
              <w:tabs>
                <w:tab w:val="left" w:leader="dot" w:pos="5840"/>
              </w:tabs>
              <w:spacing w:line="240" w:lineRule="auto"/>
              <w:rPr>
                <w:rFonts w:asciiTheme="minorHAnsi" w:hAnsiTheme="minorHAnsi" w:cstheme="minorHAnsi"/>
                <w:sz w:val="18"/>
                <w:szCs w:val="18"/>
                <w:lang w:val="en-GB"/>
              </w:rPr>
            </w:pPr>
            <w:r w:rsidRPr="009B546D">
              <w:rPr>
                <w:rFonts w:asciiTheme="minorHAnsi" w:hAnsiTheme="minorHAnsi" w:cstheme="minorHAnsi"/>
                <w:sz w:val="18"/>
                <w:szCs w:val="18"/>
                <w:lang w:val="en-GB"/>
              </w:rPr>
              <w:t>- Unguaranteed/unsecured</w:t>
            </w:r>
          </w:p>
        </w:tc>
        <w:tc>
          <w:tcPr>
            <w:tcW w:w="1221" w:type="pct"/>
          </w:tcPr>
          <w:p w14:paraId="19C1A52B"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289</w:t>
            </w:r>
          </w:p>
        </w:tc>
      </w:tr>
      <w:tr w:rsidR="00B16A60" w:rsidRPr="009B546D" w14:paraId="48261422" w14:textId="77777777" w:rsidTr="00682BB9">
        <w:tc>
          <w:tcPr>
            <w:tcW w:w="3779" w:type="pct"/>
          </w:tcPr>
          <w:p w14:paraId="145E633F" w14:textId="77777777" w:rsidR="00B16A60" w:rsidRPr="009B546D" w:rsidRDefault="00B16A60" w:rsidP="00F432B9">
            <w:pPr>
              <w:pStyle w:val="Docnormal"/>
              <w:tabs>
                <w:tab w:val="left" w:leader="dot" w:pos="5840"/>
              </w:tabs>
              <w:spacing w:line="240" w:lineRule="auto"/>
              <w:rPr>
                <w:rFonts w:asciiTheme="minorHAnsi" w:hAnsiTheme="minorHAnsi" w:cstheme="minorHAnsi"/>
                <w:sz w:val="18"/>
                <w:szCs w:val="18"/>
                <w:lang w:val="en-GB"/>
              </w:rPr>
            </w:pPr>
            <w:r w:rsidRPr="009B546D">
              <w:rPr>
                <w:rFonts w:asciiTheme="minorHAnsi" w:hAnsiTheme="minorHAnsi" w:cstheme="minorHAnsi"/>
                <w:b/>
                <w:sz w:val="18"/>
                <w:szCs w:val="18"/>
                <w:lang w:val="en-GB"/>
              </w:rPr>
              <w:t>Total non-current debt (excluding current portion of long-term debt):</w:t>
            </w:r>
          </w:p>
        </w:tc>
        <w:tc>
          <w:tcPr>
            <w:tcW w:w="1221" w:type="pct"/>
          </w:tcPr>
          <w:p w14:paraId="04122BC7"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p>
        </w:tc>
      </w:tr>
      <w:tr w:rsidR="00B16A60" w:rsidRPr="009B546D" w14:paraId="39D74E82" w14:textId="77777777" w:rsidTr="00682BB9">
        <w:tc>
          <w:tcPr>
            <w:tcW w:w="3779" w:type="pct"/>
          </w:tcPr>
          <w:p w14:paraId="77DF47F2" w14:textId="77777777" w:rsidR="00B16A60" w:rsidRPr="009B546D" w:rsidRDefault="00B16A60" w:rsidP="00F432B9">
            <w:pPr>
              <w:pStyle w:val="Docnormal"/>
              <w:tabs>
                <w:tab w:val="left" w:leader="dot" w:pos="5840"/>
              </w:tabs>
              <w:spacing w:line="240" w:lineRule="auto"/>
              <w:rPr>
                <w:rFonts w:asciiTheme="minorHAnsi" w:hAnsiTheme="minorHAnsi" w:cstheme="minorHAnsi"/>
                <w:sz w:val="18"/>
                <w:szCs w:val="18"/>
                <w:lang w:val="en-GB"/>
              </w:rPr>
            </w:pPr>
            <w:r w:rsidRPr="009B546D">
              <w:rPr>
                <w:rFonts w:asciiTheme="minorHAnsi" w:hAnsiTheme="minorHAnsi" w:cstheme="minorHAnsi"/>
                <w:sz w:val="18"/>
                <w:szCs w:val="18"/>
                <w:lang w:val="en-GB"/>
              </w:rPr>
              <w:t>- Guaranteed</w:t>
            </w:r>
          </w:p>
        </w:tc>
        <w:tc>
          <w:tcPr>
            <w:tcW w:w="1221" w:type="pct"/>
          </w:tcPr>
          <w:p w14:paraId="4BD808D2"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w:t>
            </w:r>
          </w:p>
        </w:tc>
      </w:tr>
      <w:tr w:rsidR="00B16A60" w:rsidRPr="009B546D" w14:paraId="13135D66" w14:textId="77777777" w:rsidTr="00682BB9">
        <w:tc>
          <w:tcPr>
            <w:tcW w:w="3779" w:type="pct"/>
          </w:tcPr>
          <w:p w14:paraId="13EBB27D" w14:textId="77777777" w:rsidR="00B16A60" w:rsidRPr="009B546D" w:rsidRDefault="00B16A60" w:rsidP="00F432B9">
            <w:pPr>
              <w:pStyle w:val="Docnormal"/>
              <w:tabs>
                <w:tab w:val="left" w:leader="dot" w:pos="5840"/>
              </w:tabs>
              <w:spacing w:line="240" w:lineRule="auto"/>
              <w:rPr>
                <w:rFonts w:asciiTheme="minorHAnsi" w:hAnsiTheme="minorHAnsi" w:cstheme="minorHAnsi"/>
                <w:sz w:val="18"/>
                <w:szCs w:val="18"/>
                <w:lang w:val="en-GB"/>
              </w:rPr>
            </w:pPr>
            <w:r w:rsidRPr="009B546D">
              <w:rPr>
                <w:rFonts w:asciiTheme="minorHAnsi" w:hAnsiTheme="minorHAnsi" w:cstheme="minorHAnsi"/>
                <w:sz w:val="18"/>
                <w:szCs w:val="18"/>
                <w:lang w:val="en-GB"/>
              </w:rPr>
              <w:t>- Secured</w:t>
            </w:r>
          </w:p>
        </w:tc>
        <w:tc>
          <w:tcPr>
            <w:tcW w:w="1221" w:type="pct"/>
          </w:tcPr>
          <w:p w14:paraId="542B100B"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w:t>
            </w:r>
          </w:p>
        </w:tc>
      </w:tr>
      <w:tr w:rsidR="00B16A60" w:rsidRPr="009B546D" w14:paraId="7643AF7A" w14:textId="77777777" w:rsidTr="00682BB9">
        <w:tc>
          <w:tcPr>
            <w:tcW w:w="3779" w:type="pct"/>
          </w:tcPr>
          <w:p w14:paraId="68F2DF01" w14:textId="77777777" w:rsidR="00B16A60" w:rsidRPr="009B546D" w:rsidRDefault="00B16A60" w:rsidP="00F432B9">
            <w:pPr>
              <w:pStyle w:val="Docnormal"/>
              <w:tabs>
                <w:tab w:val="left" w:leader="dot" w:pos="5840"/>
              </w:tabs>
              <w:spacing w:line="240" w:lineRule="auto"/>
              <w:jc w:val="both"/>
              <w:rPr>
                <w:rFonts w:asciiTheme="minorHAnsi" w:hAnsiTheme="minorHAnsi" w:cstheme="minorHAnsi"/>
                <w:sz w:val="18"/>
                <w:szCs w:val="18"/>
                <w:lang w:val="en-GB"/>
              </w:rPr>
            </w:pPr>
            <w:r w:rsidRPr="009B546D">
              <w:rPr>
                <w:rFonts w:asciiTheme="minorHAnsi" w:hAnsiTheme="minorHAnsi" w:cstheme="minorHAnsi"/>
                <w:sz w:val="18"/>
                <w:szCs w:val="18"/>
                <w:lang w:val="en-GB"/>
              </w:rPr>
              <w:t>- Unguaranteed/unsecured</w:t>
            </w:r>
          </w:p>
        </w:tc>
        <w:tc>
          <w:tcPr>
            <w:tcW w:w="1221" w:type="pct"/>
            <w:tcBorders>
              <w:bottom w:val="single" w:sz="4" w:space="0" w:color="auto"/>
            </w:tcBorders>
          </w:tcPr>
          <w:p w14:paraId="4862181B"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w:t>
            </w:r>
          </w:p>
        </w:tc>
      </w:tr>
      <w:tr w:rsidR="00B16A60" w:rsidRPr="009B546D" w14:paraId="416D901A" w14:textId="77777777" w:rsidTr="00682BB9">
        <w:tc>
          <w:tcPr>
            <w:tcW w:w="3779" w:type="pct"/>
          </w:tcPr>
          <w:p w14:paraId="1DAFDC33" w14:textId="77777777" w:rsidR="00B16A60" w:rsidRPr="009B546D" w:rsidRDefault="00B16A60" w:rsidP="00F432B9">
            <w:pPr>
              <w:pStyle w:val="Docnormal"/>
              <w:tabs>
                <w:tab w:val="left" w:leader="dot" w:pos="5840"/>
              </w:tabs>
              <w:spacing w:line="240" w:lineRule="auto"/>
              <w:jc w:val="both"/>
              <w:rPr>
                <w:rFonts w:asciiTheme="minorHAnsi" w:hAnsiTheme="minorHAnsi" w:cstheme="minorHAnsi"/>
                <w:b/>
                <w:sz w:val="18"/>
                <w:szCs w:val="18"/>
                <w:lang w:val="en-GB"/>
              </w:rPr>
            </w:pPr>
            <w:r w:rsidRPr="009B546D">
              <w:rPr>
                <w:rFonts w:asciiTheme="minorHAnsi" w:hAnsiTheme="minorHAnsi" w:cstheme="minorHAnsi"/>
                <w:b/>
                <w:sz w:val="18"/>
                <w:szCs w:val="18"/>
                <w:lang w:val="en-GB"/>
              </w:rPr>
              <w:lastRenderedPageBreak/>
              <w:t>Total indebtedness</w:t>
            </w:r>
          </w:p>
        </w:tc>
        <w:tc>
          <w:tcPr>
            <w:tcW w:w="1221" w:type="pct"/>
            <w:tcBorders>
              <w:top w:val="single" w:sz="4" w:space="0" w:color="auto"/>
              <w:bottom w:val="single" w:sz="4" w:space="0" w:color="auto"/>
            </w:tcBorders>
          </w:tcPr>
          <w:p w14:paraId="7E9F542F" w14:textId="77777777" w:rsidR="00B16A60" w:rsidRPr="009B546D" w:rsidRDefault="00B16A60" w:rsidP="00F432B9">
            <w:pPr>
              <w:pStyle w:val="Docnormal"/>
              <w:spacing w:line="240" w:lineRule="auto"/>
              <w:jc w:val="right"/>
              <w:rPr>
                <w:rFonts w:asciiTheme="minorHAnsi" w:hAnsiTheme="minorHAnsi" w:cstheme="minorHAnsi"/>
                <w:b/>
                <w:bCs/>
                <w:sz w:val="18"/>
                <w:szCs w:val="18"/>
                <w:lang w:val="en-GB"/>
              </w:rPr>
            </w:pPr>
            <w:r w:rsidRPr="009B546D">
              <w:rPr>
                <w:rFonts w:asciiTheme="minorHAnsi" w:hAnsiTheme="minorHAnsi" w:cstheme="minorHAnsi"/>
                <w:b/>
                <w:bCs/>
                <w:sz w:val="18"/>
                <w:szCs w:val="18"/>
                <w:lang w:val="en-GB"/>
              </w:rPr>
              <w:t>289</w:t>
            </w:r>
          </w:p>
        </w:tc>
      </w:tr>
      <w:tr w:rsidR="00B16A60" w:rsidRPr="009B546D" w14:paraId="2199C600" w14:textId="77777777" w:rsidTr="00682BB9">
        <w:tc>
          <w:tcPr>
            <w:tcW w:w="3779" w:type="pct"/>
          </w:tcPr>
          <w:p w14:paraId="233E0732" w14:textId="77777777" w:rsidR="00B16A60" w:rsidRPr="009B546D" w:rsidRDefault="00B16A60" w:rsidP="00F432B9">
            <w:pPr>
              <w:pStyle w:val="Docnormal"/>
              <w:tabs>
                <w:tab w:val="left" w:leader="dot" w:pos="5840"/>
              </w:tabs>
              <w:spacing w:line="240" w:lineRule="auto"/>
              <w:rPr>
                <w:rFonts w:asciiTheme="minorHAnsi" w:hAnsiTheme="minorHAnsi" w:cstheme="minorHAnsi"/>
                <w:b/>
                <w:sz w:val="18"/>
                <w:szCs w:val="18"/>
                <w:lang w:val="en-GB"/>
              </w:rPr>
            </w:pPr>
          </w:p>
        </w:tc>
        <w:tc>
          <w:tcPr>
            <w:tcW w:w="1221" w:type="pct"/>
            <w:tcBorders>
              <w:top w:val="single" w:sz="4" w:space="0" w:color="auto"/>
            </w:tcBorders>
          </w:tcPr>
          <w:p w14:paraId="1DA6C329"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p>
        </w:tc>
      </w:tr>
      <w:tr w:rsidR="00B16A60" w:rsidRPr="009B546D" w14:paraId="72837DB0" w14:textId="77777777" w:rsidTr="00682BB9">
        <w:tc>
          <w:tcPr>
            <w:tcW w:w="3779" w:type="pct"/>
          </w:tcPr>
          <w:p w14:paraId="234DBA21" w14:textId="77777777" w:rsidR="00B16A60" w:rsidRPr="009B546D" w:rsidRDefault="00B16A60" w:rsidP="00F432B9">
            <w:pPr>
              <w:pStyle w:val="Docnormal"/>
              <w:tabs>
                <w:tab w:val="left" w:leader="dot" w:pos="5840"/>
              </w:tabs>
              <w:spacing w:line="240" w:lineRule="auto"/>
              <w:rPr>
                <w:rFonts w:asciiTheme="minorHAnsi" w:hAnsiTheme="minorHAnsi" w:cstheme="minorHAnsi"/>
                <w:b/>
                <w:sz w:val="18"/>
                <w:szCs w:val="18"/>
                <w:lang w:val="en-GB"/>
              </w:rPr>
            </w:pPr>
          </w:p>
        </w:tc>
        <w:tc>
          <w:tcPr>
            <w:tcW w:w="1221" w:type="pct"/>
          </w:tcPr>
          <w:p w14:paraId="77EA4C71" w14:textId="77777777" w:rsidR="00B16A60" w:rsidRPr="009B546D" w:rsidRDefault="00B16A60" w:rsidP="00F432B9">
            <w:pPr>
              <w:pStyle w:val="Doctext"/>
              <w:pBdr>
                <w:bottom w:val="single" w:sz="4" w:space="1" w:color="auto"/>
              </w:pBdr>
              <w:spacing w:before="0" w:line="240" w:lineRule="auto"/>
              <w:jc w:val="right"/>
              <w:rPr>
                <w:rFonts w:asciiTheme="minorHAnsi" w:hAnsiTheme="minorHAnsi" w:cstheme="minorHAnsi"/>
                <w:b/>
                <w:sz w:val="18"/>
                <w:szCs w:val="18"/>
                <w:lang w:val="en-GB"/>
              </w:rPr>
            </w:pPr>
            <w:r w:rsidRPr="009B546D">
              <w:rPr>
                <w:rFonts w:asciiTheme="minorHAnsi" w:hAnsiTheme="minorHAnsi" w:cstheme="minorHAnsi"/>
                <w:b/>
                <w:sz w:val="18"/>
                <w:szCs w:val="18"/>
                <w:lang w:val="en-GB"/>
              </w:rPr>
              <w:t>As at 31 October 2019</w:t>
            </w:r>
          </w:p>
        </w:tc>
      </w:tr>
      <w:tr w:rsidR="00B16A60" w:rsidRPr="009B546D" w14:paraId="31B7BAD2" w14:textId="77777777" w:rsidTr="00682BB9">
        <w:tc>
          <w:tcPr>
            <w:tcW w:w="3779" w:type="pct"/>
          </w:tcPr>
          <w:p w14:paraId="3979C5D8" w14:textId="77777777" w:rsidR="00B16A60" w:rsidRPr="009B546D" w:rsidRDefault="00B16A60" w:rsidP="00F432B9">
            <w:pPr>
              <w:pStyle w:val="Docnormal"/>
              <w:tabs>
                <w:tab w:val="left" w:leader="dot" w:pos="5840"/>
              </w:tabs>
              <w:spacing w:line="240" w:lineRule="auto"/>
              <w:rPr>
                <w:rFonts w:asciiTheme="minorHAnsi" w:hAnsiTheme="minorHAnsi" w:cstheme="minorHAnsi"/>
                <w:b/>
                <w:sz w:val="18"/>
                <w:szCs w:val="18"/>
                <w:lang w:val="en-GB"/>
              </w:rPr>
            </w:pPr>
          </w:p>
        </w:tc>
        <w:tc>
          <w:tcPr>
            <w:tcW w:w="1221" w:type="pct"/>
          </w:tcPr>
          <w:p w14:paraId="0FA7C185" w14:textId="77777777" w:rsidR="00B16A60" w:rsidRPr="009B546D" w:rsidRDefault="00B16A60" w:rsidP="00F432B9">
            <w:pPr>
              <w:pStyle w:val="Docnormal"/>
              <w:pBdr>
                <w:bottom w:val="single" w:sz="4" w:space="1" w:color="auto"/>
              </w:pBdr>
              <w:spacing w:line="240" w:lineRule="auto"/>
              <w:jc w:val="right"/>
              <w:rPr>
                <w:rFonts w:asciiTheme="minorHAnsi" w:hAnsiTheme="minorHAnsi" w:cstheme="minorHAnsi"/>
                <w:i/>
                <w:sz w:val="18"/>
                <w:szCs w:val="18"/>
                <w:lang w:val="en-GB"/>
              </w:rPr>
            </w:pPr>
            <w:r w:rsidRPr="009B546D">
              <w:rPr>
                <w:rFonts w:asciiTheme="minorHAnsi" w:hAnsiTheme="minorHAnsi" w:cstheme="minorHAnsi"/>
                <w:i/>
                <w:sz w:val="18"/>
                <w:szCs w:val="18"/>
                <w:lang w:val="en-GB"/>
              </w:rPr>
              <w:t>(Audited)</w:t>
            </w:r>
          </w:p>
        </w:tc>
      </w:tr>
      <w:tr w:rsidR="00B16A60" w:rsidRPr="009B546D" w14:paraId="7256F2D1" w14:textId="77777777" w:rsidTr="00682BB9">
        <w:tc>
          <w:tcPr>
            <w:tcW w:w="3779" w:type="pct"/>
          </w:tcPr>
          <w:p w14:paraId="7086EA45" w14:textId="77777777" w:rsidR="00B16A60" w:rsidRPr="009B546D" w:rsidRDefault="00B16A60" w:rsidP="00F432B9">
            <w:pPr>
              <w:pStyle w:val="Docnormal"/>
              <w:tabs>
                <w:tab w:val="left" w:leader="dot" w:pos="5840"/>
              </w:tabs>
              <w:spacing w:line="240" w:lineRule="auto"/>
              <w:jc w:val="both"/>
              <w:rPr>
                <w:rFonts w:asciiTheme="minorHAnsi" w:hAnsiTheme="minorHAnsi" w:cstheme="minorHAnsi"/>
                <w:sz w:val="18"/>
                <w:szCs w:val="18"/>
                <w:lang w:val="en-GB"/>
              </w:rPr>
            </w:pPr>
            <w:r w:rsidRPr="009B546D">
              <w:rPr>
                <w:rFonts w:asciiTheme="minorHAnsi" w:hAnsiTheme="minorHAnsi" w:cstheme="minorHAnsi"/>
                <w:b/>
                <w:sz w:val="18"/>
                <w:szCs w:val="18"/>
                <w:lang w:val="en-GB"/>
              </w:rPr>
              <w:t>Capitalisation:</w:t>
            </w:r>
          </w:p>
        </w:tc>
        <w:tc>
          <w:tcPr>
            <w:tcW w:w="1221" w:type="pct"/>
          </w:tcPr>
          <w:p w14:paraId="02D64D0F"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p>
        </w:tc>
      </w:tr>
      <w:tr w:rsidR="00B16A60" w:rsidRPr="009B546D" w14:paraId="3D6A2A0D" w14:textId="77777777" w:rsidTr="00682BB9">
        <w:tc>
          <w:tcPr>
            <w:tcW w:w="3779" w:type="pct"/>
          </w:tcPr>
          <w:p w14:paraId="0CAE28E1" w14:textId="77777777" w:rsidR="00B16A60" w:rsidRPr="009B546D" w:rsidRDefault="00B16A60" w:rsidP="00F432B9">
            <w:pPr>
              <w:pStyle w:val="Docnormal"/>
              <w:tabs>
                <w:tab w:val="left" w:leader="dot" w:pos="5840"/>
              </w:tabs>
              <w:spacing w:line="240" w:lineRule="auto"/>
              <w:rPr>
                <w:rFonts w:asciiTheme="minorHAnsi" w:hAnsiTheme="minorHAnsi" w:cstheme="minorHAnsi"/>
                <w:sz w:val="18"/>
                <w:szCs w:val="18"/>
                <w:lang w:val="en-GB"/>
              </w:rPr>
            </w:pPr>
            <w:r w:rsidRPr="009B546D">
              <w:rPr>
                <w:rFonts w:asciiTheme="minorHAnsi" w:hAnsiTheme="minorHAnsi" w:cstheme="minorHAnsi"/>
                <w:sz w:val="18"/>
                <w:szCs w:val="18"/>
                <w:lang w:val="en-GB"/>
              </w:rPr>
              <w:t>- Share capital</w:t>
            </w:r>
          </w:p>
        </w:tc>
        <w:tc>
          <w:tcPr>
            <w:tcW w:w="1221" w:type="pct"/>
          </w:tcPr>
          <w:p w14:paraId="1062E7FA"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518</w:t>
            </w:r>
          </w:p>
        </w:tc>
      </w:tr>
      <w:tr w:rsidR="00B16A60" w:rsidRPr="009B546D" w14:paraId="1919CE41" w14:textId="77777777" w:rsidTr="00682BB9">
        <w:tc>
          <w:tcPr>
            <w:tcW w:w="3779" w:type="pct"/>
          </w:tcPr>
          <w:p w14:paraId="2CDC1276" w14:textId="6905C6C7" w:rsidR="00B16A60" w:rsidRPr="009B546D" w:rsidDel="00824998" w:rsidRDefault="00B16A60" w:rsidP="00F432B9">
            <w:pPr>
              <w:pStyle w:val="Docnormal"/>
              <w:tabs>
                <w:tab w:val="left" w:leader="dot" w:pos="5840"/>
              </w:tabs>
              <w:spacing w:line="240" w:lineRule="auto"/>
              <w:rPr>
                <w:rFonts w:asciiTheme="minorHAnsi" w:hAnsiTheme="minorHAnsi" w:cstheme="minorHAnsi"/>
                <w:sz w:val="18"/>
                <w:szCs w:val="18"/>
                <w:lang w:val="en-GB"/>
              </w:rPr>
            </w:pPr>
            <w:r w:rsidRPr="009B546D">
              <w:rPr>
                <w:rFonts w:asciiTheme="minorHAnsi" w:hAnsiTheme="minorHAnsi" w:cstheme="minorHAnsi"/>
                <w:sz w:val="18"/>
                <w:szCs w:val="18"/>
                <w:lang w:val="en-GB"/>
              </w:rPr>
              <w:t xml:space="preserve">- Legal </w:t>
            </w:r>
            <w:r w:rsidR="00DB11F6" w:rsidRPr="009B546D">
              <w:rPr>
                <w:rFonts w:asciiTheme="minorHAnsi" w:hAnsiTheme="minorHAnsi" w:cstheme="minorHAnsi"/>
                <w:sz w:val="18"/>
                <w:szCs w:val="18"/>
                <w:lang w:val="en-GB"/>
              </w:rPr>
              <w:t>reserves</w:t>
            </w:r>
            <w:r w:rsidR="00DB11F6" w:rsidRPr="009B546D">
              <w:rPr>
                <w:rFonts w:asciiTheme="minorHAnsi" w:eastAsia="Arial Unicode MS" w:hAnsiTheme="minorHAnsi" w:cstheme="minorHAnsi"/>
                <w:sz w:val="18"/>
                <w:szCs w:val="18"/>
                <w:vertAlign w:val="superscript"/>
                <w:lang w:val="en-GB"/>
              </w:rPr>
              <w:t xml:space="preserve"> (</w:t>
            </w:r>
            <w:r w:rsidRPr="009B546D">
              <w:rPr>
                <w:rFonts w:asciiTheme="minorHAnsi" w:eastAsia="Arial Unicode MS" w:hAnsiTheme="minorHAnsi" w:cstheme="minorHAnsi"/>
                <w:sz w:val="18"/>
                <w:szCs w:val="18"/>
                <w:vertAlign w:val="superscript"/>
                <w:lang w:val="en-GB"/>
              </w:rPr>
              <w:t>1)</w:t>
            </w:r>
          </w:p>
        </w:tc>
        <w:tc>
          <w:tcPr>
            <w:tcW w:w="1221" w:type="pct"/>
          </w:tcPr>
          <w:p w14:paraId="11BCF543"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3,848</w:t>
            </w:r>
          </w:p>
        </w:tc>
      </w:tr>
      <w:tr w:rsidR="00B16A60" w:rsidRPr="009B546D" w14:paraId="2A6CC774" w14:textId="77777777" w:rsidTr="00682BB9">
        <w:tc>
          <w:tcPr>
            <w:tcW w:w="3779" w:type="pct"/>
          </w:tcPr>
          <w:p w14:paraId="0E0A4EF6" w14:textId="77777777" w:rsidR="00B16A60" w:rsidRPr="009B546D" w:rsidRDefault="00B16A60" w:rsidP="00F432B9">
            <w:pPr>
              <w:pStyle w:val="Docnormal"/>
              <w:tabs>
                <w:tab w:val="left" w:leader="dot" w:pos="5840"/>
              </w:tabs>
              <w:spacing w:line="240" w:lineRule="auto"/>
              <w:rPr>
                <w:rFonts w:asciiTheme="minorHAnsi" w:hAnsiTheme="minorHAnsi" w:cstheme="minorHAnsi"/>
                <w:b/>
                <w:sz w:val="18"/>
                <w:szCs w:val="18"/>
                <w:lang w:val="en-GB"/>
              </w:rPr>
            </w:pPr>
            <w:r w:rsidRPr="009B546D">
              <w:rPr>
                <w:rFonts w:asciiTheme="minorHAnsi" w:hAnsiTheme="minorHAnsi" w:cstheme="minorHAnsi"/>
                <w:b/>
                <w:sz w:val="18"/>
                <w:szCs w:val="18"/>
                <w:lang w:val="en-GB"/>
              </w:rPr>
              <w:t>Total capitalisation</w:t>
            </w:r>
          </w:p>
        </w:tc>
        <w:tc>
          <w:tcPr>
            <w:tcW w:w="1221" w:type="pct"/>
            <w:tcBorders>
              <w:top w:val="single" w:sz="4" w:space="0" w:color="auto"/>
              <w:bottom w:val="single" w:sz="4" w:space="0" w:color="auto"/>
            </w:tcBorders>
          </w:tcPr>
          <w:p w14:paraId="3C83E173" w14:textId="77777777" w:rsidR="00B16A60" w:rsidRPr="009B546D" w:rsidRDefault="00B16A60" w:rsidP="00F432B9">
            <w:pPr>
              <w:pStyle w:val="Docnormal"/>
              <w:spacing w:line="240" w:lineRule="auto"/>
              <w:jc w:val="right"/>
              <w:rPr>
                <w:rFonts w:asciiTheme="minorHAnsi" w:hAnsiTheme="minorHAnsi" w:cstheme="minorHAnsi"/>
                <w:b/>
                <w:sz w:val="18"/>
                <w:szCs w:val="18"/>
                <w:lang w:val="en-GB"/>
              </w:rPr>
            </w:pPr>
            <w:r w:rsidRPr="009B546D">
              <w:rPr>
                <w:rFonts w:asciiTheme="minorHAnsi" w:hAnsiTheme="minorHAnsi" w:cstheme="minorHAnsi"/>
                <w:b/>
                <w:sz w:val="18"/>
                <w:szCs w:val="18"/>
                <w:lang w:val="en-GB"/>
              </w:rPr>
              <w:t>4,366</w:t>
            </w:r>
          </w:p>
        </w:tc>
      </w:tr>
    </w:tbl>
    <w:p w14:paraId="2A2C7C57" w14:textId="77777777" w:rsidR="00B16A60" w:rsidRPr="009B546D" w:rsidRDefault="00B16A60" w:rsidP="00496B89">
      <w:pPr>
        <w:pStyle w:val="Docnormal"/>
        <w:tabs>
          <w:tab w:val="left" w:leader="underscore" w:pos="1440"/>
        </w:tabs>
        <w:spacing w:line="240" w:lineRule="auto"/>
        <w:rPr>
          <w:rFonts w:asciiTheme="minorHAnsi" w:eastAsia="Arial Unicode MS" w:hAnsiTheme="minorHAnsi" w:cstheme="minorHAnsi"/>
          <w:sz w:val="18"/>
          <w:szCs w:val="18"/>
          <w:lang w:val="en-GB"/>
        </w:rPr>
      </w:pPr>
      <w:r w:rsidRPr="009B546D">
        <w:rPr>
          <w:rFonts w:asciiTheme="minorHAnsi" w:eastAsia="Arial Unicode MS" w:hAnsiTheme="minorHAnsi" w:cstheme="minorHAnsi"/>
          <w:sz w:val="18"/>
          <w:szCs w:val="18"/>
          <w:lang w:val="en-GB"/>
        </w:rPr>
        <w:tab/>
      </w:r>
    </w:p>
    <w:p w14:paraId="07AAEF39" w14:textId="24915039" w:rsidR="00B16A60" w:rsidRPr="00EA2BB6" w:rsidRDefault="006B3AE0" w:rsidP="00F432B9">
      <w:pPr>
        <w:pStyle w:val="Docnormal"/>
        <w:tabs>
          <w:tab w:val="left" w:pos="360"/>
        </w:tabs>
        <w:spacing w:line="240" w:lineRule="auto"/>
        <w:rPr>
          <w:rFonts w:asciiTheme="minorHAnsi" w:eastAsia="Arial Unicode MS" w:hAnsiTheme="minorHAnsi" w:cstheme="minorHAnsi"/>
          <w:lang w:val="en-GB"/>
        </w:rPr>
      </w:pPr>
      <w:r w:rsidRPr="00EA2BB6">
        <w:rPr>
          <w:rFonts w:asciiTheme="minorHAnsi" w:eastAsia="Arial Unicode MS" w:hAnsiTheme="minorHAnsi" w:cstheme="minorHAnsi"/>
          <w:vertAlign w:val="superscript"/>
          <w:lang w:val="en-GB"/>
        </w:rPr>
        <w:t>(1)</w:t>
      </w:r>
      <w:r w:rsidRPr="00EA2BB6">
        <w:rPr>
          <w:rFonts w:asciiTheme="minorHAnsi" w:eastAsia="Arial Unicode MS" w:hAnsiTheme="minorHAnsi" w:cstheme="minorHAnsi"/>
          <w:lang w:val="en-GB"/>
        </w:rPr>
        <w:t xml:space="preserve"> </w:t>
      </w:r>
      <w:r w:rsidR="00B16A60" w:rsidRPr="00EA2BB6">
        <w:rPr>
          <w:rFonts w:asciiTheme="minorHAnsi" w:eastAsia="Arial Unicode MS" w:hAnsiTheme="minorHAnsi" w:cstheme="minorHAnsi"/>
          <w:lang w:val="en-GB"/>
        </w:rPr>
        <w:t>Comprises the share premium reserve.</w:t>
      </w:r>
    </w:p>
    <w:p w14:paraId="43A81A79" w14:textId="539B5582" w:rsidR="00B16A60" w:rsidRPr="00EA2BB6" w:rsidRDefault="00B16A60" w:rsidP="00F432B9">
      <w:pPr>
        <w:pStyle w:val="Doctext"/>
        <w:spacing w:line="240" w:lineRule="auto"/>
        <w:rPr>
          <w:rFonts w:asciiTheme="minorHAnsi" w:hAnsiTheme="minorHAnsi" w:cstheme="minorHAnsi"/>
          <w:lang w:val="en-GB"/>
        </w:rPr>
      </w:pPr>
      <w:r w:rsidRPr="00EA2BB6">
        <w:rPr>
          <w:rFonts w:asciiTheme="minorHAnsi" w:hAnsiTheme="minorHAnsi" w:cstheme="minorHAnsi"/>
          <w:lang w:val="en-GB"/>
        </w:rPr>
        <w:t>There has been no material change in the Company’s capitalisation since 31 October 2019 to the date of this document.</w:t>
      </w:r>
    </w:p>
    <w:p w14:paraId="230C79B6" w14:textId="23BD5116" w:rsidR="00B16A60" w:rsidRPr="009B546D" w:rsidRDefault="00B16A60" w:rsidP="00F432B9">
      <w:pPr>
        <w:pStyle w:val="Doctext"/>
        <w:spacing w:line="240" w:lineRule="auto"/>
        <w:rPr>
          <w:rFonts w:asciiTheme="minorHAnsi" w:hAnsiTheme="minorHAnsi" w:cstheme="minorHAnsi"/>
          <w:sz w:val="18"/>
          <w:szCs w:val="18"/>
          <w:lang w:val="en-GB"/>
        </w:rPr>
      </w:pPr>
      <w:r w:rsidRPr="00EA2BB6">
        <w:rPr>
          <w:rFonts w:asciiTheme="minorHAnsi" w:hAnsiTheme="minorHAnsi" w:cstheme="minorHAnsi"/>
          <w:lang w:val="en-GB"/>
        </w:rPr>
        <w:t xml:space="preserve">The table below sets out the Company’s net indebtedness as at 31 </w:t>
      </w:r>
      <w:r w:rsidR="006B3AE0" w:rsidRPr="00EA2BB6">
        <w:rPr>
          <w:rFonts w:asciiTheme="minorHAnsi" w:hAnsiTheme="minorHAnsi" w:cstheme="minorHAnsi"/>
          <w:lang w:val="en-GB"/>
        </w:rPr>
        <w:t xml:space="preserve">December </w:t>
      </w:r>
      <w:r w:rsidRPr="00EA2BB6">
        <w:rPr>
          <w:rFonts w:asciiTheme="minorHAnsi" w:hAnsiTheme="minorHAnsi" w:cstheme="minorHAnsi"/>
          <w:lang w:val="en-GB"/>
        </w:rPr>
        <w:t>2019</w:t>
      </w:r>
      <w:r w:rsidRPr="009B546D">
        <w:rPr>
          <w:rFonts w:asciiTheme="minorHAnsi" w:hAnsiTheme="minorHAnsi" w:cstheme="minorHAnsi"/>
          <w:sz w:val="18"/>
          <w:szCs w:val="18"/>
          <w:lang w:val="en-GB"/>
        </w:rPr>
        <w:t>.</w:t>
      </w:r>
    </w:p>
    <w:p w14:paraId="30A60838" w14:textId="77777777" w:rsidR="00B16A60" w:rsidRPr="009B546D" w:rsidRDefault="00B16A60" w:rsidP="00F432B9">
      <w:pPr>
        <w:pStyle w:val="Docnormal"/>
        <w:spacing w:line="240" w:lineRule="auto"/>
        <w:rPr>
          <w:rFonts w:asciiTheme="minorHAnsi" w:hAnsiTheme="minorHAnsi" w:cstheme="minorHAnsi"/>
          <w:sz w:val="18"/>
          <w:szCs w:val="18"/>
          <w:lang w:val="en-GB"/>
        </w:rPr>
      </w:pPr>
    </w:p>
    <w:tbl>
      <w:tblPr>
        <w:tblW w:w="5000" w:type="pct"/>
        <w:tblLayout w:type="fixed"/>
        <w:tblCellMar>
          <w:left w:w="115" w:type="dxa"/>
          <w:right w:w="115" w:type="dxa"/>
        </w:tblCellMar>
        <w:tblLook w:val="01E0" w:firstRow="1" w:lastRow="1" w:firstColumn="1" w:lastColumn="1" w:noHBand="0" w:noVBand="0"/>
      </w:tblPr>
      <w:tblGrid>
        <w:gridCol w:w="6844"/>
        <w:gridCol w:w="2182"/>
      </w:tblGrid>
      <w:tr w:rsidR="00B16A60" w:rsidRPr="009B546D" w14:paraId="1B0CC9FE" w14:textId="77777777" w:rsidTr="00682BB9">
        <w:trPr>
          <w:tblHeader/>
        </w:trPr>
        <w:tc>
          <w:tcPr>
            <w:tcW w:w="3791" w:type="pct"/>
          </w:tcPr>
          <w:p w14:paraId="6C9622A9" w14:textId="77777777" w:rsidR="00B16A60" w:rsidRPr="009B546D" w:rsidRDefault="00B16A60" w:rsidP="00F432B9">
            <w:pPr>
              <w:pStyle w:val="Doctext"/>
              <w:spacing w:before="0" w:line="240" w:lineRule="auto"/>
              <w:rPr>
                <w:rFonts w:asciiTheme="minorHAnsi" w:hAnsiTheme="minorHAnsi" w:cstheme="minorHAnsi"/>
                <w:sz w:val="18"/>
                <w:szCs w:val="18"/>
                <w:lang w:val="en-GB"/>
              </w:rPr>
            </w:pPr>
            <w:r w:rsidRPr="009B546D">
              <w:rPr>
                <w:rFonts w:asciiTheme="minorHAnsi" w:hAnsiTheme="minorHAnsi" w:cstheme="minorHAnsi"/>
                <w:b/>
                <w:sz w:val="18"/>
                <w:szCs w:val="18"/>
                <w:lang w:val="en-GB"/>
              </w:rPr>
              <w:t>(£'000)</w:t>
            </w:r>
          </w:p>
        </w:tc>
        <w:tc>
          <w:tcPr>
            <w:tcW w:w="1209" w:type="pct"/>
            <w:vAlign w:val="bottom"/>
          </w:tcPr>
          <w:p w14:paraId="56BC90D3" w14:textId="30DC8605" w:rsidR="00B16A60" w:rsidRPr="009B546D" w:rsidRDefault="00B16A60" w:rsidP="00F432B9">
            <w:pPr>
              <w:pStyle w:val="Docnormal"/>
              <w:pBdr>
                <w:bottom w:val="single" w:sz="4" w:space="1" w:color="auto"/>
              </w:pBdr>
              <w:spacing w:line="240" w:lineRule="auto"/>
              <w:jc w:val="right"/>
              <w:rPr>
                <w:rFonts w:asciiTheme="minorHAnsi" w:hAnsiTheme="minorHAnsi" w:cstheme="minorHAnsi"/>
                <w:b/>
                <w:sz w:val="18"/>
                <w:szCs w:val="18"/>
                <w:lang w:val="en-GB"/>
              </w:rPr>
            </w:pPr>
            <w:r w:rsidRPr="009B546D">
              <w:rPr>
                <w:rFonts w:asciiTheme="minorHAnsi" w:hAnsiTheme="minorHAnsi" w:cstheme="minorHAnsi"/>
                <w:b/>
                <w:sz w:val="18"/>
                <w:szCs w:val="18"/>
                <w:lang w:val="en-GB"/>
              </w:rPr>
              <w:t xml:space="preserve">As at 31 </w:t>
            </w:r>
            <w:r w:rsidR="006B3AE0">
              <w:rPr>
                <w:rFonts w:asciiTheme="minorHAnsi" w:hAnsiTheme="minorHAnsi" w:cstheme="minorHAnsi"/>
                <w:b/>
                <w:sz w:val="18"/>
                <w:szCs w:val="18"/>
                <w:lang w:val="en-GB"/>
              </w:rPr>
              <w:t>December</w:t>
            </w:r>
            <w:r w:rsidR="006B3AE0" w:rsidRPr="009B546D">
              <w:rPr>
                <w:rFonts w:asciiTheme="minorHAnsi" w:hAnsiTheme="minorHAnsi" w:cstheme="minorHAnsi"/>
                <w:b/>
                <w:sz w:val="18"/>
                <w:szCs w:val="18"/>
                <w:lang w:val="en-GB"/>
              </w:rPr>
              <w:t xml:space="preserve"> </w:t>
            </w:r>
            <w:r w:rsidRPr="009B546D">
              <w:rPr>
                <w:rFonts w:asciiTheme="minorHAnsi" w:hAnsiTheme="minorHAnsi" w:cstheme="minorHAnsi"/>
                <w:b/>
                <w:sz w:val="18"/>
                <w:szCs w:val="18"/>
                <w:lang w:val="en-GB"/>
              </w:rPr>
              <w:t>2019</w:t>
            </w:r>
          </w:p>
        </w:tc>
      </w:tr>
      <w:tr w:rsidR="00B16A60" w:rsidRPr="009B546D" w14:paraId="43DFDA1E" w14:textId="77777777" w:rsidTr="00682BB9">
        <w:tc>
          <w:tcPr>
            <w:tcW w:w="3791" w:type="pct"/>
          </w:tcPr>
          <w:p w14:paraId="54ADD8DC" w14:textId="77777777" w:rsidR="00B16A60" w:rsidRPr="009B546D" w:rsidRDefault="00B16A60" w:rsidP="00F432B9">
            <w:pPr>
              <w:pStyle w:val="Docnormal"/>
              <w:tabs>
                <w:tab w:val="left" w:leader="dot" w:pos="5635"/>
              </w:tabs>
              <w:spacing w:line="240" w:lineRule="auto"/>
              <w:rPr>
                <w:rFonts w:asciiTheme="minorHAnsi" w:hAnsiTheme="minorHAnsi" w:cstheme="minorHAnsi"/>
                <w:sz w:val="18"/>
                <w:szCs w:val="18"/>
                <w:lang w:val="en-GB"/>
              </w:rPr>
            </w:pPr>
          </w:p>
        </w:tc>
        <w:tc>
          <w:tcPr>
            <w:tcW w:w="1209" w:type="pct"/>
          </w:tcPr>
          <w:p w14:paraId="2C65439E" w14:textId="170E3D2B" w:rsidR="00B16A60" w:rsidRPr="009B546D" w:rsidRDefault="00B16A60" w:rsidP="00F432B9">
            <w:pPr>
              <w:pStyle w:val="Docnormal"/>
              <w:pBdr>
                <w:bottom w:val="single" w:sz="4" w:space="1" w:color="auto"/>
              </w:pBdr>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w:t>
            </w:r>
            <w:r w:rsidR="00CD5A02" w:rsidRPr="00D4158A">
              <w:rPr>
                <w:rFonts w:asciiTheme="minorHAnsi" w:hAnsiTheme="minorHAnsi" w:cstheme="minorHAnsi"/>
                <w:i/>
                <w:iCs/>
                <w:sz w:val="18"/>
                <w:szCs w:val="18"/>
                <w:lang w:val="en-GB"/>
              </w:rPr>
              <w:t>Una</w:t>
            </w:r>
            <w:r w:rsidRPr="009B546D">
              <w:rPr>
                <w:rFonts w:asciiTheme="minorHAnsi" w:hAnsiTheme="minorHAnsi" w:cstheme="minorHAnsi"/>
                <w:i/>
                <w:sz w:val="18"/>
                <w:szCs w:val="18"/>
                <w:lang w:val="en-GB"/>
              </w:rPr>
              <w:t>udited</w:t>
            </w:r>
            <w:r w:rsidRPr="009B546D">
              <w:rPr>
                <w:rFonts w:asciiTheme="minorHAnsi" w:hAnsiTheme="minorHAnsi" w:cstheme="minorHAnsi"/>
                <w:sz w:val="18"/>
                <w:szCs w:val="18"/>
                <w:lang w:val="en-GB"/>
              </w:rPr>
              <w:t>)</w:t>
            </w:r>
          </w:p>
        </w:tc>
      </w:tr>
      <w:tr w:rsidR="00B16A60" w:rsidRPr="009B546D" w14:paraId="620DFFCA" w14:textId="77777777" w:rsidTr="00682BB9">
        <w:tc>
          <w:tcPr>
            <w:tcW w:w="3791" w:type="pct"/>
          </w:tcPr>
          <w:p w14:paraId="7DBF82F1" w14:textId="77777777" w:rsidR="00B16A60" w:rsidRPr="009B546D" w:rsidRDefault="00B16A60" w:rsidP="00F432B9">
            <w:pPr>
              <w:pStyle w:val="Docnormal"/>
              <w:tabs>
                <w:tab w:val="left" w:leader="dot" w:pos="5812"/>
              </w:tabs>
              <w:spacing w:line="240" w:lineRule="auto"/>
              <w:rPr>
                <w:rFonts w:asciiTheme="minorHAnsi" w:hAnsiTheme="minorHAnsi" w:cstheme="minorHAnsi"/>
                <w:sz w:val="18"/>
                <w:szCs w:val="18"/>
                <w:lang w:val="en-GB"/>
              </w:rPr>
            </w:pPr>
            <w:r w:rsidRPr="009B546D">
              <w:rPr>
                <w:rFonts w:asciiTheme="minorHAnsi" w:hAnsiTheme="minorHAnsi" w:cstheme="minorHAnsi"/>
                <w:sz w:val="18"/>
                <w:szCs w:val="18"/>
                <w:lang w:val="en-GB"/>
              </w:rPr>
              <w:t>Cash</w:t>
            </w:r>
          </w:p>
        </w:tc>
        <w:tc>
          <w:tcPr>
            <w:tcW w:w="1209" w:type="pct"/>
          </w:tcPr>
          <w:p w14:paraId="370F53C8" w14:textId="184D5BD0" w:rsidR="00B16A60" w:rsidRPr="009B546D" w:rsidRDefault="006B3AE0" w:rsidP="00F432B9">
            <w:pPr>
              <w:pStyle w:val="Docnormal"/>
              <w:spacing w:line="240" w:lineRule="auto"/>
              <w:jc w:val="right"/>
              <w:rPr>
                <w:rFonts w:asciiTheme="minorHAnsi" w:hAnsiTheme="minorHAnsi" w:cstheme="minorHAnsi"/>
                <w:sz w:val="18"/>
                <w:szCs w:val="18"/>
                <w:lang w:val="en-GB"/>
              </w:rPr>
            </w:pPr>
            <w:r>
              <w:rPr>
                <w:rFonts w:asciiTheme="minorHAnsi" w:hAnsiTheme="minorHAnsi" w:cstheme="minorHAnsi"/>
                <w:sz w:val="18"/>
                <w:szCs w:val="18"/>
                <w:lang w:val="en-GB"/>
              </w:rPr>
              <w:t>3,523</w:t>
            </w:r>
          </w:p>
        </w:tc>
      </w:tr>
      <w:tr w:rsidR="00B16A60" w:rsidRPr="009B546D" w14:paraId="5815A41D" w14:textId="77777777" w:rsidTr="00682BB9">
        <w:tc>
          <w:tcPr>
            <w:tcW w:w="3791" w:type="pct"/>
          </w:tcPr>
          <w:p w14:paraId="4E1AC3F2" w14:textId="77777777" w:rsidR="00B16A60" w:rsidRPr="009B546D" w:rsidRDefault="00B16A60" w:rsidP="00F432B9">
            <w:pPr>
              <w:pStyle w:val="Docnormal"/>
              <w:tabs>
                <w:tab w:val="left" w:leader="dot" w:pos="5812"/>
              </w:tabs>
              <w:spacing w:line="240" w:lineRule="auto"/>
              <w:rPr>
                <w:rFonts w:asciiTheme="minorHAnsi" w:hAnsiTheme="minorHAnsi" w:cstheme="minorHAnsi"/>
                <w:sz w:val="18"/>
                <w:szCs w:val="18"/>
                <w:lang w:val="en-GB"/>
              </w:rPr>
            </w:pPr>
            <w:r w:rsidRPr="009B546D">
              <w:rPr>
                <w:rFonts w:asciiTheme="minorHAnsi" w:hAnsiTheme="minorHAnsi" w:cstheme="minorHAnsi"/>
                <w:sz w:val="18"/>
                <w:szCs w:val="18"/>
                <w:lang w:val="en-GB"/>
              </w:rPr>
              <w:t>Cash equivalents</w:t>
            </w:r>
          </w:p>
        </w:tc>
        <w:tc>
          <w:tcPr>
            <w:tcW w:w="1209" w:type="pct"/>
          </w:tcPr>
          <w:p w14:paraId="73DBF367"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w:t>
            </w:r>
          </w:p>
        </w:tc>
      </w:tr>
      <w:tr w:rsidR="00B16A60" w:rsidRPr="009B546D" w14:paraId="4FB1A29F" w14:textId="77777777" w:rsidTr="00682BB9">
        <w:tc>
          <w:tcPr>
            <w:tcW w:w="3791" w:type="pct"/>
          </w:tcPr>
          <w:p w14:paraId="5145C360" w14:textId="77777777" w:rsidR="00B16A60" w:rsidRPr="009B546D" w:rsidRDefault="00B16A60" w:rsidP="00F432B9">
            <w:pPr>
              <w:pStyle w:val="Docnormal"/>
              <w:tabs>
                <w:tab w:val="left" w:leader="dot" w:pos="5812"/>
              </w:tabs>
              <w:spacing w:line="240" w:lineRule="auto"/>
              <w:rPr>
                <w:rFonts w:asciiTheme="minorHAnsi" w:hAnsiTheme="minorHAnsi" w:cstheme="minorHAnsi"/>
                <w:sz w:val="18"/>
                <w:szCs w:val="18"/>
                <w:lang w:val="en-GB"/>
              </w:rPr>
            </w:pPr>
            <w:r w:rsidRPr="009B546D">
              <w:rPr>
                <w:rFonts w:asciiTheme="minorHAnsi" w:hAnsiTheme="minorHAnsi" w:cstheme="minorHAnsi"/>
                <w:sz w:val="18"/>
                <w:szCs w:val="18"/>
                <w:lang w:val="en-GB"/>
              </w:rPr>
              <w:t xml:space="preserve">Trading securities </w:t>
            </w:r>
          </w:p>
        </w:tc>
        <w:tc>
          <w:tcPr>
            <w:tcW w:w="1209" w:type="pct"/>
            <w:tcBorders>
              <w:bottom w:val="single" w:sz="4" w:space="0" w:color="auto"/>
            </w:tcBorders>
          </w:tcPr>
          <w:p w14:paraId="7C6527B7"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w:t>
            </w:r>
          </w:p>
        </w:tc>
      </w:tr>
      <w:tr w:rsidR="00B16A60" w:rsidRPr="009B546D" w14:paraId="2C2F1184" w14:textId="77777777" w:rsidTr="00682BB9">
        <w:tc>
          <w:tcPr>
            <w:tcW w:w="3791" w:type="pct"/>
          </w:tcPr>
          <w:p w14:paraId="6CB89370" w14:textId="77777777" w:rsidR="00B16A60" w:rsidRPr="009B546D" w:rsidRDefault="00B16A60" w:rsidP="00F432B9">
            <w:pPr>
              <w:pStyle w:val="Docnormal"/>
              <w:tabs>
                <w:tab w:val="left" w:leader="dot" w:pos="5812"/>
              </w:tabs>
              <w:spacing w:line="240" w:lineRule="auto"/>
              <w:rPr>
                <w:rFonts w:asciiTheme="minorHAnsi" w:hAnsiTheme="minorHAnsi" w:cstheme="minorHAnsi"/>
                <w:b/>
                <w:sz w:val="18"/>
                <w:szCs w:val="18"/>
                <w:lang w:val="en-GB"/>
              </w:rPr>
            </w:pPr>
            <w:r w:rsidRPr="009B546D">
              <w:rPr>
                <w:rFonts w:asciiTheme="minorHAnsi" w:hAnsiTheme="minorHAnsi" w:cstheme="minorHAnsi"/>
                <w:b/>
                <w:sz w:val="18"/>
                <w:szCs w:val="18"/>
                <w:lang w:val="en-GB"/>
              </w:rPr>
              <w:t>Liquidity</w:t>
            </w:r>
          </w:p>
        </w:tc>
        <w:tc>
          <w:tcPr>
            <w:tcW w:w="1209" w:type="pct"/>
            <w:tcBorders>
              <w:top w:val="single" w:sz="4" w:space="0" w:color="auto"/>
              <w:bottom w:val="single" w:sz="4" w:space="0" w:color="auto"/>
            </w:tcBorders>
          </w:tcPr>
          <w:p w14:paraId="7FFD1C2E" w14:textId="6AC7EF16" w:rsidR="00B16A60" w:rsidRPr="009B546D" w:rsidRDefault="006B3AE0" w:rsidP="00F432B9">
            <w:pPr>
              <w:pStyle w:val="Docnormal"/>
              <w:spacing w:line="240" w:lineRule="auto"/>
              <w:jc w:val="right"/>
              <w:rPr>
                <w:rFonts w:asciiTheme="minorHAnsi" w:hAnsiTheme="minorHAnsi" w:cstheme="minorHAnsi"/>
                <w:b/>
                <w:sz w:val="18"/>
                <w:szCs w:val="18"/>
                <w:lang w:val="en-GB"/>
              </w:rPr>
            </w:pPr>
            <w:r>
              <w:rPr>
                <w:rFonts w:asciiTheme="minorHAnsi" w:hAnsiTheme="minorHAnsi" w:cstheme="minorHAnsi"/>
                <w:b/>
                <w:sz w:val="18"/>
                <w:szCs w:val="18"/>
                <w:lang w:val="en-GB"/>
              </w:rPr>
              <w:t>3,523</w:t>
            </w:r>
          </w:p>
        </w:tc>
      </w:tr>
      <w:tr w:rsidR="00B16A60" w:rsidRPr="009B546D" w14:paraId="69D64BAE" w14:textId="77777777" w:rsidTr="00682BB9">
        <w:tc>
          <w:tcPr>
            <w:tcW w:w="3791" w:type="pct"/>
          </w:tcPr>
          <w:p w14:paraId="24BFB1B9" w14:textId="77777777" w:rsidR="00B16A60" w:rsidRPr="009B546D" w:rsidRDefault="00B16A60" w:rsidP="00F432B9">
            <w:pPr>
              <w:pStyle w:val="Docnormal"/>
              <w:tabs>
                <w:tab w:val="left" w:leader="dot" w:pos="5812"/>
              </w:tabs>
              <w:spacing w:line="240" w:lineRule="auto"/>
              <w:rPr>
                <w:rFonts w:asciiTheme="minorHAnsi" w:hAnsiTheme="minorHAnsi" w:cstheme="minorHAnsi"/>
                <w:sz w:val="18"/>
                <w:szCs w:val="18"/>
                <w:lang w:val="en-GB"/>
              </w:rPr>
            </w:pPr>
          </w:p>
        </w:tc>
        <w:tc>
          <w:tcPr>
            <w:tcW w:w="1209" w:type="pct"/>
            <w:tcBorders>
              <w:top w:val="single" w:sz="4" w:space="0" w:color="auto"/>
            </w:tcBorders>
          </w:tcPr>
          <w:p w14:paraId="6911C598"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p>
        </w:tc>
      </w:tr>
      <w:tr w:rsidR="00B16A60" w:rsidRPr="009B546D" w14:paraId="1CC8133E" w14:textId="77777777" w:rsidTr="00682BB9">
        <w:tc>
          <w:tcPr>
            <w:tcW w:w="3791" w:type="pct"/>
          </w:tcPr>
          <w:p w14:paraId="5D224EE4" w14:textId="77777777" w:rsidR="00B16A60" w:rsidRPr="009B546D" w:rsidRDefault="00B16A60" w:rsidP="00F432B9">
            <w:pPr>
              <w:pStyle w:val="Docnormal"/>
              <w:tabs>
                <w:tab w:val="left" w:leader="dot" w:pos="5812"/>
              </w:tabs>
              <w:spacing w:line="240" w:lineRule="auto"/>
              <w:rPr>
                <w:rFonts w:asciiTheme="minorHAnsi" w:hAnsiTheme="minorHAnsi" w:cstheme="minorHAnsi"/>
                <w:sz w:val="18"/>
                <w:szCs w:val="18"/>
                <w:lang w:val="en-GB"/>
              </w:rPr>
            </w:pPr>
            <w:r w:rsidRPr="009B546D">
              <w:rPr>
                <w:rFonts w:asciiTheme="minorHAnsi" w:hAnsiTheme="minorHAnsi" w:cstheme="minorHAnsi"/>
                <w:sz w:val="18"/>
                <w:szCs w:val="18"/>
                <w:lang w:val="en-GB"/>
              </w:rPr>
              <w:t xml:space="preserve">Current financial receivables </w:t>
            </w:r>
          </w:p>
        </w:tc>
        <w:tc>
          <w:tcPr>
            <w:tcW w:w="1209" w:type="pct"/>
            <w:tcBorders>
              <w:bottom w:val="single" w:sz="4" w:space="0" w:color="auto"/>
            </w:tcBorders>
          </w:tcPr>
          <w:p w14:paraId="08396443"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w:t>
            </w:r>
          </w:p>
        </w:tc>
      </w:tr>
      <w:tr w:rsidR="00B16A60" w:rsidRPr="009B546D" w14:paraId="6DEDD088" w14:textId="77777777" w:rsidTr="00682BB9">
        <w:tc>
          <w:tcPr>
            <w:tcW w:w="3791" w:type="pct"/>
          </w:tcPr>
          <w:p w14:paraId="4296EE24" w14:textId="77777777" w:rsidR="00B16A60" w:rsidRPr="009B546D" w:rsidRDefault="00B16A60" w:rsidP="00F432B9">
            <w:pPr>
              <w:pStyle w:val="Docnormal"/>
              <w:tabs>
                <w:tab w:val="left" w:leader="dot" w:pos="5812"/>
              </w:tabs>
              <w:spacing w:line="240" w:lineRule="auto"/>
              <w:rPr>
                <w:rFonts w:asciiTheme="minorHAnsi" w:hAnsiTheme="minorHAnsi" w:cstheme="minorHAnsi"/>
                <w:sz w:val="18"/>
                <w:szCs w:val="18"/>
                <w:lang w:val="en-GB"/>
              </w:rPr>
            </w:pPr>
          </w:p>
        </w:tc>
        <w:tc>
          <w:tcPr>
            <w:tcW w:w="1209" w:type="pct"/>
            <w:tcBorders>
              <w:top w:val="single" w:sz="4" w:space="0" w:color="auto"/>
            </w:tcBorders>
          </w:tcPr>
          <w:p w14:paraId="333AB2E5"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p>
        </w:tc>
      </w:tr>
      <w:tr w:rsidR="00B16A60" w:rsidRPr="009B546D" w14:paraId="79FB9854" w14:textId="77777777" w:rsidTr="00682BB9">
        <w:tc>
          <w:tcPr>
            <w:tcW w:w="3791" w:type="pct"/>
          </w:tcPr>
          <w:p w14:paraId="5765ED56" w14:textId="77777777" w:rsidR="00B16A60" w:rsidRPr="009B546D" w:rsidRDefault="00B16A60" w:rsidP="00F432B9">
            <w:pPr>
              <w:pStyle w:val="Docnormal"/>
              <w:tabs>
                <w:tab w:val="left" w:leader="dot" w:pos="5812"/>
              </w:tabs>
              <w:spacing w:line="240" w:lineRule="auto"/>
              <w:rPr>
                <w:rFonts w:asciiTheme="minorHAnsi" w:hAnsiTheme="minorHAnsi" w:cstheme="minorHAnsi"/>
                <w:sz w:val="18"/>
                <w:szCs w:val="18"/>
                <w:lang w:val="en-GB"/>
              </w:rPr>
            </w:pPr>
            <w:r w:rsidRPr="009B546D">
              <w:rPr>
                <w:rFonts w:asciiTheme="minorHAnsi" w:hAnsiTheme="minorHAnsi" w:cstheme="minorHAnsi"/>
                <w:sz w:val="18"/>
                <w:szCs w:val="18"/>
                <w:lang w:val="en-GB"/>
              </w:rPr>
              <w:t xml:space="preserve">Current bank debt </w:t>
            </w:r>
          </w:p>
        </w:tc>
        <w:tc>
          <w:tcPr>
            <w:tcW w:w="1209" w:type="pct"/>
          </w:tcPr>
          <w:p w14:paraId="7C4EE6DD"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w:t>
            </w:r>
          </w:p>
        </w:tc>
      </w:tr>
      <w:tr w:rsidR="00B16A60" w:rsidRPr="009B546D" w14:paraId="433FAF26" w14:textId="77777777" w:rsidTr="00682BB9">
        <w:tc>
          <w:tcPr>
            <w:tcW w:w="3791" w:type="pct"/>
          </w:tcPr>
          <w:p w14:paraId="440FCC05" w14:textId="77777777" w:rsidR="00B16A60" w:rsidRPr="009B546D" w:rsidRDefault="00B16A60" w:rsidP="00F432B9">
            <w:pPr>
              <w:pStyle w:val="Docnormal"/>
              <w:tabs>
                <w:tab w:val="left" w:leader="dot" w:pos="5812"/>
              </w:tabs>
              <w:spacing w:line="240" w:lineRule="auto"/>
              <w:rPr>
                <w:rFonts w:asciiTheme="minorHAnsi" w:hAnsiTheme="minorHAnsi" w:cstheme="minorHAnsi"/>
                <w:sz w:val="18"/>
                <w:szCs w:val="18"/>
                <w:lang w:val="en-GB"/>
              </w:rPr>
            </w:pPr>
            <w:r w:rsidRPr="009B546D">
              <w:rPr>
                <w:rFonts w:asciiTheme="minorHAnsi" w:hAnsiTheme="minorHAnsi" w:cstheme="minorHAnsi"/>
                <w:sz w:val="18"/>
                <w:szCs w:val="18"/>
                <w:lang w:val="en-GB"/>
              </w:rPr>
              <w:t>Current portion of non-current debt</w:t>
            </w:r>
          </w:p>
        </w:tc>
        <w:tc>
          <w:tcPr>
            <w:tcW w:w="1209" w:type="pct"/>
          </w:tcPr>
          <w:p w14:paraId="2D12BF3F"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w:t>
            </w:r>
          </w:p>
        </w:tc>
      </w:tr>
      <w:tr w:rsidR="00B16A60" w:rsidRPr="009B546D" w14:paraId="0D1CE417" w14:textId="77777777" w:rsidTr="00682BB9">
        <w:tc>
          <w:tcPr>
            <w:tcW w:w="3791" w:type="pct"/>
          </w:tcPr>
          <w:p w14:paraId="7D2F27C8" w14:textId="77777777" w:rsidR="00B16A60" w:rsidRPr="009B546D" w:rsidRDefault="00B16A60" w:rsidP="00F432B9">
            <w:pPr>
              <w:pStyle w:val="Docnormal"/>
              <w:tabs>
                <w:tab w:val="left" w:leader="dot" w:pos="5812"/>
              </w:tabs>
              <w:spacing w:line="240" w:lineRule="auto"/>
              <w:jc w:val="both"/>
              <w:rPr>
                <w:rFonts w:asciiTheme="minorHAnsi" w:hAnsiTheme="minorHAnsi" w:cstheme="minorHAnsi"/>
                <w:sz w:val="18"/>
                <w:szCs w:val="18"/>
                <w:lang w:val="en-GB"/>
              </w:rPr>
            </w:pPr>
            <w:r w:rsidRPr="009B546D">
              <w:rPr>
                <w:rFonts w:asciiTheme="minorHAnsi" w:hAnsiTheme="minorHAnsi" w:cstheme="minorHAnsi"/>
                <w:sz w:val="18"/>
                <w:szCs w:val="18"/>
                <w:lang w:val="en-GB"/>
              </w:rPr>
              <w:t xml:space="preserve">Other current financial debt </w:t>
            </w:r>
          </w:p>
        </w:tc>
        <w:tc>
          <w:tcPr>
            <w:tcW w:w="1209" w:type="pct"/>
            <w:tcBorders>
              <w:bottom w:val="single" w:sz="4" w:space="0" w:color="auto"/>
            </w:tcBorders>
          </w:tcPr>
          <w:p w14:paraId="151621D7" w14:textId="77777777" w:rsidR="00B16A60" w:rsidRPr="009B546D" w:rsidRDefault="00B16A60" w:rsidP="00F432B9">
            <w:pPr>
              <w:pStyle w:val="Docnormal"/>
              <w:spacing w:line="240" w:lineRule="auto"/>
              <w:ind w:left="720"/>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(289)</w:t>
            </w:r>
          </w:p>
        </w:tc>
      </w:tr>
      <w:tr w:rsidR="00B16A60" w:rsidRPr="009B546D" w14:paraId="165E6259" w14:textId="77777777" w:rsidTr="00682BB9">
        <w:tc>
          <w:tcPr>
            <w:tcW w:w="3791" w:type="pct"/>
          </w:tcPr>
          <w:p w14:paraId="2866F590" w14:textId="77777777" w:rsidR="00B16A60" w:rsidRPr="009B546D" w:rsidRDefault="00B16A60" w:rsidP="00F432B9">
            <w:pPr>
              <w:pStyle w:val="Docnormal"/>
              <w:tabs>
                <w:tab w:val="left" w:leader="dot" w:pos="5812"/>
              </w:tabs>
              <w:spacing w:line="240" w:lineRule="auto"/>
              <w:jc w:val="both"/>
              <w:rPr>
                <w:rFonts w:asciiTheme="minorHAnsi" w:hAnsiTheme="minorHAnsi" w:cstheme="minorHAnsi"/>
                <w:b/>
                <w:sz w:val="18"/>
                <w:szCs w:val="18"/>
                <w:lang w:val="en-GB"/>
              </w:rPr>
            </w:pPr>
            <w:r w:rsidRPr="009B546D">
              <w:rPr>
                <w:rFonts w:asciiTheme="minorHAnsi" w:hAnsiTheme="minorHAnsi" w:cstheme="minorHAnsi"/>
                <w:b/>
                <w:sz w:val="18"/>
                <w:szCs w:val="18"/>
                <w:lang w:val="en-GB"/>
              </w:rPr>
              <w:t>Current financial indebtedness</w:t>
            </w:r>
          </w:p>
        </w:tc>
        <w:tc>
          <w:tcPr>
            <w:tcW w:w="1209" w:type="pct"/>
            <w:tcBorders>
              <w:top w:val="single" w:sz="4" w:space="0" w:color="auto"/>
              <w:bottom w:val="single" w:sz="4" w:space="0" w:color="auto"/>
            </w:tcBorders>
          </w:tcPr>
          <w:p w14:paraId="10E7596D" w14:textId="77777777" w:rsidR="00B16A60" w:rsidRPr="009B546D" w:rsidRDefault="00B16A60" w:rsidP="00F432B9">
            <w:pPr>
              <w:pStyle w:val="Docnormal"/>
              <w:spacing w:line="240" w:lineRule="auto"/>
              <w:ind w:left="720"/>
              <w:jc w:val="right"/>
              <w:rPr>
                <w:rFonts w:asciiTheme="minorHAnsi" w:hAnsiTheme="minorHAnsi" w:cstheme="minorHAnsi"/>
                <w:b/>
                <w:sz w:val="18"/>
                <w:szCs w:val="18"/>
                <w:lang w:val="en-GB"/>
              </w:rPr>
            </w:pPr>
            <w:r w:rsidRPr="009B546D">
              <w:rPr>
                <w:rFonts w:asciiTheme="minorHAnsi" w:hAnsiTheme="minorHAnsi" w:cstheme="minorHAnsi"/>
                <w:b/>
                <w:sz w:val="18"/>
                <w:szCs w:val="18"/>
                <w:lang w:val="en-GB"/>
              </w:rPr>
              <w:t>(289)</w:t>
            </w:r>
          </w:p>
        </w:tc>
      </w:tr>
      <w:tr w:rsidR="00B16A60" w:rsidRPr="009B546D" w14:paraId="292AC588" w14:textId="77777777" w:rsidTr="00682BB9">
        <w:tc>
          <w:tcPr>
            <w:tcW w:w="3791" w:type="pct"/>
          </w:tcPr>
          <w:p w14:paraId="3DEFA934" w14:textId="77777777" w:rsidR="00B16A60" w:rsidRPr="009B546D" w:rsidRDefault="00B16A60" w:rsidP="00F432B9">
            <w:pPr>
              <w:pStyle w:val="Docnormal"/>
              <w:tabs>
                <w:tab w:val="left" w:leader="dot" w:pos="5812"/>
              </w:tabs>
              <w:spacing w:line="240" w:lineRule="auto"/>
              <w:rPr>
                <w:rFonts w:asciiTheme="minorHAnsi" w:hAnsiTheme="minorHAnsi" w:cstheme="minorHAnsi"/>
                <w:sz w:val="18"/>
                <w:szCs w:val="18"/>
                <w:lang w:val="en-GB"/>
              </w:rPr>
            </w:pPr>
          </w:p>
        </w:tc>
        <w:tc>
          <w:tcPr>
            <w:tcW w:w="1209" w:type="pct"/>
            <w:tcBorders>
              <w:top w:val="single" w:sz="4" w:space="0" w:color="auto"/>
            </w:tcBorders>
          </w:tcPr>
          <w:p w14:paraId="2E3B0490"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p>
        </w:tc>
      </w:tr>
      <w:tr w:rsidR="00B16A60" w:rsidRPr="009B546D" w14:paraId="72F770E7" w14:textId="77777777" w:rsidTr="00682BB9">
        <w:tc>
          <w:tcPr>
            <w:tcW w:w="3791" w:type="pct"/>
          </w:tcPr>
          <w:p w14:paraId="68E8B53D" w14:textId="77777777" w:rsidR="00B16A60" w:rsidRPr="009B546D" w:rsidRDefault="00B16A60" w:rsidP="00F432B9">
            <w:pPr>
              <w:pStyle w:val="Docnormal"/>
              <w:tabs>
                <w:tab w:val="left" w:leader="dot" w:pos="5812"/>
              </w:tabs>
              <w:spacing w:line="240" w:lineRule="auto"/>
              <w:rPr>
                <w:rFonts w:asciiTheme="minorHAnsi" w:hAnsiTheme="minorHAnsi" w:cstheme="minorHAnsi"/>
                <w:b/>
                <w:sz w:val="18"/>
                <w:szCs w:val="18"/>
                <w:lang w:val="en-GB"/>
              </w:rPr>
            </w:pPr>
            <w:r w:rsidRPr="009B546D">
              <w:rPr>
                <w:rFonts w:asciiTheme="minorHAnsi" w:hAnsiTheme="minorHAnsi" w:cstheme="minorHAnsi"/>
                <w:b/>
                <w:sz w:val="18"/>
                <w:szCs w:val="18"/>
                <w:lang w:val="en-GB"/>
              </w:rPr>
              <w:t>Net current financial liquidity</w:t>
            </w:r>
          </w:p>
        </w:tc>
        <w:tc>
          <w:tcPr>
            <w:tcW w:w="1209" w:type="pct"/>
            <w:tcBorders>
              <w:bottom w:val="single" w:sz="4" w:space="0" w:color="auto"/>
            </w:tcBorders>
          </w:tcPr>
          <w:p w14:paraId="427DE643" w14:textId="132C057F" w:rsidR="00B16A60" w:rsidRPr="009B546D" w:rsidRDefault="006B3AE0" w:rsidP="00F432B9">
            <w:pPr>
              <w:pStyle w:val="Docnormal"/>
              <w:spacing w:line="240" w:lineRule="auto"/>
              <w:jc w:val="right"/>
              <w:rPr>
                <w:rFonts w:asciiTheme="minorHAnsi" w:hAnsiTheme="minorHAnsi" w:cstheme="minorHAnsi"/>
                <w:b/>
                <w:sz w:val="18"/>
                <w:szCs w:val="18"/>
                <w:lang w:val="en-GB"/>
              </w:rPr>
            </w:pPr>
            <w:r>
              <w:rPr>
                <w:rFonts w:asciiTheme="minorHAnsi" w:hAnsiTheme="minorHAnsi" w:cstheme="minorHAnsi"/>
                <w:b/>
                <w:sz w:val="18"/>
                <w:szCs w:val="18"/>
                <w:lang w:val="en-GB"/>
              </w:rPr>
              <w:t>3,234</w:t>
            </w:r>
          </w:p>
        </w:tc>
      </w:tr>
      <w:tr w:rsidR="00B16A60" w:rsidRPr="009B546D" w14:paraId="7211F2EB" w14:textId="77777777" w:rsidTr="00682BB9">
        <w:tc>
          <w:tcPr>
            <w:tcW w:w="3791" w:type="pct"/>
          </w:tcPr>
          <w:p w14:paraId="19B34296" w14:textId="77777777" w:rsidR="00B16A60" w:rsidRPr="009B546D" w:rsidRDefault="00B16A60" w:rsidP="00F432B9">
            <w:pPr>
              <w:pStyle w:val="Docnormal"/>
              <w:tabs>
                <w:tab w:val="left" w:leader="dot" w:pos="5812"/>
              </w:tabs>
              <w:spacing w:line="240" w:lineRule="auto"/>
              <w:rPr>
                <w:rFonts w:asciiTheme="minorHAnsi" w:hAnsiTheme="minorHAnsi" w:cstheme="minorHAnsi"/>
                <w:sz w:val="18"/>
                <w:szCs w:val="18"/>
                <w:lang w:val="en-GB"/>
              </w:rPr>
            </w:pPr>
          </w:p>
        </w:tc>
        <w:tc>
          <w:tcPr>
            <w:tcW w:w="1209" w:type="pct"/>
            <w:tcBorders>
              <w:top w:val="single" w:sz="4" w:space="0" w:color="auto"/>
            </w:tcBorders>
          </w:tcPr>
          <w:p w14:paraId="0D0E20EE"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p>
        </w:tc>
      </w:tr>
      <w:tr w:rsidR="00B16A60" w:rsidRPr="009B546D" w14:paraId="46EB835A" w14:textId="77777777" w:rsidTr="00682BB9">
        <w:tc>
          <w:tcPr>
            <w:tcW w:w="3791" w:type="pct"/>
          </w:tcPr>
          <w:p w14:paraId="35A124DF" w14:textId="77777777" w:rsidR="00B16A60" w:rsidRPr="009B546D" w:rsidRDefault="00B16A60" w:rsidP="00F432B9">
            <w:pPr>
              <w:pStyle w:val="Docnormal"/>
              <w:tabs>
                <w:tab w:val="left" w:leader="dot" w:pos="5812"/>
              </w:tabs>
              <w:spacing w:line="240" w:lineRule="auto"/>
              <w:rPr>
                <w:rFonts w:asciiTheme="minorHAnsi" w:hAnsiTheme="minorHAnsi" w:cstheme="minorHAnsi"/>
                <w:sz w:val="18"/>
                <w:szCs w:val="18"/>
                <w:lang w:val="en-GB"/>
              </w:rPr>
            </w:pPr>
            <w:r w:rsidRPr="009B546D">
              <w:rPr>
                <w:rFonts w:asciiTheme="minorHAnsi" w:hAnsiTheme="minorHAnsi" w:cstheme="minorHAnsi"/>
                <w:sz w:val="18"/>
                <w:szCs w:val="18"/>
                <w:lang w:val="en-GB"/>
              </w:rPr>
              <w:t xml:space="preserve">Non-current bank loans </w:t>
            </w:r>
          </w:p>
        </w:tc>
        <w:tc>
          <w:tcPr>
            <w:tcW w:w="1209" w:type="pct"/>
          </w:tcPr>
          <w:p w14:paraId="02105076"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w:t>
            </w:r>
          </w:p>
        </w:tc>
      </w:tr>
      <w:tr w:rsidR="00B16A60" w:rsidRPr="009B546D" w14:paraId="78C0CDA4" w14:textId="77777777" w:rsidTr="00682BB9">
        <w:tc>
          <w:tcPr>
            <w:tcW w:w="3791" w:type="pct"/>
          </w:tcPr>
          <w:p w14:paraId="541AEE49" w14:textId="77777777" w:rsidR="00B16A60" w:rsidRPr="009B546D" w:rsidRDefault="00B16A60" w:rsidP="00F432B9">
            <w:pPr>
              <w:pStyle w:val="Docnormal"/>
              <w:tabs>
                <w:tab w:val="left" w:leader="dot" w:pos="5812"/>
              </w:tabs>
              <w:spacing w:line="240" w:lineRule="auto"/>
              <w:rPr>
                <w:rFonts w:asciiTheme="minorHAnsi" w:hAnsiTheme="minorHAnsi" w:cstheme="minorHAnsi"/>
                <w:sz w:val="18"/>
                <w:szCs w:val="18"/>
                <w:lang w:val="en-GB"/>
              </w:rPr>
            </w:pPr>
            <w:r w:rsidRPr="009B546D">
              <w:rPr>
                <w:rFonts w:asciiTheme="minorHAnsi" w:hAnsiTheme="minorHAnsi" w:cstheme="minorHAnsi"/>
                <w:sz w:val="18"/>
                <w:szCs w:val="18"/>
                <w:lang w:val="en-GB"/>
              </w:rPr>
              <w:t>Bonds issued</w:t>
            </w:r>
          </w:p>
        </w:tc>
        <w:tc>
          <w:tcPr>
            <w:tcW w:w="1209" w:type="pct"/>
          </w:tcPr>
          <w:p w14:paraId="28344827"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w:t>
            </w:r>
          </w:p>
        </w:tc>
      </w:tr>
      <w:tr w:rsidR="00B16A60" w:rsidRPr="009B546D" w14:paraId="03BC3C0F" w14:textId="77777777" w:rsidTr="00682BB9">
        <w:tc>
          <w:tcPr>
            <w:tcW w:w="3791" w:type="pct"/>
          </w:tcPr>
          <w:p w14:paraId="179E05BD" w14:textId="77777777" w:rsidR="00B16A60" w:rsidRPr="009B546D" w:rsidRDefault="00B16A60" w:rsidP="00F432B9">
            <w:pPr>
              <w:pStyle w:val="Docnormal"/>
              <w:tabs>
                <w:tab w:val="left" w:leader="dot" w:pos="5812"/>
              </w:tabs>
              <w:spacing w:line="240" w:lineRule="auto"/>
              <w:rPr>
                <w:rFonts w:asciiTheme="minorHAnsi" w:hAnsiTheme="minorHAnsi" w:cstheme="minorHAnsi"/>
                <w:sz w:val="18"/>
                <w:szCs w:val="18"/>
                <w:lang w:val="en-GB"/>
              </w:rPr>
            </w:pPr>
            <w:r w:rsidRPr="009B546D">
              <w:rPr>
                <w:rFonts w:asciiTheme="minorHAnsi" w:hAnsiTheme="minorHAnsi" w:cstheme="minorHAnsi"/>
                <w:sz w:val="18"/>
                <w:szCs w:val="18"/>
                <w:lang w:val="en-GB"/>
              </w:rPr>
              <w:t xml:space="preserve">Other non-current loans </w:t>
            </w:r>
          </w:p>
        </w:tc>
        <w:tc>
          <w:tcPr>
            <w:tcW w:w="1209" w:type="pct"/>
            <w:tcBorders>
              <w:bottom w:val="single" w:sz="4" w:space="0" w:color="auto"/>
            </w:tcBorders>
          </w:tcPr>
          <w:p w14:paraId="244EF290"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r w:rsidRPr="009B546D">
              <w:rPr>
                <w:rFonts w:asciiTheme="minorHAnsi" w:hAnsiTheme="minorHAnsi" w:cstheme="minorHAnsi"/>
                <w:sz w:val="18"/>
                <w:szCs w:val="18"/>
                <w:lang w:val="en-GB"/>
              </w:rPr>
              <w:t>-</w:t>
            </w:r>
          </w:p>
        </w:tc>
      </w:tr>
      <w:tr w:rsidR="00B16A60" w:rsidRPr="009B546D" w14:paraId="3514F053" w14:textId="77777777" w:rsidTr="00682BB9">
        <w:tc>
          <w:tcPr>
            <w:tcW w:w="3791" w:type="pct"/>
          </w:tcPr>
          <w:p w14:paraId="6758B256" w14:textId="77777777" w:rsidR="00B16A60" w:rsidRPr="009B546D" w:rsidRDefault="00B16A60" w:rsidP="00F432B9">
            <w:pPr>
              <w:pStyle w:val="Docnormal"/>
              <w:tabs>
                <w:tab w:val="left" w:leader="dot" w:pos="5812"/>
              </w:tabs>
              <w:spacing w:line="240" w:lineRule="auto"/>
              <w:rPr>
                <w:rFonts w:asciiTheme="minorHAnsi" w:hAnsiTheme="minorHAnsi" w:cstheme="minorHAnsi"/>
                <w:b/>
                <w:sz w:val="18"/>
                <w:szCs w:val="18"/>
                <w:lang w:val="en-GB"/>
              </w:rPr>
            </w:pPr>
            <w:r w:rsidRPr="009B546D">
              <w:rPr>
                <w:rFonts w:asciiTheme="minorHAnsi" w:hAnsiTheme="minorHAnsi" w:cstheme="minorHAnsi"/>
                <w:b/>
                <w:sz w:val="18"/>
                <w:szCs w:val="18"/>
                <w:lang w:val="en-GB"/>
              </w:rPr>
              <w:t>Non-current financial indebtedness</w:t>
            </w:r>
          </w:p>
        </w:tc>
        <w:tc>
          <w:tcPr>
            <w:tcW w:w="1209" w:type="pct"/>
            <w:tcBorders>
              <w:top w:val="single" w:sz="4" w:space="0" w:color="auto"/>
              <w:bottom w:val="single" w:sz="4" w:space="0" w:color="auto"/>
            </w:tcBorders>
          </w:tcPr>
          <w:p w14:paraId="50BE717F" w14:textId="77777777" w:rsidR="00B16A60" w:rsidRPr="009B546D" w:rsidRDefault="00B16A60" w:rsidP="00F432B9">
            <w:pPr>
              <w:pStyle w:val="Docnormal"/>
              <w:spacing w:line="240" w:lineRule="auto"/>
              <w:jc w:val="right"/>
              <w:rPr>
                <w:rFonts w:asciiTheme="minorHAnsi" w:hAnsiTheme="minorHAnsi" w:cstheme="minorHAnsi"/>
                <w:b/>
                <w:sz w:val="18"/>
                <w:szCs w:val="18"/>
                <w:lang w:val="en-GB"/>
              </w:rPr>
            </w:pPr>
            <w:r w:rsidRPr="009B546D">
              <w:rPr>
                <w:rFonts w:asciiTheme="minorHAnsi" w:hAnsiTheme="minorHAnsi" w:cstheme="minorHAnsi"/>
                <w:b/>
                <w:sz w:val="18"/>
                <w:szCs w:val="18"/>
                <w:lang w:val="en-GB"/>
              </w:rPr>
              <w:t>-</w:t>
            </w:r>
          </w:p>
        </w:tc>
      </w:tr>
      <w:tr w:rsidR="00B16A60" w:rsidRPr="009B546D" w14:paraId="25B4DA36" w14:textId="77777777" w:rsidTr="00682BB9">
        <w:tblPrEx>
          <w:tblCellMar>
            <w:left w:w="108" w:type="dxa"/>
            <w:right w:w="108" w:type="dxa"/>
          </w:tblCellMar>
        </w:tblPrEx>
        <w:tc>
          <w:tcPr>
            <w:tcW w:w="3791" w:type="pct"/>
          </w:tcPr>
          <w:p w14:paraId="7F547C29" w14:textId="77777777" w:rsidR="00B16A60" w:rsidRPr="009B546D" w:rsidRDefault="00B16A60" w:rsidP="00F432B9">
            <w:pPr>
              <w:pStyle w:val="Docnormal"/>
              <w:tabs>
                <w:tab w:val="left" w:leader="dot" w:pos="5812"/>
              </w:tabs>
              <w:spacing w:line="240" w:lineRule="auto"/>
              <w:rPr>
                <w:rFonts w:asciiTheme="minorHAnsi" w:hAnsiTheme="minorHAnsi" w:cstheme="minorHAnsi"/>
                <w:sz w:val="18"/>
                <w:szCs w:val="18"/>
                <w:lang w:val="en-GB"/>
              </w:rPr>
            </w:pPr>
          </w:p>
        </w:tc>
        <w:tc>
          <w:tcPr>
            <w:tcW w:w="1209" w:type="pct"/>
            <w:tcBorders>
              <w:top w:val="single" w:sz="4" w:space="0" w:color="auto"/>
            </w:tcBorders>
          </w:tcPr>
          <w:p w14:paraId="672C3331" w14:textId="77777777" w:rsidR="00B16A60" w:rsidRPr="009B546D" w:rsidRDefault="00B16A60" w:rsidP="00F432B9">
            <w:pPr>
              <w:pStyle w:val="Docnormal"/>
              <w:spacing w:line="240" w:lineRule="auto"/>
              <w:jc w:val="right"/>
              <w:rPr>
                <w:rFonts w:asciiTheme="minorHAnsi" w:hAnsiTheme="minorHAnsi" w:cstheme="minorHAnsi"/>
                <w:sz w:val="18"/>
                <w:szCs w:val="18"/>
                <w:lang w:val="en-GB"/>
              </w:rPr>
            </w:pPr>
          </w:p>
        </w:tc>
      </w:tr>
      <w:tr w:rsidR="00B16A60" w:rsidRPr="009B546D" w14:paraId="67AD51A4" w14:textId="77777777" w:rsidTr="00682BB9">
        <w:tblPrEx>
          <w:tblCellMar>
            <w:left w:w="108" w:type="dxa"/>
            <w:right w:w="108" w:type="dxa"/>
          </w:tblCellMar>
        </w:tblPrEx>
        <w:tc>
          <w:tcPr>
            <w:tcW w:w="3791" w:type="pct"/>
          </w:tcPr>
          <w:p w14:paraId="26240350" w14:textId="1DA7C06C" w:rsidR="00B16A60" w:rsidRPr="009B546D" w:rsidRDefault="00B16A60" w:rsidP="00F432B9">
            <w:pPr>
              <w:pStyle w:val="Docnormal"/>
              <w:tabs>
                <w:tab w:val="left" w:leader="dot" w:pos="5812"/>
              </w:tabs>
              <w:spacing w:line="240" w:lineRule="auto"/>
              <w:rPr>
                <w:rFonts w:asciiTheme="minorHAnsi" w:hAnsiTheme="minorHAnsi" w:cstheme="minorHAnsi"/>
                <w:b/>
                <w:sz w:val="18"/>
                <w:szCs w:val="18"/>
                <w:lang w:val="en-GB"/>
              </w:rPr>
            </w:pPr>
            <w:r w:rsidRPr="009B546D">
              <w:rPr>
                <w:rFonts w:asciiTheme="minorHAnsi" w:hAnsiTheme="minorHAnsi" w:cstheme="minorHAnsi"/>
                <w:b/>
                <w:sz w:val="18"/>
                <w:szCs w:val="18"/>
                <w:lang w:val="en-GB"/>
              </w:rPr>
              <w:t>Net financial liquidity</w:t>
            </w:r>
            <w:r w:rsidR="00B575FC">
              <w:rPr>
                <w:rFonts w:asciiTheme="minorHAnsi" w:hAnsiTheme="minorHAnsi" w:cstheme="minorHAnsi"/>
                <w:b/>
                <w:sz w:val="18"/>
                <w:szCs w:val="18"/>
                <w:lang w:val="en-GB"/>
              </w:rPr>
              <w:t xml:space="preserve"> </w:t>
            </w:r>
          </w:p>
        </w:tc>
        <w:tc>
          <w:tcPr>
            <w:tcW w:w="1209" w:type="pct"/>
            <w:tcBorders>
              <w:bottom w:val="single" w:sz="4" w:space="0" w:color="auto"/>
            </w:tcBorders>
          </w:tcPr>
          <w:p w14:paraId="4E9FE8A8" w14:textId="1ADB9F33" w:rsidR="00B16A60" w:rsidRPr="009B546D" w:rsidRDefault="006B3AE0" w:rsidP="00F432B9">
            <w:pPr>
              <w:pStyle w:val="Docnormal"/>
              <w:spacing w:line="240" w:lineRule="auto"/>
              <w:jc w:val="right"/>
              <w:rPr>
                <w:rFonts w:asciiTheme="minorHAnsi" w:hAnsiTheme="minorHAnsi" w:cstheme="minorHAnsi"/>
                <w:b/>
                <w:sz w:val="18"/>
                <w:szCs w:val="18"/>
                <w:lang w:val="en-GB"/>
              </w:rPr>
            </w:pPr>
            <w:r>
              <w:rPr>
                <w:rFonts w:asciiTheme="minorHAnsi" w:hAnsiTheme="minorHAnsi" w:cstheme="minorHAnsi"/>
                <w:b/>
                <w:sz w:val="18"/>
                <w:szCs w:val="18"/>
                <w:lang w:val="en-GB"/>
              </w:rPr>
              <w:t>3,234</w:t>
            </w:r>
          </w:p>
        </w:tc>
      </w:tr>
    </w:tbl>
    <w:p w14:paraId="7F21EDE5" w14:textId="767714A2" w:rsidR="00B16A60" w:rsidRPr="009B546D" w:rsidRDefault="00B16A60" w:rsidP="00F432B9">
      <w:pPr>
        <w:pStyle w:val="Doctext"/>
        <w:spacing w:line="240" w:lineRule="auto"/>
        <w:rPr>
          <w:rFonts w:asciiTheme="minorHAnsi" w:hAnsiTheme="minorHAnsi" w:cstheme="minorHAnsi"/>
          <w:sz w:val="18"/>
          <w:szCs w:val="18"/>
          <w:lang w:val="en-GB"/>
        </w:rPr>
      </w:pPr>
      <w:r w:rsidRPr="00EA2BB6">
        <w:rPr>
          <w:rFonts w:asciiTheme="minorHAnsi" w:hAnsiTheme="minorHAnsi" w:cstheme="minorHAnsi"/>
          <w:lang w:val="en-GB"/>
        </w:rPr>
        <w:t xml:space="preserve">As at 31 </w:t>
      </w:r>
      <w:r w:rsidR="006B3AE0" w:rsidRPr="00EA2BB6">
        <w:rPr>
          <w:rFonts w:asciiTheme="minorHAnsi" w:hAnsiTheme="minorHAnsi" w:cstheme="minorHAnsi"/>
          <w:lang w:val="en-GB"/>
        </w:rPr>
        <w:t xml:space="preserve">December </w:t>
      </w:r>
      <w:r w:rsidRPr="00EA2BB6">
        <w:rPr>
          <w:rFonts w:asciiTheme="minorHAnsi" w:hAnsiTheme="minorHAnsi" w:cstheme="minorHAnsi"/>
          <w:lang w:val="en-GB"/>
        </w:rPr>
        <w:t>2019, the Company had no material indirect or contingent indebtedness</w:t>
      </w:r>
      <w:r w:rsidRPr="009B546D">
        <w:rPr>
          <w:rFonts w:asciiTheme="minorHAnsi" w:hAnsiTheme="minorHAnsi" w:cstheme="minorHAnsi"/>
          <w:sz w:val="18"/>
          <w:szCs w:val="18"/>
          <w:lang w:val="en-GB"/>
        </w:rPr>
        <w:t>.</w:t>
      </w:r>
    </w:p>
    <w:p w14:paraId="0044C100" w14:textId="77777777" w:rsidR="00B13439" w:rsidRPr="009B546D" w:rsidRDefault="00B13439" w:rsidP="00F432B9">
      <w:pPr>
        <w:spacing w:line="240" w:lineRule="auto"/>
        <w:rPr>
          <w:rFonts w:cstheme="minorHAnsi"/>
          <w:szCs w:val="20"/>
        </w:rPr>
      </w:pPr>
    </w:p>
    <w:p w14:paraId="1F0B332F" w14:textId="167ACA17" w:rsidR="002761AB" w:rsidRPr="009B546D" w:rsidRDefault="00EA5870" w:rsidP="00F432B9">
      <w:pPr>
        <w:spacing w:line="240" w:lineRule="auto"/>
        <w:jc w:val="left"/>
        <w:rPr>
          <w:rFonts w:cstheme="minorHAnsi"/>
          <w:szCs w:val="20"/>
        </w:rPr>
      </w:pPr>
      <w:r w:rsidRPr="009B546D">
        <w:rPr>
          <w:rFonts w:cstheme="minorHAnsi"/>
          <w:szCs w:val="20"/>
        </w:rPr>
        <w:br w:type="page"/>
      </w:r>
    </w:p>
    <w:p w14:paraId="4E6CB82B" w14:textId="30DDDF53" w:rsidR="001D28CA" w:rsidRPr="00154BDB" w:rsidRDefault="001D28CA" w:rsidP="00F432B9">
      <w:pPr>
        <w:pStyle w:val="Heading1"/>
        <w:keepNext w:val="0"/>
        <w:widowControl w:val="0"/>
        <w:spacing w:line="240" w:lineRule="auto"/>
        <w:jc w:val="center"/>
        <w:rPr>
          <w:rFonts w:asciiTheme="minorHAnsi" w:hAnsiTheme="minorHAnsi" w:cstheme="minorHAnsi"/>
          <w:sz w:val="20"/>
          <w:szCs w:val="20"/>
        </w:rPr>
      </w:pPr>
      <w:bookmarkStart w:id="35" w:name="_Toc35456741"/>
      <w:bookmarkStart w:id="36" w:name="_Hlk26373606"/>
      <w:r w:rsidRPr="00154BDB">
        <w:rPr>
          <w:rFonts w:asciiTheme="minorHAnsi" w:hAnsiTheme="minorHAnsi" w:cstheme="minorHAnsi"/>
          <w:sz w:val="20"/>
          <w:szCs w:val="20"/>
        </w:rPr>
        <w:lastRenderedPageBreak/>
        <w:t>Part XII</w:t>
      </w:r>
      <w:r w:rsidRPr="00154BDB">
        <w:rPr>
          <w:rFonts w:asciiTheme="minorHAnsi" w:hAnsiTheme="minorHAnsi" w:cstheme="minorHAnsi"/>
          <w:sz w:val="20"/>
          <w:szCs w:val="20"/>
        </w:rPr>
        <w:br/>
        <w:t>Operating and Financial Review of Alchemist Codes</w:t>
      </w:r>
      <w:bookmarkEnd w:id="35"/>
    </w:p>
    <w:p w14:paraId="3BE22569" w14:textId="77777777" w:rsidR="001D28CA" w:rsidRPr="00154BDB" w:rsidRDefault="001D28CA" w:rsidP="00F432B9">
      <w:pPr>
        <w:spacing w:line="240" w:lineRule="auto"/>
        <w:rPr>
          <w:rFonts w:cstheme="minorHAnsi"/>
          <w:szCs w:val="20"/>
        </w:rPr>
      </w:pPr>
    </w:p>
    <w:p w14:paraId="6DC1F42D" w14:textId="478DB9F0" w:rsidR="001D28CA" w:rsidRPr="00154BDB" w:rsidRDefault="001D28CA" w:rsidP="00496B89">
      <w:pPr>
        <w:pStyle w:val="NoSpacing"/>
        <w:spacing w:after="120"/>
        <w:jc w:val="both"/>
        <w:rPr>
          <w:rFonts w:cstheme="minorHAnsi"/>
          <w:b/>
          <w:bCs/>
          <w:iCs/>
          <w:sz w:val="16"/>
          <w:szCs w:val="16"/>
        </w:rPr>
      </w:pPr>
      <w:r w:rsidRPr="00154BDB">
        <w:rPr>
          <w:rFonts w:cstheme="minorHAnsi"/>
          <w:b/>
          <w:bCs/>
          <w:iCs/>
          <w:sz w:val="16"/>
          <w:szCs w:val="16"/>
        </w:rPr>
        <w:t xml:space="preserve">The following discussion of the results of operations and financial condition of Alchemist Codes should be read in conjunction with </w:t>
      </w:r>
      <w:r w:rsidR="00E62B1D" w:rsidRPr="00154BDB">
        <w:rPr>
          <w:rFonts w:cstheme="minorHAnsi"/>
          <w:b/>
          <w:bCs/>
          <w:iCs/>
          <w:sz w:val="16"/>
          <w:szCs w:val="16"/>
        </w:rPr>
        <w:t xml:space="preserve">Part XIV </w:t>
      </w:r>
      <w:r w:rsidRPr="00154BDB">
        <w:rPr>
          <w:rFonts w:cstheme="minorHAnsi"/>
          <w:b/>
          <w:bCs/>
          <w:iCs/>
          <w:sz w:val="16"/>
          <w:szCs w:val="16"/>
        </w:rPr>
        <w:t>‘</w:t>
      </w:r>
      <w:r w:rsidR="00E62B1D" w:rsidRPr="00154BDB">
        <w:rPr>
          <w:rFonts w:cstheme="minorHAnsi"/>
          <w:b/>
          <w:bCs/>
          <w:iCs/>
          <w:sz w:val="16"/>
          <w:szCs w:val="16"/>
        </w:rPr>
        <w:t>Financial Information on Alchemist Codes</w:t>
      </w:r>
      <w:r w:rsidR="00024D72" w:rsidRPr="00154BDB">
        <w:rPr>
          <w:rFonts w:cstheme="minorHAnsi"/>
          <w:b/>
          <w:bCs/>
          <w:iCs/>
          <w:sz w:val="16"/>
          <w:szCs w:val="16"/>
        </w:rPr>
        <w:t>’</w:t>
      </w:r>
      <w:r w:rsidRPr="00154BDB">
        <w:rPr>
          <w:rFonts w:cstheme="minorHAnsi"/>
          <w:b/>
          <w:bCs/>
          <w:iCs/>
          <w:sz w:val="16"/>
          <w:szCs w:val="16"/>
        </w:rPr>
        <w:t xml:space="preserve"> and with the information relating to the business of Alchemist Codes included elsewhere in this Prospectus. The discussion includes forward-looking statements that reflect the current views of management and involve risks and uncertainties. The actual results of Alchemist Codes could differ materially from those contained in any forward-looking statements as a result of factors discussed below and elsewhere in this Prospectus, particularly in ‘Risk Factors’ section of this Prospectus. Investors should read the whole of this Prospectus and not rely just on summarised information.</w:t>
      </w:r>
    </w:p>
    <w:p w14:paraId="44C143AE" w14:textId="77777777" w:rsidR="001D28CA" w:rsidRPr="00154BDB" w:rsidRDefault="001D28CA" w:rsidP="00F432B9">
      <w:pPr>
        <w:spacing w:after="120" w:line="240" w:lineRule="auto"/>
        <w:rPr>
          <w:rFonts w:cstheme="minorHAnsi"/>
          <w:b/>
          <w:bCs/>
          <w:szCs w:val="20"/>
        </w:rPr>
      </w:pPr>
      <w:r w:rsidRPr="00154BDB">
        <w:rPr>
          <w:rFonts w:cstheme="minorHAnsi"/>
          <w:b/>
          <w:bCs/>
          <w:szCs w:val="20"/>
        </w:rPr>
        <w:t>Background</w:t>
      </w:r>
    </w:p>
    <w:p w14:paraId="66507B7F" w14:textId="47CEA15C" w:rsidR="001D28CA" w:rsidRPr="00154BDB" w:rsidRDefault="001D28CA" w:rsidP="00496B89">
      <w:pPr>
        <w:pStyle w:val="Default"/>
        <w:spacing w:after="120"/>
        <w:jc w:val="both"/>
        <w:rPr>
          <w:rFonts w:asciiTheme="minorHAnsi" w:hAnsiTheme="minorHAnsi" w:cstheme="minorHAnsi"/>
          <w:sz w:val="20"/>
          <w:szCs w:val="20"/>
        </w:rPr>
      </w:pPr>
      <w:r w:rsidRPr="00154BDB">
        <w:rPr>
          <w:rFonts w:asciiTheme="minorHAnsi" w:hAnsiTheme="minorHAnsi" w:cstheme="minorHAnsi"/>
          <w:sz w:val="20"/>
          <w:szCs w:val="20"/>
        </w:rPr>
        <w:t>Alchemist Codes is a</w:t>
      </w:r>
      <w:r w:rsidR="00EA5870" w:rsidRPr="00154BDB">
        <w:rPr>
          <w:rFonts w:asciiTheme="minorHAnsi" w:hAnsiTheme="minorHAnsi" w:cstheme="minorHAnsi"/>
          <w:sz w:val="20"/>
          <w:szCs w:val="20"/>
        </w:rPr>
        <w:t xml:space="preserve"> recently incorporated</w:t>
      </w:r>
      <w:r w:rsidRPr="00154BDB">
        <w:rPr>
          <w:rFonts w:asciiTheme="minorHAnsi" w:hAnsiTheme="minorHAnsi" w:cstheme="minorHAnsi"/>
          <w:sz w:val="20"/>
          <w:szCs w:val="20"/>
        </w:rPr>
        <w:t xml:space="preserve"> software development company based in Kuala Lumpur, Malaysia. The initial operations were focused around the development of a messaging application for corporate users. Alchemist Codes acquired </w:t>
      </w:r>
      <w:r w:rsidR="00633C31" w:rsidRPr="00154BDB">
        <w:rPr>
          <w:rFonts w:asciiTheme="minorHAnsi" w:hAnsiTheme="minorHAnsi" w:cstheme="minorHAnsi"/>
          <w:sz w:val="20"/>
          <w:szCs w:val="20"/>
        </w:rPr>
        <w:t>an</w:t>
      </w:r>
      <w:r w:rsidRPr="00154BDB">
        <w:rPr>
          <w:rFonts w:asciiTheme="minorHAnsi" w:hAnsiTheme="minorHAnsi" w:cstheme="minorHAnsi"/>
          <w:sz w:val="20"/>
          <w:szCs w:val="20"/>
        </w:rPr>
        <w:t xml:space="preserve"> off-the-shelf messaging development software, Contusfly</w:t>
      </w:r>
      <w:r w:rsidR="00633C31" w:rsidRPr="00154BDB">
        <w:rPr>
          <w:rFonts w:asciiTheme="minorHAnsi" w:hAnsiTheme="minorHAnsi" w:cstheme="minorHAnsi"/>
          <w:sz w:val="20"/>
          <w:szCs w:val="20"/>
        </w:rPr>
        <w:t>,</w:t>
      </w:r>
      <w:r w:rsidRPr="00154BDB">
        <w:rPr>
          <w:rFonts w:asciiTheme="minorHAnsi" w:hAnsiTheme="minorHAnsi" w:cstheme="minorHAnsi"/>
          <w:sz w:val="20"/>
          <w:szCs w:val="20"/>
        </w:rPr>
        <w:t xml:space="preserve"> which was used as base on which Alchemist Codes, together with extensive in-house coding, developed white label enterprise messaging applications that are appropriate for small to medium-sized businesses. Since the appointment of Chau Hut Lim</w:t>
      </w:r>
      <w:r w:rsidR="00633C31" w:rsidRPr="00154BDB">
        <w:rPr>
          <w:rFonts w:asciiTheme="minorHAnsi" w:hAnsiTheme="minorHAnsi" w:cstheme="minorHAnsi"/>
          <w:sz w:val="20"/>
          <w:szCs w:val="20"/>
        </w:rPr>
        <w:t xml:space="preserve"> as a director</w:t>
      </w:r>
      <w:r w:rsidRPr="00154BDB">
        <w:rPr>
          <w:rFonts w:asciiTheme="minorHAnsi" w:hAnsiTheme="minorHAnsi" w:cstheme="minorHAnsi"/>
          <w:sz w:val="20"/>
          <w:szCs w:val="20"/>
        </w:rPr>
        <w:t>, Alchemist Codes</w:t>
      </w:r>
      <w:r w:rsidR="009E0796" w:rsidRPr="00154BDB">
        <w:rPr>
          <w:rFonts w:asciiTheme="minorHAnsi" w:hAnsiTheme="minorHAnsi" w:cstheme="minorHAnsi"/>
          <w:sz w:val="20"/>
          <w:szCs w:val="20"/>
        </w:rPr>
        <w:t>’</w:t>
      </w:r>
      <w:r w:rsidRPr="00154BDB">
        <w:rPr>
          <w:rFonts w:asciiTheme="minorHAnsi" w:hAnsiTheme="minorHAnsi" w:cstheme="minorHAnsi"/>
          <w:sz w:val="20"/>
          <w:szCs w:val="20"/>
        </w:rPr>
        <w:t xml:space="preserve"> operations have been split between two activities, the development of OCTAPLUS and the building and maintenance of the enterprise messaging applications. </w:t>
      </w:r>
    </w:p>
    <w:p w14:paraId="396E32FD" w14:textId="54E51C24" w:rsidR="001D28CA" w:rsidRPr="00154BDB" w:rsidRDefault="001D28CA" w:rsidP="00F432B9">
      <w:pPr>
        <w:pStyle w:val="Default"/>
        <w:spacing w:after="120"/>
        <w:jc w:val="both"/>
        <w:rPr>
          <w:rFonts w:asciiTheme="minorHAnsi" w:hAnsiTheme="minorHAnsi" w:cstheme="minorHAnsi"/>
          <w:sz w:val="20"/>
          <w:szCs w:val="20"/>
        </w:rPr>
      </w:pPr>
      <w:r w:rsidRPr="00154BDB">
        <w:rPr>
          <w:rFonts w:asciiTheme="minorHAnsi" w:hAnsiTheme="minorHAnsi" w:cstheme="minorHAnsi"/>
          <w:sz w:val="20"/>
          <w:szCs w:val="20"/>
        </w:rPr>
        <w:t>Alchemist Codes have developed the chat application so that it can be replicate</w:t>
      </w:r>
      <w:r w:rsidR="00633C31" w:rsidRPr="00154BDB">
        <w:rPr>
          <w:rFonts w:asciiTheme="minorHAnsi" w:hAnsiTheme="minorHAnsi" w:cstheme="minorHAnsi"/>
          <w:sz w:val="20"/>
          <w:szCs w:val="20"/>
        </w:rPr>
        <w:t>d</w:t>
      </w:r>
      <w:r w:rsidRPr="00154BDB">
        <w:rPr>
          <w:rFonts w:asciiTheme="minorHAnsi" w:hAnsiTheme="minorHAnsi" w:cstheme="minorHAnsi"/>
          <w:sz w:val="20"/>
          <w:szCs w:val="20"/>
        </w:rPr>
        <w:t xml:space="preserve"> and repackage</w:t>
      </w:r>
      <w:r w:rsidR="00633C31" w:rsidRPr="00154BDB">
        <w:rPr>
          <w:rFonts w:asciiTheme="minorHAnsi" w:hAnsiTheme="minorHAnsi" w:cstheme="minorHAnsi"/>
          <w:sz w:val="20"/>
          <w:szCs w:val="20"/>
        </w:rPr>
        <w:t>d,</w:t>
      </w:r>
      <w:r w:rsidRPr="00154BDB">
        <w:rPr>
          <w:rFonts w:asciiTheme="minorHAnsi" w:hAnsiTheme="minorHAnsi" w:cstheme="minorHAnsi"/>
          <w:sz w:val="20"/>
          <w:szCs w:val="20"/>
        </w:rPr>
        <w:t xml:space="preserve"> </w:t>
      </w:r>
      <w:r w:rsidR="009E0796" w:rsidRPr="00154BDB">
        <w:rPr>
          <w:rFonts w:asciiTheme="minorHAnsi" w:hAnsiTheme="minorHAnsi" w:cstheme="minorHAnsi"/>
          <w:sz w:val="20"/>
          <w:szCs w:val="20"/>
        </w:rPr>
        <w:t>in order</w:t>
      </w:r>
      <w:r w:rsidRPr="00154BDB">
        <w:rPr>
          <w:rFonts w:asciiTheme="minorHAnsi" w:hAnsiTheme="minorHAnsi" w:cstheme="minorHAnsi"/>
          <w:sz w:val="20"/>
          <w:szCs w:val="20"/>
        </w:rPr>
        <w:t xml:space="preserve"> that a new application would take approximately one month to develop and deliver. In the OFR period three customers have been provided with applications. Following delivery of the software, the customers can choose Alchemist Codes’ ongoing maintenance service if they wish to </w:t>
      </w:r>
      <w:r w:rsidR="00792977" w:rsidRPr="00154BDB">
        <w:rPr>
          <w:rFonts w:asciiTheme="minorHAnsi" w:hAnsiTheme="minorHAnsi" w:cstheme="minorHAnsi"/>
          <w:sz w:val="20"/>
          <w:szCs w:val="20"/>
        </w:rPr>
        <w:t xml:space="preserve">customise </w:t>
      </w:r>
      <w:r w:rsidRPr="00154BDB">
        <w:rPr>
          <w:rFonts w:asciiTheme="minorHAnsi" w:hAnsiTheme="minorHAnsi" w:cstheme="minorHAnsi"/>
          <w:sz w:val="20"/>
          <w:szCs w:val="20"/>
        </w:rPr>
        <w:t>the application. Alchemist Codes has recently launched a second product, OCTAPLUS</w:t>
      </w:r>
      <w:r w:rsidR="001552EF" w:rsidRPr="00154BDB">
        <w:rPr>
          <w:rFonts w:asciiTheme="minorHAnsi" w:hAnsiTheme="minorHAnsi" w:cstheme="minorHAnsi"/>
          <w:sz w:val="20"/>
          <w:szCs w:val="20"/>
        </w:rPr>
        <w:t>.</w:t>
      </w:r>
      <w:r w:rsidR="00792977" w:rsidRPr="00154BDB">
        <w:rPr>
          <w:rFonts w:asciiTheme="minorHAnsi" w:hAnsiTheme="minorHAnsi" w:cstheme="minorHAnsi"/>
          <w:sz w:val="20"/>
          <w:szCs w:val="20"/>
        </w:rPr>
        <w:t xml:space="preserve"> </w:t>
      </w:r>
      <w:r w:rsidR="001552EF" w:rsidRPr="00154BDB">
        <w:rPr>
          <w:rFonts w:asciiTheme="minorHAnsi" w:hAnsiTheme="minorHAnsi" w:cstheme="minorHAnsi"/>
          <w:sz w:val="20"/>
          <w:szCs w:val="20"/>
        </w:rPr>
        <w:t>OCTAPLUS is an e-commerce cashback application developed to use big data analytics, machine learning and AI to enable users to shop at major retailers, both online pureplay (Watson, Guardian etc) and multi-channel (Lazada, Shopee and 11 Street), where they will receive targeted online retail promotions and cashback on purchases</w:t>
      </w:r>
      <w:r w:rsidR="00792977" w:rsidRPr="00154BDB">
        <w:rPr>
          <w:rFonts w:asciiTheme="minorHAnsi" w:hAnsiTheme="minorHAnsi" w:cstheme="minorHAnsi"/>
          <w:sz w:val="20"/>
          <w:szCs w:val="20"/>
        </w:rPr>
        <w:t>.</w:t>
      </w:r>
    </w:p>
    <w:p w14:paraId="450A3B49" w14:textId="742C5885" w:rsidR="001D28CA" w:rsidRPr="00154BDB" w:rsidRDefault="001D28CA" w:rsidP="00F432B9">
      <w:pPr>
        <w:pStyle w:val="Default"/>
        <w:spacing w:after="120"/>
        <w:jc w:val="both"/>
        <w:rPr>
          <w:rFonts w:asciiTheme="minorHAnsi" w:hAnsiTheme="minorHAnsi" w:cstheme="minorHAnsi"/>
          <w:b/>
          <w:bCs/>
          <w:sz w:val="20"/>
          <w:szCs w:val="20"/>
        </w:rPr>
      </w:pPr>
      <w:r w:rsidRPr="00154BDB">
        <w:rPr>
          <w:rFonts w:asciiTheme="minorHAnsi" w:hAnsiTheme="minorHAnsi" w:cstheme="minorHAnsi"/>
          <w:b/>
          <w:bCs/>
          <w:sz w:val="20"/>
          <w:szCs w:val="20"/>
        </w:rPr>
        <w:t>Overview</w:t>
      </w:r>
    </w:p>
    <w:p w14:paraId="42638F51" w14:textId="4837E7A8" w:rsidR="001D28CA" w:rsidRPr="00154BDB" w:rsidRDefault="001D28CA" w:rsidP="00F432B9">
      <w:pPr>
        <w:pStyle w:val="Default"/>
        <w:spacing w:after="120"/>
        <w:jc w:val="both"/>
        <w:rPr>
          <w:rFonts w:asciiTheme="minorHAnsi" w:hAnsiTheme="minorHAnsi" w:cstheme="minorHAnsi"/>
          <w:sz w:val="20"/>
          <w:szCs w:val="20"/>
        </w:rPr>
      </w:pPr>
      <w:r w:rsidRPr="00154BDB">
        <w:rPr>
          <w:rFonts w:asciiTheme="minorHAnsi" w:hAnsiTheme="minorHAnsi" w:cstheme="minorHAnsi"/>
          <w:sz w:val="20"/>
          <w:szCs w:val="20"/>
        </w:rPr>
        <w:t xml:space="preserve">The table below summarises the historical financial performance of Alchemist Codes for the </w:t>
      </w:r>
      <w:r w:rsidR="00F15663" w:rsidRPr="00154BDB">
        <w:rPr>
          <w:rFonts w:asciiTheme="minorHAnsi" w:hAnsiTheme="minorHAnsi" w:cstheme="minorHAnsi"/>
          <w:sz w:val="20"/>
          <w:szCs w:val="20"/>
        </w:rPr>
        <w:t>period from 17 April 2018 to</w:t>
      </w:r>
      <w:r w:rsidR="001D544A" w:rsidRPr="00154BDB">
        <w:rPr>
          <w:rFonts w:asciiTheme="minorHAnsi" w:hAnsiTheme="minorHAnsi" w:cstheme="minorHAnsi"/>
          <w:sz w:val="20"/>
          <w:szCs w:val="20"/>
        </w:rPr>
        <w:t xml:space="preserve"> 30 April</w:t>
      </w:r>
      <w:r w:rsidRPr="00154BDB">
        <w:rPr>
          <w:rFonts w:asciiTheme="minorHAnsi" w:hAnsiTheme="minorHAnsi" w:cstheme="minorHAnsi"/>
          <w:sz w:val="20"/>
          <w:szCs w:val="20"/>
        </w:rPr>
        <w:t xml:space="preserve"> 2019</w:t>
      </w:r>
      <w:r w:rsidR="00CA241E" w:rsidRPr="00154BDB">
        <w:rPr>
          <w:rFonts w:asciiTheme="minorHAnsi" w:hAnsiTheme="minorHAnsi" w:cstheme="minorHAnsi"/>
          <w:sz w:val="20"/>
          <w:szCs w:val="20"/>
        </w:rPr>
        <w:t>.</w:t>
      </w:r>
    </w:p>
    <w:p w14:paraId="007DFD75" w14:textId="76D7AA9D" w:rsidR="001D28CA" w:rsidRPr="00154BDB" w:rsidRDefault="001D28CA" w:rsidP="00F432B9">
      <w:pPr>
        <w:spacing w:after="0" w:line="240" w:lineRule="auto"/>
        <w:jc w:val="left"/>
        <w:rPr>
          <w:rFonts w:cstheme="minorHAnsi"/>
          <w:szCs w:val="20"/>
        </w:rPr>
      </w:pPr>
      <w:r w:rsidRPr="00154BDB">
        <w:rPr>
          <w:rFonts w:cstheme="minorHAnsi"/>
          <w:b/>
          <w:szCs w:val="20"/>
        </w:rPr>
        <w:t xml:space="preserve">Statement of comprehensive income for </w:t>
      </w:r>
      <w:r w:rsidR="001D544A" w:rsidRPr="00154BDB">
        <w:rPr>
          <w:rFonts w:cstheme="minorHAnsi"/>
          <w:b/>
          <w:szCs w:val="20"/>
        </w:rPr>
        <w:t>period ended</w:t>
      </w:r>
      <w:r w:rsidRPr="00154BDB">
        <w:rPr>
          <w:rFonts w:cstheme="minorHAnsi"/>
          <w:b/>
          <w:szCs w:val="20"/>
        </w:rPr>
        <w:t xml:space="preserve"> 30 April 2019</w:t>
      </w:r>
    </w:p>
    <w:p w14:paraId="7C711B9C" w14:textId="77777777" w:rsidR="001D28CA" w:rsidRPr="00154BDB" w:rsidRDefault="001D28CA" w:rsidP="00F432B9">
      <w:pPr>
        <w:spacing w:after="0" w:line="240" w:lineRule="auto"/>
        <w:rPr>
          <w:rFonts w:cstheme="minorHAnsi"/>
          <w:b/>
          <w:szCs w:val="20"/>
        </w:rPr>
      </w:pPr>
    </w:p>
    <w:tbl>
      <w:tblPr>
        <w:tblW w:w="8755" w:type="dxa"/>
        <w:tblInd w:w="-108" w:type="dxa"/>
        <w:tblLayout w:type="fixed"/>
        <w:tblLook w:val="04A0" w:firstRow="1" w:lastRow="0" w:firstColumn="1" w:lastColumn="0" w:noHBand="0" w:noVBand="1"/>
      </w:tblPr>
      <w:tblGrid>
        <w:gridCol w:w="4219"/>
        <w:gridCol w:w="4536"/>
      </w:tblGrid>
      <w:tr w:rsidR="001D28CA" w:rsidRPr="00154BDB" w14:paraId="4DA26F1C" w14:textId="77777777" w:rsidTr="00682BB9">
        <w:tc>
          <w:tcPr>
            <w:tcW w:w="4219" w:type="dxa"/>
          </w:tcPr>
          <w:tbl>
            <w:tblPr>
              <w:tblW w:w="3340" w:type="dxa"/>
              <w:tblLayout w:type="fixed"/>
              <w:tblLook w:val="04A0" w:firstRow="1" w:lastRow="0" w:firstColumn="1" w:lastColumn="0" w:noHBand="0" w:noVBand="1"/>
            </w:tblPr>
            <w:tblGrid>
              <w:gridCol w:w="1950"/>
              <w:gridCol w:w="1390"/>
            </w:tblGrid>
            <w:tr w:rsidR="001600D9" w:rsidRPr="00154BDB" w14:paraId="1287CD2B" w14:textId="77777777" w:rsidTr="00CE4088">
              <w:trPr>
                <w:trHeight w:val="300"/>
              </w:trPr>
              <w:tc>
                <w:tcPr>
                  <w:tcW w:w="1950" w:type="dxa"/>
                  <w:tcBorders>
                    <w:top w:val="nil"/>
                    <w:left w:val="nil"/>
                    <w:bottom w:val="nil"/>
                    <w:right w:val="nil"/>
                  </w:tcBorders>
                  <w:shd w:val="clear" w:color="auto" w:fill="auto"/>
                  <w:vAlign w:val="center"/>
                  <w:hideMark/>
                </w:tcPr>
                <w:p w14:paraId="6F56A5FF" w14:textId="77777777" w:rsidR="001600D9" w:rsidRPr="00154BDB" w:rsidRDefault="001600D9" w:rsidP="00496B89">
                  <w:pPr>
                    <w:spacing w:after="0" w:line="240" w:lineRule="auto"/>
                    <w:jc w:val="left"/>
                    <w:rPr>
                      <w:rFonts w:eastAsia="Times New Roman" w:cstheme="minorHAnsi"/>
                      <w:szCs w:val="20"/>
                      <w:lang w:eastAsia="en-GB"/>
                    </w:rPr>
                  </w:pPr>
                </w:p>
              </w:tc>
              <w:tc>
                <w:tcPr>
                  <w:tcW w:w="1390" w:type="dxa"/>
                  <w:tcBorders>
                    <w:top w:val="nil"/>
                    <w:left w:val="nil"/>
                    <w:bottom w:val="nil"/>
                    <w:right w:val="nil"/>
                  </w:tcBorders>
                  <w:shd w:val="clear" w:color="auto" w:fill="auto"/>
                  <w:vAlign w:val="center"/>
                  <w:hideMark/>
                </w:tcPr>
                <w:p w14:paraId="6A2B19C0" w14:textId="77777777" w:rsidR="001600D9" w:rsidRPr="00154BDB" w:rsidRDefault="001600D9" w:rsidP="00F432B9">
                  <w:pPr>
                    <w:spacing w:after="0" w:line="240" w:lineRule="auto"/>
                    <w:jc w:val="right"/>
                    <w:rPr>
                      <w:rFonts w:eastAsia="Times New Roman" w:cstheme="minorHAnsi"/>
                      <w:i/>
                      <w:iCs/>
                      <w:color w:val="000000"/>
                      <w:szCs w:val="20"/>
                      <w:lang w:eastAsia="en-GB"/>
                    </w:rPr>
                  </w:pPr>
                  <w:r w:rsidRPr="00154BDB">
                    <w:rPr>
                      <w:rFonts w:eastAsia="Times New Roman" w:cstheme="minorHAnsi"/>
                      <w:i/>
                      <w:iCs/>
                      <w:color w:val="000000"/>
                      <w:szCs w:val="20"/>
                      <w:lang w:eastAsia="en-GB"/>
                    </w:rPr>
                    <w:t>Period from 17 April 2018 to 30 April 2019</w:t>
                  </w:r>
                </w:p>
              </w:tc>
            </w:tr>
            <w:tr w:rsidR="001600D9" w:rsidRPr="00154BDB" w14:paraId="5E257D21" w14:textId="77777777" w:rsidTr="00CE4088">
              <w:trPr>
                <w:trHeight w:val="300"/>
              </w:trPr>
              <w:tc>
                <w:tcPr>
                  <w:tcW w:w="1950" w:type="dxa"/>
                  <w:tcBorders>
                    <w:top w:val="nil"/>
                    <w:left w:val="nil"/>
                    <w:bottom w:val="nil"/>
                    <w:right w:val="nil"/>
                  </w:tcBorders>
                  <w:shd w:val="clear" w:color="auto" w:fill="auto"/>
                  <w:vAlign w:val="center"/>
                  <w:hideMark/>
                </w:tcPr>
                <w:p w14:paraId="7ED6AC1B" w14:textId="77777777" w:rsidR="001600D9" w:rsidRPr="00154BDB" w:rsidRDefault="001600D9" w:rsidP="00496B89">
                  <w:pPr>
                    <w:spacing w:after="0" w:line="240" w:lineRule="auto"/>
                    <w:rPr>
                      <w:rFonts w:eastAsia="Times New Roman" w:cstheme="minorHAnsi"/>
                      <w:i/>
                      <w:iCs/>
                      <w:color w:val="000000"/>
                      <w:szCs w:val="20"/>
                      <w:lang w:eastAsia="en-GB"/>
                    </w:rPr>
                  </w:pPr>
                </w:p>
              </w:tc>
              <w:tc>
                <w:tcPr>
                  <w:tcW w:w="1390" w:type="dxa"/>
                  <w:tcBorders>
                    <w:top w:val="nil"/>
                    <w:left w:val="nil"/>
                    <w:bottom w:val="nil"/>
                    <w:right w:val="nil"/>
                  </w:tcBorders>
                  <w:shd w:val="clear" w:color="auto" w:fill="auto"/>
                  <w:vAlign w:val="center"/>
                  <w:hideMark/>
                </w:tcPr>
                <w:p w14:paraId="0C957E93" w14:textId="77777777" w:rsidR="001600D9" w:rsidRPr="00154BDB" w:rsidRDefault="001600D9"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RM</w:t>
                  </w:r>
                </w:p>
              </w:tc>
            </w:tr>
            <w:tr w:rsidR="001600D9" w:rsidRPr="00154BDB" w14:paraId="1A23DDDC" w14:textId="77777777" w:rsidTr="00CE4088">
              <w:trPr>
                <w:trHeight w:val="300"/>
              </w:trPr>
              <w:tc>
                <w:tcPr>
                  <w:tcW w:w="1950" w:type="dxa"/>
                  <w:tcBorders>
                    <w:top w:val="nil"/>
                    <w:left w:val="nil"/>
                    <w:bottom w:val="nil"/>
                    <w:right w:val="nil"/>
                  </w:tcBorders>
                  <w:shd w:val="clear" w:color="auto" w:fill="auto"/>
                  <w:vAlign w:val="center"/>
                  <w:hideMark/>
                </w:tcPr>
                <w:p w14:paraId="5F3E4FE0" w14:textId="77777777" w:rsidR="001600D9" w:rsidRPr="00154BDB" w:rsidRDefault="001600D9" w:rsidP="00496B89">
                  <w:pPr>
                    <w:spacing w:after="0" w:line="240" w:lineRule="auto"/>
                    <w:jc w:val="left"/>
                    <w:rPr>
                      <w:rFonts w:eastAsia="Times New Roman" w:cstheme="minorHAnsi"/>
                      <w:b/>
                      <w:bCs/>
                      <w:color w:val="000000"/>
                      <w:szCs w:val="20"/>
                      <w:lang w:eastAsia="en-GB"/>
                    </w:rPr>
                  </w:pPr>
                  <w:r w:rsidRPr="00154BDB">
                    <w:rPr>
                      <w:rFonts w:eastAsia="Times New Roman" w:cstheme="minorHAnsi"/>
                      <w:b/>
                      <w:bCs/>
                      <w:color w:val="000000"/>
                      <w:szCs w:val="20"/>
                      <w:lang w:eastAsia="en-GB"/>
                    </w:rPr>
                    <w:t>Revenue</w:t>
                  </w:r>
                </w:p>
              </w:tc>
              <w:tc>
                <w:tcPr>
                  <w:tcW w:w="1390" w:type="dxa"/>
                  <w:tcBorders>
                    <w:top w:val="nil"/>
                    <w:left w:val="nil"/>
                    <w:bottom w:val="nil"/>
                    <w:right w:val="nil"/>
                  </w:tcBorders>
                  <w:shd w:val="clear" w:color="auto" w:fill="auto"/>
                  <w:vAlign w:val="center"/>
                  <w:hideMark/>
                </w:tcPr>
                <w:p w14:paraId="748B2BFF" w14:textId="77777777" w:rsidR="001600D9" w:rsidRPr="00154BDB" w:rsidRDefault="001600D9"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1,110,000</w:t>
                  </w:r>
                </w:p>
              </w:tc>
            </w:tr>
            <w:tr w:rsidR="001600D9" w:rsidRPr="00154BDB" w14:paraId="6997BA6D" w14:textId="77777777" w:rsidTr="00CE4088">
              <w:trPr>
                <w:trHeight w:val="300"/>
              </w:trPr>
              <w:tc>
                <w:tcPr>
                  <w:tcW w:w="1950" w:type="dxa"/>
                  <w:tcBorders>
                    <w:top w:val="nil"/>
                    <w:left w:val="nil"/>
                    <w:bottom w:val="nil"/>
                    <w:right w:val="nil"/>
                  </w:tcBorders>
                  <w:shd w:val="clear" w:color="auto" w:fill="auto"/>
                  <w:vAlign w:val="center"/>
                  <w:hideMark/>
                </w:tcPr>
                <w:p w14:paraId="6D02FD16" w14:textId="77777777" w:rsidR="001600D9" w:rsidRPr="00154BDB" w:rsidRDefault="001600D9" w:rsidP="00496B89">
                  <w:pPr>
                    <w:spacing w:after="0" w:line="240" w:lineRule="auto"/>
                    <w:rPr>
                      <w:rFonts w:eastAsia="Times New Roman" w:cstheme="minorHAnsi"/>
                      <w:color w:val="000000"/>
                      <w:szCs w:val="20"/>
                      <w:lang w:eastAsia="en-GB"/>
                    </w:rPr>
                  </w:pPr>
                </w:p>
              </w:tc>
              <w:tc>
                <w:tcPr>
                  <w:tcW w:w="1390" w:type="dxa"/>
                  <w:tcBorders>
                    <w:top w:val="nil"/>
                    <w:left w:val="nil"/>
                    <w:bottom w:val="nil"/>
                    <w:right w:val="nil"/>
                  </w:tcBorders>
                  <w:shd w:val="clear" w:color="auto" w:fill="auto"/>
                  <w:vAlign w:val="center"/>
                  <w:hideMark/>
                </w:tcPr>
                <w:p w14:paraId="26B42FBA" w14:textId="77777777" w:rsidR="001600D9" w:rsidRPr="00154BDB" w:rsidRDefault="001600D9" w:rsidP="00F432B9">
                  <w:pPr>
                    <w:spacing w:after="0" w:line="240" w:lineRule="auto"/>
                    <w:jc w:val="right"/>
                    <w:rPr>
                      <w:rFonts w:eastAsia="Times New Roman" w:cstheme="minorHAnsi"/>
                      <w:szCs w:val="20"/>
                      <w:lang w:eastAsia="en-GB"/>
                    </w:rPr>
                  </w:pPr>
                </w:p>
              </w:tc>
            </w:tr>
            <w:tr w:rsidR="001600D9" w:rsidRPr="00154BDB" w14:paraId="4CD61110" w14:textId="77777777" w:rsidTr="00CE4088">
              <w:trPr>
                <w:trHeight w:val="450"/>
              </w:trPr>
              <w:tc>
                <w:tcPr>
                  <w:tcW w:w="1950" w:type="dxa"/>
                  <w:tcBorders>
                    <w:top w:val="nil"/>
                    <w:left w:val="nil"/>
                    <w:bottom w:val="nil"/>
                    <w:right w:val="nil"/>
                  </w:tcBorders>
                  <w:shd w:val="clear" w:color="auto" w:fill="auto"/>
                  <w:vAlign w:val="center"/>
                  <w:hideMark/>
                </w:tcPr>
                <w:p w14:paraId="7CD7C8DA" w14:textId="77777777" w:rsidR="001600D9" w:rsidRPr="00154BDB" w:rsidRDefault="001600D9" w:rsidP="00496B89">
                  <w:pPr>
                    <w:spacing w:after="0" w:line="240" w:lineRule="auto"/>
                    <w:jc w:val="left"/>
                    <w:rPr>
                      <w:rFonts w:eastAsia="Times New Roman" w:cstheme="minorHAnsi"/>
                      <w:color w:val="000000"/>
                      <w:szCs w:val="20"/>
                      <w:lang w:eastAsia="en-GB"/>
                    </w:rPr>
                  </w:pPr>
                  <w:r w:rsidRPr="00154BDB">
                    <w:rPr>
                      <w:rFonts w:eastAsia="Times New Roman" w:cstheme="minorHAnsi"/>
                      <w:color w:val="000000"/>
                      <w:szCs w:val="20"/>
                      <w:lang w:eastAsia="en-GB"/>
                    </w:rPr>
                    <w:t>Cost of sales</w:t>
                  </w:r>
                </w:p>
              </w:tc>
              <w:tc>
                <w:tcPr>
                  <w:tcW w:w="1390" w:type="dxa"/>
                  <w:tcBorders>
                    <w:top w:val="nil"/>
                    <w:left w:val="nil"/>
                    <w:bottom w:val="nil"/>
                    <w:right w:val="nil"/>
                  </w:tcBorders>
                  <w:shd w:val="clear" w:color="auto" w:fill="auto"/>
                  <w:vAlign w:val="center"/>
                  <w:hideMark/>
                </w:tcPr>
                <w:p w14:paraId="7D414A8D" w14:textId="1237E5E2" w:rsidR="001600D9" w:rsidRPr="00154BDB" w:rsidRDefault="001600D9"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(3</w:t>
                  </w:r>
                  <w:r w:rsidR="00BD36FA" w:rsidRPr="00154BDB">
                    <w:rPr>
                      <w:rFonts w:eastAsia="Times New Roman" w:cstheme="minorHAnsi"/>
                      <w:color w:val="000000"/>
                      <w:szCs w:val="20"/>
                      <w:lang w:eastAsia="en-GB"/>
                    </w:rPr>
                    <w:t>11</w:t>
                  </w:r>
                  <w:r w:rsidRPr="00154BDB">
                    <w:rPr>
                      <w:rFonts w:eastAsia="Times New Roman" w:cstheme="minorHAnsi"/>
                      <w:color w:val="000000"/>
                      <w:szCs w:val="20"/>
                      <w:lang w:eastAsia="en-GB"/>
                    </w:rPr>
                    <w:t>,</w:t>
                  </w:r>
                  <w:r w:rsidR="00BD36FA" w:rsidRPr="00154BDB">
                    <w:rPr>
                      <w:rFonts w:eastAsia="Times New Roman" w:cstheme="minorHAnsi"/>
                      <w:color w:val="000000"/>
                      <w:szCs w:val="20"/>
                      <w:lang w:eastAsia="en-GB"/>
                    </w:rPr>
                    <w:t>513</w:t>
                  </w:r>
                  <w:r w:rsidRPr="00154BDB">
                    <w:rPr>
                      <w:rFonts w:eastAsia="Times New Roman" w:cstheme="minorHAnsi"/>
                      <w:color w:val="000000"/>
                      <w:szCs w:val="20"/>
                      <w:lang w:eastAsia="en-GB"/>
                    </w:rPr>
                    <w:t>)</w:t>
                  </w:r>
                </w:p>
              </w:tc>
            </w:tr>
            <w:tr w:rsidR="001600D9" w:rsidRPr="00154BDB" w14:paraId="3E66E386" w14:textId="77777777" w:rsidTr="00CE4088">
              <w:trPr>
                <w:trHeight w:val="300"/>
              </w:trPr>
              <w:tc>
                <w:tcPr>
                  <w:tcW w:w="1950" w:type="dxa"/>
                  <w:tcBorders>
                    <w:top w:val="nil"/>
                    <w:left w:val="nil"/>
                    <w:bottom w:val="nil"/>
                    <w:right w:val="nil"/>
                  </w:tcBorders>
                  <w:shd w:val="clear" w:color="auto" w:fill="auto"/>
                  <w:vAlign w:val="center"/>
                  <w:hideMark/>
                </w:tcPr>
                <w:p w14:paraId="4B5966CF" w14:textId="77777777" w:rsidR="001600D9" w:rsidRPr="00154BDB" w:rsidRDefault="001600D9" w:rsidP="00496B89">
                  <w:pPr>
                    <w:spacing w:after="0" w:line="240" w:lineRule="auto"/>
                    <w:rPr>
                      <w:rFonts w:eastAsia="Times New Roman" w:cstheme="minorHAnsi"/>
                      <w:b/>
                      <w:bCs/>
                      <w:color w:val="000000"/>
                      <w:szCs w:val="20"/>
                      <w:lang w:eastAsia="en-GB"/>
                    </w:rPr>
                  </w:pPr>
                </w:p>
              </w:tc>
              <w:tc>
                <w:tcPr>
                  <w:tcW w:w="1390" w:type="dxa"/>
                  <w:tcBorders>
                    <w:top w:val="nil"/>
                    <w:left w:val="nil"/>
                    <w:bottom w:val="nil"/>
                    <w:right w:val="nil"/>
                  </w:tcBorders>
                  <w:shd w:val="clear" w:color="auto" w:fill="auto"/>
                  <w:vAlign w:val="center"/>
                  <w:hideMark/>
                </w:tcPr>
                <w:p w14:paraId="3FC9DE6D" w14:textId="77777777" w:rsidR="001600D9" w:rsidRPr="00154BDB" w:rsidRDefault="001600D9"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_________</w:t>
                  </w:r>
                </w:p>
              </w:tc>
            </w:tr>
            <w:tr w:rsidR="001600D9" w:rsidRPr="00154BDB" w14:paraId="7C49CCE8" w14:textId="77777777" w:rsidTr="00CE4088">
              <w:trPr>
                <w:trHeight w:val="300"/>
              </w:trPr>
              <w:tc>
                <w:tcPr>
                  <w:tcW w:w="1950" w:type="dxa"/>
                  <w:tcBorders>
                    <w:top w:val="nil"/>
                    <w:left w:val="nil"/>
                    <w:bottom w:val="nil"/>
                    <w:right w:val="nil"/>
                  </w:tcBorders>
                  <w:shd w:val="clear" w:color="auto" w:fill="auto"/>
                  <w:vAlign w:val="center"/>
                  <w:hideMark/>
                </w:tcPr>
                <w:p w14:paraId="0C33630D" w14:textId="77777777" w:rsidR="001600D9" w:rsidRPr="00154BDB" w:rsidRDefault="001600D9" w:rsidP="00496B89">
                  <w:pPr>
                    <w:spacing w:after="0" w:line="240" w:lineRule="auto"/>
                    <w:rPr>
                      <w:rFonts w:eastAsia="Times New Roman" w:cstheme="minorHAnsi"/>
                      <w:color w:val="000000"/>
                      <w:szCs w:val="20"/>
                      <w:lang w:eastAsia="en-GB"/>
                    </w:rPr>
                  </w:pPr>
                </w:p>
              </w:tc>
              <w:tc>
                <w:tcPr>
                  <w:tcW w:w="1390" w:type="dxa"/>
                  <w:tcBorders>
                    <w:top w:val="nil"/>
                    <w:left w:val="nil"/>
                    <w:bottom w:val="nil"/>
                    <w:right w:val="nil"/>
                  </w:tcBorders>
                  <w:shd w:val="clear" w:color="auto" w:fill="auto"/>
                  <w:vAlign w:val="center"/>
                  <w:hideMark/>
                </w:tcPr>
                <w:p w14:paraId="2A6B9542" w14:textId="77777777" w:rsidR="001600D9" w:rsidRPr="00154BDB" w:rsidRDefault="001600D9" w:rsidP="00F432B9">
                  <w:pPr>
                    <w:spacing w:after="0" w:line="240" w:lineRule="auto"/>
                    <w:jc w:val="right"/>
                    <w:rPr>
                      <w:rFonts w:eastAsia="Times New Roman" w:cstheme="minorHAnsi"/>
                      <w:szCs w:val="20"/>
                      <w:lang w:eastAsia="en-GB"/>
                    </w:rPr>
                  </w:pPr>
                </w:p>
              </w:tc>
            </w:tr>
            <w:tr w:rsidR="001600D9" w:rsidRPr="00154BDB" w14:paraId="57B8DD17" w14:textId="77777777" w:rsidTr="00CE4088">
              <w:trPr>
                <w:trHeight w:val="300"/>
              </w:trPr>
              <w:tc>
                <w:tcPr>
                  <w:tcW w:w="1950" w:type="dxa"/>
                  <w:tcBorders>
                    <w:top w:val="nil"/>
                    <w:left w:val="nil"/>
                    <w:bottom w:val="nil"/>
                    <w:right w:val="nil"/>
                  </w:tcBorders>
                  <w:shd w:val="clear" w:color="auto" w:fill="auto"/>
                  <w:vAlign w:val="center"/>
                  <w:hideMark/>
                </w:tcPr>
                <w:p w14:paraId="3646C882" w14:textId="77777777" w:rsidR="001600D9" w:rsidRPr="00154BDB" w:rsidRDefault="001600D9" w:rsidP="00496B89">
                  <w:pPr>
                    <w:spacing w:after="0" w:line="240" w:lineRule="auto"/>
                    <w:jc w:val="left"/>
                    <w:rPr>
                      <w:rFonts w:eastAsia="Times New Roman" w:cstheme="minorHAnsi"/>
                      <w:b/>
                      <w:bCs/>
                      <w:color w:val="000000"/>
                      <w:szCs w:val="20"/>
                      <w:lang w:eastAsia="en-GB"/>
                    </w:rPr>
                  </w:pPr>
                  <w:r w:rsidRPr="00154BDB">
                    <w:rPr>
                      <w:rFonts w:eastAsia="Times New Roman" w:cstheme="minorHAnsi"/>
                      <w:b/>
                      <w:bCs/>
                      <w:color w:val="000000"/>
                      <w:szCs w:val="20"/>
                      <w:lang w:eastAsia="en-GB"/>
                    </w:rPr>
                    <w:t>Gross profit</w:t>
                  </w:r>
                </w:p>
              </w:tc>
              <w:tc>
                <w:tcPr>
                  <w:tcW w:w="1390" w:type="dxa"/>
                  <w:tcBorders>
                    <w:top w:val="nil"/>
                    <w:left w:val="nil"/>
                    <w:bottom w:val="nil"/>
                    <w:right w:val="nil"/>
                  </w:tcBorders>
                  <w:shd w:val="clear" w:color="auto" w:fill="auto"/>
                  <w:vAlign w:val="center"/>
                  <w:hideMark/>
                </w:tcPr>
                <w:p w14:paraId="5486F02D" w14:textId="4FF22BAC" w:rsidR="001600D9" w:rsidRPr="00154BDB" w:rsidRDefault="001600D9"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7</w:t>
                  </w:r>
                  <w:r w:rsidR="00BD36FA" w:rsidRPr="00154BDB">
                    <w:rPr>
                      <w:rFonts w:eastAsia="Times New Roman" w:cstheme="minorHAnsi"/>
                      <w:color w:val="000000"/>
                      <w:szCs w:val="20"/>
                      <w:lang w:eastAsia="en-GB"/>
                    </w:rPr>
                    <w:t>98</w:t>
                  </w:r>
                  <w:r w:rsidRPr="00154BDB">
                    <w:rPr>
                      <w:rFonts w:eastAsia="Times New Roman" w:cstheme="minorHAnsi"/>
                      <w:color w:val="000000"/>
                      <w:szCs w:val="20"/>
                      <w:lang w:eastAsia="en-GB"/>
                    </w:rPr>
                    <w:t>,</w:t>
                  </w:r>
                  <w:r w:rsidR="00BD36FA" w:rsidRPr="00154BDB">
                    <w:rPr>
                      <w:rFonts w:eastAsia="Times New Roman" w:cstheme="minorHAnsi"/>
                      <w:color w:val="000000"/>
                      <w:szCs w:val="20"/>
                      <w:lang w:eastAsia="en-GB"/>
                    </w:rPr>
                    <w:t>487</w:t>
                  </w:r>
                </w:p>
              </w:tc>
            </w:tr>
            <w:tr w:rsidR="001600D9" w:rsidRPr="00154BDB" w14:paraId="40EA0D1C" w14:textId="77777777" w:rsidTr="00CE4088">
              <w:trPr>
                <w:trHeight w:val="300"/>
              </w:trPr>
              <w:tc>
                <w:tcPr>
                  <w:tcW w:w="1950" w:type="dxa"/>
                  <w:tcBorders>
                    <w:top w:val="nil"/>
                    <w:left w:val="nil"/>
                    <w:bottom w:val="nil"/>
                    <w:right w:val="nil"/>
                  </w:tcBorders>
                  <w:shd w:val="clear" w:color="auto" w:fill="auto"/>
                  <w:vAlign w:val="center"/>
                  <w:hideMark/>
                </w:tcPr>
                <w:p w14:paraId="6A06A706" w14:textId="77777777" w:rsidR="001600D9" w:rsidRPr="00154BDB" w:rsidRDefault="001600D9" w:rsidP="00496B89">
                  <w:pPr>
                    <w:spacing w:after="0" w:line="240" w:lineRule="auto"/>
                    <w:rPr>
                      <w:rFonts w:eastAsia="Times New Roman" w:cstheme="minorHAnsi"/>
                      <w:color w:val="000000"/>
                      <w:szCs w:val="20"/>
                      <w:lang w:eastAsia="en-GB"/>
                    </w:rPr>
                  </w:pPr>
                  <w:r w:rsidRPr="00154BDB">
                    <w:rPr>
                      <w:rFonts w:eastAsia="Times New Roman" w:cstheme="minorHAnsi"/>
                      <w:color w:val="000000"/>
                      <w:szCs w:val="20"/>
                      <w:lang w:eastAsia="en-GB"/>
                    </w:rPr>
                    <w:t>Other income</w:t>
                  </w:r>
                </w:p>
              </w:tc>
              <w:tc>
                <w:tcPr>
                  <w:tcW w:w="1390" w:type="dxa"/>
                  <w:tcBorders>
                    <w:top w:val="nil"/>
                    <w:left w:val="nil"/>
                    <w:bottom w:val="nil"/>
                    <w:right w:val="nil"/>
                  </w:tcBorders>
                  <w:shd w:val="clear" w:color="auto" w:fill="auto"/>
                  <w:vAlign w:val="center"/>
                  <w:hideMark/>
                </w:tcPr>
                <w:p w14:paraId="1C42920F" w14:textId="77777777" w:rsidR="001600D9" w:rsidRPr="00154BDB" w:rsidRDefault="001600D9" w:rsidP="00F432B9">
                  <w:pPr>
                    <w:spacing w:after="0" w:line="240" w:lineRule="auto"/>
                    <w:jc w:val="right"/>
                    <w:rPr>
                      <w:rFonts w:eastAsia="Times New Roman" w:cstheme="minorHAnsi"/>
                      <w:szCs w:val="20"/>
                      <w:lang w:eastAsia="en-GB"/>
                    </w:rPr>
                  </w:pPr>
                  <w:r w:rsidRPr="00154BDB">
                    <w:rPr>
                      <w:rFonts w:eastAsia="Times New Roman" w:cstheme="minorHAnsi"/>
                      <w:color w:val="000000"/>
                      <w:szCs w:val="20"/>
                      <w:lang w:eastAsia="en-GB"/>
                    </w:rPr>
                    <w:t>8,171</w:t>
                  </w:r>
                </w:p>
              </w:tc>
            </w:tr>
            <w:tr w:rsidR="001600D9" w:rsidRPr="00154BDB" w14:paraId="4413001A" w14:textId="77777777" w:rsidTr="00CE4088">
              <w:trPr>
                <w:trHeight w:val="300"/>
              </w:trPr>
              <w:tc>
                <w:tcPr>
                  <w:tcW w:w="1950" w:type="dxa"/>
                  <w:tcBorders>
                    <w:top w:val="nil"/>
                    <w:left w:val="nil"/>
                    <w:bottom w:val="nil"/>
                    <w:right w:val="nil"/>
                  </w:tcBorders>
                  <w:shd w:val="clear" w:color="auto" w:fill="auto"/>
                  <w:vAlign w:val="center"/>
                  <w:hideMark/>
                </w:tcPr>
                <w:p w14:paraId="6E05C5D5" w14:textId="77777777" w:rsidR="001600D9" w:rsidRPr="00154BDB" w:rsidRDefault="001600D9" w:rsidP="00496B89">
                  <w:pPr>
                    <w:spacing w:after="0" w:line="240" w:lineRule="auto"/>
                    <w:jc w:val="left"/>
                    <w:rPr>
                      <w:rFonts w:eastAsia="Times New Roman" w:cstheme="minorHAnsi"/>
                      <w:color w:val="000000"/>
                      <w:szCs w:val="20"/>
                      <w:lang w:eastAsia="en-GB"/>
                    </w:rPr>
                  </w:pPr>
                  <w:r w:rsidRPr="00154BDB">
                    <w:rPr>
                      <w:rFonts w:eastAsia="Times New Roman" w:cstheme="minorHAnsi"/>
                      <w:color w:val="000000"/>
                      <w:szCs w:val="20"/>
                      <w:lang w:eastAsia="en-GB"/>
                    </w:rPr>
                    <w:t>Other expenses</w:t>
                  </w:r>
                </w:p>
              </w:tc>
              <w:tc>
                <w:tcPr>
                  <w:tcW w:w="1390" w:type="dxa"/>
                  <w:tcBorders>
                    <w:top w:val="nil"/>
                    <w:left w:val="nil"/>
                    <w:bottom w:val="nil"/>
                    <w:right w:val="nil"/>
                  </w:tcBorders>
                  <w:shd w:val="clear" w:color="auto" w:fill="auto"/>
                  <w:vAlign w:val="center"/>
                  <w:hideMark/>
                </w:tcPr>
                <w:p w14:paraId="6E837456" w14:textId="588A7BE6" w:rsidR="001600D9" w:rsidRPr="00154BDB" w:rsidRDefault="001600D9"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(2</w:t>
                  </w:r>
                  <w:r w:rsidR="00BD36FA" w:rsidRPr="00154BDB">
                    <w:rPr>
                      <w:rFonts w:eastAsia="Times New Roman" w:cstheme="minorHAnsi"/>
                      <w:color w:val="000000"/>
                      <w:szCs w:val="20"/>
                      <w:lang w:eastAsia="en-GB"/>
                    </w:rPr>
                    <w:t>92</w:t>
                  </w:r>
                  <w:r w:rsidRPr="00154BDB">
                    <w:rPr>
                      <w:rFonts w:eastAsia="Times New Roman" w:cstheme="minorHAnsi"/>
                      <w:color w:val="000000"/>
                      <w:szCs w:val="20"/>
                      <w:lang w:eastAsia="en-GB"/>
                    </w:rPr>
                    <w:t>,</w:t>
                  </w:r>
                  <w:r w:rsidR="00BD36FA" w:rsidRPr="00154BDB">
                    <w:rPr>
                      <w:rFonts w:eastAsia="Times New Roman" w:cstheme="minorHAnsi"/>
                      <w:color w:val="000000"/>
                      <w:szCs w:val="20"/>
                      <w:lang w:eastAsia="en-GB"/>
                    </w:rPr>
                    <w:t>522</w:t>
                  </w:r>
                  <w:r w:rsidRPr="00154BDB">
                    <w:rPr>
                      <w:rFonts w:eastAsia="Times New Roman" w:cstheme="minorHAnsi"/>
                      <w:color w:val="000000"/>
                      <w:szCs w:val="20"/>
                      <w:lang w:eastAsia="en-GB"/>
                    </w:rPr>
                    <w:t>)</w:t>
                  </w:r>
                </w:p>
              </w:tc>
            </w:tr>
            <w:tr w:rsidR="001600D9" w:rsidRPr="00154BDB" w14:paraId="2E6326D9" w14:textId="77777777" w:rsidTr="009C2708">
              <w:trPr>
                <w:trHeight w:val="300"/>
              </w:trPr>
              <w:tc>
                <w:tcPr>
                  <w:tcW w:w="1950" w:type="dxa"/>
                  <w:tcBorders>
                    <w:top w:val="nil"/>
                    <w:left w:val="nil"/>
                    <w:bottom w:val="nil"/>
                    <w:right w:val="nil"/>
                  </w:tcBorders>
                  <w:shd w:val="clear" w:color="auto" w:fill="auto"/>
                  <w:vAlign w:val="center"/>
                  <w:hideMark/>
                </w:tcPr>
                <w:p w14:paraId="27F7BED6" w14:textId="77777777" w:rsidR="001600D9" w:rsidRPr="00154BDB" w:rsidRDefault="001600D9" w:rsidP="00496B89">
                  <w:pPr>
                    <w:spacing w:after="0" w:line="240" w:lineRule="auto"/>
                    <w:jc w:val="left"/>
                    <w:rPr>
                      <w:rFonts w:eastAsia="Times New Roman" w:cstheme="minorHAnsi"/>
                      <w:color w:val="000000"/>
                      <w:szCs w:val="20"/>
                      <w:lang w:eastAsia="en-GB"/>
                    </w:rPr>
                  </w:pPr>
                  <w:r w:rsidRPr="00154BDB">
                    <w:rPr>
                      <w:rFonts w:eastAsia="Times New Roman" w:cstheme="minorHAnsi"/>
                      <w:color w:val="000000"/>
                      <w:szCs w:val="20"/>
                      <w:lang w:eastAsia="en-GB"/>
                    </w:rPr>
                    <w:t>Depreciation</w:t>
                  </w:r>
                </w:p>
              </w:tc>
              <w:tc>
                <w:tcPr>
                  <w:tcW w:w="1390" w:type="dxa"/>
                  <w:tcBorders>
                    <w:top w:val="nil"/>
                    <w:left w:val="nil"/>
                    <w:bottom w:val="single" w:sz="4" w:space="0" w:color="auto"/>
                    <w:right w:val="nil"/>
                  </w:tcBorders>
                  <w:shd w:val="clear" w:color="auto" w:fill="auto"/>
                  <w:vAlign w:val="center"/>
                  <w:hideMark/>
                </w:tcPr>
                <w:p w14:paraId="6660E5F7" w14:textId="77777777" w:rsidR="001600D9" w:rsidRPr="00154BDB" w:rsidRDefault="001600D9"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(10,084)</w:t>
                  </w:r>
                </w:p>
              </w:tc>
            </w:tr>
            <w:tr w:rsidR="001600D9" w:rsidRPr="00154BDB" w14:paraId="5F73468C" w14:textId="77777777" w:rsidTr="009C2708">
              <w:trPr>
                <w:trHeight w:val="80"/>
              </w:trPr>
              <w:tc>
                <w:tcPr>
                  <w:tcW w:w="1950" w:type="dxa"/>
                  <w:tcBorders>
                    <w:top w:val="nil"/>
                    <w:left w:val="nil"/>
                    <w:bottom w:val="nil"/>
                    <w:right w:val="nil"/>
                  </w:tcBorders>
                  <w:shd w:val="clear" w:color="auto" w:fill="auto"/>
                  <w:vAlign w:val="center"/>
                  <w:hideMark/>
                </w:tcPr>
                <w:p w14:paraId="08E08574" w14:textId="77777777" w:rsidR="001600D9" w:rsidRPr="00154BDB" w:rsidRDefault="001600D9" w:rsidP="00496B89">
                  <w:pPr>
                    <w:spacing w:after="0" w:line="240" w:lineRule="auto"/>
                    <w:jc w:val="left"/>
                    <w:rPr>
                      <w:rFonts w:eastAsia="Times New Roman" w:cstheme="minorHAnsi"/>
                      <w:b/>
                      <w:bCs/>
                      <w:color w:val="000000"/>
                      <w:szCs w:val="20"/>
                      <w:lang w:eastAsia="en-GB"/>
                    </w:rPr>
                  </w:pPr>
                  <w:r w:rsidRPr="00154BDB">
                    <w:rPr>
                      <w:rFonts w:eastAsia="Times New Roman" w:cstheme="minorHAnsi"/>
                      <w:b/>
                      <w:bCs/>
                      <w:color w:val="000000"/>
                      <w:szCs w:val="20"/>
                      <w:lang w:eastAsia="en-GB"/>
                    </w:rPr>
                    <w:t>Profit before tax</w:t>
                  </w:r>
                </w:p>
              </w:tc>
              <w:tc>
                <w:tcPr>
                  <w:tcW w:w="1390" w:type="dxa"/>
                  <w:tcBorders>
                    <w:top w:val="single" w:sz="4" w:space="0" w:color="auto"/>
                    <w:left w:val="nil"/>
                    <w:right w:val="nil"/>
                  </w:tcBorders>
                  <w:shd w:val="clear" w:color="auto" w:fill="auto"/>
                  <w:vAlign w:val="center"/>
                  <w:hideMark/>
                </w:tcPr>
                <w:p w14:paraId="286C57DB" w14:textId="77777777" w:rsidR="001600D9" w:rsidRPr="00154BDB" w:rsidRDefault="001600D9"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504,052</w:t>
                  </w:r>
                </w:p>
              </w:tc>
            </w:tr>
            <w:tr w:rsidR="001600D9" w:rsidRPr="00154BDB" w14:paraId="1717EC00" w14:textId="77777777" w:rsidTr="009C2708">
              <w:trPr>
                <w:trHeight w:val="300"/>
              </w:trPr>
              <w:tc>
                <w:tcPr>
                  <w:tcW w:w="1950" w:type="dxa"/>
                  <w:tcBorders>
                    <w:top w:val="nil"/>
                    <w:left w:val="nil"/>
                    <w:bottom w:val="nil"/>
                    <w:right w:val="nil"/>
                  </w:tcBorders>
                  <w:shd w:val="clear" w:color="auto" w:fill="auto"/>
                  <w:vAlign w:val="center"/>
                  <w:hideMark/>
                </w:tcPr>
                <w:p w14:paraId="64664877" w14:textId="77777777" w:rsidR="001600D9" w:rsidRPr="00154BDB" w:rsidRDefault="001600D9" w:rsidP="00496B89">
                  <w:pPr>
                    <w:spacing w:after="0" w:line="240" w:lineRule="auto"/>
                    <w:rPr>
                      <w:rFonts w:eastAsia="Times New Roman" w:cstheme="minorHAnsi"/>
                      <w:color w:val="000000"/>
                      <w:szCs w:val="20"/>
                      <w:lang w:eastAsia="en-GB"/>
                    </w:rPr>
                  </w:pPr>
                </w:p>
              </w:tc>
              <w:tc>
                <w:tcPr>
                  <w:tcW w:w="1390" w:type="dxa"/>
                  <w:tcBorders>
                    <w:left w:val="nil"/>
                    <w:bottom w:val="nil"/>
                    <w:right w:val="nil"/>
                  </w:tcBorders>
                  <w:shd w:val="clear" w:color="auto" w:fill="auto"/>
                  <w:vAlign w:val="center"/>
                  <w:hideMark/>
                </w:tcPr>
                <w:p w14:paraId="42F6F4BE" w14:textId="77777777" w:rsidR="001600D9" w:rsidRPr="00154BDB" w:rsidRDefault="001600D9" w:rsidP="00F432B9">
                  <w:pPr>
                    <w:spacing w:after="0" w:line="240" w:lineRule="auto"/>
                    <w:jc w:val="right"/>
                    <w:rPr>
                      <w:rFonts w:eastAsia="Times New Roman" w:cstheme="minorHAnsi"/>
                      <w:szCs w:val="20"/>
                      <w:lang w:eastAsia="en-GB"/>
                    </w:rPr>
                  </w:pPr>
                </w:p>
              </w:tc>
            </w:tr>
            <w:tr w:rsidR="001600D9" w:rsidRPr="00154BDB" w14:paraId="786F4883" w14:textId="77777777" w:rsidTr="001600D9">
              <w:trPr>
                <w:trHeight w:val="80"/>
              </w:trPr>
              <w:tc>
                <w:tcPr>
                  <w:tcW w:w="1950" w:type="dxa"/>
                  <w:tcBorders>
                    <w:top w:val="nil"/>
                    <w:left w:val="nil"/>
                    <w:bottom w:val="nil"/>
                    <w:right w:val="nil"/>
                  </w:tcBorders>
                  <w:shd w:val="clear" w:color="auto" w:fill="auto"/>
                  <w:vAlign w:val="center"/>
                  <w:hideMark/>
                </w:tcPr>
                <w:p w14:paraId="0BC580B6" w14:textId="77777777" w:rsidR="001600D9" w:rsidRPr="00154BDB" w:rsidRDefault="001600D9" w:rsidP="00496B89">
                  <w:pPr>
                    <w:spacing w:after="0" w:line="240" w:lineRule="auto"/>
                    <w:jc w:val="left"/>
                    <w:rPr>
                      <w:rFonts w:eastAsia="Times New Roman" w:cstheme="minorHAnsi"/>
                      <w:color w:val="000000"/>
                      <w:szCs w:val="20"/>
                      <w:lang w:eastAsia="en-GB"/>
                    </w:rPr>
                  </w:pPr>
                  <w:r w:rsidRPr="00154BDB">
                    <w:rPr>
                      <w:rFonts w:eastAsia="Times New Roman" w:cstheme="minorHAnsi"/>
                      <w:color w:val="000000"/>
                      <w:szCs w:val="20"/>
                      <w:lang w:eastAsia="en-GB"/>
                    </w:rPr>
                    <w:t xml:space="preserve">Income tax expense </w:t>
                  </w:r>
                </w:p>
              </w:tc>
              <w:tc>
                <w:tcPr>
                  <w:tcW w:w="1390" w:type="dxa"/>
                  <w:tcBorders>
                    <w:top w:val="nil"/>
                    <w:left w:val="nil"/>
                    <w:bottom w:val="nil"/>
                    <w:right w:val="nil"/>
                  </w:tcBorders>
                  <w:shd w:val="clear" w:color="auto" w:fill="auto"/>
                  <w:vAlign w:val="center"/>
                  <w:hideMark/>
                </w:tcPr>
                <w:p w14:paraId="32E78F40" w14:textId="77777777" w:rsidR="001600D9" w:rsidRPr="00154BDB" w:rsidRDefault="001600D9" w:rsidP="00F432B9">
                  <w:pPr>
                    <w:spacing w:after="0" w:line="240" w:lineRule="auto"/>
                    <w:jc w:val="right"/>
                    <w:rPr>
                      <w:rFonts w:eastAsia="Times New Roman" w:cstheme="minorHAnsi"/>
                      <w:b/>
                      <w:bCs/>
                      <w:color w:val="000000"/>
                      <w:szCs w:val="20"/>
                      <w:lang w:eastAsia="en-GB"/>
                    </w:rPr>
                  </w:pPr>
                  <w:r w:rsidRPr="00154BDB">
                    <w:rPr>
                      <w:rFonts w:eastAsia="Times New Roman" w:cstheme="minorHAnsi"/>
                      <w:b/>
                      <w:bCs/>
                      <w:color w:val="000000"/>
                      <w:szCs w:val="20"/>
                      <w:lang w:eastAsia="en-GB"/>
                    </w:rPr>
                    <w:t>(74,591)</w:t>
                  </w:r>
                </w:p>
              </w:tc>
            </w:tr>
            <w:tr w:rsidR="001600D9" w:rsidRPr="00154BDB" w14:paraId="0BD39D2D" w14:textId="77777777" w:rsidTr="00CE4088">
              <w:trPr>
                <w:trHeight w:val="300"/>
              </w:trPr>
              <w:tc>
                <w:tcPr>
                  <w:tcW w:w="1950" w:type="dxa"/>
                  <w:tcBorders>
                    <w:top w:val="nil"/>
                    <w:left w:val="nil"/>
                    <w:bottom w:val="nil"/>
                    <w:right w:val="nil"/>
                  </w:tcBorders>
                  <w:shd w:val="clear" w:color="auto" w:fill="auto"/>
                  <w:vAlign w:val="center"/>
                  <w:hideMark/>
                </w:tcPr>
                <w:p w14:paraId="603DC79E" w14:textId="77777777" w:rsidR="001600D9" w:rsidRPr="00154BDB" w:rsidRDefault="001600D9" w:rsidP="00496B89">
                  <w:pPr>
                    <w:spacing w:after="0" w:line="240" w:lineRule="auto"/>
                    <w:rPr>
                      <w:rFonts w:eastAsia="Times New Roman" w:cstheme="minorHAnsi"/>
                      <w:b/>
                      <w:bCs/>
                      <w:color w:val="000000"/>
                      <w:szCs w:val="20"/>
                      <w:lang w:eastAsia="en-GB"/>
                    </w:rPr>
                  </w:pPr>
                </w:p>
              </w:tc>
              <w:tc>
                <w:tcPr>
                  <w:tcW w:w="1390" w:type="dxa"/>
                  <w:tcBorders>
                    <w:top w:val="nil"/>
                    <w:left w:val="nil"/>
                    <w:bottom w:val="nil"/>
                    <w:right w:val="nil"/>
                  </w:tcBorders>
                  <w:shd w:val="clear" w:color="auto" w:fill="auto"/>
                  <w:vAlign w:val="center"/>
                  <w:hideMark/>
                </w:tcPr>
                <w:p w14:paraId="3D1FE652" w14:textId="77777777" w:rsidR="001600D9" w:rsidRPr="00154BDB" w:rsidRDefault="001600D9"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_________</w:t>
                  </w:r>
                </w:p>
              </w:tc>
            </w:tr>
            <w:tr w:rsidR="001600D9" w:rsidRPr="00154BDB" w14:paraId="6366F463" w14:textId="77777777" w:rsidTr="009C2708">
              <w:trPr>
                <w:trHeight w:val="300"/>
              </w:trPr>
              <w:tc>
                <w:tcPr>
                  <w:tcW w:w="1950" w:type="dxa"/>
                  <w:tcBorders>
                    <w:top w:val="nil"/>
                    <w:left w:val="nil"/>
                    <w:bottom w:val="nil"/>
                    <w:right w:val="nil"/>
                  </w:tcBorders>
                  <w:shd w:val="clear" w:color="auto" w:fill="auto"/>
                  <w:vAlign w:val="center"/>
                  <w:hideMark/>
                </w:tcPr>
                <w:p w14:paraId="50418277" w14:textId="77777777" w:rsidR="001600D9" w:rsidRPr="00154BDB" w:rsidRDefault="001600D9" w:rsidP="00496B89">
                  <w:pPr>
                    <w:spacing w:after="0" w:line="240" w:lineRule="auto"/>
                    <w:rPr>
                      <w:rFonts w:eastAsia="Times New Roman" w:cstheme="minorHAnsi"/>
                      <w:color w:val="000000"/>
                      <w:szCs w:val="20"/>
                      <w:lang w:eastAsia="en-GB"/>
                    </w:rPr>
                  </w:pPr>
                </w:p>
              </w:tc>
              <w:tc>
                <w:tcPr>
                  <w:tcW w:w="1390" w:type="dxa"/>
                  <w:tcBorders>
                    <w:top w:val="nil"/>
                    <w:left w:val="nil"/>
                    <w:bottom w:val="single" w:sz="4" w:space="0" w:color="auto"/>
                    <w:right w:val="nil"/>
                  </w:tcBorders>
                  <w:shd w:val="clear" w:color="auto" w:fill="auto"/>
                  <w:vAlign w:val="center"/>
                  <w:hideMark/>
                </w:tcPr>
                <w:p w14:paraId="7C36F521" w14:textId="77777777" w:rsidR="001600D9" w:rsidRPr="00154BDB" w:rsidRDefault="001600D9" w:rsidP="00F432B9">
                  <w:pPr>
                    <w:spacing w:after="0" w:line="240" w:lineRule="auto"/>
                    <w:jc w:val="right"/>
                    <w:rPr>
                      <w:rFonts w:eastAsia="Times New Roman" w:cstheme="minorHAnsi"/>
                      <w:szCs w:val="20"/>
                      <w:lang w:eastAsia="en-GB"/>
                    </w:rPr>
                  </w:pPr>
                </w:p>
              </w:tc>
            </w:tr>
            <w:tr w:rsidR="001600D9" w:rsidRPr="00154BDB" w14:paraId="159CB0D8" w14:textId="77777777" w:rsidTr="009C2708">
              <w:trPr>
                <w:trHeight w:val="80"/>
              </w:trPr>
              <w:tc>
                <w:tcPr>
                  <w:tcW w:w="1950" w:type="dxa"/>
                  <w:tcBorders>
                    <w:top w:val="nil"/>
                    <w:left w:val="nil"/>
                    <w:bottom w:val="nil"/>
                    <w:right w:val="nil"/>
                  </w:tcBorders>
                  <w:shd w:val="clear" w:color="auto" w:fill="auto"/>
                  <w:vAlign w:val="center"/>
                  <w:hideMark/>
                </w:tcPr>
                <w:p w14:paraId="7FBA6E7A" w14:textId="77777777" w:rsidR="001600D9" w:rsidRPr="00154BDB" w:rsidRDefault="001600D9" w:rsidP="00496B89">
                  <w:pPr>
                    <w:spacing w:after="0" w:line="240" w:lineRule="auto"/>
                    <w:jc w:val="left"/>
                    <w:rPr>
                      <w:rFonts w:eastAsia="Times New Roman" w:cstheme="minorHAnsi"/>
                      <w:b/>
                      <w:bCs/>
                      <w:color w:val="000000"/>
                      <w:szCs w:val="20"/>
                      <w:lang w:eastAsia="en-GB"/>
                    </w:rPr>
                  </w:pPr>
                  <w:r w:rsidRPr="00154BDB">
                    <w:rPr>
                      <w:rFonts w:eastAsia="Times New Roman" w:cstheme="minorHAnsi"/>
                      <w:b/>
                      <w:bCs/>
                      <w:color w:val="000000"/>
                      <w:szCs w:val="20"/>
                      <w:lang w:eastAsia="en-GB"/>
                    </w:rPr>
                    <w:t>Profit after tax</w:t>
                  </w:r>
                </w:p>
              </w:tc>
              <w:tc>
                <w:tcPr>
                  <w:tcW w:w="1390" w:type="dxa"/>
                  <w:tcBorders>
                    <w:top w:val="single" w:sz="4" w:space="0" w:color="auto"/>
                    <w:left w:val="nil"/>
                    <w:bottom w:val="single" w:sz="4" w:space="0" w:color="auto"/>
                    <w:right w:val="nil"/>
                  </w:tcBorders>
                  <w:shd w:val="clear" w:color="auto" w:fill="auto"/>
                  <w:vAlign w:val="center"/>
                  <w:hideMark/>
                </w:tcPr>
                <w:p w14:paraId="2E2D2978" w14:textId="77777777" w:rsidR="001600D9" w:rsidRPr="00154BDB" w:rsidRDefault="001600D9" w:rsidP="00F432B9">
                  <w:pPr>
                    <w:spacing w:after="0" w:line="240" w:lineRule="auto"/>
                    <w:jc w:val="right"/>
                    <w:rPr>
                      <w:rFonts w:eastAsia="Times New Roman" w:cstheme="minorHAnsi"/>
                      <w:b/>
                      <w:bCs/>
                      <w:color w:val="000000"/>
                      <w:szCs w:val="20"/>
                      <w:lang w:eastAsia="en-GB"/>
                    </w:rPr>
                  </w:pPr>
                  <w:r w:rsidRPr="00154BDB">
                    <w:rPr>
                      <w:rFonts w:eastAsia="Times New Roman" w:cstheme="minorHAnsi"/>
                      <w:b/>
                      <w:bCs/>
                      <w:color w:val="000000"/>
                      <w:szCs w:val="20"/>
                      <w:lang w:eastAsia="en-GB"/>
                    </w:rPr>
                    <w:t>429,461</w:t>
                  </w:r>
                </w:p>
              </w:tc>
            </w:tr>
          </w:tbl>
          <w:p w14:paraId="1A3D3306" w14:textId="77777777" w:rsidR="001D28CA" w:rsidRPr="00154BDB" w:rsidRDefault="001D28CA" w:rsidP="00F432B9">
            <w:pPr>
              <w:spacing w:after="0" w:line="240" w:lineRule="auto"/>
              <w:jc w:val="left"/>
              <w:rPr>
                <w:rFonts w:cstheme="minorHAnsi"/>
                <w:b/>
                <w:szCs w:val="20"/>
              </w:rPr>
            </w:pPr>
          </w:p>
        </w:tc>
        <w:tc>
          <w:tcPr>
            <w:tcW w:w="4536" w:type="dxa"/>
          </w:tcPr>
          <w:p w14:paraId="38DB3C3B" w14:textId="4AB931DC" w:rsidR="001D28CA" w:rsidRPr="00154BDB" w:rsidRDefault="001D28CA" w:rsidP="00F432B9">
            <w:pPr>
              <w:tabs>
                <w:tab w:val="decimal" w:pos="1872"/>
              </w:tabs>
              <w:spacing w:after="0" w:line="240" w:lineRule="auto"/>
              <w:rPr>
                <w:rFonts w:cstheme="minorHAnsi"/>
                <w:szCs w:val="20"/>
              </w:rPr>
            </w:pPr>
          </w:p>
        </w:tc>
      </w:tr>
      <w:tr w:rsidR="001D28CA" w:rsidRPr="00154BDB" w14:paraId="659327A4" w14:textId="77777777" w:rsidTr="00682BB9">
        <w:tc>
          <w:tcPr>
            <w:tcW w:w="4219" w:type="dxa"/>
          </w:tcPr>
          <w:p w14:paraId="6B8D708B" w14:textId="77777777" w:rsidR="001D28CA" w:rsidRPr="00154BDB" w:rsidRDefault="001D28CA" w:rsidP="00F432B9">
            <w:pPr>
              <w:spacing w:after="0" w:line="240" w:lineRule="auto"/>
              <w:jc w:val="left"/>
              <w:rPr>
                <w:rFonts w:cstheme="minorHAnsi"/>
                <w:b/>
                <w:szCs w:val="20"/>
              </w:rPr>
            </w:pPr>
          </w:p>
        </w:tc>
        <w:tc>
          <w:tcPr>
            <w:tcW w:w="4536" w:type="dxa"/>
          </w:tcPr>
          <w:p w14:paraId="2C236980" w14:textId="77777777" w:rsidR="001D28CA" w:rsidRPr="00154BDB" w:rsidRDefault="001D28CA" w:rsidP="00F432B9">
            <w:pPr>
              <w:tabs>
                <w:tab w:val="decimal" w:pos="1872"/>
              </w:tabs>
              <w:spacing w:after="0" w:line="240" w:lineRule="auto"/>
              <w:rPr>
                <w:rFonts w:cstheme="minorHAnsi"/>
                <w:szCs w:val="20"/>
              </w:rPr>
            </w:pPr>
          </w:p>
        </w:tc>
      </w:tr>
      <w:tr w:rsidR="001D28CA" w:rsidRPr="00154BDB" w14:paraId="458646E4" w14:textId="77777777" w:rsidTr="00682BB9">
        <w:tc>
          <w:tcPr>
            <w:tcW w:w="4219" w:type="dxa"/>
          </w:tcPr>
          <w:p w14:paraId="5964BE1B" w14:textId="3DBAA342" w:rsidR="001D28CA" w:rsidRPr="00154BDB" w:rsidRDefault="001D28CA" w:rsidP="00F432B9">
            <w:pPr>
              <w:spacing w:after="0" w:line="240" w:lineRule="auto"/>
              <w:jc w:val="left"/>
              <w:rPr>
                <w:rFonts w:cstheme="minorHAnsi"/>
                <w:szCs w:val="20"/>
              </w:rPr>
            </w:pPr>
          </w:p>
        </w:tc>
        <w:tc>
          <w:tcPr>
            <w:tcW w:w="4536" w:type="dxa"/>
          </w:tcPr>
          <w:p w14:paraId="08DDF17F" w14:textId="3C15E8C1" w:rsidR="001D28CA" w:rsidRPr="00154BDB" w:rsidRDefault="001D28CA" w:rsidP="00F432B9">
            <w:pPr>
              <w:tabs>
                <w:tab w:val="decimal" w:pos="1872"/>
              </w:tabs>
              <w:spacing w:after="0" w:line="240" w:lineRule="auto"/>
              <w:rPr>
                <w:rFonts w:cstheme="minorHAnsi"/>
                <w:szCs w:val="20"/>
              </w:rPr>
            </w:pPr>
          </w:p>
        </w:tc>
      </w:tr>
      <w:tr w:rsidR="001D28CA" w:rsidRPr="00154BDB" w14:paraId="04131A02" w14:textId="77777777" w:rsidTr="00682BB9">
        <w:trPr>
          <w:trHeight w:val="95"/>
        </w:trPr>
        <w:tc>
          <w:tcPr>
            <w:tcW w:w="4219" w:type="dxa"/>
          </w:tcPr>
          <w:p w14:paraId="4B5A63AE" w14:textId="77777777" w:rsidR="001D28CA" w:rsidRPr="00154BDB" w:rsidRDefault="001D28CA" w:rsidP="00F432B9">
            <w:pPr>
              <w:spacing w:after="0" w:line="240" w:lineRule="auto"/>
              <w:jc w:val="left"/>
              <w:rPr>
                <w:rFonts w:cstheme="minorHAnsi"/>
                <w:b/>
                <w:szCs w:val="20"/>
              </w:rPr>
            </w:pPr>
          </w:p>
        </w:tc>
        <w:tc>
          <w:tcPr>
            <w:tcW w:w="4536" w:type="dxa"/>
          </w:tcPr>
          <w:p w14:paraId="65AEF5A8" w14:textId="77777777" w:rsidR="001D28CA" w:rsidRPr="00154BDB" w:rsidRDefault="001D28CA" w:rsidP="00F432B9">
            <w:pPr>
              <w:tabs>
                <w:tab w:val="decimal" w:pos="1872"/>
              </w:tabs>
              <w:spacing w:after="0" w:line="240" w:lineRule="auto"/>
              <w:rPr>
                <w:rFonts w:cstheme="minorHAnsi"/>
                <w:szCs w:val="20"/>
              </w:rPr>
            </w:pPr>
          </w:p>
        </w:tc>
      </w:tr>
      <w:tr w:rsidR="001D28CA" w:rsidRPr="00154BDB" w14:paraId="57A36C19" w14:textId="77777777" w:rsidTr="00682BB9">
        <w:tc>
          <w:tcPr>
            <w:tcW w:w="4219" w:type="dxa"/>
          </w:tcPr>
          <w:p w14:paraId="6BD96862" w14:textId="2F8EFC6C" w:rsidR="001D28CA" w:rsidRPr="00154BDB" w:rsidRDefault="001D28CA" w:rsidP="00F432B9">
            <w:pPr>
              <w:spacing w:after="0" w:line="240" w:lineRule="auto"/>
              <w:jc w:val="left"/>
              <w:rPr>
                <w:rFonts w:cstheme="minorHAnsi"/>
                <w:szCs w:val="20"/>
              </w:rPr>
            </w:pPr>
          </w:p>
        </w:tc>
        <w:tc>
          <w:tcPr>
            <w:tcW w:w="4536" w:type="dxa"/>
          </w:tcPr>
          <w:p w14:paraId="0E867782" w14:textId="1B767994" w:rsidR="001D28CA" w:rsidRPr="00154BDB" w:rsidRDefault="001D28CA" w:rsidP="00F432B9">
            <w:pPr>
              <w:tabs>
                <w:tab w:val="decimal" w:pos="1872"/>
              </w:tabs>
              <w:spacing w:after="0" w:line="240" w:lineRule="auto"/>
              <w:rPr>
                <w:rFonts w:cstheme="minorHAnsi"/>
                <w:szCs w:val="20"/>
              </w:rPr>
            </w:pPr>
          </w:p>
        </w:tc>
      </w:tr>
    </w:tbl>
    <w:p w14:paraId="6871B3D9" w14:textId="7DAD9659" w:rsidR="001D28CA" w:rsidRPr="00154BDB" w:rsidRDefault="001D28CA" w:rsidP="00496B89">
      <w:pPr>
        <w:pStyle w:val="Default"/>
        <w:jc w:val="both"/>
        <w:rPr>
          <w:rFonts w:asciiTheme="minorHAnsi" w:hAnsiTheme="minorHAnsi" w:cstheme="minorHAnsi"/>
          <w:sz w:val="20"/>
          <w:szCs w:val="20"/>
        </w:rPr>
      </w:pPr>
      <w:r w:rsidRPr="00154BDB">
        <w:rPr>
          <w:rFonts w:asciiTheme="minorHAnsi" w:hAnsiTheme="minorHAnsi" w:cstheme="minorHAnsi"/>
          <w:sz w:val="20"/>
          <w:szCs w:val="20"/>
        </w:rPr>
        <w:t xml:space="preserve">The financial information outlined in the table above has been extracted from the Historical Financial information of Alchemist Code set out in Part </w:t>
      </w:r>
      <w:r w:rsidR="0002719A" w:rsidRPr="00154BDB">
        <w:rPr>
          <w:rFonts w:asciiTheme="minorHAnsi" w:hAnsiTheme="minorHAnsi" w:cstheme="minorHAnsi"/>
          <w:sz w:val="20"/>
          <w:szCs w:val="20"/>
        </w:rPr>
        <w:t>XIV</w:t>
      </w:r>
      <w:r w:rsidRPr="00154BDB">
        <w:rPr>
          <w:rFonts w:asciiTheme="minorHAnsi" w:hAnsiTheme="minorHAnsi" w:cstheme="minorHAnsi"/>
          <w:sz w:val="20"/>
          <w:szCs w:val="20"/>
        </w:rPr>
        <w:t xml:space="preserve"> of this Document.</w:t>
      </w:r>
    </w:p>
    <w:p w14:paraId="6D0D68E4" w14:textId="77777777" w:rsidR="001D28CA" w:rsidRPr="00154BDB" w:rsidRDefault="001D28CA" w:rsidP="00F432B9">
      <w:pPr>
        <w:pStyle w:val="Default"/>
        <w:jc w:val="both"/>
        <w:rPr>
          <w:rFonts w:asciiTheme="minorHAnsi" w:hAnsiTheme="minorHAnsi" w:cstheme="minorHAnsi"/>
          <w:sz w:val="20"/>
          <w:szCs w:val="20"/>
        </w:rPr>
      </w:pPr>
    </w:p>
    <w:p w14:paraId="367DE399" w14:textId="77777777" w:rsidR="001D28CA" w:rsidRPr="00154BDB" w:rsidRDefault="001D28CA" w:rsidP="00EA2BB6">
      <w:pPr>
        <w:pStyle w:val="Default"/>
        <w:spacing w:after="120"/>
        <w:jc w:val="both"/>
        <w:rPr>
          <w:rFonts w:asciiTheme="minorHAnsi" w:hAnsiTheme="minorHAnsi" w:cstheme="minorHAnsi"/>
          <w:b/>
          <w:bCs/>
          <w:sz w:val="20"/>
          <w:szCs w:val="20"/>
        </w:rPr>
      </w:pPr>
      <w:r w:rsidRPr="00154BDB">
        <w:rPr>
          <w:rFonts w:asciiTheme="minorHAnsi" w:hAnsiTheme="minorHAnsi" w:cstheme="minorHAnsi"/>
          <w:b/>
          <w:bCs/>
          <w:sz w:val="20"/>
          <w:szCs w:val="20"/>
        </w:rPr>
        <w:t>Revenue</w:t>
      </w:r>
    </w:p>
    <w:p w14:paraId="1691264C" w14:textId="1EA37020" w:rsidR="001D28CA" w:rsidRPr="00154BDB" w:rsidRDefault="001D28CA" w:rsidP="00EA2BB6">
      <w:pPr>
        <w:spacing w:after="120" w:line="240" w:lineRule="auto"/>
        <w:rPr>
          <w:rFonts w:cstheme="minorHAnsi"/>
          <w:szCs w:val="20"/>
        </w:rPr>
      </w:pPr>
      <w:r w:rsidRPr="00154BDB">
        <w:rPr>
          <w:rFonts w:cstheme="minorHAnsi"/>
          <w:szCs w:val="20"/>
        </w:rPr>
        <w:t xml:space="preserve">Alchemist Codes generates revenue by charging chat application customers for the development and delivery of a bespoke enterprise messaging application. In addition to application delivery, each contract contains an optional monthly fee where Alchemist Codes provides customisation services, customer and technical support. In order to be eligible for the MCS Pioneer tax status the maximum that Alchemist Codes can charge a customer per annum is </w:t>
      </w:r>
      <w:r w:rsidR="005606E3" w:rsidRPr="00154BDB">
        <w:rPr>
          <w:rFonts w:cstheme="minorHAnsi"/>
          <w:szCs w:val="20"/>
        </w:rPr>
        <w:t>RM</w:t>
      </w:r>
      <w:r w:rsidRPr="00154BDB">
        <w:rPr>
          <w:rFonts w:cstheme="minorHAnsi"/>
          <w:szCs w:val="20"/>
        </w:rPr>
        <w:t xml:space="preserve">555k. This revenue cap limits the amount of revenue that can be generated through the sale of the application </w:t>
      </w:r>
      <w:r w:rsidR="00BA0795" w:rsidRPr="00154BDB">
        <w:rPr>
          <w:rFonts w:cstheme="minorHAnsi"/>
          <w:szCs w:val="20"/>
        </w:rPr>
        <w:t xml:space="preserve">on a </w:t>
      </w:r>
      <w:r w:rsidRPr="00154BDB">
        <w:rPr>
          <w:rFonts w:cstheme="minorHAnsi"/>
          <w:szCs w:val="20"/>
        </w:rPr>
        <w:t>per customer</w:t>
      </w:r>
      <w:r w:rsidR="00BA0795" w:rsidRPr="00154BDB">
        <w:rPr>
          <w:rFonts w:cstheme="minorHAnsi"/>
          <w:szCs w:val="20"/>
        </w:rPr>
        <w:t xml:space="preserve"> basis</w:t>
      </w:r>
      <w:r w:rsidRPr="00154BDB">
        <w:rPr>
          <w:rFonts w:cstheme="minorHAnsi"/>
          <w:szCs w:val="20"/>
        </w:rPr>
        <w:t>.</w:t>
      </w:r>
    </w:p>
    <w:p w14:paraId="5976F08C" w14:textId="77777777" w:rsidR="001D28CA" w:rsidRPr="00154BDB" w:rsidRDefault="001D28CA" w:rsidP="00EA2BB6">
      <w:pPr>
        <w:spacing w:after="120" w:line="240" w:lineRule="auto"/>
        <w:rPr>
          <w:rFonts w:cstheme="minorHAnsi"/>
          <w:szCs w:val="20"/>
        </w:rPr>
      </w:pPr>
      <w:r w:rsidRPr="00154BDB">
        <w:rPr>
          <w:rFonts w:cstheme="minorHAnsi"/>
          <w:szCs w:val="20"/>
        </w:rPr>
        <w:t xml:space="preserve">Since September 2019, Alchemist Codes has been redistributing its resources to accommodate its primary strategic focus moving forward which is on the ongoing development, roll out and continuous improvement of OCTAPLUS. </w:t>
      </w:r>
    </w:p>
    <w:p w14:paraId="1CCEF26C" w14:textId="556B9163" w:rsidR="001D28CA" w:rsidRPr="00154BDB" w:rsidRDefault="001D28CA" w:rsidP="00EA2BB6">
      <w:pPr>
        <w:pStyle w:val="Default"/>
        <w:spacing w:after="120"/>
        <w:jc w:val="both"/>
        <w:rPr>
          <w:rFonts w:asciiTheme="minorHAnsi" w:hAnsiTheme="minorHAnsi" w:cstheme="minorHAnsi"/>
          <w:sz w:val="20"/>
          <w:szCs w:val="20"/>
        </w:rPr>
      </w:pPr>
      <w:r w:rsidRPr="00154BDB">
        <w:rPr>
          <w:rFonts w:asciiTheme="minorHAnsi" w:hAnsiTheme="minorHAnsi" w:cstheme="minorHAnsi"/>
          <w:sz w:val="20"/>
          <w:szCs w:val="20"/>
        </w:rPr>
        <w:t>Alchemist Codes Revenue for the Review Period relates to the sale of enterprise messaging apps.</w:t>
      </w:r>
      <w:r w:rsidR="00B575FC" w:rsidRPr="00154BDB">
        <w:rPr>
          <w:rFonts w:asciiTheme="minorHAnsi" w:hAnsiTheme="minorHAnsi" w:cstheme="minorHAnsi"/>
          <w:sz w:val="20"/>
          <w:szCs w:val="20"/>
        </w:rPr>
        <w:t xml:space="preserve"> </w:t>
      </w:r>
      <w:r w:rsidRPr="00154BDB">
        <w:rPr>
          <w:rFonts w:asciiTheme="minorHAnsi" w:hAnsiTheme="minorHAnsi" w:cstheme="minorHAnsi"/>
          <w:sz w:val="20"/>
          <w:szCs w:val="20"/>
        </w:rPr>
        <w:t xml:space="preserve">During </w:t>
      </w:r>
      <w:r w:rsidR="001600D9" w:rsidRPr="00154BDB">
        <w:rPr>
          <w:rFonts w:asciiTheme="minorHAnsi" w:hAnsiTheme="minorHAnsi" w:cstheme="minorHAnsi"/>
          <w:sz w:val="20"/>
          <w:szCs w:val="20"/>
        </w:rPr>
        <w:t>the period from 17 April 2018 to 30 April 2019</w:t>
      </w:r>
      <w:r w:rsidR="0032283B" w:rsidRPr="00154BDB">
        <w:rPr>
          <w:rFonts w:asciiTheme="minorHAnsi" w:hAnsiTheme="minorHAnsi" w:cstheme="minorHAnsi"/>
          <w:sz w:val="20"/>
          <w:szCs w:val="20"/>
        </w:rPr>
        <w:t xml:space="preserve"> and the six months to 31 October 2019,</w:t>
      </w:r>
      <w:r w:rsidRPr="00154BDB">
        <w:rPr>
          <w:rFonts w:asciiTheme="minorHAnsi" w:hAnsiTheme="minorHAnsi" w:cstheme="minorHAnsi"/>
          <w:sz w:val="20"/>
          <w:szCs w:val="20"/>
        </w:rPr>
        <w:t xml:space="preserve"> the Company has sold the messaging app to the customers below:</w:t>
      </w:r>
    </w:p>
    <w:tbl>
      <w:tblPr>
        <w:tblW w:w="6946" w:type="dxa"/>
        <w:tblLook w:val="04A0" w:firstRow="1" w:lastRow="0" w:firstColumn="1" w:lastColumn="0" w:noHBand="0" w:noVBand="1"/>
      </w:tblPr>
      <w:tblGrid>
        <w:gridCol w:w="2700"/>
        <w:gridCol w:w="785"/>
        <w:gridCol w:w="1135"/>
        <w:gridCol w:w="713"/>
        <w:gridCol w:w="1613"/>
      </w:tblGrid>
      <w:tr w:rsidR="001F7270" w:rsidRPr="00154BDB" w14:paraId="1E661F07" w14:textId="77777777" w:rsidTr="0032283B">
        <w:trPr>
          <w:trHeight w:val="300"/>
        </w:trPr>
        <w:tc>
          <w:tcPr>
            <w:tcW w:w="2700" w:type="dxa"/>
            <w:tcBorders>
              <w:top w:val="nil"/>
              <w:left w:val="nil"/>
              <w:bottom w:val="nil"/>
              <w:right w:val="nil"/>
            </w:tcBorders>
            <w:shd w:val="clear" w:color="auto" w:fill="auto"/>
            <w:noWrap/>
            <w:vAlign w:val="bottom"/>
            <w:hideMark/>
          </w:tcPr>
          <w:p w14:paraId="4A36D40E" w14:textId="77777777" w:rsidR="001D28CA" w:rsidRPr="00154BDB" w:rsidRDefault="001D28CA" w:rsidP="00F432B9">
            <w:pPr>
              <w:spacing w:after="0" w:line="240" w:lineRule="auto"/>
              <w:jc w:val="left"/>
              <w:rPr>
                <w:rFonts w:eastAsia="Times New Roman" w:cstheme="minorHAnsi"/>
                <w:szCs w:val="20"/>
                <w:lang w:eastAsia="en-GB"/>
              </w:rPr>
            </w:pPr>
          </w:p>
        </w:tc>
        <w:tc>
          <w:tcPr>
            <w:tcW w:w="1920"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471E71E" w14:textId="354457FE" w:rsidR="001D28CA" w:rsidRPr="00154BDB" w:rsidRDefault="0032283B" w:rsidP="00F432B9">
            <w:pPr>
              <w:spacing w:after="0" w:line="240" w:lineRule="auto"/>
              <w:jc w:val="center"/>
              <w:rPr>
                <w:rFonts w:eastAsia="Times New Roman" w:cstheme="minorHAnsi"/>
                <w:b/>
                <w:bCs/>
                <w:color w:val="000000"/>
                <w:szCs w:val="20"/>
                <w:lang w:eastAsia="en-GB"/>
              </w:rPr>
            </w:pPr>
            <w:r w:rsidRPr="00154BDB">
              <w:rPr>
                <w:rFonts w:eastAsia="Times New Roman" w:cstheme="minorHAnsi"/>
                <w:b/>
                <w:bCs/>
                <w:color w:val="000000"/>
                <w:szCs w:val="20"/>
                <w:lang w:eastAsia="en-GB"/>
              </w:rPr>
              <w:t>Period</w:t>
            </w:r>
            <w:r w:rsidR="001D28CA" w:rsidRPr="00154BDB">
              <w:rPr>
                <w:rFonts w:eastAsia="Times New Roman" w:cstheme="minorHAnsi"/>
                <w:b/>
                <w:bCs/>
                <w:color w:val="000000"/>
                <w:szCs w:val="20"/>
                <w:lang w:eastAsia="en-GB"/>
              </w:rPr>
              <w:t xml:space="preserve"> 2019</w:t>
            </w:r>
          </w:p>
        </w:tc>
        <w:tc>
          <w:tcPr>
            <w:tcW w:w="2326"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10BC2F0F" w14:textId="3ACDBF9B" w:rsidR="001D28CA" w:rsidRPr="00154BDB" w:rsidRDefault="0032283B" w:rsidP="00F432B9">
            <w:pPr>
              <w:spacing w:after="0" w:line="240" w:lineRule="auto"/>
              <w:jc w:val="center"/>
              <w:rPr>
                <w:rFonts w:eastAsia="Times New Roman" w:cstheme="minorHAnsi"/>
                <w:b/>
                <w:bCs/>
                <w:color w:val="000000"/>
                <w:szCs w:val="20"/>
                <w:lang w:eastAsia="en-GB"/>
              </w:rPr>
            </w:pPr>
            <w:r w:rsidRPr="00154BDB">
              <w:rPr>
                <w:rFonts w:eastAsia="Times New Roman" w:cstheme="minorHAnsi"/>
                <w:b/>
                <w:bCs/>
                <w:color w:val="000000"/>
                <w:szCs w:val="20"/>
                <w:lang w:eastAsia="en-GB"/>
              </w:rPr>
              <w:t>Six months to 31 October</w:t>
            </w:r>
            <w:r w:rsidR="001D28CA" w:rsidRPr="00154BDB">
              <w:rPr>
                <w:rFonts w:eastAsia="Times New Roman" w:cstheme="minorHAnsi"/>
                <w:b/>
                <w:bCs/>
                <w:color w:val="000000"/>
                <w:szCs w:val="20"/>
                <w:lang w:eastAsia="en-GB"/>
              </w:rPr>
              <w:t xml:space="preserve"> 2019</w:t>
            </w:r>
          </w:p>
        </w:tc>
      </w:tr>
      <w:tr w:rsidR="001D28CA" w:rsidRPr="00154BDB" w14:paraId="169B54CD" w14:textId="77777777" w:rsidTr="003633CD">
        <w:trPr>
          <w:trHeight w:val="300"/>
        </w:trPr>
        <w:tc>
          <w:tcPr>
            <w:tcW w:w="27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EC11B72" w14:textId="77777777" w:rsidR="001D28CA" w:rsidRPr="00154BDB" w:rsidRDefault="001D28CA" w:rsidP="00496B89">
            <w:pPr>
              <w:spacing w:after="0" w:line="240" w:lineRule="auto"/>
              <w:jc w:val="left"/>
              <w:rPr>
                <w:rFonts w:eastAsia="Times New Roman" w:cstheme="minorHAnsi"/>
                <w:b/>
                <w:bCs/>
                <w:color w:val="000000"/>
                <w:szCs w:val="20"/>
                <w:lang w:eastAsia="en-GB"/>
              </w:rPr>
            </w:pPr>
            <w:r w:rsidRPr="00154BDB">
              <w:rPr>
                <w:rFonts w:eastAsia="Times New Roman" w:cstheme="minorHAnsi"/>
                <w:b/>
                <w:bCs/>
                <w:color w:val="000000"/>
                <w:szCs w:val="20"/>
                <w:lang w:eastAsia="en-GB"/>
              </w:rPr>
              <w:t>Customer</w:t>
            </w:r>
          </w:p>
        </w:tc>
        <w:tc>
          <w:tcPr>
            <w:tcW w:w="1920" w:type="dxa"/>
            <w:gridSpan w:val="2"/>
            <w:tcBorders>
              <w:top w:val="single" w:sz="4" w:space="0" w:color="auto"/>
              <w:left w:val="nil"/>
              <w:bottom w:val="nil"/>
              <w:right w:val="single" w:sz="4" w:space="0" w:color="auto"/>
            </w:tcBorders>
            <w:shd w:val="clear" w:color="000000" w:fill="BFBFBF"/>
            <w:noWrap/>
            <w:vAlign w:val="bottom"/>
            <w:hideMark/>
          </w:tcPr>
          <w:p w14:paraId="6146BE54" w14:textId="229F3756" w:rsidR="001D28CA" w:rsidRPr="00154BDB" w:rsidRDefault="001D28CA" w:rsidP="00F432B9">
            <w:pPr>
              <w:spacing w:after="0" w:line="240" w:lineRule="auto"/>
              <w:jc w:val="center"/>
              <w:rPr>
                <w:rFonts w:eastAsia="Times New Roman" w:cstheme="minorHAnsi"/>
                <w:b/>
                <w:bCs/>
                <w:color w:val="000000"/>
                <w:szCs w:val="20"/>
                <w:lang w:eastAsia="en-GB"/>
              </w:rPr>
            </w:pPr>
            <w:r w:rsidRPr="00154BDB">
              <w:rPr>
                <w:rFonts w:eastAsia="Times New Roman" w:cstheme="minorHAnsi"/>
                <w:b/>
                <w:bCs/>
                <w:color w:val="000000"/>
                <w:szCs w:val="20"/>
                <w:lang w:eastAsia="en-GB"/>
              </w:rPr>
              <w:t>Audited (</w:t>
            </w:r>
            <w:r w:rsidR="005606E3" w:rsidRPr="00154BDB">
              <w:rPr>
                <w:rFonts w:eastAsia="Times New Roman" w:cstheme="minorHAnsi"/>
                <w:b/>
                <w:bCs/>
                <w:color w:val="000000"/>
                <w:szCs w:val="20"/>
                <w:lang w:eastAsia="en-GB"/>
              </w:rPr>
              <w:t>RM</w:t>
            </w:r>
            <w:r w:rsidRPr="00154BDB">
              <w:rPr>
                <w:rFonts w:eastAsia="Times New Roman" w:cstheme="minorHAnsi"/>
                <w:b/>
                <w:bCs/>
                <w:color w:val="000000"/>
                <w:szCs w:val="20"/>
                <w:lang w:eastAsia="en-GB"/>
              </w:rPr>
              <w:t>'000)</w:t>
            </w:r>
          </w:p>
        </w:tc>
        <w:tc>
          <w:tcPr>
            <w:tcW w:w="2326" w:type="dxa"/>
            <w:gridSpan w:val="2"/>
            <w:tcBorders>
              <w:top w:val="single" w:sz="4" w:space="0" w:color="auto"/>
              <w:left w:val="nil"/>
              <w:bottom w:val="nil"/>
              <w:right w:val="single" w:sz="4" w:space="0" w:color="auto"/>
            </w:tcBorders>
            <w:shd w:val="clear" w:color="000000" w:fill="BFBFBF"/>
            <w:noWrap/>
            <w:vAlign w:val="bottom"/>
            <w:hideMark/>
          </w:tcPr>
          <w:p w14:paraId="72007527" w14:textId="511AAA25" w:rsidR="001D28CA" w:rsidRPr="00154BDB" w:rsidRDefault="001D28CA" w:rsidP="00F432B9">
            <w:pPr>
              <w:spacing w:after="0" w:line="240" w:lineRule="auto"/>
              <w:jc w:val="center"/>
              <w:rPr>
                <w:rFonts w:eastAsia="Times New Roman" w:cstheme="minorHAnsi"/>
                <w:b/>
                <w:bCs/>
                <w:color w:val="000000"/>
                <w:szCs w:val="20"/>
                <w:lang w:eastAsia="en-GB"/>
              </w:rPr>
            </w:pPr>
            <w:r w:rsidRPr="00154BDB">
              <w:rPr>
                <w:rFonts w:eastAsia="Times New Roman" w:cstheme="minorHAnsi"/>
                <w:b/>
                <w:bCs/>
                <w:color w:val="000000"/>
                <w:szCs w:val="20"/>
                <w:lang w:eastAsia="en-GB"/>
              </w:rPr>
              <w:t>Mgmt Accs (</w:t>
            </w:r>
            <w:r w:rsidR="005606E3" w:rsidRPr="00154BDB">
              <w:rPr>
                <w:rFonts w:eastAsia="Times New Roman" w:cstheme="minorHAnsi"/>
                <w:b/>
                <w:bCs/>
                <w:color w:val="000000"/>
                <w:szCs w:val="20"/>
                <w:lang w:eastAsia="en-GB"/>
              </w:rPr>
              <w:t>RM</w:t>
            </w:r>
            <w:r w:rsidRPr="00154BDB">
              <w:rPr>
                <w:rFonts w:eastAsia="Times New Roman" w:cstheme="minorHAnsi"/>
                <w:b/>
                <w:bCs/>
                <w:color w:val="000000"/>
                <w:szCs w:val="20"/>
                <w:lang w:eastAsia="en-GB"/>
              </w:rPr>
              <w:t>'000)</w:t>
            </w:r>
          </w:p>
        </w:tc>
      </w:tr>
      <w:tr w:rsidR="001D28CA" w:rsidRPr="00154BDB" w14:paraId="78D1AEE9" w14:textId="77777777" w:rsidTr="003633CD">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0110B38" w14:textId="77777777" w:rsidR="001D28CA" w:rsidRPr="00154BDB" w:rsidRDefault="001D28CA" w:rsidP="00496B89">
            <w:pPr>
              <w:spacing w:after="0" w:line="240" w:lineRule="auto"/>
              <w:jc w:val="left"/>
              <w:rPr>
                <w:rFonts w:eastAsia="Times New Roman" w:cstheme="minorHAnsi"/>
                <w:color w:val="000000"/>
                <w:szCs w:val="20"/>
                <w:lang w:eastAsia="en-GB"/>
              </w:rPr>
            </w:pPr>
            <w:r w:rsidRPr="00154BDB">
              <w:rPr>
                <w:rFonts w:eastAsia="Times New Roman" w:cstheme="minorHAnsi"/>
                <w:color w:val="000000"/>
                <w:szCs w:val="20"/>
                <w:lang w:eastAsia="en-GB"/>
              </w:rPr>
              <w:t>Watsup Limited</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08E85FE1" w14:textId="023C695D" w:rsidR="001D28CA" w:rsidRPr="00154BDB" w:rsidRDefault="00DE67C8"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55B2E9DE" w14:textId="62A2D645" w:rsidR="001D28CA" w:rsidRPr="00154BDB" w:rsidRDefault="00DE67C8"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w:t>
            </w:r>
          </w:p>
        </w:tc>
        <w:tc>
          <w:tcPr>
            <w:tcW w:w="713" w:type="dxa"/>
            <w:tcBorders>
              <w:top w:val="single" w:sz="4" w:space="0" w:color="auto"/>
              <w:left w:val="nil"/>
              <w:bottom w:val="single" w:sz="4" w:space="0" w:color="auto"/>
              <w:right w:val="single" w:sz="4" w:space="0" w:color="auto"/>
            </w:tcBorders>
            <w:shd w:val="clear" w:color="auto" w:fill="auto"/>
            <w:noWrap/>
            <w:vAlign w:val="bottom"/>
            <w:hideMark/>
          </w:tcPr>
          <w:p w14:paraId="4BC2CD27" w14:textId="1C030BD5" w:rsidR="001D28CA" w:rsidRPr="00154BDB" w:rsidRDefault="009C2708"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1,30</w:t>
            </w:r>
          </w:p>
        </w:tc>
        <w:tc>
          <w:tcPr>
            <w:tcW w:w="1613" w:type="dxa"/>
            <w:tcBorders>
              <w:top w:val="single" w:sz="4" w:space="0" w:color="auto"/>
              <w:left w:val="nil"/>
              <w:bottom w:val="single" w:sz="4" w:space="0" w:color="auto"/>
              <w:right w:val="single" w:sz="4" w:space="0" w:color="auto"/>
            </w:tcBorders>
            <w:shd w:val="clear" w:color="auto" w:fill="auto"/>
            <w:noWrap/>
            <w:vAlign w:val="bottom"/>
            <w:hideMark/>
          </w:tcPr>
          <w:p w14:paraId="0B453367" w14:textId="3BE9B109" w:rsidR="001D28CA" w:rsidRPr="00154BDB" w:rsidRDefault="00DE67C8"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8</w:t>
            </w:r>
            <w:r w:rsidR="009E770E" w:rsidRPr="00154BDB">
              <w:rPr>
                <w:rFonts w:eastAsia="Times New Roman" w:cstheme="minorHAnsi"/>
                <w:color w:val="000000"/>
                <w:szCs w:val="20"/>
                <w:lang w:eastAsia="en-GB"/>
              </w:rPr>
              <w:t>5.5</w:t>
            </w:r>
            <w:r w:rsidR="001D28CA" w:rsidRPr="00154BDB">
              <w:rPr>
                <w:rFonts w:eastAsia="Times New Roman" w:cstheme="minorHAnsi"/>
                <w:color w:val="000000"/>
                <w:szCs w:val="20"/>
                <w:lang w:eastAsia="en-GB"/>
              </w:rPr>
              <w:t>%</w:t>
            </w:r>
          </w:p>
        </w:tc>
      </w:tr>
      <w:tr w:rsidR="001D28CA" w:rsidRPr="00154BDB" w14:paraId="4F5ED17A" w14:textId="77777777" w:rsidTr="003633CD">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F301F33" w14:textId="77777777" w:rsidR="001D28CA" w:rsidRPr="00154BDB" w:rsidRDefault="001D28CA" w:rsidP="00496B89">
            <w:pPr>
              <w:spacing w:after="0" w:line="240" w:lineRule="auto"/>
              <w:jc w:val="left"/>
              <w:rPr>
                <w:rFonts w:eastAsia="Times New Roman" w:cstheme="minorHAnsi"/>
                <w:color w:val="000000"/>
                <w:szCs w:val="20"/>
                <w:lang w:eastAsia="en-GB"/>
              </w:rPr>
            </w:pPr>
            <w:r w:rsidRPr="00154BDB">
              <w:rPr>
                <w:rFonts w:eastAsia="Times New Roman" w:cstheme="minorHAnsi"/>
                <w:color w:val="000000"/>
                <w:szCs w:val="20"/>
                <w:lang w:eastAsia="en-GB"/>
              </w:rPr>
              <w:t>MMCS Events Sdn. Bhd.</w:t>
            </w:r>
          </w:p>
        </w:tc>
        <w:tc>
          <w:tcPr>
            <w:tcW w:w="785" w:type="dxa"/>
            <w:tcBorders>
              <w:top w:val="nil"/>
              <w:left w:val="nil"/>
              <w:bottom w:val="single" w:sz="4" w:space="0" w:color="auto"/>
              <w:right w:val="single" w:sz="4" w:space="0" w:color="auto"/>
            </w:tcBorders>
            <w:shd w:val="clear" w:color="auto" w:fill="auto"/>
            <w:noWrap/>
            <w:vAlign w:val="bottom"/>
            <w:hideMark/>
          </w:tcPr>
          <w:p w14:paraId="1429B96D" w14:textId="77777777" w:rsidR="001D28CA" w:rsidRPr="00154BDB" w:rsidRDefault="001D28CA"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555</w:t>
            </w:r>
          </w:p>
        </w:tc>
        <w:tc>
          <w:tcPr>
            <w:tcW w:w="1135" w:type="dxa"/>
            <w:tcBorders>
              <w:top w:val="nil"/>
              <w:left w:val="nil"/>
              <w:bottom w:val="single" w:sz="4" w:space="0" w:color="auto"/>
              <w:right w:val="single" w:sz="4" w:space="0" w:color="auto"/>
            </w:tcBorders>
            <w:shd w:val="clear" w:color="auto" w:fill="auto"/>
            <w:noWrap/>
            <w:vAlign w:val="bottom"/>
            <w:hideMark/>
          </w:tcPr>
          <w:p w14:paraId="1FBB5288" w14:textId="0F398B20" w:rsidR="001D28CA" w:rsidRPr="00154BDB" w:rsidRDefault="00957D05"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50</w:t>
            </w:r>
            <w:r w:rsidR="001D28CA" w:rsidRPr="00154BDB">
              <w:rPr>
                <w:rFonts w:eastAsia="Times New Roman" w:cstheme="minorHAnsi"/>
                <w:color w:val="000000"/>
                <w:szCs w:val="20"/>
                <w:lang w:eastAsia="en-GB"/>
              </w:rPr>
              <w:t>%</w:t>
            </w:r>
          </w:p>
        </w:tc>
        <w:tc>
          <w:tcPr>
            <w:tcW w:w="713" w:type="dxa"/>
            <w:tcBorders>
              <w:top w:val="nil"/>
              <w:left w:val="nil"/>
              <w:bottom w:val="single" w:sz="4" w:space="0" w:color="auto"/>
              <w:right w:val="single" w:sz="4" w:space="0" w:color="auto"/>
            </w:tcBorders>
            <w:shd w:val="clear" w:color="auto" w:fill="auto"/>
            <w:noWrap/>
            <w:vAlign w:val="bottom"/>
            <w:hideMark/>
          </w:tcPr>
          <w:p w14:paraId="7059ED44" w14:textId="2D9B10D6" w:rsidR="001D28CA" w:rsidRPr="00154BDB" w:rsidRDefault="00957D05"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5</w:t>
            </w:r>
            <w:r w:rsidR="009C2708" w:rsidRPr="00154BDB">
              <w:rPr>
                <w:rFonts w:eastAsia="Times New Roman" w:cstheme="minorHAnsi"/>
                <w:color w:val="000000"/>
                <w:szCs w:val="20"/>
                <w:lang w:eastAsia="en-GB"/>
              </w:rPr>
              <w:t>0</w:t>
            </w:r>
          </w:p>
        </w:tc>
        <w:tc>
          <w:tcPr>
            <w:tcW w:w="1613" w:type="dxa"/>
            <w:tcBorders>
              <w:top w:val="nil"/>
              <w:left w:val="nil"/>
              <w:bottom w:val="single" w:sz="4" w:space="0" w:color="auto"/>
              <w:right w:val="single" w:sz="4" w:space="0" w:color="auto"/>
            </w:tcBorders>
            <w:shd w:val="clear" w:color="auto" w:fill="auto"/>
            <w:noWrap/>
            <w:vAlign w:val="bottom"/>
            <w:hideMark/>
          </w:tcPr>
          <w:p w14:paraId="44F03CF1" w14:textId="30E19CC9" w:rsidR="001D28CA" w:rsidRPr="00154BDB" w:rsidRDefault="009E770E"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4.1</w:t>
            </w:r>
            <w:r w:rsidR="001D28CA" w:rsidRPr="00154BDB">
              <w:rPr>
                <w:rFonts w:eastAsia="Times New Roman" w:cstheme="minorHAnsi"/>
                <w:color w:val="000000"/>
                <w:szCs w:val="20"/>
                <w:lang w:eastAsia="en-GB"/>
              </w:rPr>
              <w:t>%</w:t>
            </w:r>
          </w:p>
        </w:tc>
      </w:tr>
      <w:tr w:rsidR="001D28CA" w:rsidRPr="00154BDB" w14:paraId="01067A0E" w14:textId="77777777" w:rsidTr="003633CD">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3970CB1" w14:textId="77777777" w:rsidR="001D28CA" w:rsidRPr="00154BDB" w:rsidRDefault="001D28CA" w:rsidP="00496B89">
            <w:pPr>
              <w:spacing w:after="0" w:line="240" w:lineRule="auto"/>
              <w:jc w:val="left"/>
              <w:rPr>
                <w:rFonts w:eastAsia="Times New Roman" w:cstheme="minorHAnsi"/>
                <w:color w:val="000000"/>
                <w:szCs w:val="20"/>
                <w:lang w:eastAsia="en-GB"/>
              </w:rPr>
            </w:pPr>
            <w:r w:rsidRPr="00154BDB">
              <w:rPr>
                <w:rFonts w:eastAsia="Times New Roman" w:cstheme="minorHAnsi"/>
                <w:color w:val="000000"/>
                <w:szCs w:val="20"/>
                <w:lang w:eastAsia="en-GB"/>
              </w:rPr>
              <w:t>PT. Vitta Global Konsolidasi</w:t>
            </w:r>
          </w:p>
        </w:tc>
        <w:tc>
          <w:tcPr>
            <w:tcW w:w="785" w:type="dxa"/>
            <w:tcBorders>
              <w:top w:val="nil"/>
              <w:left w:val="nil"/>
              <w:bottom w:val="single" w:sz="4" w:space="0" w:color="auto"/>
              <w:right w:val="single" w:sz="4" w:space="0" w:color="auto"/>
            </w:tcBorders>
            <w:shd w:val="clear" w:color="auto" w:fill="auto"/>
            <w:noWrap/>
            <w:vAlign w:val="bottom"/>
            <w:hideMark/>
          </w:tcPr>
          <w:p w14:paraId="54CE8DD5" w14:textId="77777777" w:rsidR="001D28CA" w:rsidRPr="00154BDB" w:rsidRDefault="001D28CA"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555</w:t>
            </w:r>
          </w:p>
        </w:tc>
        <w:tc>
          <w:tcPr>
            <w:tcW w:w="1135" w:type="dxa"/>
            <w:tcBorders>
              <w:top w:val="nil"/>
              <w:left w:val="nil"/>
              <w:bottom w:val="single" w:sz="4" w:space="0" w:color="auto"/>
              <w:right w:val="single" w:sz="4" w:space="0" w:color="auto"/>
            </w:tcBorders>
            <w:shd w:val="clear" w:color="auto" w:fill="auto"/>
            <w:noWrap/>
            <w:vAlign w:val="bottom"/>
            <w:hideMark/>
          </w:tcPr>
          <w:p w14:paraId="132412AD" w14:textId="5A48A9F4" w:rsidR="001D28CA" w:rsidRPr="00154BDB" w:rsidRDefault="00957D05"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50</w:t>
            </w:r>
            <w:r w:rsidR="001D28CA" w:rsidRPr="00154BDB">
              <w:rPr>
                <w:rFonts w:eastAsia="Times New Roman" w:cstheme="minorHAnsi"/>
                <w:color w:val="000000"/>
                <w:szCs w:val="20"/>
                <w:lang w:eastAsia="en-GB"/>
              </w:rPr>
              <w:t>%</w:t>
            </w:r>
          </w:p>
        </w:tc>
        <w:tc>
          <w:tcPr>
            <w:tcW w:w="713" w:type="dxa"/>
            <w:tcBorders>
              <w:top w:val="nil"/>
              <w:left w:val="nil"/>
              <w:bottom w:val="single" w:sz="4" w:space="0" w:color="auto"/>
              <w:right w:val="single" w:sz="4" w:space="0" w:color="auto"/>
            </w:tcBorders>
            <w:shd w:val="clear" w:color="auto" w:fill="auto"/>
            <w:noWrap/>
            <w:vAlign w:val="bottom"/>
            <w:hideMark/>
          </w:tcPr>
          <w:p w14:paraId="69ED38B5" w14:textId="30ACD4CD" w:rsidR="001D28CA" w:rsidRPr="00154BDB" w:rsidRDefault="00957D05"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125</w:t>
            </w:r>
          </w:p>
        </w:tc>
        <w:tc>
          <w:tcPr>
            <w:tcW w:w="1613" w:type="dxa"/>
            <w:tcBorders>
              <w:top w:val="nil"/>
              <w:left w:val="nil"/>
              <w:bottom w:val="single" w:sz="4" w:space="0" w:color="auto"/>
              <w:right w:val="single" w:sz="4" w:space="0" w:color="auto"/>
            </w:tcBorders>
            <w:shd w:val="clear" w:color="auto" w:fill="auto"/>
            <w:noWrap/>
            <w:vAlign w:val="bottom"/>
            <w:hideMark/>
          </w:tcPr>
          <w:p w14:paraId="4CA56AFE" w14:textId="716C8A2C" w:rsidR="001D28CA" w:rsidRPr="00154BDB" w:rsidRDefault="00957D05"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1</w:t>
            </w:r>
            <w:r w:rsidR="009E770E" w:rsidRPr="00154BDB">
              <w:rPr>
                <w:rFonts w:eastAsia="Times New Roman" w:cstheme="minorHAnsi"/>
                <w:color w:val="000000"/>
                <w:szCs w:val="20"/>
                <w:lang w:eastAsia="en-GB"/>
              </w:rPr>
              <w:t>0.4</w:t>
            </w:r>
            <w:r w:rsidR="001D28CA" w:rsidRPr="00154BDB">
              <w:rPr>
                <w:rFonts w:eastAsia="Times New Roman" w:cstheme="minorHAnsi"/>
                <w:color w:val="000000"/>
                <w:szCs w:val="20"/>
                <w:lang w:eastAsia="en-GB"/>
              </w:rPr>
              <w:t>%</w:t>
            </w:r>
          </w:p>
        </w:tc>
      </w:tr>
      <w:tr w:rsidR="001D28CA" w:rsidRPr="00154BDB" w14:paraId="30A4533D" w14:textId="77777777" w:rsidTr="003633CD">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850E26" w14:textId="77777777" w:rsidR="001D28CA" w:rsidRPr="00154BDB" w:rsidRDefault="001D28CA" w:rsidP="00496B89">
            <w:pPr>
              <w:spacing w:after="0" w:line="240" w:lineRule="auto"/>
              <w:jc w:val="left"/>
              <w:rPr>
                <w:rFonts w:eastAsia="Times New Roman" w:cstheme="minorHAnsi"/>
                <w:color w:val="000000"/>
                <w:szCs w:val="20"/>
                <w:lang w:eastAsia="en-GB"/>
              </w:rPr>
            </w:pPr>
            <w:r w:rsidRPr="00154BDB">
              <w:rPr>
                <w:rFonts w:eastAsia="Times New Roman" w:cstheme="minorHAnsi"/>
                <w:color w:val="000000"/>
                <w:szCs w:val="20"/>
                <w:lang w:eastAsia="en-GB"/>
              </w:rPr>
              <w:t>Total Sales</w:t>
            </w:r>
          </w:p>
        </w:tc>
        <w:tc>
          <w:tcPr>
            <w:tcW w:w="785" w:type="dxa"/>
            <w:tcBorders>
              <w:top w:val="nil"/>
              <w:left w:val="nil"/>
              <w:bottom w:val="single" w:sz="4" w:space="0" w:color="auto"/>
              <w:right w:val="single" w:sz="4" w:space="0" w:color="auto"/>
            </w:tcBorders>
            <w:shd w:val="clear" w:color="auto" w:fill="auto"/>
            <w:noWrap/>
            <w:vAlign w:val="bottom"/>
            <w:hideMark/>
          </w:tcPr>
          <w:p w14:paraId="3B7CC84F" w14:textId="6BFDA1AF" w:rsidR="001D28CA" w:rsidRPr="00154BDB" w:rsidRDefault="00957D05"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1,110</w:t>
            </w:r>
          </w:p>
        </w:tc>
        <w:tc>
          <w:tcPr>
            <w:tcW w:w="1135" w:type="dxa"/>
            <w:tcBorders>
              <w:top w:val="nil"/>
              <w:left w:val="nil"/>
              <w:bottom w:val="single" w:sz="4" w:space="0" w:color="auto"/>
              <w:right w:val="single" w:sz="4" w:space="0" w:color="auto"/>
            </w:tcBorders>
            <w:shd w:val="clear" w:color="auto" w:fill="auto"/>
            <w:noWrap/>
            <w:vAlign w:val="bottom"/>
            <w:hideMark/>
          </w:tcPr>
          <w:p w14:paraId="3D1D517F" w14:textId="77777777" w:rsidR="001D28CA" w:rsidRPr="00154BDB" w:rsidRDefault="001D28CA"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100%</w:t>
            </w:r>
          </w:p>
        </w:tc>
        <w:tc>
          <w:tcPr>
            <w:tcW w:w="713" w:type="dxa"/>
            <w:tcBorders>
              <w:top w:val="nil"/>
              <w:left w:val="nil"/>
              <w:bottom w:val="single" w:sz="4" w:space="0" w:color="auto"/>
              <w:right w:val="single" w:sz="4" w:space="0" w:color="auto"/>
            </w:tcBorders>
            <w:shd w:val="clear" w:color="auto" w:fill="auto"/>
            <w:noWrap/>
            <w:vAlign w:val="bottom"/>
            <w:hideMark/>
          </w:tcPr>
          <w:p w14:paraId="28CC43F7" w14:textId="7C309F65" w:rsidR="001D28CA" w:rsidRPr="00154BDB" w:rsidRDefault="009C2708"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1,205</w:t>
            </w:r>
          </w:p>
        </w:tc>
        <w:tc>
          <w:tcPr>
            <w:tcW w:w="1613" w:type="dxa"/>
            <w:tcBorders>
              <w:top w:val="nil"/>
              <w:left w:val="nil"/>
              <w:bottom w:val="single" w:sz="4" w:space="0" w:color="auto"/>
              <w:right w:val="single" w:sz="4" w:space="0" w:color="auto"/>
            </w:tcBorders>
            <w:shd w:val="clear" w:color="auto" w:fill="auto"/>
            <w:noWrap/>
            <w:vAlign w:val="bottom"/>
            <w:hideMark/>
          </w:tcPr>
          <w:p w14:paraId="3F581181" w14:textId="77777777" w:rsidR="001D28CA" w:rsidRPr="00154BDB" w:rsidRDefault="001D28CA" w:rsidP="00F432B9">
            <w:pPr>
              <w:spacing w:after="0" w:line="240" w:lineRule="auto"/>
              <w:jc w:val="right"/>
              <w:rPr>
                <w:rFonts w:eastAsia="Times New Roman" w:cstheme="minorHAnsi"/>
                <w:color w:val="000000"/>
                <w:szCs w:val="20"/>
                <w:lang w:eastAsia="en-GB"/>
              </w:rPr>
            </w:pPr>
            <w:r w:rsidRPr="00154BDB">
              <w:rPr>
                <w:rFonts w:eastAsia="Times New Roman" w:cstheme="minorHAnsi"/>
                <w:color w:val="000000"/>
                <w:szCs w:val="20"/>
                <w:lang w:eastAsia="en-GB"/>
              </w:rPr>
              <w:t>100%</w:t>
            </w:r>
          </w:p>
        </w:tc>
      </w:tr>
    </w:tbl>
    <w:p w14:paraId="2B1A08AE" w14:textId="79F87A2E" w:rsidR="001D28CA" w:rsidRPr="00154BDB" w:rsidRDefault="001D28CA" w:rsidP="00496B89">
      <w:pPr>
        <w:pStyle w:val="Default"/>
        <w:spacing w:after="120"/>
        <w:jc w:val="both"/>
        <w:rPr>
          <w:rFonts w:asciiTheme="minorHAnsi" w:hAnsiTheme="minorHAnsi" w:cstheme="minorHAnsi"/>
          <w:sz w:val="20"/>
          <w:szCs w:val="20"/>
        </w:rPr>
      </w:pPr>
    </w:p>
    <w:p w14:paraId="0DCFEC67" w14:textId="10A34D52" w:rsidR="003436FA" w:rsidRPr="00154BDB" w:rsidRDefault="0019115D" w:rsidP="00496B89">
      <w:pPr>
        <w:pStyle w:val="Default"/>
        <w:spacing w:after="120"/>
        <w:jc w:val="both"/>
        <w:rPr>
          <w:rFonts w:asciiTheme="minorHAnsi" w:hAnsiTheme="minorHAnsi" w:cstheme="minorHAnsi"/>
          <w:sz w:val="20"/>
          <w:szCs w:val="20"/>
        </w:rPr>
      </w:pPr>
      <w:r w:rsidRPr="00154BDB">
        <w:rPr>
          <w:rFonts w:asciiTheme="minorHAnsi" w:hAnsiTheme="minorHAnsi" w:cstheme="minorHAnsi"/>
          <w:sz w:val="20"/>
          <w:szCs w:val="20"/>
        </w:rPr>
        <w:t>Alchemist</w:t>
      </w:r>
      <w:r w:rsidR="000370B8" w:rsidRPr="00154BDB">
        <w:rPr>
          <w:rFonts w:asciiTheme="minorHAnsi" w:hAnsiTheme="minorHAnsi" w:cstheme="minorHAnsi"/>
          <w:sz w:val="20"/>
          <w:szCs w:val="20"/>
        </w:rPr>
        <w:t xml:space="preserve"> Codes began earning maintenance income</w:t>
      </w:r>
      <w:r w:rsidR="00580B24" w:rsidRPr="00154BDB">
        <w:rPr>
          <w:rFonts w:asciiTheme="minorHAnsi" w:hAnsiTheme="minorHAnsi" w:cstheme="minorHAnsi"/>
          <w:sz w:val="20"/>
          <w:szCs w:val="20"/>
        </w:rPr>
        <w:t xml:space="preserve"> and cashback earnings</w:t>
      </w:r>
      <w:r w:rsidR="0045253F" w:rsidRPr="00154BDB">
        <w:rPr>
          <w:rFonts w:asciiTheme="minorHAnsi" w:hAnsiTheme="minorHAnsi" w:cstheme="minorHAnsi"/>
          <w:sz w:val="20"/>
          <w:szCs w:val="20"/>
        </w:rPr>
        <w:t xml:space="preserve"> during the six months </w:t>
      </w:r>
      <w:r w:rsidR="00FC4A3B" w:rsidRPr="00154BDB">
        <w:rPr>
          <w:rFonts w:asciiTheme="minorHAnsi" w:hAnsiTheme="minorHAnsi" w:cstheme="minorHAnsi"/>
          <w:sz w:val="20"/>
          <w:szCs w:val="20"/>
        </w:rPr>
        <w:t xml:space="preserve">to 31 October 2019 which amounted to </w:t>
      </w:r>
      <w:r w:rsidR="003436FA" w:rsidRPr="00154BDB">
        <w:rPr>
          <w:rFonts w:asciiTheme="minorHAnsi" w:hAnsiTheme="minorHAnsi" w:cstheme="minorHAnsi"/>
          <w:sz w:val="20"/>
          <w:szCs w:val="20"/>
        </w:rPr>
        <w:t xml:space="preserve">RM </w:t>
      </w:r>
      <w:r w:rsidR="00FC4A3B" w:rsidRPr="00154BDB">
        <w:rPr>
          <w:rFonts w:asciiTheme="minorHAnsi" w:hAnsiTheme="minorHAnsi" w:cstheme="minorHAnsi"/>
          <w:sz w:val="20"/>
          <w:szCs w:val="20"/>
        </w:rPr>
        <w:t>300</w:t>
      </w:r>
      <w:r w:rsidR="003436FA" w:rsidRPr="00154BDB">
        <w:rPr>
          <w:rFonts w:asciiTheme="minorHAnsi" w:hAnsiTheme="minorHAnsi" w:cstheme="minorHAnsi"/>
          <w:sz w:val="20"/>
          <w:szCs w:val="20"/>
        </w:rPr>
        <w:t>k</w:t>
      </w:r>
      <w:r w:rsidR="00580B24" w:rsidRPr="00154BDB">
        <w:rPr>
          <w:rFonts w:asciiTheme="minorHAnsi" w:hAnsiTheme="minorHAnsi" w:cstheme="minorHAnsi"/>
          <w:sz w:val="20"/>
          <w:szCs w:val="20"/>
        </w:rPr>
        <w:t xml:space="preserve"> and RM 82k respectively</w:t>
      </w:r>
      <w:r w:rsidR="003436FA" w:rsidRPr="00154BDB">
        <w:rPr>
          <w:rFonts w:asciiTheme="minorHAnsi" w:hAnsiTheme="minorHAnsi" w:cstheme="minorHAnsi"/>
          <w:sz w:val="20"/>
          <w:szCs w:val="20"/>
        </w:rPr>
        <w:t>.</w:t>
      </w:r>
    </w:p>
    <w:p w14:paraId="20CBB38F" w14:textId="77777777" w:rsidR="001D28CA" w:rsidRPr="00154BDB" w:rsidRDefault="001D28CA" w:rsidP="00EA2BB6">
      <w:pPr>
        <w:spacing w:after="120" w:line="240" w:lineRule="auto"/>
        <w:rPr>
          <w:rFonts w:cstheme="minorHAnsi"/>
          <w:b/>
          <w:bCs/>
          <w:szCs w:val="20"/>
        </w:rPr>
      </w:pPr>
      <w:r w:rsidRPr="00154BDB">
        <w:rPr>
          <w:rFonts w:cstheme="minorHAnsi"/>
          <w:b/>
          <w:bCs/>
          <w:szCs w:val="20"/>
        </w:rPr>
        <w:t>Operating Expenses</w:t>
      </w:r>
    </w:p>
    <w:p w14:paraId="41B43F34" w14:textId="77777777" w:rsidR="001D28CA" w:rsidRPr="00154BDB" w:rsidRDefault="001D28CA" w:rsidP="00EA2BB6">
      <w:pPr>
        <w:pStyle w:val="Default"/>
        <w:spacing w:after="120"/>
        <w:jc w:val="both"/>
        <w:rPr>
          <w:rFonts w:asciiTheme="minorHAnsi" w:hAnsiTheme="minorHAnsi" w:cstheme="minorHAnsi"/>
          <w:sz w:val="20"/>
          <w:szCs w:val="20"/>
        </w:rPr>
      </w:pPr>
      <w:r w:rsidRPr="00154BDB">
        <w:rPr>
          <w:rFonts w:asciiTheme="minorHAnsi" w:hAnsiTheme="minorHAnsi" w:cstheme="minorHAnsi"/>
          <w:sz w:val="20"/>
          <w:szCs w:val="20"/>
        </w:rPr>
        <w:t xml:space="preserve">Alchemist Codes’ main costs relate to staff costs. </w:t>
      </w:r>
    </w:p>
    <w:p w14:paraId="2C118238" w14:textId="5F478FAC" w:rsidR="001D28CA" w:rsidRPr="00154BDB" w:rsidRDefault="001D28CA" w:rsidP="00EA2BB6">
      <w:pPr>
        <w:autoSpaceDE w:val="0"/>
        <w:autoSpaceDN w:val="0"/>
        <w:adjustRightInd w:val="0"/>
        <w:spacing w:after="120" w:line="240" w:lineRule="auto"/>
        <w:rPr>
          <w:rFonts w:cstheme="minorHAnsi"/>
          <w:color w:val="000000"/>
          <w:szCs w:val="20"/>
        </w:rPr>
      </w:pPr>
      <w:r w:rsidRPr="00154BDB">
        <w:rPr>
          <w:rFonts w:cstheme="minorHAnsi"/>
          <w:color w:val="000000"/>
          <w:szCs w:val="20"/>
        </w:rPr>
        <w:t>Staff costs are split between various categories within the income statement.</w:t>
      </w:r>
      <w:r w:rsidR="00B575FC" w:rsidRPr="00154BDB">
        <w:rPr>
          <w:rFonts w:cstheme="minorHAnsi"/>
          <w:color w:val="000000"/>
          <w:szCs w:val="20"/>
        </w:rPr>
        <w:t xml:space="preserve"> </w:t>
      </w:r>
      <w:r w:rsidRPr="00154BDB">
        <w:rPr>
          <w:rFonts w:cstheme="minorHAnsi"/>
          <w:color w:val="000000"/>
          <w:szCs w:val="20"/>
        </w:rPr>
        <w:t>Staff costs include staff salaries, pension contributions, bonuses and other consultant and professional charges attributable to directors and consultants.</w:t>
      </w:r>
      <w:r w:rsidR="005B4EF7" w:rsidRPr="00154BDB">
        <w:rPr>
          <w:rFonts w:cstheme="minorHAnsi"/>
          <w:color w:val="000000"/>
          <w:szCs w:val="20"/>
        </w:rPr>
        <w:t xml:space="preserve"> There </w:t>
      </w:r>
      <w:r w:rsidR="00957D05" w:rsidRPr="00154BDB">
        <w:rPr>
          <w:rFonts w:cstheme="minorHAnsi"/>
          <w:color w:val="000000"/>
          <w:szCs w:val="20"/>
        </w:rPr>
        <w:t>were</w:t>
      </w:r>
      <w:r w:rsidR="00CF1793" w:rsidRPr="00154BDB">
        <w:rPr>
          <w:rFonts w:cstheme="minorHAnsi"/>
          <w:color w:val="000000"/>
          <w:szCs w:val="20"/>
        </w:rPr>
        <w:t xml:space="preserve"> 17 employees as at 30 April 2019 and Alchemist codes currently has </w:t>
      </w:r>
      <w:r w:rsidR="000A1845" w:rsidRPr="00154BDB">
        <w:rPr>
          <w:rFonts w:cstheme="minorHAnsi"/>
          <w:color w:val="000000"/>
          <w:szCs w:val="20"/>
        </w:rPr>
        <w:t>20</w:t>
      </w:r>
      <w:r w:rsidR="00CF1793" w:rsidRPr="00154BDB">
        <w:rPr>
          <w:rFonts w:cstheme="minorHAnsi"/>
          <w:color w:val="000000"/>
          <w:szCs w:val="20"/>
        </w:rPr>
        <w:t xml:space="preserve"> employees at the date of this Prospectus</w:t>
      </w:r>
      <w:r w:rsidR="004F37D4" w:rsidRPr="00154BDB">
        <w:rPr>
          <w:rFonts w:cstheme="minorHAnsi"/>
          <w:color w:val="000000"/>
          <w:szCs w:val="20"/>
        </w:rPr>
        <w:t xml:space="preserve"> and </w:t>
      </w:r>
      <w:r w:rsidR="000C2E04" w:rsidRPr="00154BDB">
        <w:rPr>
          <w:rFonts w:cstheme="minorHAnsi"/>
          <w:color w:val="000000"/>
          <w:szCs w:val="20"/>
        </w:rPr>
        <w:t xml:space="preserve">the Enlarged Group </w:t>
      </w:r>
      <w:r w:rsidR="004F37D4" w:rsidRPr="00154BDB">
        <w:rPr>
          <w:rFonts w:cstheme="minorHAnsi"/>
          <w:color w:val="000000"/>
          <w:szCs w:val="20"/>
        </w:rPr>
        <w:t>expects to have 22 employees at Re-Admission</w:t>
      </w:r>
      <w:r w:rsidR="00CF1793" w:rsidRPr="00154BDB">
        <w:rPr>
          <w:rFonts w:cstheme="minorHAnsi"/>
          <w:color w:val="000000"/>
          <w:szCs w:val="20"/>
        </w:rPr>
        <w:t>.</w:t>
      </w:r>
      <w:r w:rsidR="00DF6C77" w:rsidRPr="00154BDB">
        <w:rPr>
          <w:rFonts w:cstheme="minorHAnsi"/>
          <w:color w:val="000000"/>
          <w:szCs w:val="20"/>
        </w:rPr>
        <w:t xml:space="preserve"> Operating expenses increased year on year for the six months ended 31 October 2019 </w:t>
      </w:r>
      <w:r w:rsidR="007110E3" w:rsidRPr="00154BDB">
        <w:rPr>
          <w:rFonts w:cstheme="minorHAnsi"/>
          <w:color w:val="000000"/>
          <w:szCs w:val="20"/>
        </w:rPr>
        <w:t xml:space="preserve">due to the </w:t>
      </w:r>
      <w:r w:rsidR="00DE7CCC" w:rsidRPr="00154BDB">
        <w:rPr>
          <w:rFonts w:cstheme="minorHAnsi"/>
          <w:color w:val="000000"/>
          <w:szCs w:val="20"/>
        </w:rPr>
        <w:t xml:space="preserve">increase in allocation of resources </w:t>
      </w:r>
      <w:r w:rsidR="00804CF8" w:rsidRPr="00154BDB">
        <w:rPr>
          <w:rFonts w:cstheme="minorHAnsi"/>
          <w:color w:val="000000"/>
          <w:szCs w:val="20"/>
        </w:rPr>
        <w:t>to the transaction and the roll out of the OCTAPLUS application.</w:t>
      </w:r>
    </w:p>
    <w:p w14:paraId="1BCCEADD" w14:textId="77777777" w:rsidR="001D28CA" w:rsidRPr="00154BDB" w:rsidRDefault="001D28CA" w:rsidP="00EA2BB6">
      <w:pPr>
        <w:pStyle w:val="Default"/>
        <w:spacing w:after="120"/>
        <w:jc w:val="both"/>
        <w:rPr>
          <w:rFonts w:asciiTheme="minorHAnsi" w:hAnsiTheme="minorHAnsi" w:cstheme="minorHAnsi"/>
          <w:sz w:val="20"/>
          <w:szCs w:val="20"/>
        </w:rPr>
      </w:pPr>
      <w:r w:rsidRPr="00154BDB">
        <w:rPr>
          <w:rFonts w:asciiTheme="minorHAnsi" w:hAnsiTheme="minorHAnsi" w:cstheme="minorHAnsi"/>
          <w:sz w:val="20"/>
          <w:szCs w:val="20"/>
        </w:rPr>
        <w:t xml:space="preserve">The only other significant expense incurred by Alchemist Codes was the acquisition of ContusFly which has been capitalised on Alchemist Codes’s statement of financial position. </w:t>
      </w:r>
    </w:p>
    <w:p w14:paraId="7C88B9D7" w14:textId="77777777" w:rsidR="001D28CA" w:rsidRPr="00154BDB" w:rsidRDefault="001D28CA" w:rsidP="00EA2BB6">
      <w:pPr>
        <w:pStyle w:val="Default"/>
        <w:spacing w:after="120"/>
        <w:jc w:val="both"/>
        <w:rPr>
          <w:rFonts w:asciiTheme="minorHAnsi" w:hAnsiTheme="minorHAnsi" w:cstheme="minorHAnsi"/>
          <w:sz w:val="20"/>
          <w:szCs w:val="20"/>
        </w:rPr>
      </w:pPr>
      <w:r w:rsidRPr="00154BDB">
        <w:rPr>
          <w:rFonts w:asciiTheme="minorHAnsi" w:hAnsiTheme="minorHAnsi" w:cstheme="minorHAnsi"/>
          <w:sz w:val="20"/>
          <w:szCs w:val="20"/>
        </w:rPr>
        <w:t>Cash flow</w:t>
      </w:r>
    </w:p>
    <w:p w14:paraId="244E79F9" w14:textId="3A98CE5D" w:rsidR="001D28CA" w:rsidRPr="00154BDB" w:rsidRDefault="001D28CA" w:rsidP="00EA2BB6">
      <w:pPr>
        <w:pStyle w:val="Default"/>
        <w:spacing w:after="120"/>
        <w:jc w:val="both"/>
        <w:rPr>
          <w:rFonts w:asciiTheme="minorHAnsi" w:hAnsiTheme="minorHAnsi" w:cstheme="minorHAnsi"/>
          <w:sz w:val="20"/>
          <w:szCs w:val="20"/>
        </w:rPr>
      </w:pPr>
      <w:r w:rsidRPr="00154BDB">
        <w:rPr>
          <w:rFonts w:asciiTheme="minorHAnsi" w:hAnsiTheme="minorHAnsi" w:cstheme="minorHAnsi"/>
          <w:sz w:val="20"/>
          <w:szCs w:val="20"/>
        </w:rPr>
        <w:t xml:space="preserve">During the </w:t>
      </w:r>
      <w:r w:rsidR="00957D05" w:rsidRPr="00154BDB">
        <w:rPr>
          <w:rFonts w:asciiTheme="minorHAnsi" w:hAnsiTheme="minorHAnsi" w:cstheme="minorHAnsi"/>
          <w:sz w:val="20"/>
          <w:szCs w:val="20"/>
        </w:rPr>
        <w:t xml:space="preserve">period </w:t>
      </w:r>
      <w:r w:rsidRPr="00154BDB">
        <w:rPr>
          <w:rFonts w:asciiTheme="minorHAnsi" w:hAnsiTheme="minorHAnsi" w:cstheme="minorHAnsi"/>
          <w:sz w:val="20"/>
          <w:szCs w:val="20"/>
        </w:rPr>
        <w:t xml:space="preserve">ended 30 April 2019, based on audited financial information, net cash inflow totalled </w:t>
      </w:r>
      <w:r w:rsidR="005606E3" w:rsidRPr="00154BDB">
        <w:rPr>
          <w:rFonts w:asciiTheme="minorHAnsi" w:hAnsiTheme="minorHAnsi" w:cstheme="minorHAnsi"/>
          <w:sz w:val="20"/>
          <w:szCs w:val="20"/>
        </w:rPr>
        <w:t>RM</w:t>
      </w:r>
      <w:r w:rsidR="007437A1" w:rsidRPr="00154BDB">
        <w:rPr>
          <w:rFonts w:asciiTheme="minorHAnsi" w:hAnsiTheme="minorHAnsi" w:cstheme="minorHAnsi"/>
          <w:sz w:val="20"/>
          <w:szCs w:val="20"/>
        </w:rPr>
        <w:t xml:space="preserve"> </w:t>
      </w:r>
      <w:r w:rsidRPr="00154BDB">
        <w:rPr>
          <w:rFonts w:asciiTheme="minorHAnsi" w:hAnsiTheme="minorHAnsi" w:cstheme="minorHAnsi"/>
          <w:sz w:val="20"/>
          <w:szCs w:val="20"/>
        </w:rPr>
        <w:t xml:space="preserve">329k. This was attributed to cash inflows from operations of </w:t>
      </w:r>
      <w:r w:rsidR="005606E3" w:rsidRPr="00154BDB">
        <w:rPr>
          <w:rFonts w:asciiTheme="minorHAnsi" w:hAnsiTheme="minorHAnsi" w:cstheme="minorHAnsi"/>
          <w:sz w:val="20"/>
          <w:szCs w:val="20"/>
        </w:rPr>
        <w:t>RM</w:t>
      </w:r>
      <w:r w:rsidRPr="00154BDB">
        <w:rPr>
          <w:rFonts w:asciiTheme="minorHAnsi" w:hAnsiTheme="minorHAnsi" w:cstheme="minorHAnsi"/>
          <w:sz w:val="20"/>
          <w:szCs w:val="20"/>
        </w:rPr>
        <w:t xml:space="preserve"> </w:t>
      </w:r>
      <w:r w:rsidR="00286E2F" w:rsidRPr="00154BDB">
        <w:rPr>
          <w:rFonts w:asciiTheme="minorHAnsi" w:hAnsiTheme="minorHAnsi" w:cstheme="minorHAnsi"/>
          <w:sz w:val="20"/>
          <w:szCs w:val="20"/>
        </w:rPr>
        <w:t>672</w:t>
      </w:r>
      <w:r w:rsidRPr="00154BDB">
        <w:rPr>
          <w:rFonts w:asciiTheme="minorHAnsi" w:hAnsiTheme="minorHAnsi" w:cstheme="minorHAnsi"/>
          <w:sz w:val="20"/>
          <w:szCs w:val="20"/>
        </w:rPr>
        <w:t xml:space="preserve">k, cash outflows from investing activities amounted to a total of </w:t>
      </w:r>
      <w:r w:rsidR="005606E3" w:rsidRPr="00154BDB">
        <w:rPr>
          <w:rFonts w:asciiTheme="minorHAnsi" w:hAnsiTheme="minorHAnsi" w:cstheme="minorHAnsi"/>
          <w:sz w:val="20"/>
          <w:szCs w:val="20"/>
        </w:rPr>
        <w:t>RM</w:t>
      </w:r>
      <w:r w:rsidRPr="00154BDB">
        <w:rPr>
          <w:rFonts w:asciiTheme="minorHAnsi" w:hAnsiTheme="minorHAnsi" w:cstheme="minorHAnsi"/>
          <w:sz w:val="20"/>
          <w:szCs w:val="20"/>
        </w:rPr>
        <w:t xml:space="preserve"> </w:t>
      </w:r>
      <w:r w:rsidR="00286E2F" w:rsidRPr="00154BDB">
        <w:rPr>
          <w:rFonts w:asciiTheme="minorHAnsi" w:hAnsiTheme="minorHAnsi" w:cstheme="minorHAnsi"/>
          <w:sz w:val="20"/>
          <w:szCs w:val="20"/>
        </w:rPr>
        <w:t>393</w:t>
      </w:r>
      <w:r w:rsidRPr="00154BDB">
        <w:rPr>
          <w:rFonts w:asciiTheme="minorHAnsi" w:hAnsiTheme="minorHAnsi" w:cstheme="minorHAnsi"/>
          <w:sz w:val="20"/>
          <w:szCs w:val="20"/>
        </w:rPr>
        <w:t xml:space="preserve">k, cash generated from financing activities amounted to a total </w:t>
      </w:r>
      <w:r w:rsidR="005606E3" w:rsidRPr="00154BDB">
        <w:rPr>
          <w:rFonts w:asciiTheme="minorHAnsi" w:hAnsiTheme="minorHAnsi" w:cstheme="minorHAnsi"/>
          <w:sz w:val="20"/>
          <w:szCs w:val="20"/>
        </w:rPr>
        <w:t>RM</w:t>
      </w:r>
      <w:r w:rsidR="00286E2F" w:rsidRPr="00154BDB">
        <w:rPr>
          <w:rFonts w:asciiTheme="minorHAnsi" w:hAnsiTheme="minorHAnsi" w:cstheme="minorHAnsi"/>
          <w:sz w:val="20"/>
          <w:szCs w:val="20"/>
        </w:rPr>
        <w:t>50</w:t>
      </w:r>
      <w:r w:rsidRPr="00154BDB">
        <w:rPr>
          <w:rFonts w:asciiTheme="minorHAnsi" w:hAnsiTheme="minorHAnsi" w:cstheme="minorHAnsi"/>
          <w:sz w:val="20"/>
          <w:szCs w:val="20"/>
        </w:rPr>
        <w:t xml:space="preserve">k, with a total net cash inflow of </w:t>
      </w:r>
      <w:r w:rsidR="005606E3" w:rsidRPr="00154BDB">
        <w:rPr>
          <w:rFonts w:asciiTheme="minorHAnsi" w:hAnsiTheme="minorHAnsi" w:cstheme="minorHAnsi"/>
          <w:sz w:val="20"/>
          <w:szCs w:val="20"/>
        </w:rPr>
        <w:t>RM</w:t>
      </w:r>
      <w:r w:rsidR="007437A1" w:rsidRPr="00154BDB">
        <w:rPr>
          <w:rFonts w:asciiTheme="minorHAnsi" w:hAnsiTheme="minorHAnsi" w:cstheme="minorHAnsi"/>
          <w:sz w:val="20"/>
          <w:szCs w:val="20"/>
        </w:rPr>
        <w:t xml:space="preserve"> </w:t>
      </w:r>
      <w:r w:rsidR="00286E2F" w:rsidRPr="00154BDB">
        <w:rPr>
          <w:rFonts w:asciiTheme="minorHAnsi" w:hAnsiTheme="minorHAnsi" w:cstheme="minorHAnsi"/>
          <w:sz w:val="20"/>
          <w:szCs w:val="20"/>
        </w:rPr>
        <w:t>329</w:t>
      </w:r>
      <w:r w:rsidRPr="00154BDB">
        <w:rPr>
          <w:rFonts w:asciiTheme="minorHAnsi" w:hAnsiTheme="minorHAnsi" w:cstheme="minorHAnsi"/>
          <w:sz w:val="20"/>
          <w:szCs w:val="20"/>
        </w:rPr>
        <w:t>k for the period.</w:t>
      </w:r>
      <w:r w:rsidR="003A6BFD" w:rsidRPr="00154BDB">
        <w:rPr>
          <w:rFonts w:asciiTheme="minorHAnsi" w:hAnsiTheme="minorHAnsi" w:cstheme="minorHAnsi"/>
          <w:sz w:val="20"/>
          <w:szCs w:val="20"/>
        </w:rPr>
        <w:t xml:space="preserve"> </w:t>
      </w:r>
    </w:p>
    <w:p w14:paraId="04EC68A4" w14:textId="156EAE89" w:rsidR="003A6BFD" w:rsidRPr="00154BDB" w:rsidRDefault="003A6BFD" w:rsidP="00EA2BB6">
      <w:pPr>
        <w:pStyle w:val="Default"/>
        <w:spacing w:after="120"/>
        <w:jc w:val="both"/>
        <w:rPr>
          <w:rFonts w:asciiTheme="minorHAnsi" w:hAnsiTheme="minorHAnsi" w:cstheme="minorHAnsi"/>
          <w:sz w:val="20"/>
          <w:szCs w:val="20"/>
        </w:rPr>
      </w:pPr>
      <w:r w:rsidRPr="00154BDB">
        <w:rPr>
          <w:rFonts w:asciiTheme="minorHAnsi" w:hAnsiTheme="minorHAnsi" w:cstheme="minorHAnsi"/>
          <w:sz w:val="20"/>
          <w:szCs w:val="20"/>
        </w:rPr>
        <w:t>During the interim period ended 31 October 2019, based on unaudited financial information, net cash inflow totalled RM</w:t>
      </w:r>
      <w:r w:rsidR="008A3E96" w:rsidRPr="00154BDB">
        <w:rPr>
          <w:rFonts w:asciiTheme="minorHAnsi" w:hAnsiTheme="minorHAnsi" w:cstheme="minorHAnsi"/>
          <w:sz w:val="20"/>
          <w:szCs w:val="20"/>
        </w:rPr>
        <w:t xml:space="preserve"> 122</w:t>
      </w:r>
      <w:r w:rsidRPr="00154BDB">
        <w:rPr>
          <w:rFonts w:asciiTheme="minorHAnsi" w:hAnsiTheme="minorHAnsi" w:cstheme="minorHAnsi"/>
          <w:sz w:val="20"/>
          <w:szCs w:val="20"/>
        </w:rPr>
        <w:t xml:space="preserve">k. This was attributed to cash inflows from operations of RM </w:t>
      </w:r>
      <w:r w:rsidR="008A3E96" w:rsidRPr="00154BDB">
        <w:rPr>
          <w:rFonts w:asciiTheme="minorHAnsi" w:hAnsiTheme="minorHAnsi" w:cstheme="minorHAnsi"/>
          <w:sz w:val="20"/>
          <w:szCs w:val="20"/>
        </w:rPr>
        <w:t>15</w:t>
      </w:r>
      <w:r w:rsidR="007437A1" w:rsidRPr="00154BDB">
        <w:rPr>
          <w:rFonts w:asciiTheme="minorHAnsi" w:hAnsiTheme="minorHAnsi" w:cstheme="minorHAnsi"/>
          <w:sz w:val="20"/>
          <w:szCs w:val="20"/>
        </w:rPr>
        <w:t>5</w:t>
      </w:r>
      <w:r w:rsidRPr="00154BDB">
        <w:rPr>
          <w:rFonts w:asciiTheme="minorHAnsi" w:hAnsiTheme="minorHAnsi" w:cstheme="minorHAnsi"/>
          <w:sz w:val="20"/>
          <w:szCs w:val="20"/>
        </w:rPr>
        <w:t xml:space="preserve">k, cash outflows from investing activities amounted to a total of RM </w:t>
      </w:r>
      <w:r w:rsidR="007437A1" w:rsidRPr="00154BDB">
        <w:rPr>
          <w:rFonts w:asciiTheme="minorHAnsi" w:hAnsiTheme="minorHAnsi" w:cstheme="minorHAnsi"/>
          <w:sz w:val="20"/>
          <w:szCs w:val="20"/>
        </w:rPr>
        <w:t>33</w:t>
      </w:r>
      <w:r w:rsidRPr="00154BDB">
        <w:rPr>
          <w:rFonts w:asciiTheme="minorHAnsi" w:hAnsiTheme="minorHAnsi" w:cstheme="minorHAnsi"/>
          <w:sz w:val="20"/>
          <w:szCs w:val="20"/>
        </w:rPr>
        <w:t>k, cash generated from financing activities amounted to a total RM</w:t>
      </w:r>
      <w:r w:rsidR="007437A1" w:rsidRPr="00154BDB">
        <w:rPr>
          <w:rFonts w:asciiTheme="minorHAnsi" w:hAnsiTheme="minorHAnsi" w:cstheme="minorHAnsi"/>
          <w:sz w:val="20"/>
          <w:szCs w:val="20"/>
        </w:rPr>
        <w:t xml:space="preserve"> 0</w:t>
      </w:r>
      <w:r w:rsidRPr="00154BDB">
        <w:rPr>
          <w:rFonts w:asciiTheme="minorHAnsi" w:hAnsiTheme="minorHAnsi" w:cstheme="minorHAnsi"/>
          <w:sz w:val="20"/>
          <w:szCs w:val="20"/>
        </w:rPr>
        <w:t>k, with a total net cash inflow of RM</w:t>
      </w:r>
      <w:r w:rsidR="0016343F" w:rsidRPr="00154BDB">
        <w:rPr>
          <w:rFonts w:asciiTheme="minorHAnsi" w:hAnsiTheme="minorHAnsi" w:cstheme="minorHAnsi"/>
          <w:sz w:val="20"/>
          <w:szCs w:val="20"/>
        </w:rPr>
        <w:t>122</w:t>
      </w:r>
      <w:r w:rsidRPr="00154BDB">
        <w:rPr>
          <w:rFonts w:asciiTheme="minorHAnsi" w:hAnsiTheme="minorHAnsi" w:cstheme="minorHAnsi"/>
          <w:sz w:val="20"/>
          <w:szCs w:val="20"/>
        </w:rPr>
        <w:t xml:space="preserve">k for the period. </w:t>
      </w:r>
      <w:r w:rsidR="00627513" w:rsidRPr="00154BDB">
        <w:rPr>
          <w:rFonts w:asciiTheme="minorHAnsi" w:hAnsiTheme="minorHAnsi" w:cstheme="minorHAnsi"/>
          <w:sz w:val="20"/>
          <w:szCs w:val="20"/>
        </w:rPr>
        <w:t xml:space="preserve">This represents a decrease in </w:t>
      </w:r>
      <w:r w:rsidR="00D67BB0" w:rsidRPr="00154BDB">
        <w:rPr>
          <w:rFonts w:asciiTheme="minorHAnsi" w:hAnsiTheme="minorHAnsi" w:cstheme="minorHAnsi"/>
          <w:sz w:val="20"/>
          <w:szCs w:val="20"/>
        </w:rPr>
        <w:t xml:space="preserve">cashflow from operating </w:t>
      </w:r>
      <w:r w:rsidR="00D67BB0" w:rsidRPr="00154BDB">
        <w:rPr>
          <w:rFonts w:asciiTheme="minorHAnsi" w:hAnsiTheme="minorHAnsi" w:cstheme="minorHAnsi"/>
          <w:sz w:val="20"/>
          <w:szCs w:val="20"/>
        </w:rPr>
        <w:lastRenderedPageBreak/>
        <w:t xml:space="preserve">activities, </w:t>
      </w:r>
      <w:r w:rsidR="00934E55" w:rsidRPr="00154BDB">
        <w:rPr>
          <w:rFonts w:asciiTheme="minorHAnsi" w:hAnsiTheme="minorHAnsi" w:cstheme="minorHAnsi"/>
          <w:sz w:val="20"/>
          <w:szCs w:val="20"/>
        </w:rPr>
        <w:t xml:space="preserve">a decrease in in </w:t>
      </w:r>
      <w:r w:rsidR="00701F91" w:rsidRPr="00154BDB">
        <w:rPr>
          <w:rFonts w:asciiTheme="minorHAnsi" w:hAnsiTheme="minorHAnsi" w:cstheme="minorHAnsi"/>
          <w:sz w:val="20"/>
          <w:szCs w:val="20"/>
        </w:rPr>
        <w:t xml:space="preserve">cashflow </w:t>
      </w:r>
      <w:r w:rsidR="00AE00C8" w:rsidRPr="00154BDB">
        <w:rPr>
          <w:rFonts w:asciiTheme="minorHAnsi" w:hAnsiTheme="minorHAnsi" w:cstheme="minorHAnsi"/>
          <w:sz w:val="20"/>
          <w:szCs w:val="20"/>
        </w:rPr>
        <w:t>attributed</w:t>
      </w:r>
      <w:r w:rsidR="00701F91" w:rsidRPr="00154BDB">
        <w:rPr>
          <w:rFonts w:asciiTheme="minorHAnsi" w:hAnsiTheme="minorHAnsi" w:cstheme="minorHAnsi"/>
          <w:sz w:val="20"/>
          <w:szCs w:val="20"/>
        </w:rPr>
        <w:t xml:space="preserve"> to investing activities and a decrease in </w:t>
      </w:r>
      <w:r w:rsidR="00AE00C8" w:rsidRPr="00154BDB">
        <w:rPr>
          <w:rFonts w:asciiTheme="minorHAnsi" w:hAnsiTheme="minorHAnsi" w:cstheme="minorHAnsi"/>
          <w:sz w:val="20"/>
          <w:szCs w:val="20"/>
        </w:rPr>
        <w:t xml:space="preserve">cashflow </w:t>
      </w:r>
      <w:r w:rsidR="00FA6C94" w:rsidRPr="00154BDB">
        <w:rPr>
          <w:rFonts w:asciiTheme="minorHAnsi" w:hAnsiTheme="minorHAnsi" w:cstheme="minorHAnsi"/>
          <w:sz w:val="20"/>
          <w:szCs w:val="20"/>
        </w:rPr>
        <w:t xml:space="preserve">attributed to financing activities </w:t>
      </w:r>
      <w:r w:rsidR="00795935" w:rsidRPr="00154BDB">
        <w:rPr>
          <w:rFonts w:asciiTheme="minorHAnsi" w:hAnsiTheme="minorHAnsi" w:cstheme="minorHAnsi"/>
          <w:sz w:val="20"/>
          <w:szCs w:val="20"/>
        </w:rPr>
        <w:t xml:space="preserve">compared to the interim period ended 31 October 2018. </w:t>
      </w:r>
    </w:p>
    <w:p w14:paraId="7F8C2CAC" w14:textId="15783AE4" w:rsidR="00B709FF" w:rsidRPr="00154BDB" w:rsidRDefault="001D28CA" w:rsidP="00154BDB">
      <w:pPr>
        <w:pStyle w:val="Default"/>
        <w:spacing w:after="120"/>
        <w:jc w:val="both"/>
        <w:rPr>
          <w:rFonts w:asciiTheme="minorHAnsi" w:hAnsiTheme="minorHAnsi" w:cstheme="minorHAnsi"/>
          <w:sz w:val="20"/>
          <w:szCs w:val="20"/>
        </w:rPr>
      </w:pPr>
      <w:r w:rsidRPr="00154BDB">
        <w:rPr>
          <w:rFonts w:asciiTheme="minorHAnsi" w:hAnsiTheme="minorHAnsi" w:cstheme="minorHAnsi"/>
          <w:sz w:val="20"/>
          <w:szCs w:val="20"/>
        </w:rPr>
        <w:t>Alchemist Codes does not expect any restrictions on its ability to meet financial commitments as they fall due.</w:t>
      </w:r>
    </w:p>
    <w:p w14:paraId="4E0BBB69" w14:textId="77777777" w:rsidR="00C55842" w:rsidRPr="00154BDB" w:rsidRDefault="00C55842" w:rsidP="00496B89">
      <w:pPr>
        <w:spacing w:after="120" w:line="240" w:lineRule="auto"/>
        <w:rPr>
          <w:rFonts w:cstheme="minorHAnsi"/>
          <w:b/>
          <w:szCs w:val="20"/>
        </w:rPr>
      </w:pPr>
      <w:r w:rsidRPr="00154BDB">
        <w:rPr>
          <w:rFonts w:cstheme="minorHAnsi"/>
          <w:b/>
          <w:szCs w:val="20"/>
        </w:rPr>
        <w:t>Alchemist Codes</w:t>
      </w:r>
      <w:r w:rsidRPr="00154BDB">
        <w:rPr>
          <w:rFonts w:cstheme="minorHAnsi"/>
          <w:b/>
          <w:szCs w:val="20"/>
          <w:lang w:val="en-US"/>
        </w:rPr>
        <w:t xml:space="preserve"> </w:t>
      </w:r>
    </w:p>
    <w:p w14:paraId="33218655" w14:textId="46D715E4" w:rsidR="00C55842" w:rsidRPr="00154BDB" w:rsidRDefault="00C55842" w:rsidP="00F432B9">
      <w:pPr>
        <w:spacing w:after="120" w:line="240" w:lineRule="auto"/>
        <w:rPr>
          <w:rFonts w:cstheme="minorHAnsi"/>
          <w:szCs w:val="20"/>
        </w:rPr>
      </w:pPr>
      <w:r w:rsidRPr="00154BDB">
        <w:rPr>
          <w:rFonts w:cstheme="minorHAnsi"/>
          <w:szCs w:val="20"/>
        </w:rPr>
        <w:t>The following tables show the capitalisation and indebtedness of Alchemist Codes as at 30 April 2019 and 31 December 2019 respectively.</w:t>
      </w:r>
      <w:r w:rsidR="00B575FC" w:rsidRPr="00154BDB">
        <w:rPr>
          <w:rFonts w:cstheme="minorHAnsi"/>
          <w:szCs w:val="20"/>
        </w:rPr>
        <w:t xml:space="preserve"> </w:t>
      </w:r>
      <w:r w:rsidRPr="00154BDB">
        <w:rPr>
          <w:rFonts w:cstheme="minorHAnsi"/>
          <w:szCs w:val="20"/>
        </w:rPr>
        <w:t>The figures been prepared under IFRS, using policies which are consistent with those used in preparing the financial information of Alchemist Codes.</w:t>
      </w:r>
    </w:p>
    <w:p w14:paraId="282B46E5" w14:textId="0B9DE991" w:rsidR="00C55842" w:rsidRPr="00154BDB" w:rsidRDefault="00C55842" w:rsidP="00F432B9">
      <w:pPr>
        <w:spacing w:after="120" w:line="240" w:lineRule="auto"/>
        <w:rPr>
          <w:rFonts w:cstheme="minorHAnsi"/>
          <w:szCs w:val="20"/>
        </w:rPr>
      </w:pPr>
      <w:r w:rsidRPr="00154BDB">
        <w:rPr>
          <w:rFonts w:cstheme="minorHAnsi"/>
          <w:szCs w:val="20"/>
        </w:rPr>
        <w:t xml:space="preserve">The figures for Alchemist Codes capitalisation have been extracted without material adjustment from the audited financial information for the period ended 30 April 2019, included in Part </w:t>
      </w:r>
      <w:r w:rsidR="00C7264C" w:rsidRPr="00154BDB">
        <w:rPr>
          <w:rFonts w:cstheme="minorHAnsi"/>
          <w:szCs w:val="20"/>
        </w:rPr>
        <w:t>XIV of this Document</w:t>
      </w:r>
      <w:r w:rsidRPr="00154BDB">
        <w:rPr>
          <w:rFonts w:cstheme="minorHAnsi"/>
          <w:szCs w:val="20"/>
        </w:rPr>
        <w:t>. The indebtedness figures have been extracted from the underlying accounting records of the Alchemist Codes as at 31 December 2019.</w:t>
      </w:r>
    </w:p>
    <w:p w14:paraId="1F4B74C4" w14:textId="77777777" w:rsidR="00C55842" w:rsidRPr="00154BDB" w:rsidRDefault="00C55842" w:rsidP="00F432B9">
      <w:pPr>
        <w:spacing w:after="120" w:line="240" w:lineRule="auto"/>
        <w:rPr>
          <w:rFonts w:cstheme="minorHAnsi"/>
          <w:szCs w:val="20"/>
        </w:rPr>
      </w:pPr>
    </w:p>
    <w:tbl>
      <w:tblPr>
        <w:tblW w:w="5000" w:type="pct"/>
        <w:tblLayout w:type="fixed"/>
        <w:tblCellMar>
          <w:left w:w="115" w:type="dxa"/>
          <w:right w:w="115" w:type="dxa"/>
        </w:tblCellMar>
        <w:tblLook w:val="01E0" w:firstRow="1" w:lastRow="1" w:firstColumn="1" w:lastColumn="1" w:noHBand="0" w:noVBand="0"/>
      </w:tblPr>
      <w:tblGrid>
        <w:gridCol w:w="6822"/>
        <w:gridCol w:w="2204"/>
      </w:tblGrid>
      <w:tr w:rsidR="00C55842" w:rsidRPr="00154BDB" w14:paraId="4785D69E" w14:textId="77777777" w:rsidTr="00D632CF">
        <w:trPr>
          <w:tblHeader/>
        </w:trPr>
        <w:tc>
          <w:tcPr>
            <w:tcW w:w="3779" w:type="pct"/>
          </w:tcPr>
          <w:p w14:paraId="2CCB582C" w14:textId="77777777" w:rsidR="00C55842" w:rsidRPr="00154BDB" w:rsidRDefault="00C55842" w:rsidP="00F432B9">
            <w:pPr>
              <w:spacing w:after="0" w:line="240" w:lineRule="auto"/>
              <w:rPr>
                <w:rFonts w:cstheme="minorHAnsi"/>
                <w:b/>
                <w:szCs w:val="20"/>
              </w:rPr>
            </w:pPr>
            <w:r w:rsidRPr="00154BDB">
              <w:rPr>
                <w:rFonts w:cstheme="minorHAnsi"/>
                <w:b/>
                <w:szCs w:val="20"/>
              </w:rPr>
              <w:t xml:space="preserve"> (RM)</w:t>
            </w:r>
          </w:p>
        </w:tc>
        <w:tc>
          <w:tcPr>
            <w:tcW w:w="1221" w:type="pct"/>
          </w:tcPr>
          <w:p w14:paraId="10026914" w14:textId="77777777" w:rsidR="00C55842" w:rsidRPr="00154BDB" w:rsidRDefault="00C55842" w:rsidP="00F432B9">
            <w:pPr>
              <w:spacing w:after="0" w:line="240" w:lineRule="auto"/>
              <w:jc w:val="right"/>
              <w:rPr>
                <w:rFonts w:cstheme="minorHAnsi"/>
                <w:b/>
                <w:szCs w:val="20"/>
              </w:rPr>
            </w:pPr>
            <w:r w:rsidRPr="00154BDB">
              <w:rPr>
                <w:rFonts w:cstheme="minorHAnsi"/>
                <w:b/>
                <w:szCs w:val="20"/>
              </w:rPr>
              <w:t>As at 31 December 2019</w:t>
            </w:r>
          </w:p>
        </w:tc>
      </w:tr>
      <w:tr w:rsidR="00C55842" w:rsidRPr="00154BDB" w14:paraId="54782F6B" w14:textId="77777777" w:rsidTr="00D632CF">
        <w:tc>
          <w:tcPr>
            <w:tcW w:w="3779" w:type="pct"/>
          </w:tcPr>
          <w:p w14:paraId="748747A2" w14:textId="77777777" w:rsidR="00C55842" w:rsidRPr="00154BDB" w:rsidRDefault="00C55842" w:rsidP="00496B89">
            <w:pPr>
              <w:spacing w:after="0" w:line="240" w:lineRule="auto"/>
              <w:rPr>
                <w:rFonts w:cstheme="minorHAnsi"/>
                <w:szCs w:val="20"/>
              </w:rPr>
            </w:pPr>
          </w:p>
        </w:tc>
        <w:tc>
          <w:tcPr>
            <w:tcW w:w="1221" w:type="pct"/>
          </w:tcPr>
          <w:p w14:paraId="04D402B3" w14:textId="77777777" w:rsidR="00C55842" w:rsidRPr="00154BDB" w:rsidRDefault="00C55842" w:rsidP="00F432B9">
            <w:pPr>
              <w:spacing w:after="0" w:line="240" w:lineRule="auto"/>
              <w:jc w:val="right"/>
              <w:rPr>
                <w:rFonts w:cstheme="minorHAnsi"/>
                <w:i/>
                <w:szCs w:val="20"/>
              </w:rPr>
            </w:pPr>
            <w:r w:rsidRPr="00154BDB">
              <w:rPr>
                <w:rFonts w:cstheme="minorHAnsi"/>
                <w:i/>
                <w:szCs w:val="20"/>
              </w:rPr>
              <w:t>(Unaudited)</w:t>
            </w:r>
          </w:p>
        </w:tc>
      </w:tr>
      <w:tr w:rsidR="00C55842" w:rsidRPr="00154BDB" w14:paraId="3546D7E4" w14:textId="77777777" w:rsidTr="00D632CF">
        <w:tc>
          <w:tcPr>
            <w:tcW w:w="3779" w:type="pct"/>
          </w:tcPr>
          <w:p w14:paraId="21C00406" w14:textId="77777777" w:rsidR="00C55842" w:rsidRPr="00154BDB" w:rsidRDefault="00C55842" w:rsidP="00496B89">
            <w:pPr>
              <w:numPr>
                <w:ilvl w:val="0"/>
                <w:numId w:val="57"/>
              </w:numPr>
              <w:spacing w:after="0" w:line="240" w:lineRule="auto"/>
              <w:rPr>
                <w:rFonts w:cstheme="minorHAnsi"/>
                <w:szCs w:val="20"/>
              </w:rPr>
            </w:pPr>
            <w:r w:rsidRPr="00154BDB">
              <w:rPr>
                <w:rFonts w:cstheme="minorHAnsi"/>
                <w:b/>
                <w:szCs w:val="20"/>
              </w:rPr>
              <w:t>Total current debt:</w:t>
            </w:r>
          </w:p>
        </w:tc>
        <w:tc>
          <w:tcPr>
            <w:tcW w:w="1221" w:type="pct"/>
          </w:tcPr>
          <w:p w14:paraId="5E672016" w14:textId="77777777" w:rsidR="00C55842" w:rsidRPr="00154BDB" w:rsidRDefault="00C55842" w:rsidP="00F432B9">
            <w:pPr>
              <w:spacing w:after="0" w:line="240" w:lineRule="auto"/>
              <w:jc w:val="right"/>
              <w:rPr>
                <w:rFonts w:cstheme="minorHAnsi"/>
                <w:szCs w:val="20"/>
              </w:rPr>
            </w:pPr>
          </w:p>
        </w:tc>
      </w:tr>
      <w:tr w:rsidR="00C55842" w:rsidRPr="00154BDB" w14:paraId="508401C7" w14:textId="77777777" w:rsidTr="00D632CF">
        <w:tc>
          <w:tcPr>
            <w:tcW w:w="3779" w:type="pct"/>
          </w:tcPr>
          <w:p w14:paraId="79D50EE1" w14:textId="77777777" w:rsidR="00C55842" w:rsidRPr="00154BDB" w:rsidRDefault="00C55842" w:rsidP="00496B89">
            <w:pPr>
              <w:spacing w:after="0" w:line="240" w:lineRule="auto"/>
              <w:rPr>
                <w:rFonts w:cstheme="minorHAnsi"/>
                <w:szCs w:val="20"/>
              </w:rPr>
            </w:pPr>
            <w:r w:rsidRPr="00154BDB">
              <w:rPr>
                <w:rFonts w:cstheme="minorHAnsi"/>
                <w:szCs w:val="20"/>
              </w:rPr>
              <w:t>- Guaranteed</w:t>
            </w:r>
          </w:p>
        </w:tc>
        <w:tc>
          <w:tcPr>
            <w:tcW w:w="1221" w:type="pct"/>
          </w:tcPr>
          <w:p w14:paraId="7DA8D1C2" w14:textId="77777777" w:rsidR="00C55842" w:rsidRPr="00154BDB" w:rsidRDefault="00C55842" w:rsidP="00F432B9">
            <w:pPr>
              <w:spacing w:after="0" w:line="240" w:lineRule="auto"/>
              <w:jc w:val="right"/>
              <w:rPr>
                <w:rFonts w:cstheme="minorHAnsi"/>
                <w:szCs w:val="20"/>
              </w:rPr>
            </w:pPr>
            <w:r w:rsidRPr="00154BDB">
              <w:rPr>
                <w:rFonts w:cstheme="minorHAnsi"/>
                <w:szCs w:val="20"/>
              </w:rPr>
              <w:t>-</w:t>
            </w:r>
          </w:p>
        </w:tc>
      </w:tr>
      <w:tr w:rsidR="00C55842" w:rsidRPr="00154BDB" w14:paraId="378A59B8" w14:textId="77777777" w:rsidTr="00D632CF">
        <w:tc>
          <w:tcPr>
            <w:tcW w:w="3779" w:type="pct"/>
          </w:tcPr>
          <w:p w14:paraId="73450455" w14:textId="77777777" w:rsidR="00C55842" w:rsidRPr="00154BDB" w:rsidRDefault="00C55842" w:rsidP="00496B89">
            <w:pPr>
              <w:spacing w:after="0" w:line="240" w:lineRule="auto"/>
              <w:rPr>
                <w:rFonts w:cstheme="minorHAnsi"/>
                <w:szCs w:val="20"/>
              </w:rPr>
            </w:pPr>
            <w:r w:rsidRPr="00154BDB">
              <w:rPr>
                <w:rFonts w:cstheme="minorHAnsi"/>
                <w:szCs w:val="20"/>
              </w:rPr>
              <w:t>- Secured</w:t>
            </w:r>
          </w:p>
        </w:tc>
        <w:tc>
          <w:tcPr>
            <w:tcW w:w="1221" w:type="pct"/>
          </w:tcPr>
          <w:p w14:paraId="39C4374D" w14:textId="77777777" w:rsidR="00C55842" w:rsidRPr="00154BDB" w:rsidRDefault="00C55842" w:rsidP="00F432B9">
            <w:pPr>
              <w:spacing w:after="0" w:line="240" w:lineRule="auto"/>
              <w:jc w:val="right"/>
              <w:rPr>
                <w:rFonts w:cstheme="minorHAnsi"/>
                <w:szCs w:val="20"/>
              </w:rPr>
            </w:pPr>
            <w:r w:rsidRPr="00154BDB">
              <w:rPr>
                <w:rFonts w:cstheme="minorHAnsi"/>
                <w:szCs w:val="20"/>
              </w:rPr>
              <w:t>-</w:t>
            </w:r>
          </w:p>
        </w:tc>
      </w:tr>
      <w:tr w:rsidR="00C55842" w:rsidRPr="00154BDB" w14:paraId="0B1E47E1" w14:textId="77777777" w:rsidTr="00D632CF">
        <w:tc>
          <w:tcPr>
            <w:tcW w:w="3779" w:type="pct"/>
          </w:tcPr>
          <w:p w14:paraId="51A0AC07" w14:textId="77777777" w:rsidR="00C55842" w:rsidRPr="00154BDB" w:rsidRDefault="00C55842" w:rsidP="00496B89">
            <w:pPr>
              <w:spacing w:after="0" w:line="240" w:lineRule="auto"/>
              <w:rPr>
                <w:rFonts w:cstheme="minorHAnsi"/>
                <w:szCs w:val="20"/>
              </w:rPr>
            </w:pPr>
            <w:r w:rsidRPr="00154BDB">
              <w:rPr>
                <w:rFonts w:cstheme="minorHAnsi"/>
                <w:szCs w:val="20"/>
              </w:rPr>
              <w:t>- Unguaranteed/unsecured</w:t>
            </w:r>
          </w:p>
        </w:tc>
        <w:tc>
          <w:tcPr>
            <w:tcW w:w="1221" w:type="pct"/>
          </w:tcPr>
          <w:p w14:paraId="1BF46DA0" w14:textId="77777777" w:rsidR="00C55842" w:rsidRPr="00154BDB" w:rsidRDefault="00C55842" w:rsidP="00F432B9">
            <w:pPr>
              <w:spacing w:after="0" w:line="240" w:lineRule="auto"/>
              <w:jc w:val="right"/>
              <w:rPr>
                <w:rFonts w:cstheme="minorHAnsi"/>
                <w:szCs w:val="20"/>
              </w:rPr>
            </w:pPr>
            <w:r w:rsidRPr="00154BDB">
              <w:rPr>
                <w:rFonts w:cstheme="minorHAnsi"/>
                <w:szCs w:val="20"/>
              </w:rPr>
              <w:t>31,262</w:t>
            </w:r>
          </w:p>
        </w:tc>
      </w:tr>
      <w:tr w:rsidR="00C55842" w:rsidRPr="00154BDB" w14:paraId="55EC400E" w14:textId="77777777" w:rsidTr="00D632CF">
        <w:tc>
          <w:tcPr>
            <w:tcW w:w="3779" w:type="pct"/>
          </w:tcPr>
          <w:p w14:paraId="23B8316C" w14:textId="77777777" w:rsidR="00C55842" w:rsidRPr="00154BDB" w:rsidRDefault="00C55842" w:rsidP="00496B89">
            <w:pPr>
              <w:spacing w:after="0" w:line="240" w:lineRule="auto"/>
              <w:rPr>
                <w:rFonts w:cstheme="minorHAnsi"/>
                <w:szCs w:val="20"/>
              </w:rPr>
            </w:pPr>
            <w:r w:rsidRPr="00154BDB">
              <w:rPr>
                <w:rFonts w:cstheme="minorHAnsi"/>
                <w:b/>
                <w:szCs w:val="20"/>
              </w:rPr>
              <w:t>Total non-current debt (excluding current portion of long-term debt):</w:t>
            </w:r>
          </w:p>
        </w:tc>
        <w:tc>
          <w:tcPr>
            <w:tcW w:w="1221" w:type="pct"/>
          </w:tcPr>
          <w:p w14:paraId="6C4CB5ED" w14:textId="77777777" w:rsidR="00C55842" w:rsidRPr="00154BDB" w:rsidRDefault="00C55842" w:rsidP="00F432B9">
            <w:pPr>
              <w:spacing w:after="0" w:line="240" w:lineRule="auto"/>
              <w:jc w:val="right"/>
              <w:rPr>
                <w:rFonts w:cstheme="minorHAnsi"/>
                <w:szCs w:val="20"/>
              </w:rPr>
            </w:pPr>
          </w:p>
        </w:tc>
      </w:tr>
      <w:tr w:rsidR="00C55842" w:rsidRPr="00154BDB" w14:paraId="5BCE39CD" w14:textId="77777777" w:rsidTr="00D632CF">
        <w:tc>
          <w:tcPr>
            <w:tcW w:w="3779" w:type="pct"/>
          </w:tcPr>
          <w:p w14:paraId="636235C5" w14:textId="77777777" w:rsidR="00C55842" w:rsidRPr="00154BDB" w:rsidRDefault="00C55842" w:rsidP="00496B89">
            <w:pPr>
              <w:spacing w:after="0" w:line="240" w:lineRule="auto"/>
              <w:rPr>
                <w:rFonts w:cstheme="minorHAnsi"/>
                <w:szCs w:val="20"/>
              </w:rPr>
            </w:pPr>
            <w:r w:rsidRPr="00154BDB">
              <w:rPr>
                <w:rFonts w:cstheme="minorHAnsi"/>
                <w:szCs w:val="20"/>
              </w:rPr>
              <w:t>- Guaranteed</w:t>
            </w:r>
          </w:p>
        </w:tc>
        <w:tc>
          <w:tcPr>
            <w:tcW w:w="1221" w:type="pct"/>
          </w:tcPr>
          <w:p w14:paraId="49B5BADB" w14:textId="77777777" w:rsidR="00C55842" w:rsidRPr="00154BDB" w:rsidRDefault="00C55842" w:rsidP="00F432B9">
            <w:pPr>
              <w:spacing w:after="0" w:line="240" w:lineRule="auto"/>
              <w:jc w:val="right"/>
              <w:rPr>
                <w:rFonts w:cstheme="minorHAnsi"/>
                <w:szCs w:val="20"/>
              </w:rPr>
            </w:pPr>
            <w:r w:rsidRPr="00154BDB">
              <w:rPr>
                <w:rFonts w:cstheme="minorHAnsi"/>
                <w:szCs w:val="20"/>
              </w:rPr>
              <w:t>-</w:t>
            </w:r>
          </w:p>
        </w:tc>
      </w:tr>
      <w:tr w:rsidR="00C55842" w:rsidRPr="00154BDB" w14:paraId="05EF14DD" w14:textId="77777777" w:rsidTr="00D632CF">
        <w:tc>
          <w:tcPr>
            <w:tcW w:w="3779" w:type="pct"/>
          </w:tcPr>
          <w:p w14:paraId="118C49F0" w14:textId="77777777" w:rsidR="00C55842" w:rsidRPr="00154BDB" w:rsidRDefault="00C55842" w:rsidP="00496B89">
            <w:pPr>
              <w:spacing w:after="0" w:line="240" w:lineRule="auto"/>
              <w:rPr>
                <w:rFonts w:cstheme="minorHAnsi"/>
                <w:szCs w:val="20"/>
              </w:rPr>
            </w:pPr>
            <w:r w:rsidRPr="00154BDB">
              <w:rPr>
                <w:rFonts w:cstheme="minorHAnsi"/>
                <w:szCs w:val="20"/>
              </w:rPr>
              <w:t>- Secured</w:t>
            </w:r>
          </w:p>
        </w:tc>
        <w:tc>
          <w:tcPr>
            <w:tcW w:w="1221" w:type="pct"/>
          </w:tcPr>
          <w:p w14:paraId="4DFD3535" w14:textId="77777777" w:rsidR="00C55842" w:rsidRPr="00154BDB" w:rsidRDefault="00C55842" w:rsidP="00F432B9">
            <w:pPr>
              <w:numPr>
                <w:ilvl w:val="0"/>
                <w:numId w:val="57"/>
              </w:numPr>
              <w:spacing w:after="0" w:line="240" w:lineRule="auto"/>
              <w:jc w:val="right"/>
              <w:rPr>
                <w:rFonts w:cstheme="minorHAnsi"/>
                <w:szCs w:val="20"/>
              </w:rPr>
            </w:pPr>
            <w:r w:rsidRPr="00154BDB">
              <w:rPr>
                <w:rFonts w:cstheme="minorHAnsi"/>
                <w:szCs w:val="20"/>
              </w:rPr>
              <w:t>-</w:t>
            </w:r>
          </w:p>
        </w:tc>
      </w:tr>
      <w:tr w:rsidR="00C55842" w:rsidRPr="00154BDB" w14:paraId="4EF3DFCB" w14:textId="77777777" w:rsidTr="00D632CF">
        <w:tc>
          <w:tcPr>
            <w:tcW w:w="3779" w:type="pct"/>
          </w:tcPr>
          <w:p w14:paraId="40001743" w14:textId="77777777" w:rsidR="00C55842" w:rsidRPr="00154BDB" w:rsidRDefault="00C55842" w:rsidP="00496B89">
            <w:pPr>
              <w:numPr>
                <w:ilvl w:val="0"/>
                <w:numId w:val="57"/>
              </w:numPr>
              <w:spacing w:after="0" w:line="240" w:lineRule="auto"/>
              <w:rPr>
                <w:rFonts w:cstheme="minorHAnsi"/>
                <w:szCs w:val="20"/>
              </w:rPr>
            </w:pPr>
            <w:r w:rsidRPr="00154BDB">
              <w:rPr>
                <w:rFonts w:cstheme="minorHAnsi"/>
                <w:szCs w:val="20"/>
              </w:rPr>
              <w:t>- Unguaranteed/unsecured</w:t>
            </w:r>
          </w:p>
        </w:tc>
        <w:tc>
          <w:tcPr>
            <w:tcW w:w="1221" w:type="pct"/>
            <w:tcBorders>
              <w:bottom w:val="single" w:sz="4" w:space="0" w:color="auto"/>
            </w:tcBorders>
          </w:tcPr>
          <w:p w14:paraId="5E8928EC" w14:textId="77777777" w:rsidR="00C55842" w:rsidRPr="00154BDB" w:rsidRDefault="00C55842" w:rsidP="00F432B9">
            <w:pPr>
              <w:numPr>
                <w:ilvl w:val="0"/>
                <w:numId w:val="57"/>
              </w:numPr>
              <w:spacing w:after="0" w:line="240" w:lineRule="auto"/>
              <w:jc w:val="right"/>
              <w:rPr>
                <w:rFonts w:cstheme="minorHAnsi"/>
                <w:szCs w:val="20"/>
              </w:rPr>
            </w:pPr>
            <w:r w:rsidRPr="00154BDB">
              <w:rPr>
                <w:rFonts w:cstheme="minorHAnsi"/>
                <w:szCs w:val="20"/>
              </w:rPr>
              <w:t>-</w:t>
            </w:r>
          </w:p>
        </w:tc>
      </w:tr>
      <w:tr w:rsidR="00C55842" w:rsidRPr="00154BDB" w14:paraId="22F288BD" w14:textId="77777777" w:rsidTr="00D632CF">
        <w:tc>
          <w:tcPr>
            <w:tcW w:w="3779" w:type="pct"/>
          </w:tcPr>
          <w:p w14:paraId="7CDD4476" w14:textId="77777777" w:rsidR="00C55842" w:rsidRPr="00154BDB" w:rsidRDefault="00C55842" w:rsidP="00496B89">
            <w:pPr>
              <w:numPr>
                <w:ilvl w:val="0"/>
                <w:numId w:val="57"/>
              </w:numPr>
              <w:spacing w:after="0" w:line="240" w:lineRule="auto"/>
              <w:rPr>
                <w:rFonts w:cstheme="minorHAnsi"/>
                <w:b/>
                <w:szCs w:val="20"/>
              </w:rPr>
            </w:pPr>
            <w:r w:rsidRPr="00154BDB">
              <w:rPr>
                <w:rFonts w:cstheme="minorHAnsi"/>
                <w:b/>
                <w:szCs w:val="20"/>
              </w:rPr>
              <w:t>Total indebtedness</w:t>
            </w:r>
          </w:p>
        </w:tc>
        <w:tc>
          <w:tcPr>
            <w:tcW w:w="1221" w:type="pct"/>
            <w:tcBorders>
              <w:top w:val="single" w:sz="4" w:space="0" w:color="auto"/>
              <w:bottom w:val="single" w:sz="4" w:space="0" w:color="auto"/>
            </w:tcBorders>
          </w:tcPr>
          <w:p w14:paraId="4F985B47" w14:textId="77777777" w:rsidR="00C55842" w:rsidRPr="00154BDB" w:rsidRDefault="00C55842" w:rsidP="00F432B9">
            <w:pPr>
              <w:numPr>
                <w:ilvl w:val="0"/>
                <w:numId w:val="57"/>
              </w:numPr>
              <w:spacing w:after="0" w:line="240" w:lineRule="auto"/>
              <w:jc w:val="right"/>
              <w:rPr>
                <w:rFonts w:cstheme="minorHAnsi"/>
                <w:b/>
                <w:szCs w:val="20"/>
              </w:rPr>
            </w:pPr>
            <w:r w:rsidRPr="00154BDB">
              <w:rPr>
                <w:rFonts w:cstheme="minorHAnsi"/>
                <w:b/>
                <w:szCs w:val="20"/>
              </w:rPr>
              <w:t>31,262</w:t>
            </w:r>
          </w:p>
        </w:tc>
      </w:tr>
      <w:tr w:rsidR="00C55842" w:rsidRPr="00154BDB" w14:paraId="58CE4038" w14:textId="77777777" w:rsidTr="00D632CF">
        <w:tc>
          <w:tcPr>
            <w:tcW w:w="3779" w:type="pct"/>
          </w:tcPr>
          <w:p w14:paraId="4D747B3F" w14:textId="77777777" w:rsidR="00C55842" w:rsidRPr="00154BDB" w:rsidRDefault="00C55842" w:rsidP="00496B89">
            <w:pPr>
              <w:spacing w:after="0" w:line="240" w:lineRule="auto"/>
              <w:rPr>
                <w:rFonts w:cstheme="minorHAnsi"/>
                <w:b/>
                <w:szCs w:val="20"/>
              </w:rPr>
            </w:pPr>
          </w:p>
        </w:tc>
        <w:tc>
          <w:tcPr>
            <w:tcW w:w="1221" w:type="pct"/>
            <w:tcBorders>
              <w:top w:val="single" w:sz="4" w:space="0" w:color="auto"/>
            </w:tcBorders>
          </w:tcPr>
          <w:p w14:paraId="08A90FC2" w14:textId="77777777" w:rsidR="00C55842" w:rsidRPr="00154BDB" w:rsidRDefault="00C55842" w:rsidP="00F432B9">
            <w:pPr>
              <w:spacing w:after="0" w:line="240" w:lineRule="auto"/>
              <w:jc w:val="right"/>
              <w:rPr>
                <w:rFonts w:cstheme="minorHAnsi"/>
                <w:szCs w:val="20"/>
              </w:rPr>
            </w:pPr>
          </w:p>
        </w:tc>
      </w:tr>
      <w:tr w:rsidR="00C55842" w:rsidRPr="00154BDB" w14:paraId="4FB95C2F" w14:textId="77777777" w:rsidTr="00D632CF">
        <w:tc>
          <w:tcPr>
            <w:tcW w:w="3779" w:type="pct"/>
          </w:tcPr>
          <w:p w14:paraId="7B828DC4" w14:textId="77777777" w:rsidR="00C55842" w:rsidRPr="00154BDB" w:rsidRDefault="00C55842" w:rsidP="00496B89">
            <w:pPr>
              <w:spacing w:after="0" w:line="240" w:lineRule="auto"/>
              <w:rPr>
                <w:rFonts w:cstheme="minorHAnsi"/>
                <w:b/>
                <w:szCs w:val="20"/>
              </w:rPr>
            </w:pPr>
          </w:p>
        </w:tc>
        <w:tc>
          <w:tcPr>
            <w:tcW w:w="1221" w:type="pct"/>
          </w:tcPr>
          <w:p w14:paraId="5A8587D8" w14:textId="77777777" w:rsidR="00C55842" w:rsidRPr="00154BDB" w:rsidRDefault="00C55842" w:rsidP="00F432B9">
            <w:pPr>
              <w:spacing w:after="0" w:line="240" w:lineRule="auto"/>
              <w:jc w:val="right"/>
              <w:rPr>
                <w:rFonts w:cstheme="minorHAnsi"/>
                <w:b/>
                <w:szCs w:val="20"/>
              </w:rPr>
            </w:pPr>
            <w:r w:rsidRPr="00154BDB">
              <w:rPr>
                <w:rFonts w:cstheme="minorHAnsi"/>
                <w:b/>
                <w:szCs w:val="20"/>
              </w:rPr>
              <w:t>As at 30 April 2019</w:t>
            </w:r>
          </w:p>
        </w:tc>
      </w:tr>
      <w:tr w:rsidR="00C55842" w:rsidRPr="00154BDB" w14:paraId="16764777" w14:textId="77777777" w:rsidTr="00D632CF">
        <w:tc>
          <w:tcPr>
            <w:tcW w:w="3779" w:type="pct"/>
          </w:tcPr>
          <w:p w14:paraId="15125470" w14:textId="77777777" w:rsidR="00C55842" w:rsidRPr="00154BDB" w:rsidRDefault="00C55842" w:rsidP="00496B89">
            <w:pPr>
              <w:spacing w:after="0" w:line="240" w:lineRule="auto"/>
              <w:rPr>
                <w:rFonts w:cstheme="minorHAnsi"/>
                <w:b/>
                <w:szCs w:val="20"/>
              </w:rPr>
            </w:pPr>
          </w:p>
        </w:tc>
        <w:tc>
          <w:tcPr>
            <w:tcW w:w="1221" w:type="pct"/>
          </w:tcPr>
          <w:p w14:paraId="7B3E0C99" w14:textId="77777777" w:rsidR="00C55842" w:rsidRPr="00154BDB" w:rsidRDefault="00C55842" w:rsidP="00F432B9">
            <w:pPr>
              <w:spacing w:after="0" w:line="240" w:lineRule="auto"/>
              <w:jc w:val="right"/>
              <w:rPr>
                <w:rFonts w:cstheme="minorHAnsi"/>
                <w:i/>
                <w:szCs w:val="20"/>
              </w:rPr>
            </w:pPr>
            <w:r w:rsidRPr="00154BDB">
              <w:rPr>
                <w:rFonts w:cstheme="minorHAnsi"/>
                <w:i/>
                <w:szCs w:val="20"/>
              </w:rPr>
              <w:t>(Audited)</w:t>
            </w:r>
          </w:p>
        </w:tc>
      </w:tr>
      <w:tr w:rsidR="00C55842" w:rsidRPr="00154BDB" w14:paraId="068EFE3E" w14:textId="77777777" w:rsidTr="00D632CF">
        <w:tc>
          <w:tcPr>
            <w:tcW w:w="3779" w:type="pct"/>
          </w:tcPr>
          <w:p w14:paraId="52A059B3" w14:textId="77777777" w:rsidR="00C55842" w:rsidRPr="00154BDB" w:rsidRDefault="00C55842" w:rsidP="00496B89">
            <w:pPr>
              <w:numPr>
                <w:ilvl w:val="0"/>
                <w:numId w:val="57"/>
              </w:numPr>
              <w:spacing w:after="0" w:line="240" w:lineRule="auto"/>
              <w:rPr>
                <w:rFonts w:cstheme="minorHAnsi"/>
                <w:szCs w:val="20"/>
              </w:rPr>
            </w:pPr>
            <w:r w:rsidRPr="00154BDB">
              <w:rPr>
                <w:rFonts w:cstheme="minorHAnsi"/>
                <w:b/>
                <w:szCs w:val="20"/>
              </w:rPr>
              <w:t>Capitalisation:</w:t>
            </w:r>
          </w:p>
        </w:tc>
        <w:tc>
          <w:tcPr>
            <w:tcW w:w="1221" w:type="pct"/>
          </w:tcPr>
          <w:p w14:paraId="6C9E0E14" w14:textId="77777777" w:rsidR="00C55842" w:rsidRPr="00154BDB" w:rsidRDefault="00C55842" w:rsidP="00F432B9">
            <w:pPr>
              <w:spacing w:after="0" w:line="240" w:lineRule="auto"/>
              <w:jc w:val="right"/>
              <w:rPr>
                <w:rFonts w:cstheme="minorHAnsi"/>
                <w:szCs w:val="20"/>
              </w:rPr>
            </w:pPr>
          </w:p>
        </w:tc>
      </w:tr>
      <w:tr w:rsidR="00C55842" w:rsidRPr="00154BDB" w14:paraId="0183B1FB" w14:textId="77777777" w:rsidTr="00D632CF">
        <w:tc>
          <w:tcPr>
            <w:tcW w:w="3779" w:type="pct"/>
          </w:tcPr>
          <w:p w14:paraId="36BC566F" w14:textId="77777777" w:rsidR="00C55842" w:rsidRPr="00154BDB" w:rsidRDefault="00C55842" w:rsidP="00496B89">
            <w:pPr>
              <w:spacing w:after="0" w:line="240" w:lineRule="auto"/>
              <w:rPr>
                <w:rFonts w:cstheme="minorHAnsi"/>
                <w:szCs w:val="20"/>
              </w:rPr>
            </w:pPr>
            <w:r w:rsidRPr="00154BDB">
              <w:rPr>
                <w:rFonts w:cstheme="minorHAnsi"/>
                <w:szCs w:val="20"/>
              </w:rPr>
              <w:t>- Share capital</w:t>
            </w:r>
          </w:p>
        </w:tc>
        <w:tc>
          <w:tcPr>
            <w:tcW w:w="1221" w:type="pct"/>
          </w:tcPr>
          <w:p w14:paraId="724CA5DB" w14:textId="77777777" w:rsidR="00C55842" w:rsidRPr="00154BDB" w:rsidRDefault="00C55842" w:rsidP="00F432B9">
            <w:pPr>
              <w:spacing w:after="0" w:line="240" w:lineRule="auto"/>
              <w:jc w:val="right"/>
              <w:rPr>
                <w:rFonts w:cstheme="minorHAnsi"/>
                <w:szCs w:val="20"/>
              </w:rPr>
            </w:pPr>
            <w:r w:rsidRPr="00154BDB">
              <w:rPr>
                <w:rFonts w:cstheme="minorHAnsi"/>
                <w:szCs w:val="20"/>
              </w:rPr>
              <w:t>100</w:t>
            </w:r>
          </w:p>
        </w:tc>
      </w:tr>
      <w:tr w:rsidR="00C55842" w:rsidRPr="00154BDB" w14:paraId="0421A963" w14:textId="77777777" w:rsidTr="00D632CF">
        <w:tc>
          <w:tcPr>
            <w:tcW w:w="3779" w:type="pct"/>
          </w:tcPr>
          <w:p w14:paraId="344FA18F" w14:textId="2078F35B" w:rsidR="00C55842" w:rsidRPr="00154BDB" w:rsidDel="00824998" w:rsidRDefault="00C55842" w:rsidP="00496B89">
            <w:pPr>
              <w:spacing w:after="0" w:line="240" w:lineRule="auto"/>
              <w:rPr>
                <w:rFonts w:cstheme="minorHAnsi"/>
                <w:szCs w:val="20"/>
              </w:rPr>
            </w:pPr>
            <w:r w:rsidRPr="00154BDB">
              <w:rPr>
                <w:rFonts w:cstheme="minorHAnsi"/>
                <w:szCs w:val="20"/>
              </w:rPr>
              <w:t xml:space="preserve">- Legal </w:t>
            </w:r>
            <w:r w:rsidR="00DB11F6" w:rsidRPr="00154BDB">
              <w:rPr>
                <w:rFonts w:cstheme="minorHAnsi"/>
                <w:szCs w:val="20"/>
              </w:rPr>
              <w:t>reserves</w:t>
            </w:r>
            <w:r w:rsidR="00DB11F6" w:rsidRPr="00154BDB">
              <w:rPr>
                <w:rFonts w:cstheme="minorHAnsi"/>
                <w:szCs w:val="20"/>
                <w:vertAlign w:val="superscript"/>
              </w:rPr>
              <w:t xml:space="preserve"> (</w:t>
            </w:r>
            <w:r w:rsidRPr="00154BDB">
              <w:rPr>
                <w:rFonts w:cstheme="minorHAnsi"/>
                <w:szCs w:val="20"/>
                <w:vertAlign w:val="superscript"/>
              </w:rPr>
              <w:t>2)</w:t>
            </w:r>
          </w:p>
        </w:tc>
        <w:tc>
          <w:tcPr>
            <w:tcW w:w="1221" w:type="pct"/>
          </w:tcPr>
          <w:p w14:paraId="6DF5A757" w14:textId="77777777" w:rsidR="00C55842" w:rsidRPr="00154BDB" w:rsidRDefault="00C55842" w:rsidP="00F432B9">
            <w:pPr>
              <w:spacing w:after="0" w:line="240" w:lineRule="auto"/>
              <w:jc w:val="right"/>
              <w:rPr>
                <w:rFonts w:cstheme="minorHAnsi"/>
                <w:szCs w:val="20"/>
              </w:rPr>
            </w:pPr>
            <w:r w:rsidRPr="00154BDB">
              <w:rPr>
                <w:rFonts w:cstheme="minorHAnsi"/>
                <w:szCs w:val="20"/>
              </w:rPr>
              <w:t>50,000</w:t>
            </w:r>
          </w:p>
        </w:tc>
      </w:tr>
      <w:tr w:rsidR="00C55842" w:rsidRPr="00154BDB" w14:paraId="6928538E" w14:textId="77777777" w:rsidTr="00D632CF">
        <w:tc>
          <w:tcPr>
            <w:tcW w:w="3779" w:type="pct"/>
          </w:tcPr>
          <w:p w14:paraId="1A6BDEB5" w14:textId="77777777" w:rsidR="00C55842" w:rsidRPr="00154BDB" w:rsidRDefault="00C55842" w:rsidP="00496B89">
            <w:pPr>
              <w:spacing w:after="0" w:line="240" w:lineRule="auto"/>
              <w:rPr>
                <w:rFonts w:cstheme="minorHAnsi"/>
                <w:b/>
                <w:szCs w:val="20"/>
              </w:rPr>
            </w:pPr>
            <w:r w:rsidRPr="00154BDB">
              <w:rPr>
                <w:rFonts w:cstheme="minorHAnsi"/>
                <w:b/>
                <w:szCs w:val="20"/>
              </w:rPr>
              <w:t>Total capitalisation</w:t>
            </w:r>
          </w:p>
        </w:tc>
        <w:tc>
          <w:tcPr>
            <w:tcW w:w="1221" w:type="pct"/>
            <w:tcBorders>
              <w:top w:val="single" w:sz="4" w:space="0" w:color="auto"/>
              <w:bottom w:val="single" w:sz="4" w:space="0" w:color="auto"/>
            </w:tcBorders>
          </w:tcPr>
          <w:p w14:paraId="374B91E2" w14:textId="5B1CB091" w:rsidR="00C55842" w:rsidRPr="00154BDB" w:rsidRDefault="00C55842" w:rsidP="00F432B9">
            <w:pPr>
              <w:spacing w:after="0" w:line="240" w:lineRule="auto"/>
              <w:jc w:val="right"/>
              <w:rPr>
                <w:rFonts w:cstheme="minorHAnsi"/>
                <w:b/>
                <w:szCs w:val="20"/>
              </w:rPr>
            </w:pPr>
            <w:r w:rsidRPr="00154BDB">
              <w:rPr>
                <w:rFonts w:cstheme="minorHAnsi"/>
                <w:b/>
                <w:szCs w:val="20"/>
              </w:rPr>
              <w:t>50,</w:t>
            </w:r>
            <w:r w:rsidR="00BD36FA" w:rsidRPr="00154BDB">
              <w:rPr>
                <w:rFonts w:cstheme="minorHAnsi"/>
                <w:b/>
                <w:szCs w:val="20"/>
              </w:rPr>
              <w:t>1</w:t>
            </w:r>
            <w:r w:rsidRPr="00154BDB">
              <w:rPr>
                <w:rFonts w:cstheme="minorHAnsi"/>
                <w:b/>
                <w:szCs w:val="20"/>
              </w:rPr>
              <w:t>00</w:t>
            </w:r>
          </w:p>
        </w:tc>
      </w:tr>
    </w:tbl>
    <w:p w14:paraId="4E10C476" w14:textId="15CDB14D" w:rsidR="00C55842" w:rsidRPr="00154BDB" w:rsidRDefault="00C55842" w:rsidP="00D4158A">
      <w:pPr>
        <w:pStyle w:val="ListParagraph"/>
        <w:numPr>
          <w:ilvl w:val="0"/>
          <w:numId w:val="58"/>
        </w:numPr>
        <w:spacing w:after="120"/>
        <w:ind w:left="714" w:hanging="357"/>
        <w:contextualSpacing w:val="0"/>
        <w:rPr>
          <w:rFonts w:asciiTheme="minorHAnsi" w:hAnsiTheme="minorHAnsi" w:cstheme="minorHAnsi"/>
          <w:sz w:val="20"/>
          <w:szCs w:val="20"/>
        </w:rPr>
      </w:pPr>
      <w:r w:rsidRPr="00154BDB">
        <w:rPr>
          <w:rFonts w:asciiTheme="minorHAnsi" w:hAnsiTheme="minorHAnsi" w:cstheme="minorHAnsi"/>
          <w:sz w:val="20"/>
          <w:szCs w:val="20"/>
        </w:rPr>
        <w:t>Comprises a capital contribution.</w:t>
      </w:r>
    </w:p>
    <w:p w14:paraId="744DCD43" w14:textId="601D9B73" w:rsidR="00C55842" w:rsidRPr="00154BDB" w:rsidRDefault="00C55842" w:rsidP="00496B89">
      <w:pPr>
        <w:spacing w:after="120" w:line="240" w:lineRule="auto"/>
        <w:rPr>
          <w:rFonts w:cstheme="minorHAnsi"/>
          <w:szCs w:val="20"/>
        </w:rPr>
      </w:pPr>
      <w:r w:rsidRPr="00154BDB">
        <w:rPr>
          <w:rFonts w:cstheme="minorHAnsi"/>
          <w:szCs w:val="20"/>
        </w:rPr>
        <w:t>There has been no material change to Alchemist Codes’ capitalisation since 30 April 2019 to the date of this document.</w:t>
      </w:r>
    </w:p>
    <w:p w14:paraId="67C880D8" w14:textId="77777777" w:rsidR="00C55842" w:rsidRPr="00154BDB" w:rsidRDefault="00C55842" w:rsidP="00F432B9">
      <w:pPr>
        <w:spacing w:after="120" w:line="240" w:lineRule="auto"/>
        <w:rPr>
          <w:rFonts w:cstheme="minorHAnsi"/>
          <w:szCs w:val="20"/>
        </w:rPr>
      </w:pPr>
      <w:r w:rsidRPr="00154BDB">
        <w:rPr>
          <w:rFonts w:cstheme="minorHAnsi"/>
          <w:szCs w:val="20"/>
        </w:rPr>
        <w:t>The table below sets out Alchemist Codes’ net indebtedness as at 31 December 2019.</w:t>
      </w:r>
    </w:p>
    <w:p w14:paraId="1203C1E7" w14:textId="77777777" w:rsidR="00C55842" w:rsidRPr="00154BDB" w:rsidRDefault="00C55842" w:rsidP="00F432B9">
      <w:pPr>
        <w:spacing w:line="240" w:lineRule="auto"/>
        <w:rPr>
          <w:rFonts w:cstheme="minorHAnsi"/>
          <w:szCs w:val="20"/>
        </w:rPr>
      </w:pPr>
    </w:p>
    <w:tbl>
      <w:tblPr>
        <w:tblW w:w="5000" w:type="pct"/>
        <w:tblLayout w:type="fixed"/>
        <w:tblCellMar>
          <w:left w:w="115" w:type="dxa"/>
          <w:right w:w="115" w:type="dxa"/>
        </w:tblCellMar>
        <w:tblLook w:val="01E0" w:firstRow="1" w:lastRow="1" w:firstColumn="1" w:lastColumn="1" w:noHBand="0" w:noVBand="0"/>
      </w:tblPr>
      <w:tblGrid>
        <w:gridCol w:w="6844"/>
        <w:gridCol w:w="2182"/>
      </w:tblGrid>
      <w:tr w:rsidR="00C55842" w:rsidRPr="00154BDB" w14:paraId="5B82A719" w14:textId="77777777" w:rsidTr="00D632CF">
        <w:trPr>
          <w:tblHeader/>
        </w:trPr>
        <w:tc>
          <w:tcPr>
            <w:tcW w:w="3791" w:type="pct"/>
          </w:tcPr>
          <w:p w14:paraId="35326FD1" w14:textId="77777777" w:rsidR="00C55842" w:rsidRPr="00154BDB" w:rsidRDefault="00C55842" w:rsidP="00496B89">
            <w:pPr>
              <w:spacing w:after="0" w:line="240" w:lineRule="auto"/>
              <w:rPr>
                <w:rFonts w:cstheme="minorHAnsi"/>
                <w:szCs w:val="20"/>
              </w:rPr>
            </w:pPr>
            <w:r w:rsidRPr="00154BDB">
              <w:rPr>
                <w:rFonts w:cstheme="minorHAnsi"/>
                <w:b/>
                <w:szCs w:val="20"/>
              </w:rPr>
              <w:t>(RM)</w:t>
            </w:r>
          </w:p>
        </w:tc>
        <w:tc>
          <w:tcPr>
            <w:tcW w:w="1209" w:type="pct"/>
            <w:vAlign w:val="bottom"/>
          </w:tcPr>
          <w:p w14:paraId="6AF887E7" w14:textId="77777777" w:rsidR="00C55842" w:rsidRPr="00154BDB" w:rsidRDefault="00C55842" w:rsidP="00F432B9">
            <w:pPr>
              <w:spacing w:after="0" w:line="240" w:lineRule="auto"/>
              <w:jc w:val="right"/>
              <w:rPr>
                <w:rFonts w:cstheme="minorHAnsi"/>
                <w:b/>
                <w:szCs w:val="20"/>
              </w:rPr>
            </w:pPr>
            <w:r w:rsidRPr="00154BDB">
              <w:rPr>
                <w:rFonts w:cstheme="minorHAnsi"/>
                <w:b/>
                <w:szCs w:val="20"/>
              </w:rPr>
              <w:t>As at 31 December 2019</w:t>
            </w:r>
          </w:p>
        </w:tc>
      </w:tr>
      <w:tr w:rsidR="00C55842" w:rsidRPr="00154BDB" w14:paraId="335B4BBB" w14:textId="77777777" w:rsidTr="00D632CF">
        <w:tc>
          <w:tcPr>
            <w:tcW w:w="3791" w:type="pct"/>
          </w:tcPr>
          <w:p w14:paraId="3E513F6D" w14:textId="77777777" w:rsidR="00C55842" w:rsidRPr="00154BDB" w:rsidRDefault="00C55842" w:rsidP="00496B89">
            <w:pPr>
              <w:spacing w:after="0" w:line="240" w:lineRule="auto"/>
              <w:rPr>
                <w:rFonts w:cstheme="minorHAnsi"/>
                <w:szCs w:val="20"/>
              </w:rPr>
            </w:pPr>
          </w:p>
        </w:tc>
        <w:tc>
          <w:tcPr>
            <w:tcW w:w="1209" w:type="pct"/>
          </w:tcPr>
          <w:p w14:paraId="4DFB0E2A" w14:textId="77777777" w:rsidR="00C55842" w:rsidRPr="00154BDB" w:rsidRDefault="00C55842" w:rsidP="00F432B9">
            <w:pPr>
              <w:spacing w:after="0" w:line="240" w:lineRule="auto"/>
              <w:jc w:val="right"/>
              <w:rPr>
                <w:rFonts w:cstheme="minorHAnsi"/>
                <w:i/>
                <w:szCs w:val="20"/>
              </w:rPr>
            </w:pPr>
            <w:r w:rsidRPr="00154BDB">
              <w:rPr>
                <w:rFonts w:cstheme="minorHAnsi"/>
                <w:i/>
                <w:szCs w:val="20"/>
              </w:rPr>
              <w:t>(Unaudited)</w:t>
            </w:r>
          </w:p>
        </w:tc>
      </w:tr>
      <w:tr w:rsidR="00C55842" w:rsidRPr="00154BDB" w14:paraId="5AE9781A" w14:textId="77777777" w:rsidTr="00D632CF">
        <w:tc>
          <w:tcPr>
            <w:tcW w:w="3791" w:type="pct"/>
          </w:tcPr>
          <w:p w14:paraId="5075230B" w14:textId="77777777" w:rsidR="00C55842" w:rsidRPr="00154BDB" w:rsidRDefault="00C55842" w:rsidP="00496B89">
            <w:pPr>
              <w:spacing w:after="0" w:line="240" w:lineRule="auto"/>
              <w:rPr>
                <w:rFonts w:cstheme="minorHAnsi"/>
                <w:szCs w:val="20"/>
              </w:rPr>
            </w:pPr>
            <w:r w:rsidRPr="00154BDB">
              <w:rPr>
                <w:rFonts w:cstheme="minorHAnsi"/>
                <w:szCs w:val="20"/>
              </w:rPr>
              <w:t>Cash</w:t>
            </w:r>
          </w:p>
        </w:tc>
        <w:tc>
          <w:tcPr>
            <w:tcW w:w="1209" w:type="pct"/>
          </w:tcPr>
          <w:p w14:paraId="38CE3C3B" w14:textId="4945F873" w:rsidR="00C55842" w:rsidRPr="00154BDB" w:rsidRDefault="00C826B7" w:rsidP="00F432B9">
            <w:pPr>
              <w:spacing w:after="0" w:line="240" w:lineRule="auto"/>
              <w:jc w:val="right"/>
              <w:rPr>
                <w:rFonts w:cstheme="minorHAnsi"/>
                <w:szCs w:val="20"/>
              </w:rPr>
            </w:pPr>
            <w:r w:rsidRPr="00154BDB">
              <w:rPr>
                <w:rFonts w:cstheme="minorHAnsi"/>
                <w:szCs w:val="20"/>
              </w:rPr>
              <w:t>678,589</w:t>
            </w:r>
          </w:p>
        </w:tc>
      </w:tr>
      <w:tr w:rsidR="00C55842" w:rsidRPr="00154BDB" w14:paraId="2BBBBFFA" w14:textId="77777777" w:rsidTr="00D632CF">
        <w:tc>
          <w:tcPr>
            <w:tcW w:w="3791" w:type="pct"/>
          </w:tcPr>
          <w:p w14:paraId="49B16106" w14:textId="77777777" w:rsidR="00C55842" w:rsidRPr="00154BDB" w:rsidRDefault="00C55842" w:rsidP="00496B89">
            <w:pPr>
              <w:spacing w:after="0" w:line="240" w:lineRule="auto"/>
              <w:rPr>
                <w:rFonts w:cstheme="minorHAnsi"/>
                <w:szCs w:val="20"/>
              </w:rPr>
            </w:pPr>
            <w:r w:rsidRPr="00154BDB">
              <w:rPr>
                <w:rFonts w:cstheme="minorHAnsi"/>
                <w:szCs w:val="20"/>
              </w:rPr>
              <w:t>Cash equivalents</w:t>
            </w:r>
          </w:p>
        </w:tc>
        <w:tc>
          <w:tcPr>
            <w:tcW w:w="1209" w:type="pct"/>
          </w:tcPr>
          <w:p w14:paraId="34E40C61" w14:textId="77777777" w:rsidR="00C55842" w:rsidRPr="00154BDB" w:rsidRDefault="00C55842" w:rsidP="00F432B9">
            <w:pPr>
              <w:spacing w:after="0" w:line="240" w:lineRule="auto"/>
              <w:jc w:val="right"/>
              <w:rPr>
                <w:rFonts w:cstheme="minorHAnsi"/>
                <w:szCs w:val="20"/>
              </w:rPr>
            </w:pPr>
            <w:r w:rsidRPr="00154BDB">
              <w:rPr>
                <w:rFonts w:cstheme="minorHAnsi"/>
                <w:szCs w:val="20"/>
              </w:rPr>
              <w:t>-</w:t>
            </w:r>
          </w:p>
        </w:tc>
      </w:tr>
      <w:tr w:rsidR="00C55842" w:rsidRPr="00154BDB" w14:paraId="732F596C" w14:textId="77777777" w:rsidTr="00D632CF">
        <w:tc>
          <w:tcPr>
            <w:tcW w:w="3791" w:type="pct"/>
          </w:tcPr>
          <w:p w14:paraId="5CC0B262" w14:textId="77777777" w:rsidR="00C55842" w:rsidRPr="00154BDB" w:rsidRDefault="00C55842" w:rsidP="00496B89">
            <w:pPr>
              <w:spacing w:after="0" w:line="240" w:lineRule="auto"/>
              <w:rPr>
                <w:rFonts w:cstheme="minorHAnsi"/>
                <w:szCs w:val="20"/>
              </w:rPr>
            </w:pPr>
            <w:r w:rsidRPr="00154BDB">
              <w:rPr>
                <w:rFonts w:cstheme="minorHAnsi"/>
                <w:szCs w:val="20"/>
              </w:rPr>
              <w:t xml:space="preserve">Trading securities </w:t>
            </w:r>
          </w:p>
        </w:tc>
        <w:tc>
          <w:tcPr>
            <w:tcW w:w="1209" w:type="pct"/>
            <w:tcBorders>
              <w:bottom w:val="single" w:sz="4" w:space="0" w:color="auto"/>
            </w:tcBorders>
          </w:tcPr>
          <w:p w14:paraId="67884E43" w14:textId="77777777" w:rsidR="00C55842" w:rsidRPr="00154BDB" w:rsidRDefault="00C55842" w:rsidP="00F432B9">
            <w:pPr>
              <w:spacing w:after="0" w:line="240" w:lineRule="auto"/>
              <w:jc w:val="right"/>
              <w:rPr>
                <w:rFonts w:cstheme="minorHAnsi"/>
                <w:szCs w:val="20"/>
              </w:rPr>
            </w:pPr>
            <w:r w:rsidRPr="00154BDB">
              <w:rPr>
                <w:rFonts w:cstheme="minorHAnsi"/>
                <w:szCs w:val="20"/>
              </w:rPr>
              <w:t>-</w:t>
            </w:r>
          </w:p>
        </w:tc>
      </w:tr>
      <w:tr w:rsidR="00C55842" w:rsidRPr="00154BDB" w14:paraId="76C8D2FF" w14:textId="77777777" w:rsidTr="00D632CF">
        <w:tc>
          <w:tcPr>
            <w:tcW w:w="3791" w:type="pct"/>
          </w:tcPr>
          <w:p w14:paraId="7A867273" w14:textId="77777777" w:rsidR="00C55842" w:rsidRPr="00154BDB" w:rsidRDefault="00C55842" w:rsidP="00496B89">
            <w:pPr>
              <w:spacing w:after="0" w:line="240" w:lineRule="auto"/>
              <w:rPr>
                <w:rFonts w:cstheme="minorHAnsi"/>
                <w:b/>
                <w:szCs w:val="20"/>
              </w:rPr>
            </w:pPr>
            <w:r w:rsidRPr="00154BDB">
              <w:rPr>
                <w:rFonts w:cstheme="minorHAnsi"/>
                <w:b/>
                <w:szCs w:val="20"/>
              </w:rPr>
              <w:t>Liquidity</w:t>
            </w:r>
          </w:p>
        </w:tc>
        <w:tc>
          <w:tcPr>
            <w:tcW w:w="1209" w:type="pct"/>
            <w:tcBorders>
              <w:top w:val="single" w:sz="4" w:space="0" w:color="auto"/>
              <w:bottom w:val="single" w:sz="4" w:space="0" w:color="auto"/>
            </w:tcBorders>
          </w:tcPr>
          <w:p w14:paraId="12E1AD7A" w14:textId="7855A0CE" w:rsidR="00C55842" w:rsidRPr="00154BDB" w:rsidRDefault="00C826B7" w:rsidP="00F432B9">
            <w:pPr>
              <w:spacing w:after="0" w:line="240" w:lineRule="auto"/>
              <w:jc w:val="right"/>
              <w:rPr>
                <w:rFonts w:cstheme="minorHAnsi"/>
                <w:b/>
                <w:szCs w:val="20"/>
              </w:rPr>
            </w:pPr>
            <w:r w:rsidRPr="00154BDB">
              <w:rPr>
                <w:rFonts w:cstheme="minorHAnsi"/>
                <w:b/>
                <w:szCs w:val="20"/>
              </w:rPr>
              <w:t>678,589</w:t>
            </w:r>
          </w:p>
        </w:tc>
      </w:tr>
      <w:tr w:rsidR="00C55842" w:rsidRPr="00154BDB" w14:paraId="335AFE76" w14:textId="77777777" w:rsidTr="00D632CF">
        <w:tc>
          <w:tcPr>
            <w:tcW w:w="3791" w:type="pct"/>
          </w:tcPr>
          <w:p w14:paraId="11536AE3" w14:textId="77777777" w:rsidR="00C55842" w:rsidRPr="00154BDB" w:rsidRDefault="00C55842" w:rsidP="00496B89">
            <w:pPr>
              <w:spacing w:after="0" w:line="240" w:lineRule="auto"/>
              <w:rPr>
                <w:rFonts w:cstheme="minorHAnsi"/>
                <w:szCs w:val="20"/>
              </w:rPr>
            </w:pPr>
          </w:p>
        </w:tc>
        <w:tc>
          <w:tcPr>
            <w:tcW w:w="1209" w:type="pct"/>
            <w:tcBorders>
              <w:top w:val="single" w:sz="4" w:space="0" w:color="auto"/>
            </w:tcBorders>
          </w:tcPr>
          <w:p w14:paraId="48384FD2" w14:textId="77777777" w:rsidR="00C55842" w:rsidRPr="00154BDB" w:rsidRDefault="00C55842" w:rsidP="00F432B9">
            <w:pPr>
              <w:spacing w:after="0" w:line="240" w:lineRule="auto"/>
              <w:jc w:val="right"/>
              <w:rPr>
                <w:rFonts w:cstheme="minorHAnsi"/>
                <w:szCs w:val="20"/>
              </w:rPr>
            </w:pPr>
          </w:p>
        </w:tc>
      </w:tr>
      <w:tr w:rsidR="00C55842" w:rsidRPr="00154BDB" w14:paraId="13A13B34" w14:textId="77777777" w:rsidTr="00D632CF">
        <w:tc>
          <w:tcPr>
            <w:tcW w:w="3791" w:type="pct"/>
          </w:tcPr>
          <w:p w14:paraId="44E0C02C" w14:textId="77777777" w:rsidR="00C55842" w:rsidRPr="00154BDB" w:rsidRDefault="00C55842" w:rsidP="00496B89">
            <w:pPr>
              <w:spacing w:after="0" w:line="240" w:lineRule="auto"/>
              <w:rPr>
                <w:rFonts w:cstheme="minorHAnsi"/>
                <w:szCs w:val="20"/>
              </w:rPr>
            </w:pPr>
            <w:r w:rsidRPr="00154BDB">
              <w:rPr>
                <w:rFonts w:cstheme="minorHAnsi"/>
                <w:szCs w:val="20"/>
              </w:rPr>
              <w:t xml:space="preserve">Current financial receivables </w:t>
            </w:r>
          </w:p>
        </w:tc>
        <w:tc>
          <w:tcPr>
            <w:tcW w:w="1209" w:type="pct"/>
            <w:tcBorders>
              <w:bottom w:val="single" w:sz="4" w:space="0" w:color="auto"/>
            </w:tcBorders>
          </w:tcPr>
          <w:p w14:paraId="7D392083" w14:textId="77777777" w:rsidR="00C55842" w:rsidRPr="00154BDB" w:rsidRDefault="00C55842" w:rsidP="00F432B9">
            <w:pPr>
              <w:spacing w:after="0" w:line="240" w:lineRule="auto"/>
              <w:jc w:val="right"/>
              <w:rPr>
                <w:rFonts w:cstheme="minorHAnsi"/>
                <w:szCs w:val="20"/>
              </w:rPr>
            </w:pPr>
            <w:r w:rsidRPr="00154BDB">
              <w:rPr>
                <w:rFonts w:cstheme="minorHAnsi"/>
                <w:szCs w:val="20"/>
              </w:rPr>
              <w:t>-</w:t>
            </w:r>
          </w:p>
        </w:tc>
      </w:tr>
      <w:tr w:rsidR="00C55842" w:rsidRPr="00154BDB" w14:paraId="3E15F49D" w14:textId="77777777" w:rsidTr="00D632CF">
        <w:tc>
          <w:tcPr>
            <w:tcW w:w="3791" w:type="pct"/>
          </w:tcPr>
          <w:p w14:paraId="2B68E5E0" w14:textId="77777777" w:rsidR="00C55842" w:rsidRPr="00154BDB" w:rsidRDefault="00C55842" w:rsidP="00496B89">
            <w:pPr>
              <w:spacing w:after="0" w:line="240" w:lineRule="auto"/>
              <w:rPr>
                <w:rFonts w:cstheme="minorHAnsi"/>
                <w:szCs w:val="20"/>
              </w:rPr>
            </w:pPr>
          </w:p>
        </w:tc>
        <w:tc>
          <w:tcPr>
            <w:tcW w:w="1209" w:type="pct"/>
            <w:tcBorders>
              <w:top w:val="single" w:sz="4" w:space="0" w:color="auto"/>
            </w:tcBorders>
          </w:tcPr>
          <w:p w14:paraId="72478DC0" w14:textId="77777777" w:rsidR="00C55842" w:rsidRPr="00154BDB" w:rsidRDefault="00C55842" w:rsidP="00F432B9">
            <w:pPr>
              <w:spacing w:after="0" w:line="240" w:lineRule="auto"/>
              <w:jc w:val="right"/>
              <w:rPr>
                <w:rFonts w:cstheme="minorHAnsi"/>
                <w:szCs w:val="20"/>
              </w:rPr>
            </w:pPr>
          </w:p>
        </w:tc>
      </w:tr>
      <w:tr w:rsidR="00C55842" w:rsidRPr="00154BDB" w14:paraId="76090446" w14:textId="77777777" w:rsidTr="00D632CF">
        <w:tc>
          <w:tcPr>
            <w:tcW w:w="3791" w:type="pct"/>
          </w:tcPr>
          <w:p w14:paraId="6B55FA3B" w14:textId="77777777" w:rsidR="00C55842" w:rsidRPr="00154BDB" w:rsidRDefault="00C55842" w:rsidP="00496B89">
            <w:pPr>
              <w:spacing w:after="0" w:line="240" w:lineRule="auto"/>
              <w:rPr>
                <w:rFonts w:cstheme="minorHAnsi"/>
                <w:szCs w:val="20"/>
              </w:rPr>
            </w:pPr>
            <w:r w:rsidRPr="00154BDB">
              <w:rPr>
                <w:rFonts w:cstheme="minorHAnsi"/>
                <w:szCs w:val="20"/>
              </w:rPr>
              <w:t xml:space="preserve">Current bank debt </w:t>
            </w:r>
          </w:p>
        </w:tc>
        <w:tc>
          <w:tcPr>
            <w:tcW w:w="1209" w:type="pct"/>
          </w:tcPr>
          <w:p w14:paraId="5C6DA969" w14:textId="77777777" w:rsidR="00C55842" w:rsidRPr="00154BDB" w:rsidRDefault="00C55842" w:rsidP="00F432B9">
            <w:pPr>
              <w:spacing w:after="0" w:line="240" w:lineRule="auto"/>
              <w:jc w:val="right"/>
              <w:rPr>
                <w:rFonts w:cstheme="minorHAnsi"/>
                <w:szCs w:val="20"/>
              </w:rPr>
            </w:pPr>
            <w:r w:rsidRPr="00154BDB">
              <w:rPr>
                <w:rFonts w:cstheme="minorHAnsi"/>
                <w:szCs w:val="20"/>
              </w:rPr>
              <w:t>-</w:t>
            </w:r>
          </w:p>
        </w:tc>
      </w:tr>
      <w:tr w:rsidR="00C55842" w:rsidRPr="00154BDB" w14:paraId="6F1F9B67" w14:textId="77777777" w:rsidTr="00D632CF">
        <w:tc>
          <w:tcPr>
            <w:tcW w:w="3791" w:type="pct"/>
          </w:tcPr>
          <w:p w14:paraId="52F5D72E" w14:textId="77777777" w:rsidR="00C55842" w:rsidRPr="00154BDB" w:rsidRDefault="00C55842" w:rsidP="00496B89">
            <w:pPr>
              <w:spacing w:after="0" w:line="240" w:lineRule="auto"/>
              <w:rPr>
                <w:rFonts w:cstheme="minorHAnsi"/>
                <w:szCs w:val="20"/>
              </w:rPr>
            </w:pPr>
            <w:r w:rsidRPr="00154BDB">
              <w:rPr>
                <w:rFonts w:cstheme="minorHAnsi"/>
                <w:szCs w:val="20"/>
              </w:rPr>
              <w:t>Current portion of non-current debt</w:t>
            </w:r>
          </w:p>
        </w:tc>
        <w:tc>
          <w:tcPr>
            <w:tcW w:w="1209" w:type="pct"/>
          </w:tcPr>
          <w:p w14:paraId="3C4CF353" w14:textId="77777777" w:rsidR="00C55842" w:rsidRPr="00154BDB" w:rsidRDefault="00C55842" w:rsidP="00F432B9">
            <w:pPr>
              <w:numPr>
                <w:ilvl w:val="0"/>
                <w:numId w:val="57"/>
              </w:numPr>
              <w:spacing w:after="0" w:line="240" w:lineRule="auto"/>
              <w:jc w:val="right"/>
              <w:rPr>
                <w:rFonts w:cstheme="minorHAnsi"/>
                <w:szCs w:val="20"/>
              </w:rPr>
            </w:pPr>
            <w:r w:rsidRPr="00154BDB">
              <w:rPr>
                <w:rFonts w:cstheme="minorHAnsi"/>
                <w:szCs w:val="20"/>
              </w:rPr>
              <w:t>-</w:t>
            </w:r>
          </w:p>
        </w:tc>
      </w:tr>
      <w:tr w:rsidR="00C55842" w:rsidRPr="00154BDB" w14:paraId="5EDDEC9D" w14:textId="77777777" w:rsidTr="00D632CF">
        <w:tc>
          <w:tcPr>
            <w:tcW w:w="3791" w:type="pct"/>
          </w:tcPr>
          <w:p w14:paraId="2A99BFF8" w14:textId="77777777" w:rsidR="00C55842" w:rsidRPr="00154BDB" w:rsidRDefault="00C55842" w:rsidP="00496B89">
            <w:pPr>
              <w:numPr>
                <w:ilvl w:val="0"/>
                <w:numId w:val="57"/>
              </w:numPr>
              <w:spacing w:after="0" w:line="240" w:lineRule="auto"/>
              <w:rPr>
                <w:rFonts w:cstheme="minorHAnsi"/>
                <w:szCs w:val="20"/>
              </w:rPr>
            </w:pPr>
            <w:r w:rsidRPr="00154BDB">
              <w:rPr>
                <w:rFonts w:cstheme="minorHAnsi"/>
                <w:szCs w:val="20"/>
              </w:rPr>
              <w:t xml:space="preserve">Other current financial debt </w:t>
            </w:r>
          </w:p>
        </w:tc>
        <w:tc>
          <w:tcPr>
            <w:tcW w:w="1209" w:type="pct"/>
            <w:tcBorders>
              <w:bottom w:val="single" w:sz="4" w:space="0" w:color="auto"/>
            </w:tcBorders>
          </w:tcPr>
          <w:p w14:paraId="6766692E" w14:textId="77777777" w:rsidR="00C55842" w:rsidRPr="00154BDB" w:rsidRDefault="00C55842" w:rsidP="00F432B9">
            <w:pPr>
              <w:numPr>
                <w:ilvl w:val="0"/>
                <w:numId w:val="57"/>
              </w:numPr>
              <w:spacing w:after="0" w:line="240" w:lineRule="auto"/>
              <w:jc w:val="right"/>
              <w:rPr>
                <w:rFonts w:cstheme="minorHAnsi"/>
                <w:szCs w:val="20"/>
              </w:rPr>
            </w:pPr>
            <w:r w:rsidRPr="00154BDB">
              <w:rPr>
                <w:rFonts w:cstheme="minorHAnsi"/>
                <w:szCs w:val="20"/>
              </w:rPr>
              <w:t>(31,262)</w:t>
            </w:r>
          </w:p>
        </w:tc>
      </w:tr>
      <w:tr w:rsidR="00C55842" w:rsidRPr="00154BDB" w14:paraId="4291BDE4" w14:textId="77777777" w:rsidTr="00D632CF">
        <w:tc>
          <w:tcPr>
            <w:tcW w:w="3791" w:type="pct"/>
          </w:tcPr>
          <w:p w14:paraId="02CB3A40" w14:textId="77777777" w:rsidR="00C55842" w:rsidRPr="00154BDB" w:rsidRDefault="00C55842" w:rsidP="00496B89">
            <w:pPr>
              <w:numPr>
                <w:ilvl w:val="0"/>
                <w:numId w:val="57"/>
              </w:numPr>
              <w:spacing w:after="0" w:line="240" w:lineRule="auto"/>
              <w:rPr>
                <w:rFonts w:cstheme="minorHAnsi"/>
                <w:b/>
                <w:szCs w:val="20"/>
              </w:rPr>
            </w:pPr>
            <w:r w:rsidRPr="00154BDB">
              <w:rPr>
                <w:rFonts w:cstheme="minorHAnsi"/>
                <w:b/>
                <w:szCs w:val="20"/>
              </w:rPr>
              <w:t>Current financial indebtedness</w:t>
            </w:r>
          </w:p>
        </w:tc>
        <w:tc>
          <w:tcPr>
            <w:tcW w:w="1209" w:type="pct"/>
            <w:tcBorders>
              <w:top w:val="single" w:sz="4" w:space="0" w:color="auto"/>
              <w:bottom w:val="single" w:sz="4" w:space="0" w:color="auto"/>
            </w:tcBorders>
          </w:tcPr>
          <w:p w14:paraId="49865C5A" w14:textId="77777777" w:rsidR="00C55842" w:rsidRPr="00154BDB" w:rsidRDefault="00C55842" w:rsidP="00F432B9">
            <w:pPr>
              <w:numPr>
                <w:ilvl w:val="0"/>
                <w:numId w:val="57"/>
              </w:numPr>
              <w:spacing w:after="0" w:line="240" w:lineRule="auto"/>
              <w:jc w:val="right"/>
              <w:rPr>
                <w:rFonts w:cstheme="minorHAnsi"/>
                <w:b/>
                <w:szCs w:val="20"/>
              </w:rPr>
            </w:pPr>
            <w:r w:rsidRPr="00154BDB">
              <w:rPr>
                <w:rFonts w:cstheme="minorHAnsi"/>
                <w:b/>
                <w:szCs w:val="20"/>
              </w:rPr>
              <w:t>-</w:t>
            </w:r>
          </w:p>
        </w:tc>
      </w:tr>
      <w:tr w:rsidR="00C55842" w:rsidRPr="00154BDB" w14:paraId="37E1A04A" w14:textId="77777777" w:rsidTr="00D632CF">
        <w:tc>
          <w:tcPr>
            <w:tcW w:w="3791" w:type="pct"/>
          </w:tcPr>
          <w:p w14:paraId="6C2EB276" w14:textId="77777777" w:rsidR="00C55842" w:rsidRPr="00154BDB" w:rsidRDefault="00C55842" w:rsidP="00496B89">
            <w:pPr>
              <w:spacing w:after="0" w:line="240" w:lineRule="auto"/>
              <w:rPr>
                <w:rFonts w:cstheme="minorHAnsi"/>
                <w:szCs w:val="20"/>
              </w:rPr>
            </w:pPr>
          </w:p>
        </w:tc>
        <w:tc>
          <w:tcPr>
            <w:tcW w:w="1209" w:type="pct"/>
            <w:tcBorders>
              <w:top w:val="single" w:sz="4" w:space="0" w:color="auto"/>
            </w:tcBorders>
          </w:tcPr>
          <w:p w14:paraId="56814284" w14:textId="77777777" w:rsidR="00C55842" w:rsidRPr="00154BDB" w:rsidRDefault="00C55842" w:rsidP="00F432B9">
            <w:pPr>
              <w:spacing w:after="0" w:line="240" w:lineRule="auto"/>
              <w:jc w:val="right"/>
              <w:rPr>
                <w:rFonts w:cstheme="minorHAnsi"/>
                <w:szCs w:val="20"/>
              </w:rPr>
            </w:pPr>
          </w:p>
        </w:tc>
      </w:tr>
      <w:tr w:rsidR="00C55842" w:rsidRPr="00154BDB" w14:paraId="617FAABB" w14:textId="77777777" w:rsidTr="00D632CF">
        <w:tc>
          <w:tcPr>
            <w:tcW w:w="3791" w:type="pct"/>
          </w:tcPr>
          <w:p w14:paraId="65CF04A8" w14:textId="77777777" w:rsidR="00C55842" w:rsidRPr="00154BDB" w:rsidRDefault="00C55842" w:rsidP="00496B89">
            <w:pPr>
              <w:spacing w:after="0" w:line="240" w:lineRule="auto"/>
              <w:rPr>
                <w:rFonts w:cstheme="minorHAnsi"/>
                <w:b/>
                <w:szCs w:val="20"/>
              </w:rPr>
            </w:pPr>
            <w:r w:rsidRPr="00154BDB">
              <w:rPr>
                <w:rFonts w:cstheme="minorHAnsi"/>
                <w:b/>
                <w:szCs w:val="20"/>
              </w:rPr>
              <w:lastRenderedPageBreak/>
              <w:t>Net current financial liquidity</w:t>
            </w:r>
          </w:p>
        </w:tc>
        <w:tc>
          <w:tcPr>
            <w:tcW w:w="1209" w:type="pct"/>
            <w:tcBorders>
              <w:bottom w:val="single" w:sz="4" w:space="0" w:color="auto"/>
            </w:tcBorders>
          </w:tcPr>
          <w:p w14:paraId="51F28FB3" w14:textId="40B8F938" w:rsidR="00C55842" w:rsidRPr="00154BDB" w:rsidRDefault="00C826B7" w:rsidP="00F432B9">
            <w:pPr>
              <w:spacing w:after="0" w:line="240" w:lineRule="auto"/>
              <w:jc w:val="right"/>
              <w:rPr>
                <w:rFonts w:cstheme="minorHAnsi"/>
                <w:b/>
                <w:szCs w:val="20"/>
              </w:rPr>
            </w:pPr>
            <w:r w:rsidRPr="00154BDB">
              <w:rPr>
                <w:rFonts w:cstheme="minorHAnsi"/>
                <w:b/>
                <w:szCs w:val="20"/>
              </w:rPr>
              <w:t>647,327</w:t>
            </w:r>
          </w:p>
        </w:tc>
      </w:tr>
      <w:tr w:rsidR="00C55842" w:rsidRPr="00154BDB" w14:paraId="7CC4387C" w14:textId="77777777" w:rsidTr="00D632CF">
        <w:tc>
          <w:tcPr>
            <w:tcW w:w="3791" w:type="pct"/>
          </w:tcPr>
          <w:p w14:paraId="79C5A691" w14:textId="77777777" w:rsidR="00C55842" w:rsidRPr="00154BDB" w:rsidRDefault="00C55842" w:rsidP="00496B89">
            <w:pPr>
              <w:spacing w:after="0" w:line="240" w:lineRule="auto"/>
              <w:rPr>
                <w:rFonts w:cstheme="minorHAnsi"/>
                <w:szCs w:val="20"/>
              </w:rPr>
            </w:pPr>
          </w:p>
        </w:tc>
        <w:tc>
          <w:tcPr>
            <w:tcW w:w="1209" w:type="pct"/>
            <w:tcBorders>
              <w:top w:val="single" w:sz="4" w:space="0" w:color="auto"/>
            </w:tcBorders>
          </w:tcPr>
          <w:p w14:paraId="2E93F253" w14:textId="77777777" w:rsidR="00C55842" w:rsidRPr="00154BDB" w:rsidRDefault="00C55842" w:rsidP="00F432B9">
            <w:pPr>
              <w:spacing w:after="0" w:line="240" w:lineRule="auto"/>
              <w:jc w:val="right"/>
              <w:rPr>
                <w:rFonts w:cstheme="minorHAnsi"/>
                <w:szCs w:val="20"/>
              </w:rPr>
            </w:pPr>
          </w:p>
        </w:tc>
      </w:tr>
      <w:tr w:rsidR="00C55842" w:rsidRPr="00154BDB" w14:paraId="16E33B79" w14:textId="77777777" w:rsidTr="00D632CF">
        <w:tc>
          <w:tcPr>
            <w:tcW w:w="3791" w:type="pct"/>
          </w:tcPr>
          <w:p w14:paraId="0EB7E130" w14:textId="77777777" w:rsidR="00C55842" w:rsidRPr="00154BDB" w:rsidRDefault="00C55842" w:rsidP="00496B89">
            <w:pPr>
              <w:spacing w:after="0" w:line="240" w:lineRule="auto"/>
              <w:rPr>
                <w:rFonts w:cstheme="minorHAnsi"/>
                <w:szCs w:val="20"/>
              </w:rPr>
            </w:pPr>
            <w:r w:rsidRPr="00154BDB">
              <w:rPr>
                <w:rFonts w:cstheme="minorHAnsi"/>
                <w:szCs w:val="20"/>
              </w:rPr>
              <w:t xml:space="preserve">Non-current bank loans </w:t>
            </w:r>
          </w:p>
        </w:tc>
        <w:tc>
          <w:tcPr>
            <w:tcW w:w="1209" w:type="pct"/>
          </w:tcPr>
          <w:p w14:paraId="3F46B6E5" w14:textId="77777777" w:rsidR="00C55842" w:rsidRPr="00154BDB" w:rsidRDefault="00C55842" w:rsidP="00F432B9">
            <w:pPr>
              <w:spacing w:after="0" w:line="240" w:lineRule="auto"/>
              <w:jc w:val="right"/>
              <w:rPr>
                <w:rFonts w:cstheme="minorHAnsi"/>
                <w:szCs w:val="20"/>
              </w:rPr>
            </w:pPr>
            <w:r w:rsidRPr="00154BDB">
              <w:rPr>
                <w:rFonts w:cstheme="minorHAnsi"/>
                <w:szCs w:val="20"/>
              </w:rPr>
              <w:t>-</w:t>
            </w:r>
          </w:p>
        </w:tc>
      </w:tr>
      <w:tr w:rsidR="00C55842" w:rsidRPr="00154BDB" w14:paraId="164F340F" w14:textId="77777777" w:rsidTr="00D632CF">
        <w:tc>
          <w:tcPr>
            <w:tcW w:w="3791" w:type="pct"/>
          </w:tcPr>
          <w:p w14:paraId="266D40FD" w14:textId="77777777" w:rsidR="00C55842" w:rsidRPr="00154BDB" w:rsidRDefault="00C55842" w:rsidP="00496B89">
            <w:pPr>
              <w:spacing w:after="0" w:line="240" w:lineRule="auto"/>
              <w:rPr>
                <w:rFonts w:cstheme="minorHAnsi"/>
                <w:szCs w:val="20"/>
              </w:rPr>
            </w:pPr>
            <w:r w:rsidRPr="00154BDB">
              <w:rPr>
                <w:rFonts w:cstheme="minorHAnsi"/>
                <w:szCs w:val="20"/>
              </w:rPr>
              <w:t>Bonds issued</w:t>
            </w:r>
          </w:p>
        </w:tc>
        <w:tc>
          <w:tcPr>
            <w:tcW w:w="1209" w:type="pct"/>
          </w:tcPr>
          <w:p w14:paraId="4862EDF2" w14:textId="77777777" w:rsidR="00C55842" w:rsidRPr="00154BDB" w:rsidRDefault="00C55842" w:rsidP="00F432B9">
            <w:pPr>
              <w:spacing w:after="0" w:line="240" w:lineRule="auto"/>
              <w:jc w:val="right"/>
              <w:rPr>
                <w:rFonts w:cstheme="minorHAnsi"/>
                <w:szCs w:val="20"/>
              </w:rPr>
            </w:pPr>
            <w:r w:rsidRPr="00154BDB">
              <w:rPr>
                <w:rFonts w:cstheme="minorHAnsi"/>
                <w:szCs w:val="20"/>
              </w:rPr>
              <w:t>-</w:t>
            </w:r>
          </w:p>
        </w:tc>
      </w:tr>
      <w:tr w:rsidR="00C55842" w:rsidRPr="00154BDB" w14:paraId="5ED7CE25" w14:textId="77777777" w:rsidTr="00D632CF">
        <w:tc>
          <w:tcPr>
            <w:tcW w:w="3791" w:type="pct"/>
          </w:tcPr>
          <w:p w14:paraId="778CE070" w14:textId="77777777" w:rsidR="00C55842" w:rsidRPr="00154BDB" w:rsidRDefault="00C55842" w:rsidP="00496B89">
            <w:pPr>
              <w:spacing w:after="0" w:line="240" w:lineRule="auto"/>
              <w:rPr>
                <w:rFonts w:cstheme="minorHAnsi"/>
                <w:szCs w:val="20"/>
              </w:rPr>
            </w:pPr>
            <w:r w:rsidRPr="00154BDB">
              <w:rPr>
                <w:rFonts w:cstheme="minorHAnsi"/>
                <w:szCs w:val="20"/>
              </w:rPr>
              <w:t xml:space="preserve">Other non-current loans </w:t>
            </w:r>
          </w:p>
        </w:tc>
        <w:tc>
          <w:tcPr>
            <w:tcW w:w="1209" w:type="pct"/>
            <w:tcBorders>
              <w:bottom w:val="single" w:sz="4" w:space="0" w:color="auto"/>
            </w:tcBorders>
          </w:tcPr>
          <w:p w14:paraId="728B2358" w14:textId="77777777" w:rsidR="00C55842" w:rsidRPr="00154BDB" w:rsidRDefault="00C55842" w:rsidP="00F432B9">
            <w:pPr>
              <w:spacing w:after="0" w:line="240" w:lineRule="auto"/>
              <w:jc w:val="right"/>
              <w:rPr>
                <w:rFonts w:cstheme="minorHAnsi"/>
                <w:szCs w:val="20"/>
              </w:rPr>
            </w:pPr>
            <w:r w:rsidRPr="00154BDB">
              <w:rPr>
                <w:rFonts w:cstheme="minorHAnsi"/>
                <w:szCs w:val="20"/>
              </w:rPr>
              <w:t>-</w:t>
            </w:r>
          </w:p>
        </w:tc>
      </w:tr>
      <w:tr w:rsidR="00C55842" w:rsidRPr="00154BDB" w14:paraId="16F8E5A1" w14:textId="77777777" w:rsidTr="00D632CF">
        <w:tc>
          <w:tcPr>
            <w:tcW w:w="3791" w:type="pct"/>
          </w:tcPr>
          <w:p w14:paraId="180C3FEE" w14:textId="77777777" w:rsidR="00C55842" w:rsidRPr="00154BDB" w:rsidRDefault="00C55842" w:rsidP="00496B89">
            <w:pPr>
              <w:spacing w:after="0" w:line="240" w:lineRule="auto"/>
              <w:rPr>
                <w:rFonts w:cstheme="minorHAnsi"/>
                <w:b/>
                <w:szCs w:val="20"/>
              </w:rPr>
            </w:pPr>
            <w:r w:rsidRPr="00154BDB">
              <w:rPr>
                <w:rFonts w:cstheme="minorHAnsi"/>
                <w:b/>
                <w:szCs w:val="20"/>
              </w:rPr>
              <w:t>Non-current financial indebtedness</w:t>
            </w:r>
          </w:p>
        </w:tc>
        <w:tc>
          <w:tcPr>
            <w:tcW w:w="1209" w:type="pct"/>
            <w:tcBorders>
              <w:top w:val="single" w:sz="4" w:space="0" w:color="auto"/>
              <w:bottom w:val="single" w:sz="4" w:space="0" w:color="auto"/>
            </w:tcBorders>
          </w:tcPr>
          <w:p w14:paraId="28FD42D0" w14:textId="77777777" w:rsidR="00C55842" w:rsidRPr="00154BDB" w:rsidRDefault="00C55842" w:rsidP="00F432B9">
            <w:pPr>
              <w:spacing w:after="0" w:line="240" w:lineRule="auto"/>
              <w:jc w:val="right"/>
              <w:rPr>
                <w:rFonts w:cstheme="minorHAnsi"/>
                <w:b/>
                <w:szCs w:val="20"/>
              </w:rPr>
            </w:pPr>
            <w:r w:rsidRPr="00154BDB">
              <w:rPr>
                <w:rFonts w:cstheme="minorHAnsi"/>
                <w:b/>
                <w:szCs w:val="20"/>
              </w:rPr>
              <w:t>-</w:t>
            </w:r>
          </w:p>
        </w:tc>
      </w:tr>
      <w:tr w:rsidR="00C55842" w:rsidRPr="00154BDB" w14:paraId="37EBEADC" w14:textId="77777777" w:rsidTr="00D632CF">
        <w:tblPrEx>
          <w:tblCellMar>
            <w:left w:w="108" w:type="dxa"/>
            <w:right w:w="108" w:type="dxa"/>
          </w:tblCellMar>
        </w:tblPrEx>
        <w:tc>
          <w:tcPr>
            <w:tcW w:w="3791" w:type="pct"/>
          </w:tcPr>
          <w:p w14:paraId="658E1093" w14:textId="77777777" w:rsidR="00C55842" w:rsidRPr="00154BDB" w:rsidRDefault="00C55842" w:rsidP="00496B89">
            <w:pPr>
              <w:spacing w:after="0" w:line="240" w:lineRule="auto"/>
              <w:rPr>
                <w:rFonts w:cstheme="minorHAnsi"/>
                <w:szCs w:val="20"/>
              </w:rPr>
            </w:pPr>
          </w:p>
        </w:tc>
        <w:tc>
          <w:tcPr>
            <w:tcW w:w="1209" w:type="pct"/>
            <w:tcBorders>
              <w:top w:val="single" w:sz="4" w:space="0" w:color="auto"/>
            </w:tcBorders>
          </w:tcPr>
          <w:p w14:paraId="161ED55C" w14:textId="77777777" w:rsidR="00C55842" w:rsidRPr="00154BDB" w:rsidRDefault="00C55842" w:rsidP="00F432B9">
            <w:pPr>
              <w:spacing w:after="0" w:line="240" w:lineRule="auto"/>
              <w:jc w:val="right"/>
              <w:rPr>
                <w:rFonts w:cstheme="minorHAnsi"/>
                <w:szCs w:val="20"/>
              </w:rPr>
            </w:pPr>
          </w:p>
        </w:tc>
      </w:tr>
      <w:tr w:rsidR="00C55842" w:rsidRPr="00154BDB" w14:paraId="1A487453" w14:textId="77777777" w:rsidTr="00D632CF">
        <w:tblPrEx>
          <w:tblCellMar>
            <w:left w:w="108" w:type="dxa"/>
            <w:right w:w="108" w:type="dxa"/>
          </w:tblCellMar>
        </w:tblPrEx>
        <w:tc>
          <w:tcPr>
            <w:tcW w:w="3791" w:type="pct"/>
          </w:tcPr>
          <w:p w14:paraId="709DDBDA" w14:textId="76AE8197" w:rsidR="00C55842" w:rsidRPr="00154BDB" w:rsidRDefault="00C55842" w:rsidP="00496B89">
            <w:pPr>
              <w:spacing w:after="0" w:line="240" w:lineRule="auto"/>
              <w:rPr>
                <w:rFonts w:cstheme="minorHAnsi"/>
                <w:b/>
                <w:szCs w:val="20"/>
              </w:rPr>
            </w:pPr>
            <w:r w:rsidRPr="00154BDB">
              <w:rPr>
                <w:rFonts w:cstheme="minorHAnsi"/>
                <w:b/>
                <w:szCs w:val="20"/>
              </w:rPr>
              <w:t>Net financial liquidity</w:t>
            </w:r>
            <w:r w:rsidR="00B575FC" w:rsidRPr="00154BDB">
              <w:rPr>
                <w:rFonts w:cstheme="minorHAnsi"/>
                <w:b/>
                <w:szCs w:val="20"/>
              </w:rPr>
              <w:t xml:space="preserve"> </w:t>
            </w:r>
          </w:p>
        </w:tc>
        <w:tc>
          <w:tcPr>
            <w:tcW w:w="1209" w:type="pct"/>
            <w:tcBorders>
              <w:bottom w:val="single" w:sz="4" w:space="0" w:color="auto"/>
            </w:tcBorders>
          </w:tcPr>
          <w:p w14:paraId="7308238B" w14:textId="5EC0B31A" w:rsidR="00C55842" w:rsidRPr="00154BDB" w:rsidRDefault="00C826B7" w:rsidP="00F432B9">
            <w:pPr>
              <w:spacing w:after="0" w:line="240" w:lineRule="auto"/>
              <w:jc w:val="right"/>
              <w:rPr>
                <w:rFonts w:cstheme="minorHAnsi"/>
                <w:b/>
                <w:szCs w:val="20"/>
              </w:rPr>
            </w:pPr>
            <w:r w:rsidRPr="00154BDB">
              <w:rPr>
                <w:rFonts w:cstheme="minorHAnsi"/>
                <w:b/>
                <w:szCs w:val="20"/>
              </w:rPr>
              <w:t>647,327</w:t>
            </w:r>
          </w:p>
        </w:tc>
      </w:tr>
    </w:tbl>
    <w:p w14:paraId="38AB4EBB" w14:textId="645852ED" w:rsidR="000B7C07" w:rsidRPr="00154BDB" w:rsidRDefault="00C55842" w:rsidP="00496B89">
      <w:pPr>
        <w:spacing w:before="120" w:after="120" w:line="240" w:lineRule="auto"/>
        <w:rPr>
          <w:rFonts w:cstheme="minorHAnsi"/>
          <w:szCs w:val="20"/>
        </w:rPr>
      </w:pPr>
      <w:r w:rsidRPr="00154BDB">
        <w:rPr>
          <w:rFonts w:cstheme="minorHAnsi"/>
          <w:szCs w:val="20"/>
        </w:rPr>
        <w:t>As at 31 December 2019, the Company had no material indirect or contingent indebtedness.</w:t>
      </w:r>
    </w:p>
    <w:p w14:paraId="2B722C49" w14:textId="407805A9" w:rsidR="00154BDB" w:rsidRDefault="00154BDB">
      <w:pPr>
        <w:jc w:val="left"/>
        <w:rPr>
          <w:rFonts w:cstheme="minorHAnsi"/>
          <w:szCs w:val="20"/>
        </w:rPr>
      </w:pPr>
      <w:r>
        <w:rPr>
          <w:rFonts w:cstheme="minorHAnsi"/>
          <w:szCs w:val="20"/>
        </w:rPr>
        <w:br w:type="page"/>
      </w:r>
    </w:p>
    <w:p w14:paraId="48BBD79E" w14:textId="283FB73F" w:rsidR="00D90E1F" w:rsidRPr="009B546D" w:rsidRDefault="00D90E1F" w:rsidP="00F432B9">
      <w:pPr>
        <w:pStyle w:val="Heading1"/>
        <w:keepNext w:val="0"/>
        <w:widowControl w:val="0"/>
        <w:spacing w:line="240" w:lineRule="auto"/>
        <w:jc w:val="center"/>
        <w:rPr>
          <w:rFonts w:asciiTheme="minorHAnsi" w:hAnsiTheme="minorHAnsi" w:cstheme="minorHAnsi"/>
          <w:sz w:val="20"/>
          <w:szCs w:val="20"/>
        </w:rPr>
      </w:pPr>
      <w:bookmarkStart w:id="37" w:name="_Toc35456742"/>
      <w:bookmarkEnd w:id="36"/>
      <w:r w:rsidRPr="009B546D">
        <w:rPr>
          <w:rFonts w:asciiTheme="minorHAnsi" w:hAnsiTheme="minorHAnsi" w:cstheme="minorHAnsi"/>
          <w:sz w:val="20"/>
          <w:szCs w:val="20"/>
        </w:rPr>
        <w:lastRenderedPageBreak/>
        <w:t>Part XI</w:t>
      </w:r>
      <w:r w:rsidR="006E6E54" w:rsidRPr="009B546D">
        <w:rPr>
          <w:rFonts w:asciiTheme="minorHAnsi" w:hAnsiTheme="minorHAnsi" w:cstheme="minorHAnsi"/>
          <w:sz w:val="20"/>
          <w:szCs w:val="20"/>
        </w:rPr>
        <w:t>II</w:t>
      </w:r>
      <w:r w:rsidRPr="009B546D">
        <w:rPr>
          <w:rFonts w:asciiTheme="minorHAnsi" w:hAnsiTheme="minorHAnsi" w:cstheme="minorHAnsi"/>
          <w:sz w:val="20"/>
          <w:szCs w:val="20"/>
        </w:rPr>
        <w:br/>
        <w:t>Financial Information on the Company</w:t>
      </w:r>
      <w:bookmarkEnd w:id="37"/>
    </w:p>
    <w:p w14:paraId="4DFCDA6D" w14:textId="77777777" w:rsidR="00A12AE9" w:rsidRPr="009B546D" w:rsidRDefault="00A12AE9" w:rsidP="00F432B9">
      <w:pPr>
        <w:spacing w:line="240" w:lineRule="auto"/>
        <w:rPr>
          <w:rFonts w:cstheme="minorHAnsi"/>
        </w:rPr>
      </w:pPr>
    </w:p>
    <w:p w14:paraId="6B295DF4" w14:textId="6F3ED71A" w:rsidR="00A12AE9" w:rsidRPr="00EA2BB6" w:rsidRDefault="00A12AE9" w:rsidP="00F432B9">
      <w:pPr>
        <w:spacing w:line="240" w:lineRule="auto"/>
        <w:rPr>
          <w:rFonts w:cstheme="minorHAnsi"/>
          <w:szCs w:val="20"/>
        </w:rPr>
      </w:pPr>
      <w:r w:rsidRPr="00EA2BB6">
        <w:rPr>
          <w:rFonts w:cstheme="minorHAnsi"/>
          <w:szCs w:val="20"/>
        </w:rPr>
        <w:t xml:space="preserve">See the </w:t>
      </w:r>
      <w:r w:rsidR="00CA58E2" w:rsidRPr="00EA2BB6">
        <w:rPr>
          <w:rFonts w:cstheme="minorHAnsi"/>
          <w:szCs w:val="20"/>
        </w:rPr>
        <w:t xml:space="preserve">Part </w:t>
      </w:r>
      <w:r w:rsidR="00F46884" w:rsidRPr="00EA2BB6">
        <w:rPr>
          <w:rFonts w:cstheme="minorHAnsi"/>
          <w:szCs w:val="20"/>
        </w:rPr>
        <w:t xml:space="preserve">IV </w:t>
      </w:r>
      <w:r w:rsidR="00024D72">
        <w:rPr>
          <w:rFonts w:cstheme="minorHAnsi"/>
          <w:szCs w:val="20"/>
        </w:rPr>
        <w:t>‘</w:t>
      </w:r>
      <w:r w:rsidR="00F46884" w:rsidRPr="00EA2BB6">
        <w:rPr>
          <w:rFonts w:cstheme="minorHAnsi"/>
          <w:szCs w:val="20"/>
        </w:rPr>
        <w:t>Relevant Documentation Incorporated by Reference</w:t>
      </w:r>
      <w:r w:rsidR="00024D72">
        <w:rPr>
          <w:rFonts w:cstheme="minorHAnsi"/>
          <w:szCs w:val="20"/>
        </w:rPr>
        <w:t>’</w:t>
      </w:r>
      <w:r w:rsidR="00F46884" w:rsidRPr="00EA2BB6">
        <w:rPr>
          <w:rFonts w:cstheme="minorHAnsi"/>
          <w:szCs w:val="20"/>
        </w:rPr>
        <w:t xml:space="preserve"> </w:t>
      </w:r>
      <w:r w:rsidRPr="00EA2BB6">
        <w:rPr>
          <w:rFonts w:cstheme="minorHAnsi"/>
          <w:szCs w:val="20"/>
        </w:rPr>
        <w:t xml:space="preserve">for details about information that has been incorporated by reference into this </w:t>
      </w:r>
      <w:r w:rsidR="004F0E97" w:rsidRPr="00EA2BB6">
        <w:rPr>
          <w:rFonts w:cstheme="minorHAnsi"/>
          <w:szCs w:val="20"/>
        </w:rPr>
        <w:t>Prospectus</w:t>
      </w:r>
      <w:r w:rsidRPr="00EA2BB6">
        <w:rPr>
          <w:rFonts w:cstheme="minorHAnsi"/>
          <w:szCs w:val="20"/>
        </w:rPr>
        <w:t xml:space="preserve">, which comprises the </w:t>
      </w:r>
      <w:r w:rsidR="008C31EF" w:rsidRPr="00EA2BB6">
        <w:rPr>
          <w:rFonts w:cstheme="minorHAnsi"/>
          <w:szCs w:val="20"/>
        </w:rPr>
        <w:t xml:space="preserve">Company </w:t>
      </w:r>
      <w:r w:rsidRPr="00EA2BB6">
        <w:rPr>
          <w:rFonts w:cstheme="minorHAnsi"/>
          <w:szCs w:val="20"/>
        </w:rPr>
        <w:t xml:space="preserve">Audited Financial Statements </w:t>
      </w:r>
      <w:r w:rsidR="00F46884" w:rsidRPr="00EA2BB6">
        <w:rPr>
          <w:rFonts w:cstheme="minorHAnsi"/>
          <w:szCs w:val="20"/>
        </w:rPr>
        <w:t>for the year ended 31 October 2019 and for the period from 11 October 2017 to 31 October 2018.</w:t>
      </w:r>
    </w:p>
    <w:p w14:paraId="186E9E7A" w14:textId="77777777" w:rsidR="006B5120" w:rsidRPr="009B546D" w:rsidRDefault="006B5120" w:rsidP="00F432B9">
      <w:pPr>
        <w:spacing w:line="240" w:lineRule="auto"/>
        <w:rPr>
          <w:rFonts w:cstheme="minorHAnsi"/>
          <w:sz w:val="18"/>
          <w:szCs w:val="18"/>
        </w:rPr>
      </w:pPr>
    </w:p>
    <w:p w14:paraId="694B91C0" w14:textId="0A84800C" w:rsidR="005C02B7" w:rsidRPr="009B546D" w:rsidRDefault="005C02B7" w:rsidP="00F432B9">
      <w:pPr>
        <w:spacing w:line="240" w:lineRule="auto"/>
        <w:jc w:val="left"/>
        <w:rPr>
          <w:rFonts w:cstheme="minorHAnsi"/>
          <w:szCs w:val="20"/>
        </w:rPr>
      </w:pPr>
      <w:r w:rsidRPr="009B546D">
        <w:rPr>
          <w:rFonts w:cstheme="minorHAnsi"/>
          <w:szCs w:val="20"/>
        </w:rPr>
        <w:br w:type="page"/>
      </w:r>
    </w:p>
    <w:p w14:paraId="16EB8208" w14:textId="5F922C71" w:rsidR="005C02B7" w:rsidRDefault="005C02B7" w:rsidP="00F432B9">
      <w:pPr>
        <w:pStyle w:val="Heading1"/>
        <w:spacing w:line="240" w:lineRule="auto"/>
        <w:jc w:val="center"/>
        <w:rPr>
          <w:rFonts w:asciiTheme="minorHAnsi" w:hAnsiTheme="minorHAnsi" w:cstheme="minorHAnsi"/>
        </w:rPr>
      </w:pPr>
      <w:bookmarkStart w:id="38" w:name="_Toc35456743"/>
      <w:r w:rsidRPr="009B546D">
        <w:rPr>
          <w:rFonts w:asciiTheme="minorHAnsi" w:hAnsiTheme="minorHAnsi" w:cstheme="minorHAnsi"/>
          <w:sz w:val="20"/>
        </w:rPr>
        <w:lastRenderedPageBreak/>
        <w:t>Part XIV</w:t>
      </w:r>
      <w:r w:rsidRPr="009B546D">
        <w:rPr>
          <w:rFonts w:asciiTheme="minorHAnsi" w:hAnsiTheme="minorHAnsi" w:cstheme="minorHAnsi"/>
          <w:sz w:val="20"/>
        </w:rPr>
        <w:br/>
        <w:t>Financial Information on Alchemist Codes</w:t>
      </w:r>
      <w:bookmarkEnd w:id="38"/>
      <w:r w:rsidRPr="009B546D">
        <w:rPr>
          <w:rFonts w:asciiTheme="minorHAnsi" w:hAnsiTheme="minorHAnsi" w:cstheme="minorHAnsi"/>
        </w:rPr>
        <w:t xml:space="preserve"> </w:t>
      </w:r>
    </w:p>
    <w:p w14:paraId="05BFE6E9" w14:textId="5C7749B5" w:rsidR="005A22D8" w:rsidRPr="00112297" w:rsidRDefault="005A22D8" w:rsidP="00EA2BB6">
      <w:pPr>
        <w:jc w:val="center"/>
        <w:rPr>
          <w:bCs/>
        </w:rPr>
      </w:pPr>
      <w:r w:rsidRPr="00EA2BB6">
        <w:rPr>
          <w:b/>
          <w:bCs/>
        </w:rPr>
        <w:t>Section A – Accountants Report</w:t>
      </w:r>
    </w:p>
    <w:p w14:paraId="02C74249" w14:textId="7FA59A75" w:rsidR="001C6F66" w:rsidRPr="009B546D" w:rsidRDefault="001C6F66" w:rsidP="00F432B9">
      <w:pPr>
        <w:pStyle w:val="BodyText"/>
        <w:spacing w:line="240" w:lineRule="auto"/>
        <w:rPr>
          <w:rFonts w:asciiTheme="minorHAnsi" w:hAnsiTheme="minorHAnsi" w:cstheme="minorHAnsi"/>
          <w:b/>
          <w:color w:val="000000" w:themeColor="text1"/>
          <w:sz w:val="24"/>
        </w:rPr>
      </w:pPr>
    </w:p>
    <w:tbl>
      <w:tblPr>
        <w:tblW w:w="8789" w:type="dxa"/>
        <w:tblLayout w:type="fixed"/>
        <w:tblCellMar>
          <w:left w:w="0" w:type="dxa"/>
          <w:right w:w="0" w:type="dxa"/>
        </w:tblCellMar>
        <w:tblLook w:val="0000" w:firstRow="0" w:lastRow="0" w:firstColumn="0" w:lastColumn="0" w:noHBand="0" w:noVBand="0"/>
        <w:tblPrChange w:id="39" w:author="Sean Urquhart" w:date="2020-03-18T21:39:00Z">
          <w:tblPr>
            <w:tblW w:w="9214" w:type="dxa"/>
            <w:tblLayout w:type="fixed"/>
            <w:tblCellMar>
              <w:left w:w="0" w:type="dxa"/>
              <w:right w:w="0" w:type="dxa"/>
            </w:tblCellMar>
            <w:tblLook w:val="0000" w:firstRow="0" w:lastRow="0" w:firstColumn="0" w:lastColumn="0" w:noHBand="0" w:noVBand="0"/>
          </w:tblPr>
        </w:tblPrChange>
      </w:tblPr>
      <w:tblGrid>
        <w:gridCol w:w="1985"/>
        <w:gridCol w:w="3544"/>
        <w:gridCol w:w="708"/>
        <w:gridCol w:w="2552"/>
        <w:tblGridChange w:id="40">
          <w:tblGrid>
            <w:gridCol w:w="1985"/>
            <w:gridCol w:w="3544"/>
            <w:gridCol w:w="708"/>
            <w:gridCol w:w="2977"/>
          </w:tblGrid>
        </w:tblGridChange>
      </w:tblGrid>
      <w:tr w:rsidR="001C6F66" w:rsidRPr="009B546D" w14:paraId="3A8DAC30" w14:textId="77777777" w:rsidTr="00EA2BB6">
        <w:tc>
          <w:tcPr>
            <w:tcW w:w="1985" w:type="dxa"/>
            <w:tcPrChange w:id="41" w:author="Sean Urquhart" w:date="2020-03-18T21:39:00Z">
              <w:tcPr>
                <w:tcW w:w="1985" w:type="dxa"/>
              </w:tcPr>
            </w:tcPrChange>
          </w:tcPr>
          <w:p w14:paraId="71DC9C54" w14:textId="77777777" w:rsidR="001C6F66" w:rsidRPr="00384557" w:rsidRDefault="001C6F66" w:rsidP="00F432B9">
            <w:pPr>
              <w:spacing w:line="240" w:lineRule="auto"/>
              <w:rPr>
                <w:rFonts w:cstheme="minorHAnsi"/>
              </w:rPr>
            </w:pPr>
            <w:r w:rsidRPr="00384557">
              <w:rPr>
                <w:rFonts w:cstheme="minorHAnsi"/>
                <w:noProof/>
              </w:rPr>
              <w:drawing>
                <wp:inline distT="0" distB="0" distL="0" distR="0" wp14:anchorId="79537B9F" wp14:editId="12BA7AE0">
                  <wp:extent cx="981075" cy="381000"/>
                  <wp:effectExtent l="19050" t="0" r="9525" b="0"/>
                  <wp:docPr id="41" name="Picture 41" descr="BDOLLP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LLPBW"/>
                          <pic:cNvPicPr>
                            <a:picLocks noChangeAspect="1" noChangeArrowheads="1"/>
                          </pic:cNvPicPr>
                        </pic:nvPicPr>
                        <pic:blipFill>
                          <a:blip r:embed="rId15" cstate="print"/>
                          <a:srcRect/>
                          <a:stretch>
                            <a:fillRect/>
                          </a:stretch>
                        </pic:blipFill>
                        <pic:spPr bwMode="auto">
                          <a:xfrm>
                            <a:off x="0" y="0"/>
                            <a:ext cx="981075" cy="381000"/>
                          </a:xfrm>
                          <a:prstGeom prst="rect">
                            <a:avLst/>
                          </a:prstGeom>
                          <a:noFill/>
                          <a:ln w="9525">
                            <a:noFill/>
                            <a:miter lim="800000"/>
                            <a:headEnd/>
                            <a:tailEnd/>
                          </a:ln>
                        </pic:spPr>
                      </pic:pic>
                    </a:graphicData>
                  </a:graphic>
                </wp:inline>
              </w:drawing>
            </w:r>
          </w:p>
        </w:tc>
        <w:tc>
          <w:tcPr>
            <w:tcW w:w="3544" w:type="dxa"/>
            <w:tcPrChange w:id="42" w:author="Sean Urquhart" w:date="2020-03-18T21:39:00Z">
              <w:tcPr>
                <w:tcW w:w="3544" w:type="dxa"/>
              </w:tcPr>
            </w:tcPrChange>
          </w:tcPr>
          <w:p w14:paraId="3766305D" w14:textId="77777777" w:rsidR="001C6F66" w:rsidRPr="009B546D" w:rsidRDefault="001C6F66" w:rsidP="00F432B9">
            <w:pPr>
              <w:spacing w:line="240" w:lineRule="auto"/>
              <w:rPr>
                <w:rFonts w:cstheme="minorHAnsi"/>
              </w:rPr>
            </w:pPr>
          </w:p>
        </w:tc>
        <w:tc>
          <w:tcPr>
            <w:tcW w:w="708" w:type="dxa"/>
            <w:tcPrChange w:id="43" w:author="Sean Urquhart" w:date="2020-03-18T21:39:00Z">
              <w:tcPr>
                <w:tcW w:w="708" w:type="dxa"/>
              </w:tcPr>
            </w:tcPrChange>
          </w:tcPr>
          <w:p w14:paraId="665A1E59" w14:textId="77777777" w:rsidR="001C6F66" w:rsidRPr="009B546D" w:rsidRDefault="001C6F66" w:rsidP="00F432B9">
            <w:pPr>
              <w:tabs>
                <w:tab w:val="left" w:pos="992"/>
              </w:tabs>
              <w:spacing w:line="240" w:lineRule="auto"/>
              <w:rPr>
                <w:rFonts w:cstheme="minorHAnsi"/>
              </w:rPr>
            </w:pPr>
          </w:p>
        </w:tc>
        <w:tc>
          <w:tcPr>
            <w:tcW w:w="2552" w:type="dxa"/>
            <w:tcPrChange w:id="44" w:author="Sean Urquhart" w:date="2020-03-18T21:39:00Z">
              <w:tcPr>
                <w:tcW w:w="2977" w:type="dxa"/>
              </w:tcPr>
            </w:tcPrChange>
          </w:tcPr>
          <w:p w14:paraId="2A4B2FE0" w14:textId="77777777" w:rsidR="001C6F66" w:rsidRPr="009B546D" w:rsidRDefault="001C6F66" w:rsidP="00496B89">
            <w:pPr>
              <w:spacing w:after="0" w:line="240" w:lineRule="auto"/>
              <w:ind w:firstLine="1276"/>
              <w:jc w:val="right"/>
              <w:rPr>
                <w:rFonts w:cstheme="minorHAnsi"/>
              </w:rPr>
            </w:pPr>
            <w:r w:rsidRPr="009B546D">
              <w:rPr>
                <w:rFonts w:cstheme="minorHAnsi"/>
              </w:rPr>
              <w:t>BDO LLP</w:t>
            </w:r>
          </w:p>
          <w:p w14:paraId="21785B4D" w14:textId="4C24C4FB" w:rsidR="001C6F66" w:rsidRPr="009B546D" w:rsidRDefault="001C6F66" w:rsidP="00F432B9">
            <w:pPr>
              <w:spacing w:after="0" w:line="240" w:lineRule="auto"/>
              <w:ind w:left="-3" w:firstLine="1276"/>
              <w:jc w:val="right"/>
              <w:rPr>
                <w:rFonts w:cstheme="minorHAnsi"/>
              </w:rPr>
            </w:pPr>
            <w:r w:rsidRPr="009B546D">
              <w:rPr>
                <w:rFonts w:cstheme="minorHAnsi"/>
              </w:rPr>
              <w:t>55 Baker Street</w:t>
            </w:r>
            <w:r w:rsidRPr="009B546D">
              <w:rPr>
                <w:rFonts w:cstheme="minorHAnsi"/>
              </w:rPr>
              <w:br/>
            </w:r>
            <w:r w:rsidR="00B575FC">
              <w:rPr>
                <w:rFonts w:cstheme="minorHAnsi"/>
              </w:rPr>
              <w:t xml:space="preserve">           </w:t>
            </w:r>
            <w:r w:rsidRPr="009B546D">
              <w:rPr>
                <w:rFonts w:cstheme="minorHAnsi"/>
              </w:rPr>
              <w:t>London</w:t>
            </w:r>
          </w:p>
          <w:p w14:paraId="215351EC" w14:textId="77777777" w:rsidR="001C6F66" w:rsidRPr="009B546D" w:rsidRDefault="001C6F66" w:rsidP="00F432B9">
            <w:pPr>
              <w:spacing w:after="0" w:line="240" w:lineRule="auto"/>
              <w:ind w:firstLine="1276"/>
              <w:jc w:val="right"/>
              <w:rPr>
                <w:rFonts w:cstheme="minorHAnsi"/>
              </w:rPr>
            </w:pPr>
            <w:r w:rsidRPr="009B546D">
              <w:rPr>
                <w:rFonts w:cstheme="minorHAnsi"/>
              </w:rPr>
              <w:t>W1U 7EU</w:t>
            </w:r>
          </w:p>
          <w:p w14:paraId="147A8003" w14:textId="77777777" w:rsidR="001C6F66" w:rsidRPr="009B546D" w:rsidRDefault="001C6F66" w:rsidP="00F432B9">
            <w:pPr>
              <w:tabs>
                <w:tab w:val="left" w:pos="992"/>
              </w:tabs>
              <w:spacing w:line="240" w:lineRule="auto"/>
              <w:ind w:firstLine="1273"/>
              <w:jc w:val="left"/>
              <w:rPr>
                <w:rFonts w:cstheme="minorHAnsi"/>
              </w:rPr>
            </w:pPr>
          </w:p>
        </w:tc>
      </w:tr>
    </w:tbl>
    <w:p w14:paraId="681370A5" w14:textId="77777777" w:rsidR="001C6F66" w:rsidRPr="009B546D" w:rsidRDefault="001C6F66" w:rsidP="00496B89">
      <w:pPr>
        <w:pStyle w:val="Header"/>
        <w:jc w:val="left"/>
        <w:rPr>
          <w:rFonts w:cstheme="minorHAnsi"/>
        </w:rPr>
      </w:pPr>
    </w:p>
    <w:tbl>
      <w:tblPr>
        <w:tblW w:w="9214" w:type="dxa"/>
        <w:tblLayout w:type="fixed"/>
        <w:tblCellMar>
          <w:left w:w="0" w:type="dxa"/>
          <w:right w:w="0" w:type="dxa"/>
        </w:tblCellMar>
        <w:tblLook w:val="0000" w:firstRow="0" w:lastRow="0" w:firstColumn="0" w:lastColumn="0" w:noHBand="0" w:noVBand="0"/>
      </w:tblPr>
      <w:tblGrid>
        <w:gridCol w:w="6237"/>
        <w:gridCol w:w="2977"/>
      </w:tblGrid>
      <w:tr w:rsidR="001C6F66" w:rsidRPr="009B546D" w14:paraId="0FBCBAC1" w14:textId="77777777" w:rsidTr="00CE4088">
        <w:trPr>
          <w:trHeight w:hRule="exact" w:val="600"/>
        </w:trPr>
        <w:tc>
          <w:tcPr>
            <w:tcW w:w="6237" w:type="dxa"/>
          </w:tcPr>
          <w:p w14:paraId="4CD56785" w14:textId="77777777" w:rsidR="001C6F66" w:rsidRPr="009B546D" w:rsidRDefault="001C6F66" w:rsidP="00F432B9">
            <w:pPr>
              <w:spacing w:line="240" w:lineRule="auto"/>
              <w:rPr>
                <w:rFonts w:cstheme="minorHAnsi"/>
              </w:rPr>
            </w:pPr>
          </w:p>
        </w:tc>
        <w:tc>
          <w:tcPr>
            <w:tcW w:w="2977" w:type="dxa"/>
          </w:tcPr>
          <w:p w14:paraId="31F143A4" w14:textId="77777777" w:rsidR="001C6F66" w:rsidRPr="009B546D" w:rsidRDefault="001C6F66" w:rsidP="00F432B9">
            <w:pPr>
              <w:spacing w:line="240" w:lineRule="auto"/>
              <w:rPr>
                <w:rFonts w:cstheme="minorHAnsi"/>
              </w:rPr>
            </w:pPr>
          </w:p>
        </w:tc>
      </w:tr>
      <w:tr w:rsidR="001C6F66" w:rsidRPr="009B546D" w14:paraId="23E312EB" w14:textId="77777777" w:rsidTr="003633CD">
        <w:trPr>
          <w:trHeight w:hRule="exact" w:val="2657"/>
        </w:trPr>
        <w:tc>
          <w:tcPr>
            <w:tcW w:w="6237" w:type="dxa"/>
          </w:tcPr>
          <w:p w14:paraId="56553F3A" w14:textId="067F2A9D" w:rsidR="001C6F66" w:rsidRPr="009B546D" w:rsidRDefault="001C6F66" w:rsidP="00496B89">
            <w:pPr>
              <w:spacing w:after="0" w:line="240" w:lineRule="auto"/>
              <w:rPr>
                <w:rFonts w:cstheme="minorHAnsi"/>
              </w:rPr>
            </w:pPr>
            <w:r w:rsidRPr="009B546D">
              <w:rPr>
                <w:rFonts w:cstheme="minorHAnsi"/>
              </w:rPr>
              <w:t>The Directors</w:t>
            </w:r>
            <w:r w:rsidR="005A22D8">
              <w:rPr>
                <w:rFonts w:cstheme="minorHAnsi"/>
              </w:rPr>
              <w:t xml:space="preserve"> and Proposed Director</w:t>
            </w:r>
          </w:p>
          <w:p w14:paraId="1F6767FE" w14:textId="77777777" w:rsidR="001C6F66" w:rsidRPr="009B546D" w:rsidRDefault="001C6F66" w:rsidP="00F432B9">
            <w:pPr>
              <w:spacing w:after="0" w:line="240" w:lineRule="auto"/>
              <w:rPr>
                <w:rFonts w:cstheme="minorHAnsi"/>
              </w:rPr>
            </w:pPr>
            <w:r w:rsidRPr="009B546D">
              <w:rPr>
                <w:rFonts w:cstheme="minorHAnsi"/>
              </w:rPr>
              <w:t>AIQ Limited</w:t>
            </w:r>
          </w:p>
          <w:p w14:paraId="5D0D3F88" w14:textId="77777777" w:rsidR="001C6F66" w:rsidRPr="009B546D" w:rsidRDefault="001C6F66" w:rsidP="00F432B9">
            <w:pPr>
              <w:spacing w:after="0" w:line="240" w:lineRule="auto"/>
              <w:rPr>
                <w:rFonts w:cstheme="minorHAnsi"/>
              </w:rPr>
            </w:pPr>
            <w:r w:rsidRPr="009B546D">
              <w:rPr>
                <w:rFonts w:cstheme="minorHAnsi"/>
              </w:rPr>
              <w:t>Genesis Building, 5</w:t>
            </w:r>
            <w:r w:rsidRPr="009B546D">
              <w:rPr>
                <w:rFonts w:cstheme="minorHAnsi"/>
                <w:vertAlign w:val="superscript"/>
              </w:rPr>
              <w:t>th</w:t>
            </w:r>
            <w:r w:rsidRPr="009B546D">
              <w:rPr>
                <w:rFonts w:cstheme="minorHAnsi"/>
              </w:rPr>
              <w:t xml:space="preserve"> Floor</w:t>
            </w:r>
          </w:p>
          <w:p w14:paraId="604B3074" w14:textId="77777777" w:rsidR="001C6F66" w:rsidRPr="009B546D" w:rsidRDefault="001C6F66" w:rsidP="00F432B9">
            <w:pPr>
              <w:spacing w:after="0" w:line="240" w:lineRule="auto"/>
              <w:rPr>
                <w:rFonts w:cstheme="minorHAnsi"/>
              </w:rPr>
            </w:pPr>
            <w:r w:rsidRPr="009B546D">
              <w:rPr>
                <w:rFonts w:cstheme="minorHAnsi"/>
              </w:rPr>
              <w:t>Genesis Close</w:t>
            </w:r>
          </w:p>
          <w:p w14:paraId="3F8EA922" w14:textId="77777777" w:rsidR="001C6F66" w:rsidRPr="009B546D" w:rsidRDefault="001C6F66" w:rsidP="00F432B9">
            <w:pPr>
              <w:spacing w:after="0" w:line="240" w:lineRule="auto"/>
              <w:rPr>
                <w:rFonts w:cstheme="minorHAnsi"/>
              </w:rPr>
            </w:pPr>
            <w:r w:rsidRPr="009B546D">
              <w:rPr>
                <w:rFonts w:cstheme="minorHAnsi"/>
              </w:rPr>
              <w:t>PO Box 446</w:t>
            </w:r>
          </w:p>
          <w:p w14:paraId="5EFB52C5" w14:textId="77777777" w:rsidR="001C6F66" w:rsidRPr="009B546D" w:rsidRDefault="001C6F66" w:rsidP="00F432B9">
            <w:pPr>
              <w:spacing w:after="0" w:line="240" w:lineRule="auto"/>
              <w:rPr>
                <w:rFonts w:cstheme="minorHAnsi"/>
              </w:rPr>
            </w:pPr>
            <w:r w:rsidRPr="009B546D">
              <w:rPr>
                <w:rFonts w:cstheme="minorHAnsi"/>
              </w:rPr>
              <w:t>Cayman Islands</w:t>
            </w:r>
          </w:p>
          <w:p w14:paraId="6AA32C1A" w14:textId="77777777" w:rsidR="001C6F66" w:rsidRPr="009B546D" w:rsidRDefault="001C6F66" w:rsidP="00F432B9">
            <w:pPr>
              <w:spacing w:after="0" w:line="240" w:lineRule="auto"/>
              <w:rPr>
                <w:rFonts w:cstheme="minorHAnsi"/>
              </w:rPr>
            </w:pPr>
            <w:r w:rsidRPr="009B546D">
              <w:rPr>
                <w:rFonts w:cstheme="minorHAnsi"/>
              </w:rPr>
              <w:t>KY1-1106</w:t>
            </w:r>
          </w:p>
          <w:p w14:paraId="10DFC7CD" w14:textId="77777777" w:rsidR="001C6F66" w:rsidRPr="009B546D" w:rsidRDefault="001C6F66" w:rsidP="00F432B9">
            <w:pPr>
              <w:spacing w:after="0" w:line="240" w:lineRule="auto"/>
              <w:rPr>
                <w:rFonts w:cstheme="minorHAnsi"/>
              </w:rPr>
            </w:pPr>
          </w:p>
          <w:p w14:paraId="7400BB97" w14:textId="77777777" w:rsidR="001C6F66" w:rsidRPr="009B546D" w:rsidRDefault="001C6F66" w:rsidP="00F432B9">
            <w:pPr>
              <w:spacing w:after="0" w:line="240" w:lineRule="auto"/>
              <w:rPr>
                <w:rFonts w:cstheme="minorHAnsi"/>
              </w:rPr>
            </w:pPr>
          </w:p>
        </w:tc>
        <w:tc>
          <w:tcPr>
            <w:tcW w:w="2977" w:type="dxa"/>
          </w:tcPr>
          <w:p w14:paraId="5B2991EE" w14:textId="39A59F69" w:rsidR="001C6F66" w:rsidRPr="009B546D" w:rsidRDefault="009F37C0" w:rsidP="00F432B9">
            <w:pPr>
              <w:pStyle w:val="Date"/>
              <w:ind w:firstLine="1273"/>
              <w:rPr>
                <w:rFonts w:asciiTheme="minorHAnsi" w:hAnsiTheme="minorHAnsi" w:cstheme="minorHAnsi"/>
              </w:rPr>
            </w:pPr>
            <w:r>
              <w:rPr>
                <w:rFonts w:asciiTheme="minorHAnsi" w:hAnsiTheme="minorHAnsi" w:cstheme="minorHAnsi"/>
              </w:rPr>
              <w:t>20</w:t>
            </w:r>
            <w:r w:rsidR="001C6F66" w:rsidRPr="009B546D">
              <w:rPr>
                <w:rFonts w:asciiTheme="minorHAnsi" w:hAnsiTheme="minorHAnsi" w:cstheme="minorHAnsi"/>
              </w:rPr>
              <w:t xml:space="preserve"> </w:t>
            </w:r>
            <w:r w:rsidR="00486460" w:rsidRPr="009B546D">
              <w:rPr>
                <w:rFonts w:asciiTheme="minorHAnsi" w:hAnsiTheme="minorHAnsi" w:cstheme="minorHAnsi"/>
              </w:rPr>
              <w:t xml:space="preserve">March </w:t>
            </w:r>
            <w:r w:rsidR="001C6F66" w:rsidRPr="009B546D">
              <w:rPr>
                <w:rFonts w:asciiTheme="minorHAnsi" w:hAnsiTheme="minorHAnsi" w:cstheme="minorHAnsi"/>
              </w:rPr>
              <w:t>2020</w:t>
            </w:r>
          </w:p>
          <w:p w14:paraId="64D03DE3" w14:textId="77777777" w:rsidR="001C6F66" w:rsidRPr="009B546D" w:rsidRDefault="001C6F66" w:rsidP="00F432B9">
            <w:pPr>
              <w:spacing w:after="0" w:line="240" w:lineRule="auto"/>
              <w:rPr>
                <w:rFonts w:cstheme="minorHAnsi"/>
              </w:rPr>
            </w:pPr>
          </w:p>
        </w:tc>
      </w:tr>
      <w:tr w:rsidR="001C6F66" w:rsidRPr="009B546D" w14:paraId="6AD582B6" w14:textId="77777777" w:rsidTr="00CE4088">
        <w:trPr>
          <w:trHeight w:hRule="exact" w:val="709"/>
          <w:hidden/>
        </w:trPr>
        <w:tc>
          <w:tcPr>
            <w:tcW w:w="6237" w:type="dxa"/>
          </w:tcPr>
          <w:p w14:paraId="595998F6" w14:textId="77777777" w:rsidR="001C6F66" w:rsidRPr="009B546D" w:rsidRDefault="001C6F66" w:rsidP="00F432B9">
            <w:pPr>
              <w:spacing w:after="0" w:line="240" w:lineRule="auto"/>
              <w:rPr>
                <w:rFonts w:cstheme="minorHAnsi"/>
                <w:vanish/>
              </w:rPr>
            </w:pPr>
            <w:r w:rsidRPr="009B546D">
              <w:rPr>
                <w:rFonts w:cstheme="minorHAnsi"/>
                <w:vanish/>
              </w:rPr>
              <w:t>{(2) Sponsor/nomad name}</w:t>
            </w:r>
          </w:p>
          <w:p w14:paraId="13CFDF8E" w14:textId="77777777" w:rsidR="001C6F66" w:rsidRPr="009B546D" w:rsidRDefault="001C6F66" w:rsidP="00F432B9">
            <w:pPr>
              <w:spacing w:after="0" w:line="240" w:lineRule="auto"/>
              <w:rPr>
                <w:rFonts w:cstheme="minorHAnsi"/>
              </w:rPr>
            </w:pPr>
          </w:p>
        </w:tc>
        <w:tc>
          <w:tcPr>
            <w:tcW w:w="2977" w:type="dxa"/>
          </w:tcPr>
          <w:p w14:paraId="28C00D93" w14:textId="77777777" w:rsidR="001C6F66" w:rsidRPr="009B546D" w:rsidRDefault="001C6F66" w:rsidP="00F432B9">
            <w:pPr>
              <w:spacing w:after="0" w:line="240" w:lineRule="auto"/>
              <w:rPr>
                <w:rFonts w:cstheme="minorHAnsi"/>
              </w:rPr>
            </w:pPr>
          </w:p>
        </w:tc>
      </w:tr>
    </w:tbl>
    <w:p w14:paraId="1C0476CE" w14:textId="77777777" w:rsidR="001C6F66" w:rsidRPr="009B546D" w:rsidRDefault="001C6F66" w:rsidP="00F432B9">
      <w:pPr>
        <w:spacing w:before="240" w:line="240" w:lineRule="auto"/>
        <w:jc w:val="left"/>
        <w:rPr>
          <w:rFonts w:cstheme="minorHAnsi"/>
          <w:szCs w:val="24"/>
        </w:rPr>
      </w:pPr>
      <w:r w:rsidRPr="009B546D">
        <w:rPr>
          <w:rFonts w:cstheme="minorHAnsi"/>
        </w:rPr>
        <w:t xml:space="preserve">Dear </w:t>
      </w:r>
      <w:r w:rsidRPr="009B546D">
        <w:rPr>
          <w:rFonts w:cstheme="minorHAnsi"/>
          <w:szCs w:val="24"/>
        </w:rPr>
        <w:t>Sirs</w:t>
      </w:r>
    </w:p>
    <w:p w14:paraId="724E8BE2" w14:textId="77777777" w:rsidR="001C6F66" w:rsidRPr="009B546D" w:rsidRDefault="001C6F66" w:rsidP="00496B89">
      <w:pPr>
        <w:pStyle w:val="BDOMainHeading2"/>
        <w:rPr>
          <w:rFonts w:asciiTheme="minorHAnsi" w:hAnsiTheme="minorHAnsi" w:cstheme="minorHAnsi"/>
        </w:rPr>
      </w:pPr>
      <w:r w:rsidRPr="009B546D">
        <w:rPr>
          <w:rFonts w:asciiTheme="minorHAnsi" w:hAnsiTheme="minorHAnsi" w:cstheme="minorHAnsi"/>
        </w:rPr>
        <w:t>Alchemist Codes Sdn. Bhd. (“Alchemist”)</w:t>
      </w:r>
    </w:p>
    <w:p w14:paraId="4A594F24" w14:textId="77777777" w:rsidR="001C6F66" w:rsidRPr="009B546D" w:rsidRDefault="001C6F66" w:rsidP="00F432B9">
      <w:pPr>
        <w:pStyle w:val="BDOMainHeading2"/>
        <w:rPr>
          <w:rFonts w:asciiTheme="minorHAnsi" w:hAnsiTheme="minorHAnsi" w:cstheme="minorHAnsi"/>
        </w:rPr>
      </w:pPr>
      <w:r w:rsidRPr="009B546D">
        <w:rPr>
          <w:rFonts w:asciiTheme="minorHAnsi" w:hAnsiTheme="minorHAnsi" w:cstheme="minorHAnsi"/>
        </w:rPr>
        <w:t>Introduction</w:t>
      </w:r>
    </w:p>
    <w:p w14:paraId="5F3E0399" w14:textId="5C663E58" w:rsidR="001C6F66" w:rsidRPr="009B546D" w:rsidRDefault="001C6F66" w:rsidP="00F432B9">
      <w:pPr>
        <w:spacing w:after="240" w:line="240" w:lineRule="auto"/>
        <w:rPr>
          <w:rFonts w:cstheme="minorHAnsi"/>
        </w:rPr>
      </w:pPr>
      <w:r w:rsidRPr="009B546D">
        <w:rPr>
          <w:rFonts w:cstheme="minorHAnsi"/>
        </w:rPr>
        <w:t>We report on the financial information on Alchemist for the period from incorporation on 17 April 2018 to 30 April 2019 the (“</w:t>
      </w:r>
      <w:r w:rsidRPr="00EA2BB6">
        <w:rPr>
          <w:rFonts w:cstheme="minorHAnsi"/>
          <w:b/>
          <w:bCs/>
        </w:rPr>
        <w:t>financial information</w:t>
      </w:r>
      <w:r w:rsidRPr="009B546D">
        <w:rPr>
          <w:rFonts w:cstheme="minorHAnsi"/>
        </w:rPr>
        <w:t xml:space="preserve">”), set out in </w:t>
      </w:r>
      <w:r w:rsidR="00C11CB2" w:rsidRPr="00A823A7">
        <w:rPr>
          <w:rFonts w:cstheme="minorHAnsi"/>
          <w:color w:val="0D0D0D" w:themeColor="text1" w:themeTint="F2"/>
        </w:rPr>
        <w:t>Section</w:t>
      </w:r>
      <w:r w:rsidR="002E46A7" w:rsidRPr="00A823A7">
        <w:rPr>
          <w:rFonts w:cstheme="minorHAnsi"/>
          <w:color w:val="0D0D0D" w:themeColor="text1" w:themeTint="F2"/>
        </w:rPr>
        <w:t xml:space="preserve"> B of XIV of this Document</w:t>
      </w:r>
      <w:r w:rsidR="00C11CB2">
        <w:rPr>
          <w:rFonts w:cstheme="minorHAnsi"/>
          <w:color w:val="FF0000"/>
        </w:rPr>
        <w:t xml:space="preserve">. </w:t>
      </w:r>
      <w:r w:rsidRPr="009B546D">
        <w:rPr>
          <w:rFonts w:cstheme="minorHAnsi"/>
        </w:rPr>
        <w:t xml:space="preserve">This financial information has been prepared for inclusion in the prospectus </w:t>
      </w:r>
      <w:r w:rsidRPr="00EA2BB6">
        <w:rPr>
          <w:rFonts w:cstheme="minorHAnsi"/>
          <w:color w:val="0D0D0D" w:themeColor="text1" w:themeTint="F2"/>
        </w:rPr>
        <w:t xml:space="preserve">dated </w:t>
      </w:r>
      <w:r w:rsidR="009F37C0" w:rsidRPr="00EA2BB6">
        <w:rPr>
          <w:rFonts w:cstheme="minorHAnsi"/>
          <w:color w:val="0D0D0D" w:themeColor="text1" w:themeTint="F2"/>
        </w:rPr>
        <w:t>20</w:t>
      </w:r>
      <w:r w:rsidRPr="00EA2BB6">
        <w:rPr>
          <w:rFonts w:cstheme="minorHAnsi"/>
          <w:color w:val="0D0D0D" w:themeColor="text1" w:themeTint="F2"/>
        </w:rPr>
        <w:t xml:space="preserve"> </w:t>
      </w:r>
      <w:r w:rsidR="00486460" w:rsidRPr="00EA2BB6">
        <w:rPr>
          <w:rFonts w:cstheme="minorHAnsi"/>
          <w:color w:val="0D0D0D" w:themeColor="text1" w:themeTint="F2"/>
        </w:rPr>
        <w:t xml:space="preserve">March </w:t>
      </w:r>
      <w:r w:rsidRPr="009B546D">
        <w:rPr>
          <w:rFonts w:cstheme="minorHAnsi"/>
        </w:rPr>
        <w:t>2020 of AIQ Limited (the “</w:t>
      </w:r>
      <w:r w:rsidRPr="00EA2BB6">
        <w:rPr>
          <w:rFonts w:cstheme="minorHAnsi"/>
          <w:b/>
          <w:bCs/>
        </w:rPr>
        <w:t>Company</w:t>
      </w:r>
      <w:r w:rsidRPr="009B546D">
        <w:rPr>
          <w:rFonts w:cstheme="minorHAnsi"/>
        </w:rPr>
        <w:t>”) (the “</w:t>
      </w:r>
      <w:r w:rsidRPr="00EA2BB6">
        <w:rPr>
          <w:rFonts w:cstheme="minorHAnsi"/>
          <w:b/>
          <w:bCs/>
        </w:rPr>
        <w:t>Prospectus</w:t>
      </w:r>
      <w:r w:rsidRPr="009B546D">
        <w:rPr>
          <w:rFonts w:cstheme="minorHAnsi"/>
        </w:rPr>
        <w:t>”) on the basis of the accounting policies set out in note 3 to the financial information.</w:t>
      </w:r>
      <w:r w:rsidR="00B575FC">
        <w:rPr>
          <w:rFonts w:cstheme="minorHAnsi"/>
        </w:rPr>
        <w:t xml:space="preserve"> </w:t>
      </w:r>
      <w:r w:rsidRPr="009B546D">
        <w:rPr>
          <w:rFonts w:cstheme="minorHAnsi"/>
        </w:rPr>
        <w:t>This report is required by item 18.1 of Annex 1 to the Commission Delegated Regulation (EU) No 2019/980 supplementing Regulation (EU) No. 2017/1129 (the “</w:t>
      </w:r>
      <w:r w:rsidRPr="00EA2BB6">
        <w:rPr>
          <w:rFonts w:cstheme="minorHAnsi"/>
          <w:b/>
          <w:bCs/>
        </w:rPr>
        <w:t>Prospectus Regulation</w:t>
      </w:r>
      <w:r w:rsidRPr="009B546D">
        <w:rPr>
          <w:rFonts w:cstheme="minorHAnsi"/>
        </w:rPr>
        <w:t>”) and is given for the purpose of complying with that requirement and for no other purpose.</w:t>
      </w:r>
    </w:p>
    <w:p w14:paraId="691CF785" w14:textId="77777777" w:rsidR="001C6F66" w:rsidRPr="009B546D" w:rsidRDefault="001C6F66" w:rsidP="00496B89">
      <w:pPr>
        <w:pStyle w:val="BDOMainHeading2"/>
        <w:spacing w:before="0"/>
        <w:rPr>
          <w:rFonts w:asciiTheme="minorHAnsi" w:hAnsiTheme="minorHAnsi" w:cstheme="minorHAnsi"/>
        </w:rPr>
      </w:pPr>
      <w:r w:rsidRPr="009B546D">
        <w:rPr>
          <w:rFonts w:asciiTheme="minorHAnsi" w:hAnsiTheme="minorHAnsi" w:cstheme="minorHAnsi"/>
        </w:rPr>
        <w:t>Responsibilities</w:t>
      </w:r>
    </w:p>
    <w:p w14:paraId="17509B96" w14:textId="77777777" w:rsidR="001C6F66" w:rsidRPr="009B546D" w:rsidRDefault="001C6F66" w:rsidP="00F432B9">
      <w:pPr>
        <w:spacing w:after="240" w:line="240" w:lineRule="auto"/>
        <w:rPr>
          <w:rFonts w:cstheme="minorHAnsi"/>
        </w:rPr>
      </w:pPr>
      <w:r w:rsidRPr="009B546D">
        <w:rPr>
          <w:rFonts w:cstheme="minorHAnsi"/>
        </w:rPr>
        <w:t>The directors of the Company are responsible for preparing the financial information in accordance with International Financial Reporting Standards as adopted by the European Union.</w:t>
      </w:r>
    </w:p>
    <w:p w14:paraId="0A6D7D0C" w14:textId="77777777" w:rsidR="001C6F66" w:rsidRPr="009B546D" w:rsidRDefault="001C6F66" w:rsidP="00F432B9">
      <w:pPr>
        <w:spacing w:after="240" w:line="240" w:lineRule="auto"/>
        <w:rPr>
          <w:rFonts w:cstheme="minorHAnsi"/>
        </w:rPr>
      </w:pPr>
      <w:r w:rsidRPr="009B546D">
        <w:rPr>
          <w:rFonts w:cstheme="minorHAnsi"/>
        </w:rPr>
        <w:t>It is our responsibility to form an opinion on the financial information and to report our opinion to you.</w:t>
      </w:r>
    </w:p>
    <w:p w14:paraId="2562E7A3" w14:textId="77777777" w:rsidR="001C6F66" w:rsidRPr="009B546D" w:rsidRDefault="001C6F66" w:rsidP="00F432B9">
      <w:pPr>
        <w:spacing w:after="240" w:line="240" w:lineRule="auto"/>
        <w:rPr>
          <w:rFonts w:cstheme="minorHAnsi"/>
        </w:rPr>
      </w:pPr>
      <w:r w:rsidRPr="009B546D">
        <w:rPr>
          <w:rFonts w:cstheme="minorHAnsi"/>
        </w:rPr>
        <w:t>Save for any responsibility arising under Prospectus Regulation Rule 5.3.2R(2)(f) to any person as and to the extent there provided, to the fullest extent permitted by the law we do not assume any responsibility and will not accept any liability to any other person for any loss suffered by any such other person as a result of, arising out of, or in connection with this report or our statement, required by and given solely for the purposes of complying with item 1.3 of Annex 1 to the Commission Delegated Regulation (EU) No 2019/980, consenting to its inclusion in the Prospectus.</w:t>
      </w:r>
    </w:p>
    <w:p w14:paraId="5E5D2D7B" w14:textId="77777777" w:rsidR="001C6F66" w:rsidRPr="009B546D" w:rsidRDefault="001C6F66" w:rsidP="00496B89">
      <w:pPr>
        <w:pStyle w:val="BDOMainHeading2"/>
        <w:spacing w:before="0"/>
        <w:rPr>
          <w:rFonts w:asciiTheme="minorHAnsi" w:hAnsiTheme="minorHAnsi" w:cstheme="minorHAnsi"/>
        </w:rPr>
      </w:pPr>
    </w:p>
    <w:p w14:paraId="37A6BCA6" w14:textId="77777777" w:rsidR="001C6F66" w:rsidRPr="009B546D" w:rsidRDefault="001C6F66" w:rsidP="00496B89">
      <w:pPr>
        <w:pStyle w:val="BDOMainHeading2"/>
        <w:spacing w:before="0"/>
        <w:rPr>
          <w:rFonts w:asciiTheme="minorHAnsi" w:hAnsiTheme="minorHAnsi" w:cstheme="minorHAnsi"/>
        </w:rPr>
      </w:pPr>
      <w:r w:rsidRPr="009B546D">
        <w:rPr>
          <w:rFonts w:asciiTheme="minorHAnsi" w:hAnsiTheme="minorHAnsi" w:cstheme="minorHAnsi"/>
        </w:rPr>
        <w:t>Basis of opinion</w:t>
      </w:r>
    </w:p>
    <w:p w14:paraId="129FF48A" w14:textId="77777777" w:rsidR="001C6F66" w:rsidRPr="009B546D" w:rsidRDefault="001C6F66" w:rsidP="00F432B9">
      <w:pPr>
        <w:spacing w:after="240" w:line="240" w:lineRule="auto"/>
        <w:rPr>
          <w:rFonts w:cstheme="minorHAnsi"/>
        </w:rPr>
      </w:pPr>
      <w:r w:rsidRPr="009B546D">
        <w:rPr>
          <w:rFonts w:cstheme="minorHAnsi"/>
        </w:rPr>
        <w:t>We conducted our work in accordance with Standards for Investment Reporting issued by the Auditing Practices Board in the United Kingdom. Our work included an assessment of evidence relevant to the amounts and disclosures in the financial information. It also included an assessment of significant estimates and judgements made by those responsible for the preparation of the financial information and whether the accounting policies are appropriate to the entity’s circumstances, consistently applied and adequately disclosed.</w:t>
      </w:r>
    </w:p>
    <w:p w14:paraId="1D750982" w14:textId="77777777" w:rsidR="001C6F66" w:rsidRPr="009B546D" w:rsidRDefault="001C6F66" w:rsidP="00F432B9">
      <w:pPr>
        <w:spacing w:after="240" w:line="240" w:lineRule="auto"/>
        <w:rPr>
          <w:rFonts w:cstheme="minorHAnsi"/>
        </w:rPr>
      </w:pPr>
      <w:r w:rsidRPr="009B546D">
        <w:rPr>
          <w:rFonts w:cstheme="minorHAnsi"/>
        </w:rPr>
        <w:t>We planned and performed our work so as to obtain all the information and explanations which we considered necessary in order to provide us with sufficient evidence to give reasonable assurance that the financial information is free from material misstatement whether caused by fraud or other irregularity or error.</w:t>
      </w:r>
    </w:p>
    <w:p w14:paraId="2DFA7C9F" w14:textId="77777777" w:rsidR="001C6F66" w:rsidRPr="009B546D" w:rsidRDefault="001C6F66" w:rsidP="00F432B9">
      <w:pPr>
        <w:spacing w:after="240" w:line="240" w:lineRule="auto"/>
        <w:rPr>
          <w:rFonts w:cstheme="minorHAnsi"/>
        </w:rPr>
      </w:pPr>
      <w:r w:rsidRPr="009B546D">
        <w:rPr>
          <w:rFonts w:cstheme="minorHAnsi"/>
          <w:szCs w:val="24"/>
        </w:rPr>
        <w:t>Our work has not been carried out in accordance with auditing or other standards and practices generally accepted in the United States of America or other jurisdictions outside the United Kingdom and accordingly should not be relied upon as if it had been carried out in accordance with those standards and practices.</w:t>
      </w:r>
    </w:p>
    <w:p w14:paraId="7D8BA2AB" w14:textId="77777777" w:rsidR="001C6F66" w:rsidRPr="009B546D" w:rsidRDefault="001C6F66" w:rsidP="00496B89">
      <w:pPr>
        <w:pStyle w:val="BDOMainHeading2"/>
        <w:spacing w:before="0"/>
        <w:rPr>
          <w:rFonts w:asciiTheme="minorHAnsi" w:hAnsiTheme="minorHAnsi" w:cstheme="minorHAnsi"/>
        </w:rPr>
      </w:pPr>
      <w:r w:rsidRPr="009B546D">
        <w:rPr>
          <w:rFonts w:asciiTheme="minorHAnsi" w:hAnsiTheme="minorHAnsi" w:cstheme="minorHAnsi"/>
        </w:rPr>
        <w:t>Opinion</w:t>
      </w:r>
    </w:p>
    <w:p w14:paraId="70EC8230" w14:textId="77777777" w:rsidR="001C6F66" w:rsidRPr="009B546D" w:rsidRDefault="001C6F66" w:rsidP="00F432B9">
      <w:pPr>
        <w:spacing w:after="240" w:line="240" w:lineRule="auto"/>
        <w:rPr>
          <w:rFonts w:cstheme="minorHAnsi"/>
          <w:sz w:val="24"/>
          <w:szCs w:val="24"/>
        </w:rPr>
      </w:pPr>
      <w:r w:rsidRPr="009B546D">
        <w:rPr>
          <w:rFonts w:cstheme="minorHAnsi"/>
        </w:rPr>
        <w:t>In our opinion, the financial information gives, for the purposes of the Prospectus, a true and fair view of the state of affairs of Alchemist as at 30 April 2019 and of its results, cash flows, changes in equity for the period from 17 April 2018 to 30 April 2019 in accordance with International Financial Reporting Standards as adopted by the European Union.</w:t>
      </w:r>
    </w:p>
    <w:p w14:paraId="3C4B663F" w14:textId="77777777" w:rsidR="001C6F66" w:rsidRPr="009B546D" w:rsidRDefault="001C6F66" w:rsidP="00496B89">
      <w:pPr>
        <w:pStyle w:val="BDOMainHeading2"/>
        <w:spacing w:before="0"/>
        <w:rPr>
          <w:rFonts w:asciiTheme="minorHAnsi" w:hAnsiTheme="minorHAnsi" w:cstheme="minorHAnsi"/>
        </w:rPr>
      </w:pPr>
      <w:r w:rsidRPr="009B546D">
        <w:rPr>
          <w:rFonts w:asciiTheme="minorHAnsi" w:hAnsiTheme="minorHAnsi" w:cstheme="minorHAnsi"/>
        </w:rPr>
        <w:t>Declaration</w:t>
      </w:r>
    </w:p>
    <w:p w14:paraId="339E4DA3" w14:textId="77777777" w:rsidR="001C6F66" w:rsidRPr="009B546D" w:rsidRDefault="001C6F66" w:rsidP="00F432B9">
      <w:pPr>
        <w:spacing w:after="240" w:line="240" w:lineRule="auto"/>
        <w:rPr>
          <w:rFonts w:cstheme="minorHAnsi"/>
        </w:rPr>
      </w:pPr>
      <w:r w:rsidRPr="009B546D">
        <w:rPr>
          <w:rFonts w:cstheme="minorHAnsi"/>
        </w:rPr>
        <w:t>For the purposes of Prospectus Regulation Rule 5.3.2R(2)(f), we are responsible for this report as part of the Prospectus and declare that we have taken all reasonable care to ensure that the information contained in this report is, to the best of our knowledge, in accordance with the facts and contains no omission likely to affect its import. This declaration is included in the Prospectus in compliance with item 1.2 of Annex 1 to the Commission Delegated Regulation (EU) No 2019/980.</w:t>
      </w:r>
    </w:p>
    <w:p w14:paraId="5B153C62" w14:textId="77777777" w:rsidR="001C6F66" w:rsidRPr="009B546D" w:rsidRDefault="001C6F66" w:rsidP="00F432B9">
      <w:pPr>
        <w:spacing w:after="240" w:line="240" w:lineRule="auto"/>
        <w:jc w:val="left"/>
        <w:rPr>
          <w:rFonts w:cstheme="minorHAnsi"/>
          <w:b/>
        </w:rPr>
      </w:pPr>
      <w:r w:rsidRPr="009B546D">
        <w:rPr>
          <w:rFonts w:cstheme="minorHAnsi"/>
        </w:rPr>
        <w:t>Yours faithfully</w:t>
      </w:r>
    </w:p>
    <w:p w14:paraId="7EC5E938" w14:textId="77777777" w:rsidR="001C6F66" w:rsidRPr="009B546D" w:rsidRDefault="001C6F66" w:rsidP="00F432B9">
      <w:pPr>
        <w:spacing w:line="240" w:lineRule="auto"/>
        <w:jc w:val="left"/>
        <w:rPr>
          <w:rFonts w:cstheme="minorHAnsi"/>
        </w:rPr>
      </w:pPr>
    </w:p>
    <w:p w14:paraId="099111F1" w14:textId="77777777" w:rsidR="001C6F66" w:rsidRPr="009B546D" w:rsidRDefault="001C6F66" w:rsidP="00F432B9">
      <w:pPr>
        <w:spacing w:line="240" w:lineRule="auto"/>
        <w:jc w:val="left"/>
        <w:rPr>
          <w:rFonts w:cstheme="minorHAnsi"/>
          <w:b/>
        </w:rPr>
      </w:pPr>
      <w:r w:rsidRPr="009B546D">
        <w:rPr>
          <w:rFonts w:cstheme="minorHAnsi"/>
        </w:rPr>
        <w:t>BDO LLP</w:t>
      </w:r>
    </w:p>
    <w:p w14:paraId="1D6A0320" w14:textId="77777777" w:rsidR="001C6F66" w:rsidRPr="009B546D" w:rsidRDefault="001C6F66" w:rsidP="00F432B9">
      <w:pPr>
        <w:spacing w:line="240" w:lineRule="auto"/>
        <w:jc w:val="left"/>
        <w:rPr>
          <w:rFonts w:cstheme="minorHAnsi"/>
        </w:rPr>
      </w:pPr>
      <w:r w:rsidRPr="009B546D">
        <w:rPr>
          <w:rFonts w:cstheme="minorHAnsi"/>
        </w:rPr>
        <w:t>Chartered Accountants</w:t>
      </w:r>
    </w:p>
    <w:p w14:paraId="07069B6D" w14:textId="77777777" w:rsidR="001C6F66" w:rsidRPr="009B546D" w:rsidRDefault="001C6F66" w:rsidP="00F432B9">
      <w:pPr>
        <w:spacing w:line="240" w:lineRule="auto"/>
        <w:jc w:val="left"/>
        <w:rPr>
          <w:rFonts w:cstheme="minorHAnsi"/>
        </w:rPr>
      </w:pPr>
    </w:p>
    <w:p w14:paraId="23854BF0" w14:textId="77777777" w:rsidR="001C6F66" w:rsidRPr="009B546D" w:rsidRDefault="001C6F66" w:rsidP="00496B89">
      <w:pPr>
        <w:pStyle w:val="Header"/>
        <w:jc w:val="left"/>
        <w:rPr>
          <w:rFonts w:cstheme="minorHAnsi"/>
        </w:rPr>
      </w:pPr>
    </w:p>
    <w:p w14:paraId="4BBEF786" w14:textId="77777777" w:rsidR="001C6F66" w:rsidRPr="009B546D" w:rsidRDefault="001C6F66" w:rsidP="00F432B9">
      <w:pPr>
        <w:autoSpaceDE w:val="0"/>
        <w:autoSpaceDN w:val="0"/>
        <w:adjustRightInd w:val="0"/>
        <w:spacing w:after="240" w:line="240" w:lineRule="auto"/>
        <w:rPr>
          <w:rFonts w:cstheme="minorHAnsi"/>
          <w:color w:val="000000"/>
        </w:rPr>
      </w:pPr>
    </w:p>
    <w:p w14:paraId="782AB880" w14:textId="77777777" w:rsidR="001C6F66" w:rsidRPr="009B546D" w:rsidRDefault="001C6F66" w:rsidP="00F432B9">
      <w:pPr>
        <w:spacing w:line="240" w:lineRule="auto"/>
        <w:jc w:val="center"/>
        <w:rPr>
          <w:rFonts w:cstheme="minorHAnsi"/>
          <w:b/>
          <w:sz w:val="28"/>
          <w:szCs w:val="28"/>
        </w:rPr>
        <w:sectPr w:rsidR="001C6F66" w:rsidRPr="009B546D" w:rsidSect="006548C4">
          <w:footerReference w:type="default" r:id="rId16"/>
          <w:pgSz w:w="11906" w:h="16838"/>
          <w:pgMar w:top="1440" w:right="1440" w:bottom="1440" w:left="1440" w:header="340" w:footer="340" w:gutter="0"/>
          <w:cols w:space="708"/>
          <w:docGrid w:linePitch="360"/>
        </w:sectPr>
      </w:pPr>
    </w:p>
    <w:p w14:paraId="23D3EFD8" w14:textId="715B3C6E" w:rsidR="00C11CB2" w:rsidRPr="002E5F77" w:rsidRDefault="00C11CB2" w:rsidP="00EA2BB6">
      <w:pPr>
        <w:jc w:val="center"/>
        <w:rPr>
          <w:b/>
          <w:bCs/>
        </w:rPr>
      </w:pPr>
      <w:r w:rsidRPr="00C11CB2">
        <w:rPr>
          <w:b/>
          <w:bCs/>
        </w:rPr>
        <w:lastRenderedPageBreak/>
        <w:t>Section B- Financial Information</w:t>
      </w:r>
    </w:p>
    <w:p w14:paraId="19F50B20" w14:textId="338F8451" w:rsidR="001C6F66" w:rsidRPr="009B546D" w:rsidRDefault="001C6F66" w:rsidP="00F432B9">
      <w:pPr>
        <w:spacing w:line="240" w:lineRule="auto"/>
        <w:jc w:val="left"/>
        <w:rPr>
          <w:rFonts w:cstheme="minorHAnsi"/>
          <w:b/>
        </w:rPr>
      </w:pPr>
      <w:r w:rsidRPr="009B546D">
        <w:rPr>
          <w:rFonts w:cstheme="minorHAnsi"/>
          <w:b/>
        </w:rPr>
        <w:t>Statement of comprehensive income</w:t>
      </w:r>
    </w:p>
    <w:p w14:paraId="68B89194" w14:textId="77777777" w:rsidR="001C6F66" w:rsidRPr="009B546D" w:rsidRDefault="001C6F66" w:rsidP="00F432B9">
      <w:pPr>
        <w:spacing w:line="240" w:lineRule="auto"/>
        <w:jc w:val="left"/>
        <w:rPr>
          <w:rFonts w:cstheme="minorHAnsi"/>
        </w:rPr>
      </w:pPr>
      <w:r w:rsidRPr="009B546D">
        <w:rPr>
          <w:rFonts w:cstheme="minorHAnsi"/>
          <w:b/>
        </w:rPr>
        <w:t>For the period from incorporation on 17 April 2018 to 30 April 2019</w:t>
      </w:r>
    </w:p>
    <w:p w14:paraId="0BB5DB7F" w14:textId="77777777" w:rsidR="001C6F66" w:rsidRPr="009B546D" w:rsidRDefault="001C6F66" w:rsidP="00F432B9">
      <w:pPr>
        <w:pBdr>
          <w:bottom w:val="single" w:sz="6" w:space="1" w:color="auto"/>
        </w:pBdr>
        <w:spacing w:line="240" w:lineRule="auto"/>
        <w:jc w:val="right"/>
        <w:rPr>
          <w:rFonts w:cstheme="minorHAnsi"/>
        </w:rPr>
      </w:pPr>
    </w:p>
    <w:p w14:paraId="5AB24CDC" w14:textId="77777777" w:rsidR="001C6F66" w:rsidRPr="009B546D" w:rsidRDefault="001C6F66" w:rsidP="00F432B9">
      <w:pPr>
        <w:spacing w:line="240" w:lineRule="auto"/>
        <w:rPr>
          <w:rFonts w:cstheme="minorHAnsi"/>
          <w:b/>
        </w:rPr>
      </w:pPr>
    </w:p>
    <w:tbl>
      <w:tblPr>
        <w:tblW w:w="9889" w:type="dxa"/>
        <w:tblInd w:w="-108" w:type="dxa"/>
        <w:tblLayout w:type="fixed"/>
        <w:tblLook w:val="04A0" w:firstRow="1" w:lastRow="0" w:firstColumn="1" w:lastColumn="0" w:noHBand="0" w:noVBand="1"/>
      </w:tblPr>
      <w:tblGrid>
        <w:gridCol w:w="6487"/>
        <w:gridCol w:w="1134"/>
        <w:gridCol w:w="1559"/>
        <w:gridCol w:w="709"/>
      </w:tblGrid>
      <w:tr w:rsidR="001C6F66" w:rsidRPr="009B546D" w14:paraId="08E1A0F2" w14:textId="77777777" w:rsidTr="00EA2BB6">
        <w:trPr>
          <w:gridAfter w:val="1"/>
          <w:wAfter w:w="709" w:type="dxa"/>
        </w:trPr>
        <w:tc>
          <w:tcPr>
            <w:tcW w:w="6487" w:type="dxa"/>
          </w:tcPr>
          <w:p w14:paraId="053B76D5" w14:textId="77777777" w:rsidR="001C6F66" w:rsidRPr="009B546D" w:rsidRDefault="001C6F66" w:rsidP="00F432B9">
            <w:pPr>
              <w:spacing w:line="240" w:lineRule="auto"/>
              <w:jc w:val="left"/>
              <w:rPr>
                <w:rFonts w:cstheme="minorHAnsi"/>
                <w:b/>
              </w:rPr>
            </w:pPr>
          </w:p>
        </w:tc>
        <w:tc>
          <w:tcPr>
            <w:tcW w:w="1134" w:type="dxa"/>
          </w:tcPr>
          <w:p w14:paraId="554A73DD" w14:textId="77777777" w:rsidR="001C6F66" w:rsidRPr="009B546D" w:rsidRDefault="001C6F66" w:rsidP="00F432B9">
            <w:pPr>
              <w:tabs>
                <w:tab w:val="decimal" w:pos="744"/>
              </w:tabs>
              <w:spacing w:line="240" w:lineRule="auto"/>
              <w:rPr>
                <w:rFonts w:cstheme="minorHAnsi"/>
                <w:b/>
              </w:rPr>
            </w:pPr>
            <w:r w:rsidRPr="009B546D">
              <w:rPr>
                <w:rFonts w:cstheme="minorHAnsi"/>
                <w:b/>
              </w:rPr>
              <w:t>Note</w:t>
            </w:r>
          </w:p>
        </w:tc>
        <w:tc>
          <w:tcPr>
            <w:tcW w:w="1559" w:type="dxa"/>
          </w:tcPr>
          <w:p w14:paraId="244BBEC0" w14:textId="77777777" w:rsidR="001C6F66" w:rsidRPr="009B546D" w:rsidRDefault="001C6F66" w:rsidP="00F432B9">
            <w:pPr>
              <w:tabs>
                <w:tab w:val="decimal" w:pos="1872"/>
              </w:tabs>
              <w:spacing w:line="240" w:lineRule="auto"/>
              <w:rPr>
                <w:rFonts w:cstheme="minorHAnsi"/>
                <w:b/>
              </w:rPr>
            </w:pPr>
            <w:r w:rsidRPr="009B546D">
              <w:rPr>
                <w:rFonts w:cstheme="minorHAnsi"/>
                <w:b/>
              </w:rPr>
              <w:t>RM</w:t>
            </w:r>
          </w:p>
        </w:tc>
      </w:tr>
      <w:tr w:rsidR="001C6F66" w:rsidRPr="009B546D" w14:paraId="35981719" w14:textId="77777777" w:rsidTr="00EA2BB6">
        <w:trPr>
          <w:gridAfter w:val="1"/>
          <w:wAfter w:w="709" w:type="dxa"/>
        </w:trPr>
        <w:tc>
          <w:tcPr>
            <w:tcW w:w="6487" w:type="dxa"/>
          </w:tcPr>
          <w:p w14:paraId="52E82B8B" w14:textId="77777777" w:rsidR="001C6F66" w:rsidRPr="009B546D" w:rsidRDefault="001C6F66" w:rsidP="00F432B9">
            <w:pPr>
              <w:spacing w:line="240" w:lineRule="auto"/>
              <w:jc w:val="left"/>
              <w:rPr>
                <w:rFonts w:cstheme="minorHAnsi"/>
              </w:rPr>
            </w:pPr>
          </w:p>
        </w:tc>
        <w:tc>
          <w:tcPr>
            <w:tcW w:w="1134" w:type="dxa"/>
          </w:tcPr>
          <w:p w14:paraId="2FDB6636" w14:textId="77777777" w:rsidR="001C6F66" w:rsidRPr="009B546D" w:rsidRDefault="001C6F66" w:rsidP="00F432B9">
            <w:pPr>
              <w:tabs>
                <w:tab w:val="decimal" w:pos="744"/>
              </w:tabs>
              <w:spacing w:line="240" w:lineRule="auto"/>
              <w:rPr>
                <w:rFonts w:cstheme="minorHAnsi"/>
              </w:rPr>
            </w:pPr>
          </w:p>
        </w:tc>
        <w:tc>
          <w:tcPr>
            <w:tcW w:w="1559" w:type="dxa"/>
          </w:tcPr>
          <w:p w14:paraId="0EED02FB" w14:textId="77777777" w:rsidR="001C6F66" w:rsidRPr="009B546D" w:rsidRDefault="001C6F66" w:rsidP="00F432B9">
            <w:pPr>
              <w:tabs>
                <w:tab w:val="decimal" w:pos="1872"/>
              </w:tabs>
              <w:spacing w:line="240" w:lineRule="auto"/>
              <w:rPr>
                <w:rFonts w:cstheme="minorHAnsi"/>
                <w:b/>
              </w:rPr>
            </w:pPr>
          </w:p>
        </w:tc>
      </w:tr>
      <w:tr w:rsidR="001C6F66" w:rsidRPr="009B546D" w14:paraId="5BAAA912" w14:textId="77777777" w:rsidTr="00EA2BB6">
        <w:trPr>
          <w:gridAfter w:val="1"/>
          <w:wAfter w:w="709" w:type="dxa"/>
        </w:trPr>
        <w:tc>
          <w:tcPr>
            <w:tcW w:w="6487" w:type="dxa"/>
          </w:tcPr>
          <w:p w14:paraId="26BAF19A" w14:textId="77777777" w:rsidR="001C6F66" w:rsidRPr="009B546D" w:rsidRDefault="001C6F66" w:rsidP="00F432B9">
            <w:pPr>
              <w:spacing w:line="240" w:lineRule="auto"/>
              <w:jc w:val="left"/>
              <w:rPr>
                <w:rFonts w:cstheme="minorHAnsi"/>
              </w:rPr>
            </w:pPr>
            <w:r w:rsidRPr="009B546D">
              <w:rPr>
                <w:rFonts w:cstheme="minorHAnsi"/>
                <w:b/>
              </w:rPr>
              <w:t>Revenue</w:t>
            </w:r>
          </w:p>
        </w:tc>
        <w:tc>
          <w:tcPr>
            <w:tcW w:w="1134" w:type="dxa"/>
          </w:tcPr>
          <w:p w14:paraId="6CD35A6A" w14:textId="77777777" w:rsidR="001C6F66" w:rsidRPr="009B546D" w:rsidRDefault="001C6F66" w:rsidP="00F432B9">
            <w:pPr>
              <w:tabs>
                <w:tab w:val="decimal" w:pos="744"/>
              </w:tabs>
              <w:spacing w:line="240" w:lineRule="auto"/>
              <w:rPr>
                <w:rFonts w:cstheme="minorHAnsi"/>
              </w:rPr>
            </w:pPr>
            <w:r w:rsidRPr="009B546D">
              <w:rPr>
                <w:rFonts w:cstheme="minorHAnsi"/>
              </w:rPr>
              <w:t>12</w:t>
            </w:r>
          </w:p>
        </w:tc>
        <w:tc>
          <w:tcPr>
            <w:tcW w:w="1559" w:type="dxa"/>
          </w:tcPr>
          <w:p w14:paraId="03407A90" w14:textId="77777777" w:rsidR="001C6F66" w:rsidRPr="009B546D" w:rsidRDefault="001C6F66" w:rsidP="00F432B9">
            <w:pPr>
              <w:tabs>
                <w:tab w:val="decimal" w:pos="1872"/>
              </w:tabs>
              <w:spacing w:line="240" w:lineRule="auto"/>
              <w:rPr>
                <w:rFonts w:cstheme="minorHAnsi"/>
              </w:rPr>
            </w:pPr>
            <w:r w:rsidRPr="009B546D">
              <w:rPr>
                <w:rFonts w:cstheme="minorHAnsi"/>
              </w:rPr>
              <w:t>1,110,000</w:t>
            </w:r>
          </w:p>
        </w:tc>
      </w:tr>
      <w:tr w:rsidR="001C6F66" w:rsidRPr="009B546D" w14:paraId="2F58BE52" w14:textId="77777777" w:rsidTr="00EA2BB6">
        <w:trPr>
          <w:gridAfter w:val="1"/>
          <w:wAfter w:w="709" w:type="dxa"/>
        </w:trPr>
        <w:tc>
          <w:tcPr>
            <w:tcW w:w="6487" w:type="dxa"/>
          </w:tcPr>
          <w:p w14:paraId="3D2511AD" w14:textId="77777777" w:rsidR="001C6F66" w:rsidRPr="009B546D" w:rsidRDefault="001C6F66" w:rsidP="00F432B9">
            <w:pPr>
              <w:spacing w:line="240" w:lineRule="auto"/>
              <w:jc w:val="left"/>
              <w:rPr>
                <w:rFonts w:cstheme="minorHAnsi"/>
              </w:rPr>
            </w:pPr>
          </w:p>
        </w:tc>
        <w:tc>
          <w:tcPr>
            <w:tcW w:w="1134" w:type="dxa"/>
          </w:tcPr>
          <w:p w14:paraId="5223E72C" w14:textId="77777777" w:rsidR="001C6F66" w:rsidRPr="009B546D" w:rsidRDefault="001C6F66" w:rsidP="00F432B9">
            <w:pPr>
              <w:tabs>
                <w:tab w:val="decimal" w:pos="744"/>
              </w:tabs>
              <w:spacing w:line="240" w:lineRule="auto"/>
              <w:rPr>
                <w:rFonts w:cstheme="minorHAnsi"/>
              </w:rPr>
            </w:pPr>
          </w:p>
        </w:tc>
        <w:tc>
          <w:tcPr>
            <w:tcW w:w="1559" w:type="dxa"/>
          </w:tcPr>
          <w:p w14:paraId="46686E35" w14:textId="77777777" w:rsidR="001C6F66" w:rsidRPr="009B546D" w:rsidRDefault="001C6F66" w:rsidP="00F432B9">
            <w:pPr>
              <w:tabs>
                <w:tab w:val="decimal" w:pos="1872"/>
              </w:tabs>
              <w:spacing w:line="240" w:lineRule="auto"/>
              <w:rPr>
                <w:rFonts w:cstheme="minorHAnsi"/>
              </w:rPr>
            </w:pPr>
          </w:p>
        </w:tc>
      </w:tr>
      <w:tr w:rsidR="001C6F66" w:rsidRPr="009B546D" w14:paraId="773B7AA3" w14:textId="77777777" w:rsidTr="00EA2BB6">
        <w:trPr>
          <w:gridAfter w:val="1"/>
          <w:wAfter w:w="709" w:type="dxa"/>
        </w:trPr>
        <w:tc>
          <w:tcPr>
            <w:tcW w:w="6487" w:type="dxa"/>
          </w:tcPr>
          <w:p w14:paraId="7A8A2C2C" w14:textId="77777777" w:rsidR="001C6F66" w:rsidRPr="009B546D" w:rsidRDefault="001C6F66" w:rsidP="00F432B9">
            <w:pPr>
              <w:spacing w:line="240" w:lineRule="auto"/>
              <w:jc w:val="left"/>
              <w:rPr>
                <w:rFonts w:cstheme="minorHAnsi"/>
              </w:rPr>
            </w:pPr>
            <w:r w:rsidRPr="009B546D">
              <w:rPr>
                <w:rFonts w:cstheme="minorHAnsi"/>
              </w:rPr>
              <w:t>Cost of sales</w:t>
            </w:r>
          </w:p>
        </w:tc>
        <w:tc>
          <w:tcPr>
            <w:tcW w:w="1134" w:type="dxa"/>
          </w:tcPr>
          <w:p w14:paraId="21CD92C4" w14:textId="77777777" w:rsidR="001C6F66" w:rsidRPr="009B546D" w:rsidRDefault="001C6F66" w:rsidP="00F432B9">
            <w:pPr>
              <w:tabs>
                <w:tab w:val="decimal" w:pos="744"/>
              </w:tabs>
              <w:spacing w:line="240" w:lineRule="auto"/>
              <w:rPr>
                <w:rFonts w:cstheme="minorHAnsi"/>
              </w:rPr>
            </w:pPr>
          </w:p>
        </w:tc>
        <w:tc>
          <w:tcPr>
            <w:tcW w:w="1559" w:type="dxa"/>
          </w:tcPr>
          <w:p w14:paraId="66842991" w14:textId="1D9EABDF" w:rsidR="001C6F66" w:rsidRPr="009B546D" w:rsidRDefault="001C6F66" w:rsidP="00F432B9">
            <w:pPr>
              <w:tabs>
                <w:tab w:val="decimal" w:pos="1872"/>
              </w:tabs>
              <w:spacing w:line="240" w:lineRule="auto"/>
              <w:rPr>
                <w:rFonts w:cstheme="minorHAnsi"/>
              </w:rPr>
            </w:pPr>
            <w:r w:rsidRPr="009B546D">
              <w:rPr>
                <w:rFonts w:cstheme="minorHAnsi"/>
              </w:rPr>
              <w:t>(3</w:t>
            </w:r>
            <w:r w:rsidR="00D50A29">
              <w:rPr>
                <w:rFonts w:cstheme="minorHAnsi"/>
              </w:rPr>
              <w:t>11</w:t>
            </w:r>
            <w:r w:rsidRPr="009B546D">
              <w:rPr>
                <w:rFonts w:cstheme="minorHAnsi"/>
              </w:rPr>
              <w:t>,</w:t>
            </w:r>
            <w:r w:rsidR="00D50A29">
              <w:rPr>
                <w:rFonts w:cstheme="minorHAnsi"/>
              </w:rPr>
              <w:t>513</w:t>
            </w:r>
            <w:r w:rsidRPr="009B546D">
              <w:rPr>
                <w:rFonts w:cstheme="minorHAnsi"/>
              </w:rPr>
              <w:t>)</w:t>
            </w:r>
          </w:p>
        </w:tc>
      </w:tr>
      <w:tr w:rsidR="001C6F66" w:rsidRPr="009B546D" w14:paraId="09F9A7E5" w14:textId="77777777" w:rsidTr="00EA2BB6">
        <w:trPr>
          <w:gridAfter w:val="1"/>
          <w:wAfter w:w="709" w:type="dxa"/>
        </w:trPr>
        <w:tc>
          <w:tcPr>
            <w:tcW w:w="6487" w:type="dxa"/>
          </w:tcPr>
          <w:p w14:paraId="3FDCACAF" w14:textId="77777777" w:rsidR="001C6F66" w:rsidRPr="009B546D" w:rsidRDefault="001C6F66" w:rsidP="00F432B9">
            <w:pPr>
              <w:spacing w:line="240" w:lineRule="auto"/>
              <w:jc w:val="left"/>
              <w:rPr>
                <w:rFonts w:cstheme="minorHAnsi"/>
              </w:rPr>
            </w:pPr>
          </w:p>
        </w:tc>
        <w:tc>
          <w:tcPr>
            <w:tcW w:w="1134" w:type="dxa"/>
          </w:tcPr>
          <w:p w14:paraId="0FD99DF4" w14:textId="77777777" w:rsidR="001C6F66" w:rsidRPr="009B546D" w:rsidRDefault="001C6F66" w:rsidP="00F432B9">
            <w:pPr>
              <w:tabs>
                <w:tab w:val="decimal" w:pos="744"/>
              </w:tabs>
              <w:spacing w:line="240" w:lineRule="auto"/>
              <w:rPr>
                <w:rFonts w:cstheme="minorHAnsi"/>
              </w:rPr>
            </w:pPr>
          </w:p>
        </w:tc>
        <w:tc>
          <w:tcPr>
            <w:tcW w:w="1559" w:type="dxa"/>
          </w:tcPr>
          <w:p w14:paraId="2A8D4E18" w14:textId="77777777" w:rsidR="001C6F66" w:rsidRPr="009B546D" w:rsidRDefault="001C6F66" w:rsidP="00F432B9">
            <w:pPr>
              <w:tabs>
                <w:tab w:val="decimal" w:pos="1872"/>
              </w:tabs>
              <w:spacing w:line="240" w:lineRule="auto"/>
              <w:rPr>
                <w:rFonts w:cstheme="minorHAnsi"/>
              </w:rPr>
            </w:pPr>
            <w:r w:rsidRPr="009B546D">
              <w:rPr>
                <w:rFonts w:cstheme="minorHAnsi"/>
              </w:rPr>
              <w:t>_________</w:t>
            </w:r>
          </w:p>
        </w:tc>
      </w:tr>
      <w:tr w:rsidR="001C6F66" w:rsidRPr="009B546D" w14:paraId="3C63C790" w14:textId="77777777" w:rsidTr="00EA2BB6">
        <w:trPr>
          <w:gridAfter w:val="1"/>
          <w:wAfter w:w="709" w:type="dxa"/>
        </w:trPr>
        <w:tc>
          <w:tcPr>
            <w:tcW w:w="6487" w:type="dxa"/>
          </w:tcPr>
          <w:p w14:paraId="49AAA002" w14:textId="77777777" w:rsidR="001C6F66" w:rsidRPr="009B546D" w:rsidRDefault="001C6F66" w:rsidP="00F432B9">
            <w:pPr>
              <w:spacing w:line="240" w:lineRule="auto"/>
              <w:jc w:val="left"/>
              <w:rPr>
                <w:rFonts w:cstheme="minorHAnsi"/>
              </w:rPr>
            </w:pPr>
          </w:p>
        </w:tc>
        <w:tc>
          <w:tcPr>
            <w:tcW w:w="1134" w:type="dxa"/>
          </w:tcPr>
          <w:p w14:paraId="31C93FD3" w14:textId="77777777" w:rsidR="001C6F66" w:rsidRPr="009B546D" w:rsidRDefault="001C6F66" w:rsidP="00F432B9">
            <w:pPr>
              <w:tabs>
                <w:tab w:val="decimal" w:pos="744"/>
              </w:tabs>
              <w:spacing w:line="240" w:lineRule="auto"/>
              <w:rPr>
                <w:rFonts w:cstheme="minorHAnsi"/>
              </w:rPr>
            </w:pPr>
          </w:p>
        </w:tc>
        <w:tc>
          <w:tcPr>
            <w:tcW w:w="1559" w:type="dxa"/>
          </w:tcPr>
          <w:p w14:paraId="10A245FD" w14:textId="77777777" w:rsidR="001C6F66" w:rsidRPr="009B546D" w:rsidRDefault="001C6F66" w:rsidP="00F432B9">
            <w:pPr>
              <w:tabs>
                <w:tab w:val="decimal" w:pos="1872"/>
              </w:tabs>
              <w:spacing w:line="240" w:lineRule="auto"/>
              <w:rPr>
                <w:rFonts w:cstheme="minorHAnsi"/>
                <w:b/>
              </w:rPr>
            </w:pPr>
          </w:p>
        </w:tc>
      </w:tr>
      <w:tr w:rsidR="001C6F66" w:rsidRPr="009B546D" w14:paraId="01DA2E82" w14:textId="77777777" w:rsidTr="00EA2BB6">
        <w:trPr>
          <w:gridAfter w:val="1"/>
          <w:wAfter w:w="709" w:type="dxa"/>
        </w:trPr>
        <w:tc>
          <w:tcPr>
            <w:tcW w:w="6487" w:type="dxa"/>
          </w:tcPr>
          <w:p w14:paraId="5AEBB22F" w14:textId="77777777" w:rsidR="001C6F66" w:rsidRPr="009B546D" w:rsidRDefault="001C6F66" w:rsidP="00F432B9">
            <w:pPr>
              <w:spacing w:line="240" w:lineRule="auto"/>
              <w:jc w:val="left"/>
              <w:rPr>
                <w:rFonts w:cstheme="minorHAnsi"/>
              </w:rPr>
            </w:pPr>
            <w:r w:rsidRPr="009B546D">
              <w:rPr>
                <w:rFonts w:cstheme="minorHAnsi"/>
                <w:b/>
              </w:rPr>
              <w:t>Gross profit</w:t>
            </w:r>
          </w:p>
        </w:tc>
        <w:tc>
          <w:tcPr>
            <w:tcW w:w="1134" w:type="dxa"/>
          </w:tcPr>
          <w:p w14:paraId="1F1F8ADF" w14:textId="77777777" w:rsidR="001C6F66" w:rsidRPr="009B546D" w:rsidRDefault="001C6F66" w:rsidP="00F432B9">
            <w:pPr>
              <w:tabs>
                <w:tab w:val="decimal" w:pos="744"/>
              </w:tabs>
              <w:spacing w:line="240" w:lineRule="auto"/>
              <w:rPr>
                <w:rFonts w:cstheme="minorHAnsi"/>
              </w:rPr>
            </w:pPr>
          </w:p>
        </w:tc>
        <w:tc>
          <w:tcPr>
            <w:tcW w:w="1559" w:type="dxa"/>
          </w:tcPr>
          <w:p w14:paraId="181F3FAA" w14:textId="4E8971AF" w:rsidR="001C6F66" w:rsidRPr="009B546D" w:rsidRDefault="001C6F66" w:rsidP="00F432B9">
            <w:pPr>
              <w:tabs>
                <w:tab w:val="decimal" w:pos="1872"/>
              </w:tabs>
              <w:spacing w:line="240" w:lineRule="auto"/>
              <w:rPr>
                <w:rFonts w:cstheme="minorHAnsi"/>
                <w:b/>
              </w:rPr>
            </w:pPr>
            <w:r w:rsidRPr="009B546D">
              <w:rPr>
                <w:rFonts w:cstheme="minorHAnsi"/>
                <w:b/>
              </w:rPr>
              <w:t>7</w:t>
            </w:r>
            <w:r w:rsidR="00D50A29">
              <w:rPr>
                <w:rFonts w:cstheme="minorHAnsi"/>
                <w:b/>
              </w:rPr>
              <w:t>98</w:t>
            </w:r>
            <w:r w:rsidRPr="009B546D">
              <w:rPr>
                <w:rFonts w:cstheme="minorHAnsi"/>
                <w:b/>
              </w:rPr>
              <w:t>,</w:t>
            </w:r>
            <w:r w:rsidR="00D50A29">
              <w:rPr>
                <w:rFonts w:cstheme="minorHAnsi"/>
                <w:b/>
              </w:rPr>
              <w:t>487</w:t>
            </w:r>
          </w:p>
        </w:tc>
      </w:tr>
      <w:tr w:rsidR="001C6F66" w:rsidRPr="009B546D" w14:paraId="1EAA0D0E" w14:textId="77777777" w:rsidTr="00EA2BB6">
        <w:trPr>
          <w:gridAfter w:val="1"/>
          <w:wAfter w:w="709" w:type="dxa"/>
        </w:trPr>
        <w:tc>
          <w:tcPr>
            <w:tcW w:w="6487" w:type="dxa"/>
          </w:tcPr>
          <w:p w14:paraId="2A36EB39" w14:textId="77777777" w:rsidR="001C6F66" w:rsidRPr="009B546D" w:rsidRDefault="001C6F66" w:rsidP="00F432B9">
            <w:pPr>
              <w:spacing w:line="240" w:lineRule="auto"/>
              <w:jc w:val="left"/>
              <w:rPr>
                <w:rFonts w:cstheme="minorHAnsi"/>
              </w:rPr>
            </w:pPr>
          </w:p>
        </w:tc>
        <w:tc>
          <w:tcPr>
            <w:tcW w:w="1134" w:type="dxa"/>
          </w:tcPr>
          <w:p w14:paraId="17EAB3D1" w14:textId="77777777" w:rsidR="001C6F66" w:rsidRPr="009B546D" w:rsidRDefault="001C6F66" w:rsidP="00F432B9">
            <w:pPr>
              <w:tabs>
                <w:tab w:val="decimal" w:pos="744"/>
              </w:tabs>
              <w:spacing w:line="240" w:lineRule="auto"/>
              <w:rPr>
                <w:rFonts w:cstheme="minorHAnsi"/>
              </w:rPr>
            </w:pPr>
          </w:p>
        </w:tc>
        <w:tc>
          <w:tcPr>
            <w:tcW w:w="1559" w:type="dxa"/>
          </w:tcPr>
          <w:p w14:paraId="220115B2" w14:textId="77777777" w:rsidR="001C6F66" w:rsidRPr="009B546D" w:rsidRDefault="001C6F66" w:rsidP="00F432B9">
            <w:pPr>
              <w:tabs>
                <w:tab w:val="decimal" w:pos="1872"/>
              </w:tabs>
              <w:spacing w:line="240" w:lineRule="auto"/>
              <w:rPr>
                <w:rFonts w:cstheme="minorHAnsi"/>
                <w:b/>
              </w:rPr>
            </w:pPr>
          </w:p>
        </w:tc>
      </w:tr>
      <w:tr w:rsidR="001C6F66" w:rsidRPr="009B546D" w14:paraId="43FA7CD5" w14:textId="77777777" w:rsidTr="00EA2BB6">
        <w:trPr>
          <w:gridAfter w:val="1"/>
          <w:wAfter w:w="709" w:type="dxa"/>
        </w:trPr>
        <w:tc>
          <w:tcPr>
            <w:tcW w:w="6487" w:type="dxa"/>
          </w:tcPr>
          <w:p w14:paraId="7CC39F2F" w14:textId="77777777" w:rsidR="001C6F66" w:rsidRPr="009B546D" w:rsidRDefault="001C6F66" w:rsidP="00F432B9">
            <w:pPr>
              <w:spacing w:line="240" w:lineRule="auto"/>
              <w:jc w:val="left"/>
              <w:rPr>
                <w:rFonts w:cstheme="minorHAnsi"/>
              </w:rPr>
            </w:pPr>
            <w:r w:rsidRPr="009B546D">
              <w:rPr>
                <w:rFonts w:cstheme="minorHAnsi"/>
              </w:rPr>
              <w:t>Other income</w:t>
            </w:r>
          </w:p>
        </w:tc>
        <w:tc>
          <w:tcPr>
            <w:tcW w:w="1134" w:type="dxa"/>
          </w:tcPr>
          <w:p w14:paraId="77BECAC0" w14:textId="77777777" w:rsidR="001C6F66" w:rsidRPr="009B546D" w:rsidRDefault="001C6F66" w:rsidP="00F432B9">
            <w:pPr>
              <w:tabs>
                <w:tab w:val="decimal" w:pos="744"/>
              </w:tabs>
              <w:spacing w:line="240" w:lineRule="auto"/>
              <w:rPr>
                <w:rFonts w:cstheme="minorHAnsi"/>
              </w:rPr>
            </w:pPr>
          </w:p>
        </w:tc>
        <w:tc>
          <w:tcPr>
            <w:tcW w:w="1559" w:type="dxa"/>
          </w:tcPr>
          <w:p w14:paraId="6D75318A" w14:textId="77777777" w:rsidR="001C6F66" w:rsidRPr="009B546D" w:rsidRDefault="001C6F66" w:rsidP="00F432B9">
            <w:pPr>
              <w:tabs>
                <w:tab w:val="decimal" w:pos="1872"/>
              </w:tabs>
              <w:spacing w:line="240" w:lineRule="auto"/>
              <w:rPr>
                <w:rFonts w:cstheme="minorHAnsi"/>
              </w:rPr>
            </w:pPr>
            <w:r w:rsidRPr="009B546D">
              <w:rPr>
                <w:rFonts w:cstheme="minorHAnsi"/>
              </w:rPr>
              <w:t>8,171</w:t>
            </w:r>
          </w:p>
        </w:tc>
      </w:tr>
      <w:tr w:rsidR="001C6F66" w:rsidRPr="009B546D" w14:paraId="15157D50" w14:textId="77777777" w:rsidTr="00EA2BB6">
        <w:trPr>
          <w:gridAfter w:val="1"/>
          <w:wAfter w:w="709" w:type="dxa"/>
        </w:trPr>
        <w:tc>
          <w:tcPr>
            <w:tcW w:w="6487" w:type="dxa"/>
          </w:tcPr>
          <w:p w14:paraId="7B93E166" w14:textId="77777777" w:rsidR="001C6F66" w:rsidRPr="009B546D" w:rsidRDefault="001C6F66" w:rsidP="00F432B9">
            <w:pPr>
              <w:spacing w:line="240" w:lineRule="auto"/>
              <w:jc w:val="left"/>
              <w:rPr>
                <w:rFonts w:cstheme="minorHAnsi"/>
              </w:rPr>
            </w:pPr>
          </w:p>
        </w:tc>
        <w:tc>
          <w:tcPr>
            <w:tcW w:w="1134" w:type="dxa"/>
          </w:tcPr>
          <w:p w14:paraId="733B0714" w14:textId="77777777" w:rsidR="001C6F66" w:rsidRPr="009B546D" w:rsidRDefault="001C6F66" w:rsidP="00F432B9">
            <w:pPr>
              <w:tabs>
                <w:tab w:val="decimal" w:pos="744"/>
              </w:tabs>
              <w:spacing w:line="240" w:lineRule="auto"/>
              <w:rPr>
                <w:rFonts w:cstheme="minorHAnsi"/>
              </w:rPr>
            </w:pPr>
          </w:p>
        </w:tc>
        <w:tc>
          <w:tcPr>
            <w:tcW w:w="1559" w:type="dxa"/>
          </w:tcPr>
          <w:p w14:paraId="3A8B8260" w14:textId="77777777" w:rsidR="001C6F66" w:rsidRPr="009B546D" w:rsidRDefault="001C6F66" w:rsidP="00F432B9">
            <w:pPr>
              <w:tabs>
                <w:tab w:val="decimal" w:pos="1872"/>
              </w:tabs>
              <w:spacing w:line="240" w:lineRule="auto"/>
              <w:rPr>
                <w:rFonts w:cstheme="minorHAnsi"/>
              </w:rPr>
            </w:pPr>
          </w:p>
        </w:tc>
      </w:tr>
      <w:tr w:rsidR="001C6F66" w:rsidRPr="009B546D" w14:paraId="1B4AC372" w14:textId="77777777" w:rsidTr="00EA2BB6">
        <w:trPr>
          <w:gridAfter w:val="1"/>
          <w:wAfter w:w="709" w:type="dxa"/>
        </w:trPr>
        <w:tc>
          <w:tcPr>
            <w:tcW w:w="6487" w:type="dxa"/>
          </w:tcPr>
          <w:p w14:paraId="747510C5" w14:textId="77777777" w:rsidR="001C6F66" w:rsidRPr="009B546D" w:rsidRDefault="001C6F66" w:rsidP="00F432B9">
            <w:pPr>
              <w:spacing w:line="240" w:lineRule="auto"/>
              <w:jc w:val="left"/>
              <w:rPr>
                <w:rFonts w:cstheme="minorHAnsi"/>
              </w:rPr>
            </w:pPr>
            <w:r w:rsidRPr="009B546D">
              <w:rPr>
                <w:rFonts w:cstheme="minorHAnsi"/>
              </w:rPr>
              <w:t>Administrative expenses</w:t>
            </w:r>
          </w:p>
        </w:tc>
        <w:tc>
          <w:tcPr>
            <w:tcW w:w="1134" w:type="dxa"/>
          </w:tcPr>
          <w:p w14:paraId="4A1143EF" w14:textId="77777777" w:rsidR="001C6F66" w:rsidRPr="009B546D" w:rsidRDefault="001C6F66" w:rsidP="00F432B9">
            <w:pPr>
              <w:tabs>
                <w:tab w:val="decimal" w:pos="744"/>
              </w:tabs>
              <w:spacing w:line="240" w:lineRule="auto"/>
              <w:rPr>
                <w:rFonts w:cstheme="minorHAnsi"/>
              </w:rPr>
            </w:pPr>
            <w:r w:rsidRPr="009B546D">
              <w:rPr>
                <w:rFonts w:cstheme="minorHAnsi"/>
              </w:rPr>
              <w:t>14</w:t>
            </w:r>
          </w:p>
        </w:tc>
        <w:tc>
          <w:tcPr>
            <w:tcW w:w="1559" w:type="dxa"/>
          </w:tcPr>
          <w:p w14:paraId="13681719" w14:textId="3865BDF0" w:rsidR="001C6F66" w:rsidRPr="009B546D" w:rsidRDefault="001C6F66" w:rsidP="00F432B9">
            <w:pPr>
              <w:tabs>
                <w:tab w:val="decimal" w:pos="1872"/>
              </w:tabs>
              <w:spacing w:line="240" w:lineRule="auto"/>
              <w:rPr>
                <w:rFonts w:cstheme="minorHAnsi"/>
                <w:b/>
              </w:rPr>
            </w:pPr>
            <w:r w:rsidRPr="009B546D">
              <w:rPr>
                <w:rFonts w:cstheme="minorHAnsi"/>
              </w:rPr>
              <w:t>(2</w:t>
            </w:r>
            <w:r w:rsidR="00D50A29">
              <w:rPr>
                <w:rFonts w:cstheme="minorHAnsi"/>
              </w:rPr>
              <w:t>92</w:t>
            </w:r>
            <w:r w:rsidRPr="009B546D">
              <w:rPr>
                <w:rFonts w:cstheme="minorHAnsi"/>
              </w:rPr>
              <w:t>,</w:t>
            </w:r>
            <w:r w:rsidR="00D50A29">
              <w:rPr>
                <w:rFonts w:cstheme="minorHAnsi"/>
              </w:rPr>
              <w:t>522</w:t>
            </w:r>
            <w:r w:rsidRPr="009B546D">
              <w:rPr>
                <w:rFonts w:cstheme="minorHAnsi"/>
              </w:rPr>
              <w:t>)</w:t>
            </w:r>
          </w:p>
        </w:tc>
      </w:tr>
      <w:tr w:rsidR="001C6F66" w:rsidRPr="009B546D" w14:paraId="63A916B4" w14:textId="77777777" w:rsidTr="00EA2BB6">
        <w:trPr>
          <w:gridAfter w:val="1"/>
          <w:wAfter w:w="709" w:type="dxa"/>
        </w:trPr>
        <w:tc>
          <w:tcPr>
            <w:tcW w:w="6487" w:type="dxa"/>
          </w:tcPr>
          <w:p w14:paraId="1E38AA15" w14:textId="77777777" w:rsidR="001C6F66" w:rsidRPr="009B546D" w:rsidRDefault="001C6F66" w:rsidP="00F432B9">
            <w:pPr>
              <w:spacing w:line="240" w:lineRule="auto"/>
              <w:jc w:val="left"/>
              <w:rPr>
                <w:rFonts w:cstheme="minorHAnsi"/>
              </w:rPr>
            </w:pPr>
            <w:r w:rsidRPr="009B546D">
              <w:rPr>
                <w:rFonts w:cstheme="minorHAnsi"/>
              </w:rPr>
              <w:t>Depreciation</w:t>
            </w:r>
          </w:p>
        </w:tc>
        <w:tc>
          <w:tcPr>
            <w:tcW w:w="1134" w:type="dxa"/>
          </w:tcPr>
          <w:p w14:paraId="7EE1ADE8" w14:textId="77777777" w:rsidR="001C6F66" w:rsidRPr="009B546D" w:rsidRDefault="001C6F66" w:rsidP="00F432B9">
            <w:pPr>
              <w:tabs>
                <w:tab w:val="decimal" w:pos="744"/>
              </w:tabs>
              <w:spacing w:line="240" w:lineRule="auto"/>
              <w:rPr>
                <w:rFonts w:cstheme="minorHAnsi"/>
              </w:rPr>
            </w:pPr>
          </w:p>
        </w:tc>
        <w:tc>
          <w:tcPr>
            <w:tcW w:w="1559" w:type="dxa"/>
          </w:tcPr>
          <w:p w14:paraId="32D9AC05" w14:textId="77777777" w:rsidR="001C6F66" w:rsidRPr="009B546D" w:rsidRDefault="001C6F66" w:rsidP="00F432B9">
            <w:pPr>
              <w:tabs>
                <w:tab w:val="decimal" w:pos="1872"/>
              </w:tabs>
              <w:spacing w:line="240" w:lineRule="auto"/>
              <w:rPr>
                <w:rFonts w:cstheme="minorHAnsi"/>
              </w:rPr>
            </w:pPr>
            <w:r w:rsidRPr="009B546D">
              <w:rPr>
                <w:rFonts w:cstheme="minorHAnsi"/>
              </w:rPr>
              <w:t>(10,084)</w:t>
            </w:r>
          </w:p>
        </w:tc>
      </w:tr>
      <w:tr w:rsidR="001C6F66" w:rsidRPr="009B546D" w14:paraId="2AE15C06" w14:textId="77777777" w:rsidTr="00EA2BB6">
        <w:trPr>
          <w:gridAfter w:val="1"/>
          <w:wAfter w:w="709" w:type="dxa"/>
        </w:trPr>
        <w:tc>
          <w:tcPr>
            <w:tcW w:w="6487" w:type="dxa"/>
          </w:tcPr>
          <w:p w14:paraId="68D8DDE4" w14:textId="77777777" w:rsidR="001C6F66" w:rsidRPr="009B546D" w:rsidRDefault="001C6F66" w:rsidP="00F432B9">
            <w:pPr>
              <w:spacing w:line="240" w:lineRule="auto"/>
              <w:jc w:val="left"/>
              <w:rPr>
                <w:rFonts w:cstheme="minorHAnsi"/>
              </w:rPr>
            </w:pPr>
          </w:p>
        </w:tc>
        <w:tc>
          <w:tcPr>
            <w:tcW w:w="1134" w:type="dxa"/>
          </w:tcPr>
          <w:p w14:paraId="62C5603F" w14:textId="77777777" w:rsidR="001C6F66" w:rsidRPr="009B546D" w:rsidRDefault="001C6F66" w:rsidP="00F432B9">
            <w:pPr>
              <w:tabs>
                <w:tab w:val="decimal" w:pos="744"/>
              </w:tabs>
              <w:spacing w:line="240" w:lineRule="auto"/>
              <w:rPr>
                <w:rFonts w:cstheme="minorHAnsi"/>
              </w:rPr>
            </w:pPr>
          </w:p>
        </w:tc>
        <w:tc>
          <w:tcPr>
            <w:tcW w:w="1559" w:type="dxa"/>
          </w:tcPr>
          <w:p w14:paraId="490A4AB8" w14:textId="77777777" w:rsidR="001C6F66" w:rsidRPr="009B546D" w:rsidRDefault="001C6F66" w:rsidP="00F432B9">
            <w:pPr>
              <w:tabs>
                <w:tab w:val="decimal" w:pos="1872"/>
              </w:tabs>
              <w:spacing w:line="240" w:lineRule="auto"/>
              <w:rPr>
                <w:rFonts w:cstheme="minorHAnsi"/>
                <w:b/>
              </w:rPr>
            </w:pPr>
            <w:r w:rsidRPr="009B546D">
              <w:rPr>
                <w:rFonts w:cstheme="minorHAnsi"/>
              </w:rPr>
              <w:t>_________</w:t>
            </w:r>
          </w:p>
        </w:tc>
      </w:tr>
      <w:tr w:rsidR="001C6F66" w:rsidRPr="009B546D" w14:paraId="7A23B43F" w14:textId="77777777" w:rsidTr="00EA2BB6">
        <w:trPr>
          <w:gridAfter w:val="1"/>
          <w:wAfter w:w="709" w:type="dxa"/>
        </w:trPr>
        <w:tc>
          <w:tcPr>
            <w:tcW w:w="6487" w:type="dxa"/>
          </w:tcPr>
          <w:p w14:paraId="22940A3A" w14:textId="77777777" w:rsidR="001C6F66" w:rsidRPr="009B546D" w:rsidRDefault="001C6F66" w:rsidP="00F432B9">
            <w:pPr>
              <w:spacing w:line="240" w:lineRule="auto"/>
              <w:jc w:val="left"/>
              <w:rPr>
                <w:rFonts w:cstheme="minorHAnsi"/>
              </w:rPr>
            </w:pPr>
          </w:p>
        </w:tc>
        <w:tc>
          <w:tcPr>
            <w:tcW w:w="1134" w:type="dxa"/>
          </w:tcPr>
          <w:p w14:paraId="245927D1" w14:textId="77777777" w:rsidR="001C6F66" w:rsidRPr="009B546D" w:rsidRDefault="001C6F66" w:rsidP="00F432B9">
            <w:pPr>
              <w:tabs>
                <w:tab w:val="decimal" w:pos="744"/>
              </w:tabs>
              <w:spacing w:line="240" w:lineRule="auto"/>
              <w:rPr>
                <w:rFonts w:cstheme="minorHAnsi"/>
              </w:rPr>
            </w:pPr>
          </w:p>
        </w:tc>
        <w:tc>
          <w:tcPr>
            <w:tcW w:w="1559" w:type="dxa"/>
          </w:tcPr>
          <w:p w14:paraId="0B59411D" w14:textId="77777777" w:rsidR="001C6F66" w:rsidRPr="009B546D" w:rsidRDefault="001C6F66" w:rsidP="00F432B9">
            <w:pPr>
              <w:tabs>
                <w:tab w:val="decimal" w:pos="1872"/>
              </w:tabs>
              <w:spacing w:line="240" w:lineRule="auto"/>
              <w:rPr>
                <w:rFonts w:cstheme="minorHAnsi"/>
                <w:b/>
              </w:rPr>
            </w:pPr>
          </w:p>
        </w:tc>
      </w:tr>
      <w:tr w:rsidR="001C6F66" w:rsidRPr="009B546D" w14:paraId="7C8FB07E" w14:textId="77777777" w:rsidTr="00EA2BB6">
        <w:trPr>
          <w:gridAfter w:val="1"/>
          <w:wAfter w:w="709" w:type="dxa"/>
        </w:trPr>
        <w:tc>
          <w:tcPr>
            <w:tcW w:w="6487" w:type="dxa"/>
          </w:tcPr>
          <w:p w14:paraId="46C6D65D" w14:textId="77777777" w:rsidR="001C6F66" w:rsidRPr="009B546D" w:rsidRDefault="001C6F66" w:rsidP="00F432B9">
            <w:pPr>
              <w:spacing w:line="240" w:lineRule="auto"/>
              <w:jc w:val="left"/>
              <w:rPr>
                <w:rFonts w:cstheme="minorHAnsi"/>
              </w:rPr>
            </w:pPr>
            <w:r w:rsidRPr="009B546D">
              <w:rPr>
                <w:rFonts w:cstheme="minorHAnsi"/>
                <w:b/>
              </w:rPr>
              <w:t>Profit before tax</w:t>
            </w:r>
          </w:p>
        </w:tc>
        <w:tc>
          <w:tcPr>
            <w:tcW w:w="1134" w:type="dxa"/>
            <w:vAlign w:val="bottom"/>
          </w:tcPr>
          <w:p w14:paraId="551A82D4" w14:textId="77777777" w:rsidR="001C6F66" w:rsidRPr="009B546D" w:rsidRDefault="001C6F66" w:rsidP="00F432B9">
            <w:pPr>
              <w:tabs>
                <w:tab w:val="decimal" w:pos="744"/>
              </w:tabs>
              <w:spacing w:line="240" w:lineRule="auto"/>
              <w:rPr>
                <w:rFonts w:cstheme="minorHAnsi"/>
              </w:rPr>
            </w:pPr>
            <w:r w:rsidRPr="009B546D">
              <w:rPr>
                <w:rFonts w:cstheme="minorHAnsi"/>
              </w:rPr>
              <w:t>13</w:t>
            </w:r>
          </w:p>
        </w:tc>
        <w:tc>
          <w:tcPr>
            <w:tcW w:w="1559" w:type="dxa"/>
          </w:tcPr>
          <w:p w14:paraId="7519DF12" w14:textId="77777777" w:rsidR="001C6F66" w:rsidRPr="009B546D" w:rsidRDefault="001C6F66" w:rsidP="00F432B9">
            <w:pPr>
              <w:tabs>
                <w:tab w:val="decimal" w:pos="1872"/>
              </w:tabs>
              <w:spacing w:line="240" w:lineRule="auto"/>
              <w:rPr>
                <w:rFonts w:cstheme="minorHAnsi"/>
                <w:b/>
              </w:rPr>
            </w:pPr>
            <w:r w:rsidRPr="009B546D">
              <w:rPr>
                <w:rFonts w:cstheme="minorHAnsi"/>
                <w:b/>
              </w:rPr>
              <w:t>504,052</w:t>
            </w:r>
          </w:p>
        </w:tc>
      </w:tr>
      <w:tr w:rsidR="001C6F66" w:rsidRPr="009B546D" w14:paraId="2C1EF715" w14:textId="77777777" w:rsidTr="00EA2BB6">
        <w:trPr>
          <w:gridAfter w:val="1"/>
          <w:wAfter w:w="709" w:type="dxa"/>
        </w:trPr>
        <w:tc>
          <w:tcPr>
            <w:tcW w:w="6487" w:type="dxa"/>
          </w:tcPr>
          <w:p w14:paraId="2F72D4D3" w14:textId="77777777" w:rsidR="001C6F66" w:rsidRPr="009B546D" w:rsidRDefault="001C6F66" w:rsidP="00F432B9">
            <w:pPr>
              <w:spacing w:line="240" w:lineRule="auto"/>
              <w:jc w:val="left"/>
              <w:rPr>
                <w:rFonts w:cstheme="minorHAnsi"/>
              </w:rPr>
            </w:pPr>
          </w:p>
        </w:tc>
        <w:tc>
          <w:tcPr>
            <w:tcW w:w="1134" w:type="dxa"/>
            <w:vAlign w:val="bottom"/>
          </w:tcPr>
          <w:p w14:paraId="635B70A7" w14:textId="77777777" w:rsidR="001C6F66" w:rsidRPr="009B546D" w:rsidRDefault="001C6F66" w:rsidP="00F432B9">
            <w:pPr>
              <w:tabs>
                <w:tab w:val="decimal" w:pos="744"/>
              </w:tabs>
              <w:spacing w:line="240" w:lineRule="auto"/>
              <w:rPr>
                <w:rFonts w:cstheme="minorHAnsi"/>
              </w:rPr>
            </w:pPr>
          </w:p>
        </w:tc>
        <w:tc>
          <w:tcPr>
            <w:tcW w:w="1559" w:type="dxa"/>
          </w:tcPr>
          <w:p w14:paraId="45FD93E1" w14:textId="77777777" w:rsidR="001C6F66" w:rsidRPr="009B546D" w:rsidRDefault="001C6F66" w:rsidP="00F432B9">
            <w:pPr>
              <w:tabs>
                <w:tab w:val="decimal" w:pos="1872"/>
              </w:tabs>
              <w:spacing w:line="240" w:lineRule="auto"/>
              <w:rPr>
                <w:rFonts w:cstheme="minorHAnsi"/>
                <w:b/>
              </w:rPr>
            </w:pPr>
          </w:p>
        </w:tc>
      </w:tr>
      <w:tr w:rsidR="001C6F66" w:rsidRPr="009B546D" w14:paraId="538FF825" w14:textId="77777777" w:rsidTr="00EA2BB6">
        <w:trPr>
          <w:gridAfter w:val="1"/>
          <w:wAfter w:w="709" w:type="dxa"/>
        </w:trPr>
        <w:tc>
          <w:tcPr>
            <w:tcW w:w="6487" w:type="dxa"/>
          </w:tcPr>
          <w:p w14:paraId="3AF99A06" w14:textId="77777777" w:rsidR="001C6F66" w:rsidRPr="009B546D" w:rsidRDefault="001C6F66" w:rsidP="00F432B9">
            <w:pPr>
              <w:spacing w:line="240" w:lineRule="auto"/>
              <w:jc w:val="left"/>
              <w:rPr>
                <w:rFonts w:cstheme="minorHAnsi"/>
              </w:rPr>
            </w:pPr>
            <w:r w:rsidRPr="009B546D">
              <w:rPr>
                <w:rFonts w:cstheme="minorHAnsi"/>
              </w:rPr>
              <w:t xml:space="preserve">Income tax expense </w:t>
            </w:r>
          </w:p>
        </w:tc>
        <w:tc>
          <w:tcPr>
            <w:tcW w:w="1134" w:type="dxa"/>
            <w:vAlign w:val="bottom"/>
          </w:tcPr>
          <w:p w14:paraId="1496B744" w14:textId="77777777" w:rsidR="001C6F66" w:rsidRPr="009B546D" w:rsidRDefault="001C6F66" w:rsidP="00F432B9">
            <w:pPr>
              <w:tabs>
                <w:tab w:val="decimal" w:pos="744"/>
              </w:tabs>
              <w:spacing w:line="240" w:lineRule="auto"/>
              <w:rPr>
                <w:rFonts w:cstheme="minorHAnsi"/>
              </w:rPr>
            </w:pPr>
            <w:r w:rsidRPr="009B546D">
              <w:rPr>
                <w:rFonts w:cstheme="minorHAnsi"/>
              </w:rPr>
              <w:t>15</w:t>
            </w:r>
          </w:p>
        </w:tc>
        <w:tc>
          <w:tcPr>
            <w:tcW w:w="1559" w:type="dxa"/>
          </w:tcPr>
          <w:p w14:paraId="7501726F" w14:textId="77777777" w:rsidR="001C6F66" w:rsidRPr="009B546D" w:rsidRDefault="001C6F66" w:rsidP="00F432B9">
            <w:pPr>
              <w:tabs>
                <w:tab w:val="decimal" w:pos="1872"/>
              </w:tabs>
              <w:spacing w:line="240" w:lineRule="auto"/>
              <w:rPr>
                <w:rFonts w:cstheme="minorHAnsi"/>
              </w:rPr>
            </w:pPr>
            <w:r w:rsidRPr="009B546D">
              <w:rPr>
                <w:rFonts w:cstheme="minorHAnsi"/>
              </w:rPr>
              <w:t>(74,591)</w:t>
            </w:r>
          </w:p>
        </w:tc>
      </w:tr>
      <w:tr w:rsidR="001C6F66" w:rsidRPr="009B546D" w14:paraId="42C055C0" w14:textId="77777777" w:rsidTr="00EA2BB6">
        <w:trPr>
          <w:gridAfter w:val="1"/>
          <w:wAfter w:w="709" w:type="dxa"/>
        </w:trPr>
        <w:tc>
          <w:tcPr>
            <w:tcW w:w="6487" w:type="dxa"/>
          </w:tcPr>
          <w:p w14:paraId="552F8BF7" w14:textId="77777777" w:rsidR="001C6F66" w:rsidRPr="009B546D" w:rsidRDefault="001C6F66" w:rsidP="00F432B9">
            <w:pPr>
              <w:spacing w:line="240" w:lineRule="auto"/>
              <w:jc w:val="left"/>
              <w:rPr>
                <w:rFonts w:cstheme="minorHAnsi"/>
              </w:rPr>
            </w:pPr>
          </w:p>
        </w:tc>
        <w:tc>
          <w:tcPr>
            <w:tcW w:w="1134" w:type="dxa"/>
          </w:tcPr>
          <w:p w14:paraId="1C196B7C" w14:textId="77777777" w:rsidR="001C6F66" w:rsidRPr="009B546D" w:rsidRDefault="001C6F66" w:rsidP="00F432B9">
            <w:pPr>
              <w:tabs>
                <w:tab w:val="decimal" w:pos="744"/>
              </w:tabs>
              <w:spacing w:line="240" w:lineRule="auto"/>
              <w:rPr>
                <w:rFonts w:cstheme="minorHAnsi"/>
              </w:rPr>
            </w:pPr>
          </w:p>
        </w:tc>
        <w:tc>
          <w:tcPr>
            <w:tcW w:w="1559" w:type="dxa"/>
          </w:tcPr>
          <w:p w14:paraId="163D24FA" w14:textId="77777777" w:rsidR="001C6F66" w:rsidRPr="009B546D" w:rsidRDefault="001C6F66" w:rsidP="00F432B9">
            <w:pPr>
              <w:tabs>
                <w:tab w:val="decimal" w:pos="1872"/>
              </w:tabs>
              <w:spacing w:line="240" w:lineRule="auto"/>
              <w:rPr>
                <w:rFonts w:cstheme="minorHAnsi"/>
                <w:b/>
              </w:rPr>
            </w:pPr>
            <w:r w:rsidRPr="009B546D">
              <w:rPr>
                <w:rFonts w:cstheme="minorHAnsi"/>
              </w:rPr>
              <w:t>_________</w:t>
            </w:r>
          </w:p>
        </w:tc>
      </w:tr>
      <w:tr w:rsidR="001C6F66" w:rsidRPr="009B546D" w14:paraId="227F1151" w14:textId="77777777" w:rsidTr="00EA2BB6">
        <w:trPr>
          <w:gridAfter w:val="1"/>
          <w:wAfter w:w="709" w:type="dxa"/>
        </w:trPr>
        <w:tc>
          <w:tcPr>
            <w:tcW w:w="6487" w:type="dxa"/>
          </w:tcPr>
          <w:p w14:paraId="67A672CD" w14:textId="77777777" w:rsidR="001C6F66" w:rsidRPr="009B546D" w:rsidRDefault="001C6F66" w:rsidP="00F432B9">
            <w:pPr>
              <w:spacing w:line="240" w:lineRule="auto"/>
              <w:jc w:val="left"/>
              <w:rPr>
                <w:rFonts w:cstheme="minorHAnsi"/>
              </w:rPr>
            </w:pPr>
          </w:p>
        </w:tc>
        <w:tc>
          <w:tcPr>
            <w:tcW w:w="1134" w:type="dxa"/>
          </w:tcPr>
          <w:p w14:paraId="778F0A52" w14:textId="77777777" w:rsidR="001C6F66" w:rsidRPr="009B546D" w:rsidRDefault="001C6F66" w:rsidP="00F432B9">
            <w:pPr>
              <w:tabs>
                <w:tab w:val="decimal" w:pos="744"/>
              </w:tabs>
              <w:spacing w:line="240" w:lineRule="auto"/>
              <w:rPr>
                <w:rFonts w:cstheme="minorHAnsi"/>
              </w:rPr>
            </w:pPr>
          </w:p>
        </w:tc>
        <w:tc>
          <w:tcPr>
            <w:tcW w:w="1559" w:type="dxa"/>
          </w:tcPr>
          <w:p w14:paraId="458BE28D" w14:textId="77777777" w:rsidR="001C6F66" w:rsidRPr="009B546D" w:rsidRDefault="001C6F66" w:rsidP="00F432B9">
            <w:pPr>
              <w:tabs>
                <w:tab w:val="decimal" w:pos="1872"/>
              </w:tabs>
              <w:spacing w:line="240" w:lineRule="auto"/>
              <w:rPr>
                <w:rFonts w:cstheme="minorHAnsi"/>
                <w:b/>
              </w:rPr>
            </w:pPr>
          </w:p>
        </w:tc>
      </w:tr>
      <w:tr w:rsidR="001C6F66" w:rsidRPr="009B546D" w14:paraId="4A26C02E" w14:textId="77777777" w:rsidTr="00EA2BB6">
        <w:trPr>
          <w:gridAfter w:val="1"/>
          <w:wAfter w:w="709" w:type="dxa"/>
        </w:trPr>
        <w:tc>
          <w:tcPr>
            <w:tcW w:w="6487" w:type="dxa"/>
          </w:tcPr>
          <w:p w14:paraId="7FC81EF2" w14:textId="77777777" w:rsidR="001C6F66" w:rsidRPr="009B546D" w:rsidRDefault="001C6F66" w:rsidP="00F432B9">
            <w:pPr>
              <w:spacing w:line="240" w:lineRule="auto"/>
              <w:jc w:val="left"/>
              <w:rPr>
                <w:rFonts w:cstheme="minorHAnsi"/>
              </w:rPr>
            </w:pPr>
            <w:r w:rsidRPr="009B546D">
              <w:rPr>
                <w:rFonts w:cstheme="minorHAnsi"/>
                <w:b/>
              </w:rPr>
              <w:t>Profit after tax</w:t>
            </w:r>
          </w:p>
        </w:tc>
        <w:tc>
          <w:tcPr>
            <w:tcW w:w="1134" w:type="dxa"/>
            <w:vAlign w:val="bottom"/>
          </w:tcPr>
          <w:p w14:paraId="3B5837E7" w14:textId="77777777" w:rsidR="001C6F66" w:rsidRPr="009B546D" w:rsidRDefault="001C6F66" w:rsidP="00F432B9">
            <w:pPr>
              <w:tabs>
                <w:tab w:val="decimal" w:pos="744"/>
              </w:tabs>
              <w:spacing w:line="240" w:lineRule="auto"/>
              <w:rPr>
                <w:rFonts w:cstheme="minorHAnsi"/>
              </w:rPr>
            </w:pPr>
          </w:p>
        </w:tc>
        <w:tc>
          <w:tcPr>
            <w:tcW w:w="1559" w:type="dxa"/>
          </w:tcPr>
          <w:p w14:paraId="42657AD9" w14:textId="77777777" w:rsidR="001C6F66" w:rsidRPr="00EA2BB6" w:rsidRDefault="001C6F66" w:rsidP="00F432B9">
            <w:pPr>
              <w:tabs>
                <w:tab w:val="decimal" w:pos="1872"/>
              </w:tabs>
              <w:spacing w:line="240" w:lineRule="auto"/>
              <w:rPr>
                <w:rFonts w:cstheme="minorHAnsi"/>
                <w:b/>
                <w:u w:val="double"/>
              </w:rPr>
            </w:pPr>
            <w:r w:rsidRPr="00EA2BB6">
              <w:rPr>
                <w:rFonts w:cstheme="minorHAnsi"/>
                <w:b/>
                <w:color w:val="0D0D0D" w:themeColor="text1" w:themeTint="F2"/>
                <w:u w:val="double"/>
              </w:rPr>
              <w:t>429,461</w:t>
            </w:r>
          </w:p>
        </w:tc>
      </w:tr>
      <w:tr w:rsidR="001C6F66" w:rsidRPr="009B546D" w14:paraId="228DE494" w14:textId="77777777" w:rsidTr="007C0902">
        <w:tc>
          <w:tcPr>
            <w:tcW w:w="6487" w:type="dxa"/>
          </w:tcPr>
          <w:p w14:paraId="4BA78D63" w14:textId="77777777" w:rsidR="001C6F66" w:rsidRPr="009B546D" w:rsidRDefault="001C6F66" w:rsidP="00F432B9">
            <w:pPr>
              <w:spacing w:line="240" w:lineRule="auto"/>
              <w:jc w:val="left"/>
              <w:rPr>
                <w:rFonts w:cstheme="minorHAnsi"/>
              </w:rPr>
            </w:pPr>
          </w:p>
        </w:tc>
        <w:tc>
          <w:tcPr>
            <w:tcW w:w="1134" w:type="dxa"/>
            <w:vAlign w:val="bottom"/>
          </w:tcPr>
          <w:p w14:paraId="75E7DF49" w14:textId="77777777" w:rsidR="001C6F66" w:rsidRPr="009B546D" w:rsidRDefault="001C6F66" w:rsidP="00F432B9">
            <w:pPr>
              <w:tabs>
                <w:tab w:val="decimal" w:pos="744"/>
              </w:tabs>
              <w:spacing w:line="240" w:lineRule="auto"/>
              <w:rPr>
                <w:rFonts w:cstheme="minorHAnsi"/>
              </w:rPr>
            </w:pPr>
          </w:p>
        </w:tc>
        <w:tc>
          <w:tcPr>
            <w:tcW w:w="2268" w:type="dxa"/>
            <w:gridSpan w:val="2"/>
          </w:tcPr>
          <w:p w14:paraId="5B6DE8EE" w14:textId="77777777" w:rsidR="001C6F66" w:rsidRPr="009B546D" w:rsidRDefault="001C6F66" w:rsidP="00F432B9">
            <w:pPr>
              <w:tabs>
                <w:tab w:val="decimal" w:pos="1872"/>
              </w:tabs>
              <w:spacing w:line="240" w:lineRule="auto"/>
              <w:rPr>
                <w:rFonts w:cstheme="minorHAnsi"/>
              </w:rPr>
            </w:pPr>
          </w:p>
        </w:tc>
      </w:tr>
      <w:tr w:rsidR="001C6F66" w:rsidRPr="009B546D" w14:paraId="2EFBA81E" w14:textId="77777777" w:rsidTr="007C0902">
        <w:tc>
          <w:tcPr>
            <w:tcW w:w="6487" w:type="dxa"/>
          </w:tcPr>
          <w:p w14:paraId="3886CDBE" w14:textId="77777777" w:rsidR="001C6F66" w:rsidRPr="009B546D" w:rsidRDefault="001C6F66" w:rsidP="00F432B9">
            <w:pPr>
              <w:spacing w:line="240" w:lineRule="auto"/>
              <w:jc w:val="left"/>
              <w:rPr>
                <w:rFonts w:cstheme="minorHAnsi"/>
              </w:rPr>
            </w:pPr>
            <w:r w:rsidRPr="009B546D">
              <w:rPr>
                <w:rFonts w:cstheme="minorHAnsi"/>
              </w:rPr>
              <w:t>There was no other comprehensive income for the financial period.</w:t>
            </w:r>
          </w:p>
        </w:tc>
        <w:tc>
          <w:tcPr>
            <w:tcW w:w="1134" w:type="dxa"/>
            <w:vAlign w:val="bottom"/>
          </w:tcPr>
          <w:p w14:paraId="268FD2E8" w14:textId="77777777" w:rsidR="001C6F66" w:rsidRPr="009B546D" w:rsidRDefault="001C6F66" w:rsidP="00F432B9">
            <w:pPr>
              <w:tabs>
                <w:tab w:val="decimal" w:pos="744"/>
              </w:tabs>
              <w:spacing w:line="240" w:lineRule="auto"/>
              <w:rPr>
                <w:rFonts w:cstheme="minorHAnsi"/>
              </w:rPr>
            </w:pPr>
          </w:p>
        </w:tc>
        <w:tc>
          <w:tcPr>
            <w:tcW w:w="2268" w:type="dxa"/>
            <w:gridSpan w:val="2"/>
          </w:tcPr>
          <w:p w14:paraId="769AE2CC" w14:textId="77777777" w:rsidR="001C6F66" w:rsidRPr="009B546D" w:rsidRDefault="001C6F66" w:rsidP="00F432B9">
            <w:pPr>
              <w:tabs>
                <w:tab w:val="decimal" w:pos="1872"/>
              </w:tabs>
              <w:spacing w:line="240" w:lineRule="auto"/>
              <w:rPr>
                <w:rFonts w:cstheme="minorHAnsi"/>
                <w:b/>
              </w:rPr>
            </w:pPr>
          </w:p>
        </w:tc>
      </w:tr>
    </w:tbl>
    <w:p w14:paraId="076D520E" w14:textId="77777777" w:rsidR="001C6F66" w:rsidRPr="009B546D" w:rsidRDefault="001C6F66" w:rsidP="00F432B9">
      <w:pPr>
        <w:spacing w:line="240" w:lineRule="auto"/>
        <w:jc w:val="left"/>
        <w:rPr>
          <w:rFonts w:cstheme="minorHAnsi"/>
          <w:b/>
        </w:rPr>
      </w:pPr>
      <w:r w:rsidRPr="009B546D">
        <w:rPr>
          <w:rFonts w:cstheme="minorHAnsi"/>
          <w:b/>
        </w:rPr>
        <w:br w:type="page"/>
      </w:r>
    </w:p>
    <w:p w14:paraId="07F19DAF" w14:textId="77777777" w:rsidR="001C6F66" w:rsidRPr="009B546D" w:rsidRDefault="001C6F66" w:rsidP="00F432B9">
      <w:pPr>
        <w:tabs>
          <w:tab w:val="decimal" w:pos="4253"/>
          <w:tab w:val="decimal" w:pos="5670"/>
          <w:tab w:val="decimal" w:pos="7088"/>
          <w:tab w:val="decimal" w:pos="8505"/>
          <w:tab w:val="decimal" w:pos="9923"/>
        </w:tabs>
        <w:spacing w:line="240" w:lineRule="auto"/>
        <w:rPr>
          <w:rFonts w:cstheme="minorHAnsi"/>
          <w:b/>
        </w:rPr>
      </w:pPr>
      <w:r w:rsidRPr="009B546D">
        <w:rPr>
          <w:rFonts w:cstheme="minorHAnsi"/>
          <w:b/>
        </w:rPr>
        <w:lastRenderedPageBreak/>
        <w:t>Statement of financial position</w:t>
      </w:r>
    </w:p>
    <w:p w14:paraId="5B3AF7B2" w14:textId="77777777" w:rsidR="001C6F66" w:rsidRPr="009B546D" w:rsidRDefault="001C6F66" w:rsidP="00F432B9">
      <w:pPr>
        <w:tabs>
          <w:tab w:val="decimal" w:pos="4253"/>
          <w:tab w:val="decimal" w:pos="5670"/>
          <w:tab w:val="decimal" w:pos="7088"/>
          <w:tab w:val="decimal" w:pos="8505"/>
          <w:tab w:val="decimal" w:pos="9923"/>
        </w:tabs>
        <w:spacing w:line="240" w:lineRule="auto"/>
        <w:rPr>
          <w:rFonts w:cstheme="minorHAnsi"/>
        </w:rPr>
      </w:pPr>
      <w:r w:rsidRPr="009B546D">
        <w:rPr>
          <w:rFonts w:cstheme="minorHAnsi"/>
          <w:b/>
        </w:rPr>
        <w:t>At 30 April 2019</w:t>
      </w:r>
    </w:p>
    <w:p w14:paraId="003D5F8E" w14:textId="77777777" w:rsidR="001C6F66" w:rsidRPr="009B546D" w:rsidRDefault="001C6F66" w:rsidP="00F432B9">
      <w:pPr>
        <w:pBdr>
          <w:bottom w:val="single" w:sz="6" w:space="1" w:color="auto"/>
        </w:pBdr>
        <w:spacing w:line="240" w:lineRule="auto"/>
        <w:jc w:val="right"/>
        <w:rPr>
          <w:rFonts w:cstheme="minorHAnsi"/>
        </w:rPr>
      </w:pPr>
    </w:p>
    <w:p w14:paraId="4D876FAD" w14:textId="77777777" w:rsidR="001C6F66" w:rsidRPr="009B546D" w:rsidRDefault="001C6F66" w:rsidP="00F432B9">
      <w:pPr>
        <w:tabs>
          <w:tab w:val="decimal" w:pos="4253"/>
          <w:tab w:val="decimal" w:pos="5670"/>
          <w:tab w:val="decimal" w:pos="7088"/>
          <w:tab w:val="decimal" w:pos="8505"/>
          <w:tab w:val="decimal" w:pos="9923"/>
        </w:tabs>
        <w:spacing w:after="0" w:line="240" w:lineRule="auto"/>
        <w:rPr>
          <w:rFonts w:cstheme="minorHAnsi"/>
          <w:b/>
        </w:rPr>
      </w:pPr>
    </w:p>
    <w:p w14:paraId="3BD51E52" w14:textId="77777777" w:rsidR="001C6F66" w:rsidRPr="009B546D" w:rsidRDefault="001C6F66" w:rsidP="00F432B9">
      <w:pPr>
        <w:spacing w:after="0" w:line="240" w:lineRule="auto"/>
        <w:rPr>
          <w:rFonts w:cstheme="minorHAnsi"/>
          <w:b/>
        </w:rPr>
      </w:pPr>
    </w:p>
    <w:tbl>
      <w:tblPr>
        <w:tblW w:w="9322" w:type="dxa"/>
        <w:tblInd w:w="-108" w:type="dxa"/>
        <w:tblLayout w:type="fixed"/>
        <w:tblLook w:val="0000" w:firstRow="0" w:lastRow="0" w:firstColumn="0" w:lastColumn="0" w:noHBand="0" w:noVBand="0"/>
      </w:tblPr>
      <w:tblGrid>
        <w:gridCol w:w="5778"/>
        <w:gridCol w:w="851"/>
        <w:gridCol w:w="1559"/>
        <w:gridCol w:w="1134"/>
      </w:tblGrid>
      <w:tr w:rsidR="001902F4" w:rsidRPr="009B546D" w14:paraId="4D2EEFD3" w14:textId="77777777" w:rsidTr="00EA2BB6">
        <w:tc>
          <w:tcPr>
            <w:tcW w:w="5778" w:type="dxa"/>
            <w:shd w:val="clear" w:color="auto" w:fill="auto"/>
          </w:tcPr>
          <w:p w14:paraId="6608C6D4" w14:textId="77777777" w:rsidR="001902F4" w:rsidRPr="009B546D" w:rsidRDefault="001902F4" w:rsidP="004A12EB">
            <w:pPr>
              <w:spacing w:after="0" w:line="240" w:lineRule="auto"/>
              <w:jc w:val="left"/>
              <w:rPr>
                <w:rFonts w:cstheme="minorHAnsi"/>
                <w:i/>
              </w:rPr>
            </w:pPr>
          </w:p>
        </w:tc>
        <w:tc>
          <w:tcPr>
            <w:tcW w:w="851" w:type="dxa"/>
            <w:shd w:val="clear" w:color="auto" w:fill="auto"/>
          </w:tcPr>
          <w:p w14:paraId="79C09D1C" w14:textId="77777777" w:rsidR="001902F4" w:rsidRPr="009B546D" w:rsidRDefault="001902F4" w:rsidP="004A12EB">
            <w:pPr>
              <w:tabs>
                <w:tab w:val="decimal" w:pos="497"/>
              </w:tabs>
              <w:spacing w:after="0" w:line="240" w:lineRule="auto"/>
              <w:jc w:val="left"/>
              <w:rPr>
                <w:rFonts w:cstheme="minorHAnsi"/>
                <w:b/>
              </w:rPr>
            </w:pPr>
            <w:r w:rsidRPr="009B546D">
              <w:rPr>
                <w:rFonts w:cstheme="minorHAnsi"/>
                <w:b/>
              </w:rPr>
              <w:t>Note</w:t>
            </w:r>
          </w:p>
        </w:tc>
        <w:tc>
          <w:tcPr>
            <w:tcW w:w="1559" w:type="dxa"/>
            <w:shd w:val="clear" w:color="auto" w:fill="auto"/>
          </w:tcPr>
          <w:p w14:paraId="6D58432A" w14:textId="77777777" w:rsidR="001902F4" w:rsidRPr="009B546D" w:rsidRDefault="001902F4" w:rsidP="004A12EB">
            <w:pPr>
              <w:tabs>
                <w:tab w:val="decimal" w:pos="1173"/>
              </w:tabs>
              <w:spacing w:after="0" w:line="240" w:lineRule="auto"/>
              <w:rPr>
                <w:rFonts w:cstheme="minorHAnsi"/>
                <w:b/>
              </w:rPr>
            </w:pPr>
            <w:r w:rsidRPr="009B546D">
              <w:rPr>
                <w:rFonts w:cstheme="minorHAnsi"/>
                <w:b/>
              </w:rPr>
              <w:t>RM</w:t>
            </w:r>
          </w:p>
        </w:tc>
        <w:tc>
          <w:tcPr>
            <w:tcW w:w="1134" w:type="dxa"/>
            <w:shd w:val="clear" w:color="auto" w:fill="auto"/>
          </w:tcPr>
          <w:p w14:paraId="6E15962B" w14:textId="77777777" w:rsidR="001902F4" w:rsidRPr="009B546D" w:rsidRDefault="001902F4" w:rsidP="004A12EB">
            <w:pPr>
              <w:tabs>
                <w:tab w:val="decimal" w:pos="1307"/>
              </w:tabs>
              <w:spacing w:after="0" w:line="240" w:lineRule="auto"/>
              <w:rPr>
                <w:rFonts w:cstheme="minorHAnsi"/>
                <w:b/>
              </w:rPr>
            </w:pPr>
            <w:r w:rsidRPr="009B546D">
              <w:rPr>
                <w:rFonts w:cstheme="minorHAnsi"/>
                <w:b/>
              </w:rPr>
              <w:t>RM</w:t>
            </w:r>
          </w:p>
        </w:tc>
      </w:tr>
      <w:tr w:rsidR="001902F4" w:rsidRPr="009B546D" w14:paraId="64F9C6B6" w14:textId="77777777" w:rsidTr="00EA2BB6">
        <w:tc>
          <w:tcPr>
            <w:tcW w:w="5778" w:type="dxa"/>
            <w:shd w:val="clear" w:color="auto" w:fill="auto"/>
          </w:tcPr>
          <w:p w14:paraId="1CB34367" w14:textId="77777777" w:rsidR="001902F4" w:rsidRPr="009B546D" w:rsidRDefault="001902F4" w:rsidP="004A12EB">
            <w:pPr>
              <w:spacing w:after="0" w:line="240" w:lineRule="auto"/>
              <w:jc w:val="left"/>
              <w:rPr>
                <w:rFonts w:cstheme="minorHAnsi"/>
              </w:rPr>
            </w:pPr>
          </w:p>
        </w:tc>
        <w:tc>
          <w:tcPr>
            <w:tcW w:w="851" w:type="dxa"/>
            <w:shd w:val="clear" w:color="auto" w:fill="auto"/>
          </w:tcPr>
          <w:p w14:paraId="242D806A" w14:textId="77777777" w:rsidR="001902F4" w:rsidRPr="009B546D" w:rsidRDefault="001902F4" w:rsidP="004A12EB">
            <w:pPr>
              <w:tabs>
                <w:tab w:val="decimal" w:pos="497"/>
              </w:tabs>
              <w:spacing w:after="0" w:line="240" w:lineRule="auto"/>
              <w:jc w:val="left"/>
              <w:rPr>
                <w:rFonts w:cstheme="minorHAnsi"/>
                <w:b/>
              </w:rPr>
            </w:pPr>
          </w:p>
        </w:tc>
        <w:tc>
          <w:tcPr>
            <w:tcW w:w="1559" w:type="dxa"/>
            <w:shd w:val="clear" w:color="auto" w:fill="auto"/>
          </w:tcPr>
          <w:p w14:paraId="00A42C9E"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35504F2A" w14:textId="77777777" w:rsidR="001902F4" w:rsidRPr="009B546D" w:rsidRDefault="001902F4" w:rsidP="004A12EB">
            <w:pPr>
              <w:tabs>
                <w:tab w:val="decimal" w:pos="1307"/>
              </w:tabs>
              <w:spacing w:after="0" w:line="240" w:lineRule="auto"/>
              <w:rPr>
                <w:rFonts w:cstheme="minorHAnsi"/>
                <w:b/>
              </w:rPr>
            </w:pPr>
          </w:p>
        </w:tc>
      </w:tr>
      <w:tr w:rsidR="001902F4" w:rsidRPr="009B546D" w14:paraId="2877B8E5" w14:textId="77777777" w:rsidTr="00EA2BB6">
        <w:tc>
          <w:tcPr>
            <w:tcW w:w="5778" w:type="dxa"/>
            <w:shd w:val="clear" w:color="auto" w:fill="auto"/>
          </w:tcPr>
          <w:p w14:paraId="5D493242" w14:textId="77777777" w:rsidR="001902F4" w:rsidRPr="009B546D" w:rsidRDefault="001902F4" w:rsidP="004A12EB">
            <w:pPr>
              <w:spacing w:after="0" w:line="240" w:lineRule="auto"/>
              <w:jc w:val="left"/>
              <w:rPr>
                <w:rFonts w:cstheme="minorHAnsi"/>
                <w:b/>
              </w:rPr>
            </w:pPr>
            <w:r w:rsidRPr="009B546D">
              <w:rPr>
                <w:rFonts w:cstheme="minorHAnsi"/>
                <w:b/>
              </w:rPr>
              <w:t>Non-current assets</w:t>
            </w:r>
          </w:p>
        </w:tc>
        <w:tc>
          <w:tcPr>
            <w:tcW w:w="851" w:type="dxa"/>
            <w:shd w:val="clear" w:color="auto" w:fill="auto"/>
          </w:tcPr>
          <w:p w14:paraId="5C19F2FA" w14:textId="77777777" w:rsidR="001902F4" w:rsidRPr="009B546D" w:rsidRDefault="001902F4" w:rsidP="004A12EB">
            <w:pPr>
              <w:tabs>
                <w:tab w:val="decimal" w:pos="497"/>
              </w:tabs>
              <w:spacing w:after="0" w:line="240" w:lineRule="auto"/>
              <w:jc w:val="left"/>
              <w:rPr>
                <w:rFonts w:cstheme="minorHAnsi"/>
              </w:rPr>
            </w:pPr>
          </w:p>
        </w:tc>
        <w:tc>
          <w:tcPr>
            <w:tcW w:w="1559" w:type="dxa"/>
            <w:shd w:val="clear" w:color="auto" w:fill="auto"/>
          </w:tcPr>
          <w:p w14:paraId="6A8B5B53"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7F3B7EAD" w14:textId="77777777" w:rsidR="001902F4" w:rsidRPr="009B546D" w:rsidRDefault="001902F4" w:rsidP="004A12EB">
            <w:pPr>
              <w:tabs>
                <w:tab w:val="decimal" w:pos="1307"/>
              </w:tabs>
              <w:spacing w:after="0" w:line="240" w:lineRule="auto"/>
              <w:rPr>
                <w:rFonts w:cstheme="minorHAnsi"/>
                <w:b/>
              </w:rPr>
            </w:pPr>
          </w:p>
        </w:tc>
      </w:tr>
      <w:tr w:rsidR="001902F4" w:rsidRPr="009B546D" w14:paraId="514C5DFB" w14:textId="77777777" w:rsidTr="00EA2BB6">
        <w:tc>
          <w:tcPr>
            <w:tcW w:w="5778" w:type="dxa"/>
            <w:shd w:val="clear" w:color="auto" w:fill="auto"/>
          </w:tcPr>
          <w:p w14:paraId="13FD0163" w14:textId="77777777" w:rsidR="001902F4" w:rsidRPr="009B546D" w:rsidRDefault="001902F4" w:rsidP="004A12EB">
            <w:pPr>
              <w:spacing w:after="0" w:line="240" w:lineRule="auto"/>
              <w:jc w:val="left"/>
              <w:rPr>
                <w:rFonts w:cstheme="minorHAnsi"/>
              </w:rPr>
            </w:pPr>
            <w:r w:rsidRPr="009B546D">
              <w:rPr>
                <w:rFonts w:cstheme="minorHAnsi"/>
              </w:rPr>
              <w:t>Plant and equipment</w:t>
            </w:r>
          </w:p>
        </w:tc>
        <w:tc>
          <w:tcPr>
            <w:tcW w:w="851" w:type="dxa"/>
            <w:shd w:val="clear" w:color="auto" w:fill="auto"/>
          </w:tcPr>
          <w:p w14:paraId="6C2ADE6C" w14:textId="77777777" w:rsidR="001902F4" w:rsidRPr="009B546D" w:rsidRDefault="001902F4" w:rsidP="004A12EB">
            <w:pPr>
              <w:tabs>
                <w:tab w:val="decimal" w:pos="497"/>
              </w:tabs>
              <w:spacing w:after="0" w:line="240" w:lineRule="auto"/>
              <w:jc w:val="left"/>
              <w:rPr>
                <w:rFonts w:cstheme="minorHAnsi"/>
              </w:rPr>
            </w:pPr>
            <w:r w:rsidRPr="009B546D">
              <w:rPr>
                <w:rFonts w:cstheme="minorHAnsi"/>
              </w:rPr>
              <w:t>6</w:t>
            </w:r>
          </w:p>
        </w:tc>
        <w:tc>
          <w:tcPr>
            <w:tcW w:w="1559" w:type="dxa"/>
            <w:shd w:val="clear" w:color="auto" w:fill="auto"/>
          </w:tcPr>
          <w:p w14:paraId="43A3BC90" w14:textId="77777777" w:rsidR="001902F4" w:rsidRPr="009B546D" w:rsidRDefault="001902F4" w:rsidP="004A12EB">
            <w:pPr>
              <w:tabs>
                <w:tab w:val="decimal" w:pos="1173"/>
              </w:tabs>
              <w:spacing w:after="0" w:line="240" w:lineRule="auto"/>
              <w:rPr>
                <w:rFonts w:cstheme="minorHAnsi"/>
              </w:rPr>
            </w:pPr>
          </w:p>
        </w:tc>
        <w:tc>
          <w:tcPr>
            <w:tcW w:w="1134" w:type="dxa"/>
            <w:shd w:val="clear" w:color="auto" w:fill="auto"/>
          </w:tcPr>
          <w:p w14:paraId="7B85A65E" w14:textId="77777777" w:rsidR="001902F4" w:rsidRPr="009B546D" w:rsidRDefault="001902F4" w:rsidP="004A12EB">
            <w:pPr>
              <w:tabs>
                <w:tab w:val="decimal" w:pos="1307"/>
              </w:tabs>
              <w:spacing w:after="0" w:line="240" w:lineRule="auto"/>
              <w:rPr>
                <w:rFonts w:cstheme="minorHAnsi"/>
              </w:rPr>
            </w:pPr>
            <w:r w:rsidRPr="009B546D">
              <w:rPr>
                <w:rFonts w:cstheme="minorHAnsi"/>
              </w:rPr>
              <w:t>57,478</w:t>
            </w:r>
          </w:p>
        </w:tc>
      </w:tr>
      <w:tr w:rsidR="001902F4" w:rsidRPr="009B546D" w14:paraId="29CD3FCC" w14:textId="77777777" w:rsidTr="00EA2BB6">
        <w:tc>
          <w:tcPr>
            <w:tcW w:w="5778" w:type="dxa"/>
            <w:shd w:val="clear" w:color="auto" w:fill="auto"/>
          </w:tcPr>
          <w:p w14:paraId="79BE4D82" w14:textId="77777777" w:rsidR="001902F4" w:rsidRPr="009B546D" w:rsidRDefault="001902F4" w:rsidP="004A12EB">
            <w:pPr>
              <w:spacing w:after="0" w:line="240" w:lineRule="auto"/>
              <w:jc w:val="left"/>
              <w:rPr>
                <w:rFonts w:cstheme="minorHAnsi"/>
              </w:rPr>
            </w:pPr>
            <w:r w:rsidRPr="009B546D">
              <w:rPr>
                <w:rFonts w:cstheme="minorHAnsi"/>
              </w:rPr>
              <w:t>Intangible assets</w:t>
            </w:r>
          </w:p>
        </w:tc>
        <w:tc>
          <w:tcPr>
            <w:tcW w:w="851" w:type="dxa"/>
            <w:shd w:val="clear" w:color="auto" w:fill="auto"/>
          </w:tcPr>
          <w:p w14:paraId="14B06093" w14:textId="77777777" w:rsidR="001902F4" w:rsidRPr="009B546D" w:rsidRDefault="001902F4" w:rsidP="004A12EB">
            <w:pPr>
              <w:tabs>
                <w:tab w:val="decimal" w:pos="497"/>
              </w:tabs>
              <w:spacing w:after="0" w:line="240" w:lineRule="auto"/>
              <w:jc w:val="left"/>
              <w:rPr>
                <w:rFonts w:cstheme="minorHAnsi"/>
              </w:rPr>
            </w:pPr>
            <w:r w:rsidRPr="009B546D">
              <w:rPr>
                <w:rFonts w:cstheme="minorHAnsi"/>
              </w:rPr>
              <w:t>7</w:t>
            </w:r>
          </w:p>
        </w:tc>
        <w:tc>
          <w:tcPr>
            <w:tcW w:w="1559" w:type="dxa"/>
            <w:shd w:val="clear" w:color="auto" w:fill="auto"/>
          </w:tcPr>
          <w:p w14:paraId="4D75B40E"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37894FF5" w14:textId="77777777" w:rsidR="001902F4" w:rsidRPr="009B546D" w:rsidRDefault="001902F4" w:rsidP="004A12EB">
            <w:pPr>
              <w:tabs>
                <w:tab w:val="decimal" w:pos="1307"/>
              </w:tabs>
              <w:spacing w:after="0" w:line="240" w:lineRule="auto"/>
              <w:rPr>
                <w:rFonts w:cstheme="minorHAnsi"/>
              </w:rPr>
            </w:pPr>
            <w:r w:rsidRPr="009B546D">
              <w:rPr>
                <w:rFonts w:cstheme="minorHAnsi"/>
              </w:rPr>
              <w:t>260,682</w:t>
            </w:r>
          </w:p>
        </w:tc>
      </w:tr>
      <w:tr w:rsidR="001902F4" w:rsidRPr="009B546D" w14:paraId="7D744706" w14:textId="77777777" w:rsidTr="00EA2BB6">
        <w:tc>
          <w:tcPr>
            <w:tcW w:w="5778" w:type="dxa"/>
            <w:shd w:val="clear" w:color="auto" w:fill="auto"/>
          </w:tcPr>
          <w:p w14:paraId="42154E20" w14:textId="77777777" w:rsidR="001902F4" w:rsidRPr="009B546D" w:rsidRDefault="001902F4" w:rsidP="004A12EB">
            <w:pPr>
              <w:spacing w:after="0" w:line="240" w:lineRule="auto"/>
              <w:jc w:val="left"/>
              <w:rPr>
                <w:rFonts w:cstheme="minorHAnsi"/>
                <w:b/>
              </w:rPr>
            </w:pPr>
          </w:p>
        </w:tc>
        <w:tc>
          <w:tcPr>
            <w:tcW w:w="851" w:type="dxa"/>
            <w:shd w:val="clear" w:color="auto" w:fill="auto"/>
          </w:tcPr>
          <w:p w14:paraId="4662F35F" w14:textId="77777777" w:rsidR="001902F4" w:rsidRPr="009B546D" w:rsidRDefault="001902F4" w:rsidP="004A12EB">
            <w:pPr>
              <w:tabs>
                <w:tab w:val="decimal" w:pos="497"/>
              </w:tabs>
              <w:spacing w:after="0" w:line="240" w:lineRule="auto"/>
              <w:jc w:val="left"/>
              <w:rPr>
                <w:rFonts w:cstheme="minorHAnsi"/>
              </w:rPr>
            </w:pPr>
          </w:p>
        </w:tc>
        <w:tc>
          <w:tcPr>
            <w:tcW w:w="1559" w:type="dxa"/>
            <w:shd w:val="clear" w:color="auto" w:fill="auto"/>
          </w:tcPr>
          <w:p w14:paraId="5D1F63DE"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18472C1E" w14:textId="77777777" w:rsidR="001902F4" w:rsidRPr="009B546D" w:rsidRDefault="001902F4" w:rsidP="004A12EB">
            <w:pPr>
              <w:tabs>
                <w:tab w:val="decimal" w:pos="1307"/>
              </w:tabs>
              <w:spacing w:after="0" w:line="240" w:lineRule="auto"/>
              <w:rPr>
                <w:rFonts w:cstheme="minorHAnsi"/>
                <w:b/>
              </w:rPr>
            </w:pPr>
            <w:r w:rsidRPr="009B546D">
              <w:rPr>
                <w:rFonts w:cstheme="minorHAnsi"/>
              </w:rPr>
              <w:t>_________</w:t>
            </w:r>
          </w:p>
        </w:tc>
      </w:tr>
      <w:tr w:rsidR="001902F4" w:rsidRPr="009B546D" w14:paraId="36381A31" w14:textId="77777777" w:rsidTr="00EA2BB6">
        <w:tc>
          <w:tcPr>
            <w:tcW w:w="5778" w:type="dxa"/>
            <w:shd w:val="clear" w:color="auto" w:fill="auto"/>
          </w:tcPr>
          <w:p w14:paraId="70D59FFF" w14:textId="77777777" w:rsidR="001902F4" w:rsidRPr="009B546D" w:rsidRDefault="001902F4" w:rsidP="004A12EB">
            <w:pPr>
              <w:spacing w:after="0" w:line="240" w:lineRule="auto"/>
              <w:jc w:val="left"/>
              <w:rPr>
                <w:rFonts w:cstheme="minorHAnsi"/>
                <w:b/>
              </w:rPr>
            </w:pPr>
          </w:p>
        </w:tc>
        <w:tc>
          <w:tcPr>
            <w:tcW w:w="851" w:type="dxa"/>
            <w:shd w:val="clear" w:color="auto" w:fill="auto"/>
          </w:tcPr>
          <w:p w14:paraId="4E67EC5A" w14:textId="77777777" w:rsidR="001902F4" w:rsidRPr="009B546D" w:rsidRDefault="001902F4" w:rsidP="004A12EB">
            <w:pPr>
              <w:tabs>
                <w:tab w:val="decimal" w:pos="497"/>
              </w:tabs>
              <w:spacing w:after="0" w:line="240" w:lineRule="auto"/>
              <w:jc w:val="left"/>
              <w:rPr>
                <w:rFonts w:cstheme="minorHAnsi"/>
              </w:rPr>
            </w:pPr>
          </w:p>
        </w:tc>
        <w:tc>
          <w:tcPr>
            <w:tcW w:w="1559" w:type="dxa"/>
            <w:shd w:val="clear" w:color="auto" w:fill="auto"/>
          </w:tcPr>
          <w:p w14:paraId="03E31623"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39D4DD3C" w14:textId="77777777" w:rsidR="001902F4" w:rsidRPr="009B546D" w:rsidRDefault="001902F4" w:rsidP="004A12EB">
            <w:pPr>
              <w:tabs>
                <w:tab w:val="decimal" w:pos="1307"/>
              </w:tabs>
              <w:spacing w:after="0" w:line="240" w:lineRule="auto"/>
              <w:rPr>
                <w:rFonts w:cstheme="minorHAnsi"/>
                <w:b/>
              </w:rPr>
            </w:pPr>
          </w:p>
        </w:tc>
      </w:tr>
      <w:tr w:rsidR="001902F4" w:rsidRPr="009B546D" w14:paraId="06B965F5" w14:textId="77777777" w:rsidTr="00EA2BB6">
        <w:tc>
          <w:tcPr>
            <w:tcW w:w="5778" w:type="dxa"/>
            <w:shd w:val="clear" w:color="auto" w:fill="auto"/>
          </w:tcPr>
          <w:p w14:paraId="2151AA03" w14:textId="77777777" w:rsidR="001902F4" w:rsidRPr="009B546D" w:rsidRDefault="001902F4" w:rsidP="004A12EB">
            <w:pPr>
              <w:spacing w:after="0" w:line="240" w:lineRule="auto"/>
              <w:jc w:val="left"/>
              <w:rPr>
                <w:rFonts w:cstheme="minorHAnsi"/>
                <w:b/>
              </w:rPr>
            </w:pPr>
          </w:p>
        </w:tc>
        <w:tc>
          <w:tcPr>
            <w:tcW w:w="851" w:type="dxa"/>
            <w:shd w:val="clear" w:color="auto" w:fill="auto"/>
          </w:tcPr>
          <w:p w14:paraId="54F3F142" w14:textId="77777777" w:rsidR="001902F4" w:rsidRPr="009B546D" w:rsidRDefault="001902F4" w:rsidP="004A12EB">
            <w:pPr>
              <w:tabs>
                <w:tab w:val="decimal" w:pos="497"/>
              </w:tabs>
              <w:spacing w:after="0" w:line="240" w:lineRule="auto"/>
              <w:jc w:val="left"/>
              <w:rPr>
                <w:rFonts w:cstheme="minorHAnsi"/>
              </w:rPr>
            </w:pPr>
          </w:p>
        </w:tc>
        <w:tc>
          <w:tcPr>
            <w:tcW w:w="1559" w:type="dxa"/>
            <w:shd w:val="clear" w:color="auto" w:fill="auto"/>
          </w:tcPr>
          <w:p w14:paraId="2D7B4559"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6D202F09" w14:textId="77777777" w:rsidR="001902F4" w:rsidRPr="009B546D" w:rsidRDefault="001902F4" w:rsidP="004A12EB">
            <w:pPr>
              <w:tabs>
                <w:tab w:val="decimal" w:pos="1307"/>
              </w:tabs>
              <w:spacing w:after="0" w:line="240" w:lineRule="auto"/>
              <w:rPr>
                <w:rFonts w:cstheme="minorHAnsi"/>
              </w:rPr>
            </w:pPr>
            <w:r w:rsidRPr="009B546D">
              <w:rPr>
                <w:rFonts w:cstheme="minorHAnsi"/>
              </w:rPr>
              <w:t>318,160</w:t>
            </w:r>
          </w:p>
        </w:tc>
      </w:tr>
      <w:tr w:rsidR="001902F4" w:rsidRPr="009B546D" w14:paraId="1B2B802B" w14:textId="77777777" w:rsidTr="00EA2BB6">
        <w:tc>
          <w:tcPr>
            <w:tcW w:w="5778" w:type="dxa"/>
            <w:shd w:val="clear" w:color="auto" w:fill="auto"/>
          </w:tcPr>
          <w:p w14:paraId="11891AE2" w14:textId="77777777" w:rsidR="001902F4" w:rsidRPr="009B546D" w:rsidRDefault="001902F4" w:rsidP="004A12EB">
            <w:pPr>
              <w:spacing w:after="0" w:line="240" w:lineRule="auto"/>
              <w:jc w:val="left"/>
              <w:rPr>
                <w:rFonts w:cstheme="minorHAnsi"/>
                <w:b/>
              </w:rPr>
            </w:pPr>
            <w:r w:rsidRPr="009B546D">
              <w:rPr>
                <w:rFonts w:cstheme="minorHAnsi"/>
                <w:b/>
              </w:rPr>
              <w:t>Current assets</w:t>
            </w:r>
          </w:p>
        </w:tc>
        <w:tc>
          <w:tcPr>
            <w:tcW w:w="851" w:type="dxa"/>
            <w:shd w:val="clear" w:color="auto" w:fill="auto"/>
          </w:tcPr>
          <w:p w14:paraId="53D91064" w14:textId="77777777" w:rsidR="001902F4" w:rsidRPr="009B546D" w:rsidRDefault="001902F4" w:rsidP="004A12EB">
            <w:pPr>
              <w:tabs>
                <w:tab w:val="decimal" w:pos="497"/>
              </w:tabs>
              <w:spacing w:after="0" w:line="240" w:lineRule="auto"/>
              <w:jc w:val="left"/>
              <w:rPr>
                <w:rFonts w:cstheme="minorHAnsi"/>
              </w:rPr>
            </w:pPr>
          </w:p>
        </w:tc>
        <w:tc>
          <w:tcPr>
            <w:tcW w:w="1559" w:type="dxa"/>
            <w:shd w:val="clear" w:color="auto" w:fill="auto"/>
          </w:tcPr>
          <w:p w14:paraId="4956A053"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1B515B62" w14:textId="77777777" w:rsidR="001902F4" w:rsidRPr="009B546D" w:rsidRDefault="001902F4" w:rsidP="004A12EB">
            <w:pPr>
              <w:tabs>
                <w:tab w:val="decimal" w:pos="1307"/>
              </w:tabs>
              <w:spacing w:after="0" w:line="240" w:lineRule="auto"/>
              <w:rPr>
                <w:rFonts w:cstheme="minorHAnsi"/>
                <w:b/>
              </w:rPr>
            </w:pPr>
          </w:p>
        </w:tc>
      </w:tr>
      <w:tr w:rsidR="001902F4" w:rsidRPr="009B546D" w14:paraId="2352CDD3" w14:textId="77777777" w:rsidTr="00EA2BB6">
        <w:tc>
          <w:tcPr>
            <w:tcW w:w="5778" w:type="dxa"/>
            <w:shd w:val="clear" w:color="auto" w:fill="auto"/>
          </w:tcPr>
          <w:p w14:paraId="6EE0A29F" w14:textId="77777777" w:rsidR="001902F4" w:rsidRPr="009B546D" w:rsidRDefault="001902F4" w:rsidP="004A12EB">
            <w:pPr>
              <w:spacing w:after="0" w:line="240" w:lineRule="auto"/>
              <w:jc w:val="left"/>
              <w:rPr>
                <w:rFonts w:cstheme="minorHAnsi"/>
              </w:rPr>
            </w:pPr>
            <w:r w:rsidRPr="009B546D">
              <w:rPr>
                <w:rFonts w:cstheme="minorHAnsi"/>
              </w:rPr>
              <w:t>Trade and other receivables</w:t>
            </w:r>
          </w:p>
        </w:tc>
        <w:tc>
          <w:tcPr>
            <w:tcW w:w="851" w:type="dxa"/>
            <w:shd w:val="clear" w:color="auto" w:fill="auto"/>
          </w:tcPr>
          <w:p w14:paraId="3ACBA606" w14:textId="77777777" w:rsidR="001902F4" w:rsidRPr="009B546D" w:rsidRDefault="001902F4" w:rsidP="004A12EB">
            <w:pPr>
              <w:tabs>
                <w:tab w:val="decimal" w:pos="497"/>
              </w:tabs>
              <w:spacing w:after="0" w:line="240" w:lineRule="auto"/>
              <w:jc w:val="left"/>
              <w:rPr>
                <w:rFonts w:cstheme="minorHAnsi"/>
              </w:rPr>
            </w:pPr>
            <w:r w:rsidRPr="009B546D">
              <w:rPr>
                <w:rFonts w:cstheme="minorHAnsi"/>
              </w:rPr>
              <w:t>8</w:t>
            </w:r>
          </w:p>
        </w:tc>
        <w:tc>
          <w:tcPr>
            <w:tcW w:w="1559" w:type="dxa"/>
            <w:shd w:val="clear" w:color="auto" w:fill="auto"/>
          </w:tcPr>
          <w:p w14:paraId="31ACFC30" w14:textId="77777777" w:rsidR="001902F4" w:rsidRPr="009B546D" w:rsidRDefault="001902F4" w:rsidP="004A12EB">
            <w:pPr>
              <w:tabs>
                <w:tab w:val="decimal" w:pos="1173"/>
              </w:tabs>
              <w:spacing w:after="0" w:line="240" w:lineRule="auto"/>
              <w:rPr>
                <w:rFonts w:cstheme="minorHAnsi"/>
              </w:rPr>
            </w:pPr>
            <w:r>
              <w:rPr>
                <w:rFonts w:cstheme="minorHAnsi"/>
              </w:rPr>
              <w:t>16</w:t>
            </w:r>
            <w:r w:rsidRPr="009B546D">
              <w:rPr>
                <w:rFonts w:cstheme="minorHAnsi"/>
              </w:rPr>
              <w:t>,500</w:t>
            </w:r>
          </w:p>
        </w:tc>
        <w:tc>
          <w:tcPr>
            <w:tcW w:w="1134" w:type="dxa"/>
            <w:shd w:val="clear" w:color="auto" w:fill="auto"/>
          </w:tcPr>
          <w:p w14:paraId="54538644" w14:textId="77777777" w:rsidR="001902F4" w:rsidRPr="009B546D" w:rsidRDefault="001902F4" w:rsidP="004A12EB">
            <w:pPr>
              <w:tabs>
                <w:tab w:val="decimal" w:pos="1307"/>
              </w:tabs>
              <w:spacing w:after="0" w:line="240" w:lineRule="auto"/>
              <w:rPr>
                <w:rFonts w:cstheme="minorHAnsi"/>
                <w:b/>
              </w:rPr>
            </w:pPr>
          </w:p>
        </w:tc>
      </w:tr>
      <w:tr w:rsidR="001902F4" w:rsidRPr="009B546D" w14:paraId="5B631B31" w14:textId="77777777" w:rsidTr="00EA2BB6">
        <w:tc>
          <w:tcPr>
            <w:tcW w:w="5778" w:type="dxa"/>
            <w:shd w:val="clear" w:color="auto" w:fill="auto"/>
          </w:tcPr>
          <w:p w14:paraId="3AAED971" w14:textId="77777777" w:rsidR="001902F4" w:rsidRPr="009B546D" w:rsidRDefault="001902F4" w:rsidP="004A12EB">
            <w:pPr>
              <w:spacing w:after="0" w:line="240" w:lineRule="auto"/>
              <w:jc w:val="left"/>
              <w:rPr>
                <w:rFonts w:cstheme="minorHAnsi"/>
              </w:rPr>
            </w:pPr>
            <w:r w:rsidRPr="009B546D">
              <w:rPr>
                <w:rFonts w:cstheme="minorHAnsi"/>
              </w:rPr>
              <w:t>Cash and cash equivalents</w:t>
            </w:r>
          </w:p>
        </w:tc>
        <w:tc>
          <w:tcPr>
            <w:tcW w:w="851" w:type="dxa"/>
            <w:shd w:val="clear" w:color="auto" w:fill="auto"/>
          </w:tcPr>
          <w:p w14:paraId="60D889F5" w14:textId="77777777" w:rsidR="001902F4" w:rsidRPr="009B546D" w:rsidRDefault="001902F4" w:rsidP="004A12EB">
            <w:pPr>
              <w:tabs>
                <w:tab w:val="decimal" w:pos="497"/>
              </w:tabs>
              <w:spacing w:after="0" w:line="240" w:lineRule="auto"/>
              <w:rPr>
                <w:rFonts w:cstheme="minorHAnsi"/>
              </w:rPr>
            </w:pPr>
            <w:r w:rsidRPr="009B546D">
              <w:rPr>
                <w:rFonts w:cstheme="minorHAnsi"/>
              </w:rPr>
              <w:t>9</w:t>
            </w:r>
          </w:p>
        </w:tc>
        <w:tc>
          <w:tcPr>
            <w:tcW w:w="1559" w:type="dxa"/>
            <w:shd w:val="clear" w:color="auto" w:fill="auto"/>
          </w:tcPr>
          <w:p w14:paraId="6E3167E6" w14:textId="77777777" w:rsidR="001902F4" w:rsidRPr="009B546D" w:rsidRDefault="001902F4" w:rsidP="004A12EB">
            <w:pPr>
              <w:tabs>
                <w:tab w:val="decimal" w:pos="1173"/>
              </w:tabs>
              <w:spacing w:after="0" w:line="240" w:lineRule="auto"/>
              <w:rPr>
                <w:rFonts w:cstheme="minorHAnsi"/>
              </w:rPr>
            </w:pPr>
            <w:r w:rsidRPr="009B546D">
              <w:rPr>
                <w:rFonts w:cstheme="minorHAnsi"/>
              </w:rPr>
              <w:t>328,563</w:t>
            </w:r>
          </w:p>
        </w:tc>
        <w:tc>
          <w:tcPr>
            <w:tcW w:w="1134" w:type="dxa"/>
            <w:shd w:val="clear" w:color="auto" w:fill="auto"/>
          </w:tcPr>
          <w:p w14:paraId="786BD1F8" w14:textId="77777777" w:rsidR="001902F4" w:rsidRPr="009B546D" w:rsidRDefault="001902F4" w:rsidP="004A12EB">
            <w:pPr>
              <w:tabs>
                <w:tab w:val="decimal" w:pos="1307"/>
              </w:tabs>
              <w:spacing w:after="0" w:line="240" w:lineRule="auto"/>
              <w:rPr>
                <w:rFonts w:cstheme="minorHAnsi"/>
              </w:rPr>
            </w:pPr>
          </w:p>
        </w:tc>
      </w:tr>
      <w:tr w:rsidR="001902F4" w:rsidRPr="009B546D" w14:paraId="1A42DBE0" w14:textId="77777777" w:rsidTr="00EA2BB6">
        <w:tc>
          <w:tcPr>
            <w:tcW w:w="5778" w:type="dxa"/>
            <w:shd w:val="clear" w:color="auto" w:fill="auto"/>
          </w:tcPr>
          <w:p w14:paraId="041709A3" w14:textId="77777777" w:rsidR="001902F4" w:rsidRPr="009B546D" w:rsidRDefault="001902F4" w:rsidP="004A12EB">
            <w:pPr>
              <w:spacing w:after="0" w:line="240" w:lineRule="auto"/>
              <w:jc w:val="left"/>
              <w:rPr>
                <w:rFonts w:cstheme="minorHAnsi"/>
              </w:rPr>
            </w:pPr>
          </w:p>
        </w:tc>
        <w:tc>
          <w:tcPr>
            <w:tcW w:w="851" w:type="dxa"/>
            <w:shd w:val="clear" w:color="auto" w:fill="auto"/>
          </w:tcPr>
          <w:p w14:paraId="02D955BC" w14:textId="77777777" w:rsidR="001902F4" w:rsidRPr="009B546D" w:rsidRDefault="001902F4" w:rsidP="004A12EB">
            <w:pPr>
              <w:tabs>
                <w:tab w:val="decimal" w:pos="497"/>
              </w:tabs>
              <w:spacing w:after="0" w:line="240" w:lineRule="auto"/>
              <w:rPr>
                <w:rFonts w:cstheme="minorHAnsi"/>
              </w:rPr>
            </w:pPr>
          </w:p>
        </w:tc>
        <w:tc>
          <w:tcPr>
            <w:tcW w:w="1559" w:type="dxa"/>
            <w:shd w:val="clear" w:color="auto" w:fill="auto"/>
          </w:tcPr>
          <w:p w14:paraId="66BAC484" w14:textId="77777777" w:rsidR="001902F4" w:rsidRPr="009B546D" w:rsidRDefault="001902F4" w:rsidP="004A12EB">
            <w:pPr>
              <w:tabs>
                <w:tab w:val="decimal" w:pos="1173"/>
              </w:tabs>
              <w:spacing w:after="0" w:line="240" w:lineRule="auto"/>
              <w:rPr>
                <w:rFonts w:cstheme="minorHAnsi"/>
                <w:b/>
              </w:rPr>
            </w:pPr>
            <w:r w:rsidRPr="009B546D">
              <w:rPr>
                <w:rFonts w:cstheme="minorHAnsi"/>
              </w:rPr>
              <w:t>_________</w:t>
            </w:r>
          </w:p>
        </w:tc>
        <w:tc>
          <w:tcPr>
            <w:tcW w:w="1134" w:type="dxa"/>
            <w:shd w:val="clear" w:color="auto" w:fill="auto"/>
          </w:tcPr>
          <w:p w14:paraId="2611F724" w14:textId="77777777" w:rsidR="001902F4" w:rsidRPr="009B546D" w:rsidRDefault="001902F4" w:rsidP="004A12EB">
            <w:pPr>
              <w:tabs>
                <w:tab w:val="decimal" w:pos="1307"/>
              </w:tabs>
              <w:spacing w:after="0" w:line="240" w:lineRule="auto"/>
              <w:rPr>
                <w:rFonts w:cstheme="minorHAnsi"/>
                <w:b/>
              </w:rPr>
            </w:pPr>
          </w:p>
        </w:tc>
      </w:tr>
      <w:tr w:rsidR="001902F4" w:rsidRPr="009B546D" w14:paraId="7D711A14" w14:textId="77777777" w:rsidTr="00EA2BB6">
        <w:tc>
          <w:tcPr>
            <w:tcW w:w="5778" w:type="dxa"/>
            <w:shd w:val="clear" w:color="auto" w:fill="auto"/>
          </w:tcPr>
          <w:p w14:paraId="11F9D1E8" w14:textId="77777777" w:rsidR="001902F4" w:rsidRPr="009B546D" w:rsidRDefault="001902F4" w:rsidP="004A12EB">
            <w:pPr>
              <w:spacing w:after="0" w:line="240" w:lineRule="auto"/>
              <w:jc w:val="left"/>
              <w:rPr>
                <w:rFonts w:cstheme="minorHAnsi"/>
              </w:rPr>
            </w:pPr>
          </w:p>
        </w:tc>
        <w:tc>
          <w:tcPr>
            <w:tcW w:w="851" w:type="dxa"/>
            <w:shd w:val="clear" w:color="auto" w:fill="auto"/>
          </w:tcPr>
          <w:p w14:paraId="37F6673B" w14:textId="77777777" w:rsidR="001902F4" w:rsidRPr="009B546D" w:rsidRDefault="001902F4" w:rsidP="004A12EB">
            <w:pPr>
              <w:tabs>
                <w:tab w:val="decimal" w:pos="497"/>
              </w:tabs>
              <w:spacing w:after="0" w:line="240" w:lineRule="auto"/>
              <w:jc w:val="left"/>
              <w:rPr>
                <w:rFonts w:cstheme="minorHAnsi"/>
              </w:rPr>
            </w:pPr>
          </w:p>
        </w:tc>
        <w:tc>
          <w:tcPr>
            <w:tcW w:w="1559" w:type="dxa"/>
            <w:shd w:val="clear" w:color="auto" w:fill="auto"/>
          </w:tcPr>
          <w:p w14:paraId="02E313E2" w14:textId="77777777" w:rsidR="001902F4" w:rsidRPr="009B546D" w:rsidRDefault="001902F4" w:rsidP="004A12EB">
            <w:pPr>
              <w:tabs>
                <w:tab w:val="decimal" w:pos="1173"/>
              </w:tabs>
              <w:spacing w:after="0" w:line="240" w:lineRule="auto"/>
              <w:rPr>
                <w:rFonts w:cstheme="minorHAnsi"/>
              </w:rPr>
            </w:pPr>
          </w:p>
        </w:tc>
        <w:tc>
          <w:tcPr>
            <w:tcW w:w="1134" w:type="dxa"/>
            <w:shd w:val="clear" w:color="auto" w:fill="auto"/>
          </w:tcPr>
          <w:p w14:paraId="5C7E8996" w14:textId="77777777" w:rsidR="001902F4" w:rsidRPr="009B546D" w:rsidRDefault="001902F4" w:rsidP="004A12EB">
            <w:pPr>
              <w:tabs>
                <w:tab w:val="decimal" w:pos="1307"/>
              </w:tabs>
              <w:spacing w:after="0" w:line="240" w:lineRule="auto"/>
              <w:rPr>
                <w:rFonts w:cstheme="minorHAnsi"/>
                <w:color w:val="0D0D0D" w:themeColor="text1" w:themeTint="F2"/>
              </w:rPr>
            </w:pPr>
            <w:r>
              <w:rPr>
                <w:rFonts w:cstheme="minorHAnsi"/>
                <w:b/>
                <w:color w:val="0D0D0D" w:themeColor="text1" w:themeTint="F2"/>
              </w:rPr>
              <w:t>345,063</w:t>
            </w:r>
          </w:p>
        </w:tc>
      </w:tr>
      <w:tr w:rsidR="001902F4" w:rsidRPr="009B546D" w14:paraId="12E47223" w14:textId="77777777" w:rsidTr="00EA2BB6">
        <w:tc>
          <w:tcPr>
            <w:tcW w:w="5778" w:type="dxa"/>
            <w:shd w:val="clear" w:color="auto" w:fill="auto"/>
          </w:tcPr>
          <w:p w14:paraId="77027942" w14:textId="77777777" w:rsidR="001902F4" w:rsidRPr="009B546D" w:rsidRDefault="001902F4" w:rsidP="004A12EB">
            <w:pPr>
              <w:spacing w:after="0" w:line="240" w:lineRule="auto"/>
              <w:jc w:val="left"/>
              <w:rPr>
                <w:rFonts w:cstheme="minorHAnsi"/>
              </w:rPr>
            </w:pPr>
          </w:p>
        </w:tc>
        <w:tc>
          <w:tcPr>
            <w:tcW w:w="851" w:type="dxa"/>
            <w:shd w:val="clear" w:color="auto" w:fill="auto"/>
          </w:tcPr>
          <w:p w14:paraId="34F2CCE4" w14:textId="77777777" w:rsidR="001902F4" w:rsidRPr="009B546D" w:rsidRDefault="001902F4" w:rsidP="004A12EB">
            <w:pPr>
              <w:tabs>
                <w:tab w:val="decimal" w:pos="497"/>
              </w:tabs>
              <w:spacing w:after="0" w:line="240" w:lineRule="auto"/>
              <w:jc w:val="left"/>
              <w:rPr>
                <w:rFonts w:cstheme="minorHAnsi"/>
              </w:rPr>
            </w:pPr>
          </w:p>
        </w:tc>
        <w:tc>
          <w:tcPr>
            <w:tcW w:w="1559" w:type="dxa"/>
            <w:shd w:val="clear" w:color="auto" w:fill="auto"/>
          </w:tcPr>
          <w:p w14:paraId="61AB20AA"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7D1111CA" w14:textId="77777777" w:rsidR="001902F4" w:rsidRPr="009B546D" w:rsidRDefault="001902F4" w:rsidP="004A12EB">
            <w:pPr>
              <w:tabs>
                <w:tab w:val="decimal" w:pos="1307"/>
              </w:tabs>
              <w:spacing w:after="0" w:line="240" w:lineRule="auto"/>
              <w:rPr>
                <w:rFonts w:cstheme="minorHAnsi"/>
                <w:b/>
                <w:color w:val="0D0D0D" w:themeColor="text1" w:themeTint="F2"/>
              </w:rPr>
            </w:pPr>
            <w:r w:rsidRPr="009B546D">
              <w:rPr>
                <w:rFonts w:cstheme="minorHAnsi"/>
                <w:color w:val="0D0D0D" w:themeColor="text1" w:themeTint="F2"/>
              </w:rPr>
              <w:t>_________</w:t>
            </w:r>
          </w:p>
        </w:tc>
      </w:tr>
      <w:tr w:rsidR="001902F4" w:rsidRPr="009B546D" w14:paraId="6B2F77CD" w14:textId="77777777" w:rsidTr="00EA2BB6">
        <w:tc>
          <w:tcPr>
            <w:tcW w:w="5778" w:type="dxa"/>
            <w:shd w:val="clear" w:color="auto" w:fill="auto"/>
          </w:tcPr>
          <w:p w14:paraId="60FB7703" w14:textId="77777777" w:rsidR="001902F4" w:rsidRPr="009B546D" w:rsidRDefault="001902F4" w:rsidP="004A12EB">
            <w:pPr>
              <w:spacing w:after="0" w:line="240" w:lineRule="auto"/>
              <w:jc w:val="left"/>
              <w:rPr>
                <w:rFonts w:cstheme="minorHAnsi"/>
              </w:rPr>
            </w:pPr>
          </w:p>
        </w:tc>
        <w:tc>
          <w:tcPr>
            <w:tcW w:w="851" w:type="dxa"/>
            <w:shd w:val="clear" w:color="auto" w:fill="auto"/>
          </w:tcPr>
          <w:p w14:paraId="2A11A72D" w14:textId="77777777" w:rsidR="001902F4" w:rsidRPr="009B546D" w:rsidRDefault="001902F4" w:rsidP="004A12EB">
            <w:pPr>
              <w:tabs>
                <w:tab w:val="decimal" w:pos="497"/>
              </w:tabs>
              <w:spacing w:after="0" w:line="240" w:lineRule="auto"/>
              <w:jc w:val="left"/>
              <w:rPr>
                <w:rFonts w:cstheme="minorHAnsi"/>
              </w:rPr>
            </w:pPr>
          </w:p>
        </w:tc>
        <w:tc>
          <w:tcPr>
            <w:tcW w:w="1559" w:type="dxa"/>
            <w:shd w:val="clear" w:color="auto" w:fill="auto"/>
          </w:tcPr>
          <w:p w14:paraId="02473135"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00377927" w14:textId="77777777" w:rsidR="001902F4" w:rsidRPr="009B546D" w:rsidRDefault="001902F4" w:rsidP="004A12EB">
            <w:pPr>
              <w:tabs>
                <w:tab w:val="decimal" w:pos="1307"/>
              </w:tabs>
              <w:spacing w:after="0" w:line="240" w:lineRule="auto"/>
              <w:rPr>
                <w:rFonts w:cstheme="minorHAnsi"/>
                <w:color w:val="0D0D0D" w:themeColor="text1" w:themeTint="F2"/>
              </w:rPr>
            </w:pPr>
          </w:p>
        </w:tc>
      </w:tr>
      <w:tr w:rsidR="001902F4" w:rsidRPr="009B546D" w14:paraId="0602A57D" w14:textId="77777777" w:rsidTr="00EA2BB6">
        <w:tc>
          <w:tcPr>
            <w:tcW w:w="5778" w:type="dxa"/>
            <w:shd w:val="clear" w:color="auto" w:fill="auto"/>
          </w:tcPr>
          <w:p w14:paraId="1713F1E0" w14:textId="77777777" w:rsidR="001902F4" w:rsidRPr="009B546D" w:rsidRDefault="001902F4" w:rsidP="004A12EB">
            <w:pPr>
              <w:spacing w:after="0" w:line="240" w:lineRule="auto"/>
              <w:jc w:val="left"/>
              <w:rPr>
                <w:rFonts w:cstheme="minorHAnsi"/>
              </w:rPr>
            </w:pPr>
          </w:p>
        </w:tc>
        <w:tc>
          <w:tcPr>
            <w:tcW w:w="851" w:type="dxa"/>
            <w:shd w:val="clear" w:color="auto" w:fill="auto"/>
          </w:tcPr>
          <w:p w14:paraId="7332D226" w14:textId="77777777" w:rsidR="001902F4" w:rsidRPr="009B546D" w:rsidRDefault="001902F4" w:rsidP="004A12EB">
            <w:pPr>
              <w:tabs>
                <w:tab w:val="decimal" w:pos="497"/>
              </w:tabs>
              <w:spacing w:after="0" w:line="240" w:lineRule="auto"/>
              <w:jc w:val="left"/>
              <w:rPr>
                <w:rFonts w:cstheme="minorHAnsi"/>
              </w:rPr>
            </w:pPr>
          </w:p>
        </w:tc>
        <w:tc>
          <w:tcPr>
            <w:tcW w:w="1559" w:type="dxa"/>
            <w:shd w:val="clear" w:color="auto" w:fill="auto"/>
          </w:tcPr>
          <w:p w14:paraId="7FB4E959"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5A68EAC0" w14:textId="77777777" w:rsidR="001902F4" w:rsidRPr="009B546D" w:rsidRDefault="001902F4" w:rsidP="004A12EB">
            <w:pPr>
              <w:tabs>
                <w:tab w:val="decimal" w:pos="1307"/>
              </w:tabs>
              <w:spacing w:after="0" w:line="240" w:lineRule="auto"/>
              <w:rPr>
                <w:rFonts w:cstheme="minorHAnsi"/>
                <w:color w:val="0D0D0D" w:themeColor="text1" w:themeTint="F2"/>
              </w:rPr>
            </w:pPr>
            <w:r>
              <w:rPr>
                <w:rFonts w:cstheme="minorHAnsi"/>
                <w:b/>
                <w:color w:val="0D0D0D" w:themeColor="text1" w:themeTint="F2"/>
              </w:rPr>
              <w:t>663,223</w:t>
            </w:r>
          </w:p>
        </w:tc>
      </w:tr>
      <w:tr w:rsidR="001902F4" w:rsidRPr="009B546D" w14:paraId="3CDE0902" w14:textId="77777777" w:rsidTr="00EA2BB6">
        <w:tc>
          <w:tcPr>
            <w:tcW w:w="5778" w:type="dxa"/>
            <w:shd w:val="clear" w:color="auto" w:fill="auto"/>
          </w:tcPr>
          <w:p w14:paraId="2E9368CE" w14:textId="77777777" w:rsidR="001902F4" w:rsidRPr="009B546D" w:rsidRDefault="001902F4" w:rsidP="004A12EB">
            <w:pPr>
              <w:spacing w:after="0" w:line="240" w:lineRule="auto"/>
              <w:jc w:val="left"/>
              <w:rPr>
                <w:rFonts w:cstheme="minorHAnsi"/>
              </w:rPr>
            </w:pPr>
            <w:r w:rsidRPr="009B546D">
              <w:rPr>
                <w:rFonts w:cstheme="minorHAnsi"/>
                <w:b/>
              </w:rPr>
              <w:t>Current liabilities</w:t>
            </w:r>
          </w:p>
        </w:tc>
        <w:tc>
          <w:tcPr>
            <w:tcW w:w="851" w:type="dxa"/>
            <w:shd w:val="clear" w:color="auto" w:fill="auto"/>
          </w:tcPr>
          <w:p w14:paraId="682869BF" w14:textId="77777777" w:rsidR="001902F4" w:rsidRPr="009B546D" w:rsidRDefault="001902F4" w:rsidP="004A12EB">
            <w:pPr>
              <w:tabs>
                <w:tab w:val="decimal" w:pos="497"/>
              </w:tabs>
              <w:spacing w:after="0" w:line="240" w:lineRule="auto"/>
              <w:jc w:val="left"/>
              <w:rPr>
                <w:rFonts w:cstheme="minorHAnsi"/>
                <w:b/>
              </w:rPr>
            </w:pPr>
          </w:p>
        </w:tc>
        <w:tc>
          <w:tcPr>
            <w:tcW w:w="1559" w:type="dxa"/>
            <w:shd w:val="clear" w:color="auto" w:fill="auto"/>
          </w:tcPr>
          <w:p w14:paraId="716DA617"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1689BB2A" w14:textId="77777777" w:rsidR="001902F4" w:rsidRPr="009B546D" w:rsidRDefault="001902F4" w:rsidP="004A12EB">
            <w:pPr>
              <w:tabs>
                <w:tab w:val="decimal" w:pos="1307"/>
              </w:tabs>
              <w:spacing w:after="0" w:line="240" w:lineRule="auto"/>
              <w:rPr>
                <w:rFonts w:cstheme="minorHAnsi"/>
                <w:b/>
                <w:color w:val="0D0D0D" w:themeColor="text1" w:themeTint="F2"/>
              </w:rPr>
            </w:pPr>
          </w:p>
        </w:tc>
      </w:tr>
      <w:tr w:rsidR="001902F4" w:rsidRPr="009B546D" w14:paraId="74963DFE" w14:textId="77777777" w:rsidTr="00EA2BB6">
        <w:tc>
          <w:tcPr>
            <w:tcW w:w="5778" w:type="dxa"/>
            <w:shd w:val="clear" w:color="auto" w:fill="auto"/>
          </w:tcPr>
          <w:p w14:paraId="2D0C67E5" w14:textId="77777777" w:rsidR="001902F4" w:rsidRPr="009B546D" w:rsidRDefault="001902F4" w:rsidP="004A12EB">
            <w:pPr>
              <w:spacing w:after="0" w:line="240" w:lineRule="auto"/>
              <w:jc w:val="left"/>
              <w:rPr>
                <w:rFonts w:cstheme="minorHAnsi"/>
              </w:rPr>
            </w:pPr>
            <w:r>
              <w:rPr>
                <w:rFonts w:cstheme="minorHAnsi"/>
              </w:rPr>
              <w:t>Trade and other payables</w:t>
            </w:r>
          </w:p>
        </w:tc>
        <w:tc>
          <w:tcPr>
            <w:tcW w:w="851" w:type="dxa"/>
            <w:shd w:val="clear" w:color="auto" w:fill="auto"/>
          </w:tcPr>
          <w:p w14:paraId="4FFA91AF" w14:textId="77777777" w:rsidR="001902F4" w:rsidRPr="009B546D" w:rsidRDefault="001902F4" w:rsidP="004A12EB">
            <w:pPr>
              <w:tabs>
                <w:tab w:val="decimal" w:pos="497"/>
              </w:tabs>
              <w:spacing w:after="0" w:line="240" w:lineRule="auto"/>
              <w:rPr>
                <w:rFonts w:cstheme="minorHAnsi"/>
              </w:rPr>
            </w:pPr>
            <w:r w:rsidRPr="009B546D">
              <w:rPr>
                <w:rFonts w:cstheme="minorHAnsi"/>
              </w:rPr>
              <w:t>11</w:t>
            </w:r>
          </w:p>
        </w:tc>
        <w:tc>
          <w:tcPr>
            <w:tcW w:w="1559" w:type="dxa"/>
            <w:shd w:val="clear" w:color="auto" w:fill="auto"/>
          </w:tcPr>
          <w:p w14:paraId="5AB3CA14" w14:textId="77777777" w:rsidR="001902F4" w:rsidRPr="009B546D" w:rsidRDefault="001902F4" w:rsidP="004A12EB">
            <w:pPr>
              <w:tabs>
                <w:tab w:val="decimal" w:pos="1173"/>
              </w:tabs>
              <w:spacing w:after="0" w:line="240" w:lineRule="auto"/>
              <w:rPr>
                <w:rFonts w:cstheme="minorHAnsi"/>
              </w:rPr>
            </w:pPr>
            <w:r>
              <w:rPr>
                <w:rFonts w:cstheme="minorHAnsi"/>
              </w:rPr>
              <w:t>109,071</w:t>
            </w:r>
          </w:p>
        </w:tc>
        <w:tc>
          <w:tcPr>
            <w:tcW w:w="1134" w:type="dxa"/>
            <w:shd w:val="clear" w:color="auto" w:fill="auto"/>
          </w:tcPr>
          <w:p w14:paraId="3E5C437F" w14:textId="77777777" w:rsidR="001902F4" w:rsidRPr="009B546D" w:rsidRDefault="001902F4" w:rsidP="004A12EB">
            <w:pPr>
              <w:tabs>
                <w:tab w:val="decimal" w:pos="1307"/>
              </w:tabs>
              <w:spacing w:after="0" w:line="240" w:lineRule="auto"/>
              <w:rPr>
                <w:rFonts w:cstheme="minorHAnsi"/>
                <w:b/>
                <w:color w:val="0D0D0D" w:themeColor="text1" w:themeTint="F2"/>
              </w:rPr>
            </w:pPr>
          </w:p>
        </w:tc>
      </w:tr>
      <w:tr w:rsidR="001902F4" w:rsidRPr="009B546D" w14:paraId="48421F62" w14:textId="77777777" w:rsidTr="00EA2BB6">
        <w:tc>
          <w:tcPr>
            <w:tcW w:w="5778" w:type="dxa"/>
            <w:shd w:val="clear" w:color="auto" w:fill="auto"/>
          </w:tcPr>
          <w:p w14:paraId="42D537D4" w14:textId="77777777" w:rsidR="001902F4" w:rsidRPr="009B546D" w:rsidRDefault="001902F4" w:rsidP="004A12EB">
            <w:pPr>
              <w:spacing w:after="0" w:line="240" w:lineRule="auto"/>
              <w:jc w:val="left"/>
              <w:rPr>
                <w:rFonts w:cstheme="minorHAnsi"/>
              </w:rPr>
            </w:pPr>
            <w:r>
              <w:rPr>
                <w:rFonts w:cstheme="minorHAnsi"/>
              </w:rPr>
              <w:t>Income tax payable</w:t>
            </w:r>
          </w:p>
        </w:tc>
        <w:tc>
          <w:tcPr>
            <w:tcW w:w="851" w:type="dxa"/>
            <w:shd w:val="clear" w:color="auto" w:fill="auto"/>
          </w:tcPr>
          <w:p w14:paraId="08CB91EA" w14:textId="77777777" w:rsidR="001902F4" w:rsidRPr="009B546D" w:rsidRDefault="001902F4" w:rsidP="004A12EB">
            <w:pPr>
              <w:tabs>
                <w:tab w:val="decimal" w:pos="497"/>
              </w:tabs>
              <w:spacing w:after="0" w:line="240" w:lineRule="auto"/>
              <w:jc w:val="left"/>
              <w:rPr>
                <w:rFonts w:cstheme="minorHAnsi"/>
              </w:rPr>
            </w:pPr>
          </w:p>
        </w:tc>
        <w:tc>
          <w:tcPr>
            <w:tcW w:w="1559" w:type="dxa"/>
            <w:shd w:val="clear" w:color="auto" w:fill="auto"/>
          </w:tcPr>
          <w:p w14:paraId="04A985F1" w14:textId="77777777" w:rsidR="001902F4" w:rsidRPr="004A12EB" w:rsidRDefault="001902F4" w:rsidP="004A12EB">
            <w:pPr>
              <w:tabs>
                <w:tab w:val="decimal" w:pos="1173"/>
              </w:tabs>
              <w:spacing w:after="0" w:line="240" w:lineRule="auto"/>
              <w:rPr>
                <w:rFonts w:cstheme="minorHAnsi"/>
              </w:rPr>
            </w:pPr>
            <w:r w:rsidRPr="004A12EB">
              <w:rPr>
                <w:rFonts w:cstheme="minorHAnsi"/>
              </w:rPr>
              <w:t>74,591</w:t>
            </w:r>
          </w:p>
        </w:tc>
        <w:tc>
          <w:tcPr>
            <w:tcW w:w="1134" w:type="dxa"/>
            <w:shd w:val="clear" w:color="auto" w:fill="auto"/>
          </w:tcPr>
          <w:p w14:paraId="76843069" w14:textId="77777777" w:rsidR="001902F4" w:rsidRPr="009B546D" w:rsidRDefault="001902F4" w:rsidP="004A12EB">
            <w:pPr>
              <w:tabs>
                <w:tab w:val="decimal" w:pos="1307"/>
              </w:tabs>
              <w:spacing w:after="0" w:line="240" w:lineRule="auto"/>
              <w:rPr>
                <w:rFonts w:cstheme="minorHAnsi"/>
                <w:color w:val="0D0D0D" w:themeColor="text1" w:themeTint="F2"/>
              </w:rPr>
            </w:pPr>
          </w:p>
        </w:tc>
      </w:tr>
      <w:tr w:rsidR="001902F4" w:rsidRPr="009B546D" w14:paraId="38D4D753" w14:textId="77777777" w:rsidTr="00EA2BB6">
        <w:tc>
          <w:tcPr>
            <w:tcW w:w="5778" w:type="dxa"/>
            <w:shd w:val="clear" w:color="auto" w:fill="auto"/>
          </w:tcPr>
          <w:p w14:paraId="2BBADA87" w14:textId="77777777" w:rsidR="001902F4" w:rsidRPr="009B546D" w:rsidRDefault="001902F4" w:rsidP="004A12EB">
            <w:pPr>
              <w:spacing w:after="0" w:line="240" w:lineRule="auto"/>
              <w:jc w:val="left"/>
              <w:rPr>
                <w:rFonts w:cstheme="minorHAnsi"/>
              </w:rPr>
            </w:pPr>
          </w:p>
        </w:tc>
        <w:tc>
          <w:tcPr>
            <w:tcW w:w="851" w:type="dxa"/>
            <w:shd w:val="clear" w:color="auto" w:fill="auto"/>
          </w:tcPr>
          <w:p w14:paraId="3A5E4469" w14:textId="77777777" w:rsidR="001902F4" w:rsidRPr="009B546D" w:rsidRDefault="001902F4" w:rsidP="004A12EB">
            <w:pPr>
              <w:tabs>
                <w:tab w:val="decimal" w:pos="497"/>
              </w:tabs>
              <w:spacing w:after="0" w:line="240" w:lineRule="auto"/>
              <w:jc w:val="left"/>
              <w:rPr>
                <w:rFonts w:cstheme="minorHAnsi"/>
              </w:rPr>
            </w:pPr>
          </w:p>
        </w:tc>
        <w:tc>
          <w:tcPr>
            <w:tcW w:w="1559" w:type="dxa"/>
            <w:shd w:val="clear" w:color="auto" w:fill="auto"/>
          </w:tcPr>
          <w:p w14:paraId="4D73420A" w14:textId="77777777" w:rsidR="001902F4" w:rsidRPr="009B546D" w:rsidRDefault="001902F4" w:rsidP="004A12EB">
            <w:pPr>
              <w:tabs>
                <w:tab w:val="decimal" w:pos="1173"/>
              </w:tabs>
              <w:spacing w:after="0" w:line="240" w:lineRule="auto"/>
              <w:rPr>
                <w:rFonts w:cstheme="minorHAnsi"/>
                <w:b/>
              </w:rPr>
            </w:pPr>
            <w:r w:rsidRPr="009B546D">
              <w:rPr>
                <w:rFonts w:cstheme="minorHAnsi"/>
              </w:rPr>
              <w:t>_________</w:t>
            </w:r>
          </w:p>
        </w:tc>
        <w:tc>
          <w:tcPr>
            <w:tcW w:w="1134" w:type="dxa"/>
            <w:shd w:val="clear" w:color="auto" w:fill="auto"/>
          </w:tcPr>
          <w:p w14:paraId="59B967ED" w14:textId="77777777" w:rsidR="001902F4" w:rsidRPr="009B546D" w:rsidRDefault="001902F4" w:rsidP="004A12EB">
            <w:pPr>
              <w:tabs>
                <w:tab w:val="decimal" w:pos="1307"/>
              </w:tabs>
              <w:spacing w:after="0" w:line="240" w:lineRule="auto"/>
              <w:rPr>
                <w:rFonts w:cstheme="minorHAnsi"/>
                <w:color w:val="0D0D0D" w:themeColor="text1" w:themeTint="F2"/>
              </w:rPr>
            </w:pPr>
          </w:p>
        </w:tc>
      </w:tr>
      <w:tr w:rsidR="001902F4" w:rsidRPr="009B546D" w14:paraId="0DBC693B" w14:textId="77777777" w:rsidTr="00EA2BB6">
        <w:tc>
          <w:tcPr>
            <w:tcW w:w="5778" w:type="dxa"/>
            <w:shd w:val="clear" w:color="auto" w:fill="auto"/>
          </w:tcPr>
          <w:p w14:paraId="58555807" w14:textId="77777777" w:rsidR="001902F4" w:rsidRPr="009B546D" w:rsidRDefault="001902F4" w:rsidP="004A12EB">
            <w:pPr>
              <w:spacing w:after="0" w:line="240" w:lineRule="auto"/>
              <w:jc w:val="left"/>
              <w:rPr>
                <w:rFonts w:cstheme="minorHAnsi"/>
              </w:rPr>
            </w:pPr>
          </w:p>
        </w:tc>
        <w:tc>
          <w:tcPr>
            <w:tcW w:w="851" w:type="dxa"/>
            <w:shd w:val="clear" w:color="auto" w:fill="auto"/>
          </w:tcPr>
          <w:p w14:paraId="5D1EEC51" w14:textId="77777777" w:rsidR="001902F4" w:rsidRPr="009B546D" w:rsidRDefault="001902F4" w:rsidP="004A12EB">
            <w:pPr>
              <w:tabs>
                <w:tab w:val="decimal" w:pos="497"/>
              </w:tabs>
              <w:spacing w:after="0" w:line="240" w:lineRule="auto"/>
              <w:jc w:val="left"/>
              <w:rPr>
                <w:rFonts w:cstheme="minorHAnsi"/>
              </w:rPr>
            </w:pPr>
          </w:p>
        </w:tc>
        <w:tc>
          <w:tcPr>
            <w:tcW w:w="1559" w:type="dxa"/>
            <w:shd w:val="clear" w:color="auto" w:fill="auto"/>
          </w:tcPr>
          <w:p w14:paraId="065CCF39"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3186717C" w14:textId="77777777" w:rsidR="001902F4" w:rsidRPr="004A12EB" w:rsidRDefault="001902F4" w:rsidP="004A12EB">
            <w:pPr>
              <w:tabs>
                <w:tab w:val="decimal" w:pos="1307"/>
              </w:tabs>
              <w:spacing w:after="0" w:line="240" w:lineRule="auto"/>
              <w:rPr>
                <w:rFonts w:cstheme="minorHAnsi"/>
                <w:b/>
                <w:color w:val="0D0D0D" w:themeColor="text1" w:themeTint="F2"/>
              </w:rPr>
            </w:pPr>
            <w:r w:rsidRPr="004A12EB">
              <w:rPr>
                <w:rFonts w:cstheme="minorHAnsi"/>
                <w:b/>
                <w:color w:val="0D0D0D" w:themeColor="text1" w:themeTint="F2"/>
              </w:rPr>
              <w:t>(183,662)</w:t>
            </w:r>
          </w:p>
        </w:tc>
      </w:tr>
      <w:tr w:rsidR="001902F4" w:rsidRPr="009B546D" w14:paraId="6BA84673" w14:textId="77777777" w:rsidTr="00EA2BB6">
        <w:tc>
          <w:tcPr>
            <w:tcW w:w="5778" w:type="dxa"/>
            <w:shd w:val="clear" w:color="auto" w:fill="auto"/>
          </w:tcPr>
          <w:p w14:paraId="101DC558" w14:textId="77777777" w:rsidR="001902F4" w:rsidRPr="009B546D" w:rsidRDefault="001902F4" w:rsidP="004A12EB">
            <w:pPr>
              <w:spacing w:after="0" w:line="240" w:lineRule="auto"/>
              <w:jc w:val="left"/>
              <w:rPr>
                <w:rFonts w:cstheme="minorHAnsi"/>
              </w:rPr>
            </w:pPr>
          </w:p>
        </w:tc>
        <w:tc>
          <w:tcPr>
            <w:tcW w:w="851" w:type="dxa"/>
            <w:shd w:val="clear" w:color="auto" w:fill="auto"/>
          </w:tcPr>
          <w:p w14:paraId="61286A54" w14:textId="77777777" w:rsidR="001902F4" w:rsidRPr="009B546D" w:rsidRDefault="001902F4" w:rsidP="004A12EB">
            <w:pPr>
              <w:tabs>
                <w:tab w:val="decimal" w:pos="497"/>
              </w:tabs>
              <w:spacing w:after="0" w:line="240" w:lineRule="auto"/>
              <w:jc w:val="left"/>
              <w:rPr>
                <w:rFonts w:cstheme="minorHAnsi"/>
              </w:rPr>
            </w:pPr>
          </w:p>
        </w:tc>
        <w:tc>
          <w:tcPr>
            <w:tcW w:w="1559" w:type="dxa"/>
            <w:shd w:val="clear" w:color="auto" w:fill="auto"/>
          </w:tcPr>
          <w:p w14:paraId="6683FC8B"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707C4D24" w14:textId="77777777" w:rsidR="001902F4" w:rsidRPr="009B546D" w:rsidRDefault="001902F4" w:rsidP="004A12EB">
            <w:pPr>
              <w:tabs>
                <w:tab w:val="decimal" w:pos="1307"/>
              </w:tabs>
              <w:spacing w:after="0" w:line="240" w:lineRule="auto"/>
              <w:rPr>
                <w:rFonts w:cstheme="minorHAnsi"/>
                <w:color w:val="0D0D0D" w:themeColor="text1" w:themeTint="F2"/>
              </w:rPr>
            </w:pPr>
            <w:r w:rsidRPr="009B546D">
              <w:rPr>
                <w:rFonts w:cstheme="minorHAnsi"/>
                <w:color w:val="0D0D0D" w:themeColor="text1" w:themeTint="F2"/>
              </w:rPr>
              <w:t>_________</w:t>
            </w:r>
          </w:p>
        </w:tc>
      </w:tr>
      <w:tr w:rsidR="001902F4" w:rsidRPr="009B546D" w14:paraId="254E28FD" w14:textId="77777777" w:rsidTr="00EA2BB6">
        <w:tc>
          <w:tcPr>
            <w:tcW w:w="5778" w:type="dxa"/>
            <w:shd w:val="clear" w:color="auto" w:fill="auto"/>
          </w:tcPr>
          <w:p w14:paraId="31A3AB08" w14:textId="77777777" w:rsidR="001902F4" w:rsidRPr="009B546D" w:rsidRDefault="001902F4" w:rsidP="004A12EB">
            <w:pPr>
              <w:spacing w:after="0" w:line="240" w:lineRule="auto"/>
              <w:jc w:val="left"/>
              <w:rPr>
                <w:rFonts w:cstheme="minorHAnsi"/>
              </w:rPr>
            </w:pPr>
          </w:p>
        </w:tc>
        <w:tc>
          <w:tcPr>
            <w:tcW w:w="851" w:type="dxa"/>
            <w:shd w:val="clear" w:color="auto" w:fill="auto"/>
          </w:tcPr>
          <w:p w14:paraId="6EE5121E" w14:textId="77777777" w:rsidR="001902F4" w:rsidRPr="009B546D" w:rsidRDefault="001902F4" w:rsidP="004A12EB">
            <w:pPr>
              <w:tabs>
                <w:tab w:val="decimal" w:pos="497"/>
              </w:tabs>
              <w:spacing w:after="0" w:line="240" w:lineRule="auto"/>
              <w:rPr>
                <w:rFonts w:cstheme="minorHAnsi"/>
                <w:b/>
              </w:rPr>
            </w:pPr>
          </w:p>
        </w:tc>
        <w:tc>
          <w:tcPr>
            <w:tcW w:w="1559" w:type="dxa"/>
            <w:shd w:val="clear" w:color="auto" w:fill="auto"/>
          </w:tcPr>
          <w:p w14:paraId="64F4FC49"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257F723C" w14:textId="77777777" w:rsidR="001902F4" w:rsidRPr="009B546D" w:rsidRDefault="001902F4" w:rsidP="004A12EB">
            <w:pPr>
              <w:tabs>
                <w:tab w:val="decimal" w:pos="1307"/>
              </w:tabs>
              <w:spacing w:after="0" w:line="240" w:lineRule="auto"/>
              <w:rPr>
                <w:rFonts w:cstheme="minorHAnsi"/>
                <w:b/>
              </w:rPr>
            </w:pPr>
          </w:p>
        </w:tc>
      </w:tr>
      <w:tr w:rsidR="001902F4" w:rsidRPr="009B546D" w14:paraId="536070B0" w14:textId="77777777" w:rsidTr="00EA2BB6">
        <w:tc>
          <w:tcPr>
            <w:tcW w:w="5778" w:type="dxa"/>
            <w:shd w:val="clear" w:color="auto" w:fill="auto"/>
          </w:tcPr>
          <w:p w14:paraId="4287266F" w14:textId="77777777" w:rsidR="001902F4" w:rsidRPr="009B546D" w:rsidRDefault="001902F4" w:rsidP="004A12EB">
            <w:pPr>
              <w:spacing w:after="0" w:line="240" w:lineRule="auto"/>
              <w:jc w:val="left"/>
              <w:rPr>
                <w:rFonts w:cstheme="minorHAnsi"/>
                <w:b/>
              </w:rPr>
            </w:pPr>
            <w:r w:rsidRPr="009B546D">
              <w:rPr>
                <w:rFonts w:cstheme="minorHAnsi"/>
                <w:b/>
              </w:rPr>
              <w:t>Net assets</w:t>
            </w:r>
          </w:p>
        </w:tc>
        <w:tc>
          <w:tcPr>
            <w:tcW w:w="851" w:type="dxa"/>
            <w:shd w:val="clear" w:color="auto" w:fill="auto"/>
          </w:tcPr>
          <w:p w14:paraId="55DA56D3" w14:textId="77777777" w:rsidR="001902F4" w:rsidRPr="009B546D" w:rsidRDefault="001902F4" w:rsidP="004A12EB">
            <w:pPr>
              <w:tabs>
                <w:tab w:val="decimal" w:pos="497"/>
              </w:tabs>
              <w:spacing w:after="0" w:line="240" w:lineRule="auto"/>
              <w:rPr>
                <w:rFonts w:cstheme="minorHAnsi"/>
              </w:rPr>
            </w:pPr>
          </w:p>
        </w:tc>
        <w:tc>
          <w:tcPr>
            <w:tcW w:w="1559" w:type="dxa"/>
            <w:shd w:val="clear" w:color="auto" w:fill="auto"/>
          </w:tcPr>
          <w:p w14:paraId="3441C913"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5ACBB15F" w14:textId="77777777" w:rsidR="001902F4" w:rsidRPr="009B546D" w:rsidRDefault="001902F4" w:rsidP="004A12EB">
            <w:pPr>
              <w:tabs>
                <w:tab w:val="decimal" w:pos="1307"/>
              </w:tabs>
              <w:spacing w:after="0" w:line="240" w:lineRule="auto"/>
              <w:rPr>
                <w:rFonts w:cstheme="minorHAnsi"/>
                <w:b/>
              </w:rPr>
            </w:pPr>
            <w:r w:rsidRPr="009B546D">
              <w:rPr>
                <w:rFonts w:cstheme="minorHAnsi"/>
                <w:b/>
              </w:rPr>
              <w:t>479,561</w:t>
            </w:r>
          </w:p>
        </w:tc>
      </w:tr>
      <w:tr w:rsidR="001902F4" w:rsidRPr="009B546D" w14:paraId="0ED48CAD" w14:textId="77777777" w:rsidTr="00EA2BB6">
        <w:tc>
          <w:tcPr>
            <w:tcW w:w="5778" w:type="dxa"/>
            <w:shd w:val="clear" w:color="auto" w:fill="auto"/>
          </w:tcPr>
          <w:p w14:paraId="35CFEE59" w14:textId="77777777" w:rsidR="001902F4" w:rsidRPr="009B546D" w:rsidRDefault="001902F4" w:rsidP="004A12EB">
            <w:pPr>
              <w:spacing w:after="0" w:line="240" w:lineRule="auto"/>
              <w:jc w:val="left"/>
              <w:rPr>
                <w:rFonts w:cstheme="minorHAnsi"/>
              </w:rPr>
            </w:pPr>
          </w:p>
        </w:tc>
        <w:tc>
          <w:tcPr>
            <w:tcW w:w="851" w:type="dxa"/>
            <w:shd w:val="clear" w:color="auto" w:fill="auto"/>
          </w:tcPr>
          <w:p w14:paraId="04F7A114" w14:textId="77777777" w:rsidR="001902F4" w:rsidRPr="009B546D" w:rsidRDefault="001902F4" w:rsidP="004A12EB">
            <w:pPr>
              <w:tabs>
                <w:tab w:val="decimal" w:pos="497"/>
              </w:tabs>
              <w:spacing w:after="0" w:line="240" w:lineRule="auto"/>
              <w:jc w:val="left"/>
              <w:rPr>
                <w:rFonts w:cstheme="minorHAnsi"/>
              </w:rPr>
            </w:pPr>
          </w:p>
        </w:tc>
        <w:tc>
          <w:tcPr>
            <w:tcW w:w="1559" w:type="dxa"/>
            <w:shd w:val="clear" w:color="auto" w:fill="auto"/>
          </w:tcPr>
          <w:p w14:paraId="2AEB4074"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1E1460DC" w14:textId="77777777" w:rsidR="001902F4" w:rsidRPr="009B546D" w:rsidRDefault="001902F4" w:rsidP="004A12EB">
            <w:pPr>
              <w:tabs>
                <w:tab w:val="decimal" w:pos="1307"/>
              </w:tabs>
              <w:spacing w:after="0" w:line="240" w:lineRule="auto"/>
              <w:rPr>
                <w:rFonts w:cstheme="minorHAnsi"/>
              </w:rPr>
            </w:pPr>
            <w:r w:rsidRPr="009B546D">
              <w:rPr>
                <w:rFonts w:cstheme="minorHAnsi"/>
                <w:u w:val="double"/>
              </w:rPr>
              <w:t>_________</w:t>
            </w:r>
          </w:p>
        </w:tc>
      </w:tr>
      <w:tr w:rsidR="001902F4" w:rsidRPr="009B546D" w14:paraId="229E5BD9" w14:textId="77777777" w:rsidTr="00EA2BB6">
        <w:tc>
          <w:tcPr>
            <w:tcW w:w="5778" w:type="dxa"/>
            <w:shd w:val="clear" w:color="auto" w:fill="auto"/>
          </w:tcPr>
          <w:p w14:paraId="0B257788" w14:textId="77777777" w:rsidR="001902F4" w:rsidRPr="009B546D" w:rsidRDefault="001902F4" w:rsidP="004A12EB">
            <w:pPr>
              <w:spacing w:after="0" w:line="240" w:lineRule="auto"/>
              <w:jc w:val="left"/>
              <w:rPr>
                <w:rFonts w:cstheme="minorHAnsi"/>
              </w:rPr>
            </w:pPr>
          </w:p>
        </w:tc>
        <w:tc>
          <w:tcPr>
            <w:tcW w:w="851" w:type="dxa"/>
            <w:shd w:val="clear" w:color="auto" w:fill="auto"/>
          </w:tcPr>
          <w:p w14:paraId="3767561A" w14:textId="77777777" w:rsidR="001902F4" w:rsidRPr="009B546D" w:rsidRDefault="001902F4" w:rsidP="004A12EB">
            <w:pPr>
              <w:tabs>
                <w:tab w:val="decimal" w:pos="497"/>
              </w:tabs>
              <w:spacing w:after="0" w:line="240" w:lineRule="auto"/>
              <w:jc w:val="left"/>
              <w:rPr>
                <w:rFonts w:cstheme="minorHAnsi"/>
              </w:rPr>
            </w:pPr>
          </w:p>
        </w:tc>
        <w:tc>
          <w:tcPr>
            <w:tcW w:w="1559" w:type="dxa"/>
            <w:shd w:val="clear" w:color="auto" w:fill="auto"/>
          </w:tcPr>
          <w:p w14:paraId="125EF80B"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605E743E" w14:textId="77777777" w:rsidR="001902F4" w:rsidRPr="009B546D" w:rsidRDefault="001902F4" w:rsidP="004A12EB">
            <w:pPr>
              <w:tabs>
                <w:tab w:val="decimal" w:pos="1307"/>
              </w:tabs>
              <w:spacing w:after="0" w:line="240" w:lineRule="auto"/>
              <w:rPr>
                <w:rFonts w:cstheme="minorHAnsi"/>
                <w:b/>
              </w:rPr>
            </w:pPr>
          </w:p>
        </w:tc>
      </w:tr>
      <w:tr w:rsidR="001902F4" w:rsidRPr="009B546D" w14:paraId="7B1B32C6" w14:textId="77777777" w:rsidTr="00EA2BB6">
        <w:tc>
          <w:tcPr>
            <w:tcW w:w="5778" w:type="dxa"/>
            <w:shd w:val="clear" w:color="auto" w:fill="auto"/>
          </w:tcPr>
          <w:p w14:paraId="303647D5" w14:textId="77777777" w:rsidR="001902F4" w:rsidRPr="009B546D" w:rsidRDefault="001902F4" w:rsidP="004A12EB">
            <w:pPr>
              <w:spacing w:after="0" w:line="240" w:lineRule="auto"/>
              <w:jc w:val="left"/>
              <w:rPr>
                <w:rFonts w:cstheme="minorHAnsi"/>
                <w:b/>
              </w:rPr>
            </w:pPr>
            <w:r w:rsidRPr="009B546D">
              <w:rPr>
                <w:rFonts w:cstheme="minorHAnsi"/>
                <w:b/>
              </w:rPr>
              <w:t>Shareholders’ equity</w:t>
            </w:r>
          </w:p>
        </w:tc>
        <w:tc>
          <w:tcPr>
            <w:tcW w:w="851" w:type="dxa"/>
            <w:shd w:val="clear" w:color="auto" w:fill="auto"/>
          </w:tcPr>
          <w:p w14:paraId="2D6E9278" w14:textId="77777777" w:rsidR="001902F4" w:rsidRPr="009B546D" w:rsidRDefault="001902F4" w:rsidP="004A12EB">
            <w:pPr>
              <w:tabs>
                <w:tab w:val="decimal" w:pos="497"/>
              </w:tabs>
              <w:spacing w:after="0" w:line="240" w:lineRule="auto"/>
              <w:jc w:val="left"/>
              <w:rPr>
                <w:rFonts w:cstheme="minorHAnsi"/>
              </w:rPr>
            </w:pPr>
          </w:p>
        </w:tc>
        <w:tc>
          <w:tcPr>
            <w:tcW w:w="1559" w:type="dxa"/>
            <w:shd w:val="clear" w:color="auto" w:fill="auto"/>
          </w:tcPr>
          <w:p w14:paraId="05F5C224"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40258990" w14:textId="77777777" w:rsidR="001902F4" w:rsidRPr="009B546D" w:rsidRDefault="001902F4" w:rsidP="004A12EB">
            <w:pPr>
              <w:tabs>
                <w:tab w:val="decimal" w:pos="1307"/>
              </w:tabs>
              <w:spacing w:after="0" w:line="240" w:lineRule="auto"/>
              <w:rPr>
                <w:rFonts w:cstheme="minorHAnsi"/>
                <w:b/>
              </w:rPr>
            </w:pPr>
          </w:p>
        </w:tc>
      </w:tr>
      <w:tr w:rsidR="001902F4" w:rsidRPr="009B546D" w14:paraId="7B8C5665" w14:textId="77777777" w:rsidTr="00EA2BB6">
        <w:tc>
          <w:tcPr>
            <w:tcW w:w="5778" w:type="dxa"/>
            <w:shd w:val="clear" w:color="auto" w:fill="auto"/>
          </w:tcPr>
          <w:p w14:paraId="5D77D17C" w14:textId="77777777" w:rsidR="001902F4" w:rsidRPr="009B546D" w:rsidRDefault="001902F4" w:rsidP="004A12EB">
            <w:pPr>
              <w:spacing w:after="0" w:line="240" w:lineRule="auto"/>
              <w:jc w:val="left"/>
              <w:rPr>
                <w:rFonts w:cstheme="minorHAnsi"/>
              </w:rPr>
            </w:pPr>
            <w:r w:rsidRPr="009B546D">
              <w:rPr>
                <w:rFonts w:cstheme="minorHAnsi"/>
              </w:rPr>
              <w:t>Share capital</w:t>
            </w:r>
          </w:p>
          <w:p w14:paraId="58AC701E" w14:textId="77777777" w:rsidR="001902F4" w:rsidRPr="009B546D" w:rsidRDefault="001902F4" w:rsidP="004A12EB">
            <w:pPr>
              <w:spacing w:after="0" w:line="240" w:lineRule="auto"/>
              <w:jc w:val="left"/>
              <w:rPr>
                <w:rFonts w:cstheme="minorHAnsi"/>
              </w:rPr>
            </w:pPr>
            <w:r w:rsidRPr="009B546D">
              <w:rPr>
                <w:rFonts w:cstheme="minorHAnsi"/>
              </w:rPr>
              <w:t>Capital contribution</w:t>
            </w:r>
          </w:p>
        </w:tc>
        <w:tc>
          <w:tcPr>
            <w:tcW w:w="851" w:type="dxa"/>
            <w:shd w:val="clear" w:color="auto" w:fill="auto"/>
          </w:tcPr>
          <w:p w14:paraId="6A560237" w14:textId="77777777" w:rsidR="001902F4" w:rsidRPr="009B546D" w:rsidRDefault="001902F4" w:rsidP="004A12EB">
            <w:pPr>
              <w:tabs>
                <w:tab w:val="decimal" w:pos="497"/>
              </w:tabs>
              <w:spacing w:after="0" w:line="240" w:lineRule="auto"/>
              <w:jc w:val="left"/>
              <w:rPr>
                <w:rFonts w:cstheme="minorHAnsi"/>
              </w:rPr>
            </w:pPr>
            <w:r w:rsidRPr="009B546D">
              <w:rPr>
                <w:rFonts w:cstheme="minorHAnsi"/>
              </w:rPr>
              <w:t>10</w:t>
            </w:r>
          </w:p>
        </w:tc>
        <w:tc>
          <w:tcPr>
            <w:tcW w:w="1559" w:type="dxa"/>
            <w:shd w:val="clear" w:color="auto" w:fill="auto"/>
          </w:tcPr>
          <w:p w14:paraId="009FF796" w14:textId="77777777" w:rsidR="001902F4" w:rsidRPr="009B546D" w:rsidRDefault="001902F4" w:rsidP="004A12EB">
            <w:pPr>
              <w:tabs>
                <w:tab w:val="decimal" w:pos="1173"/>
              </w:tabs>
              <w:spacing w:after="0" w:line="240" w:lineRule="auto"/>
              <w:rPr>
                <w:rFonts w:cstheme="minorHAnsi"/>
              </w:rPr>
            </w:pPr>
          </w:p>
        </w:tc>
        <w:tc>
          <w:tcPr>
            <w:tcW w:w="1134" w:type="dxa"/>
            <w:shd w:val="clear" w:color="auto" w:fill="auto"/>
          </w:tcPr>
          <w:p w14:paraId="13E9F5C9" w14:textId="77777777" w:rsidR="001902F4" w:rsidRPr="009B546D" w:rsidRDefault="001902F4" w:rsidP="004A12EB">
            <w:pPr>
              <w:tabs>
                <w:tab w:val="decimal" w:pos="1307"/>
              </w:tabs>
              <w:spacing w:after="0" w:line="240" w:lineRule="auto"/>
              <w:rPr>
                <w:rFonts w:cstheme="minorHAnsi"/>
              </w:rPr>
            </w:pPr>
            <w:r w:rsidRPr="009B546D">
              <w:rPr>
                <w:rFonts w:cstheme="minorHAnsi"/>
              </w:rPr>
              <w:t>100</w:t>
            </w:r>
          </w:p>
          <w:p w14:paraId="1186CDA8" w14:textId="77777777" w:rsidR="001902F4" w:rsidRPr="009B546D" w:rsidRDefault="001902F4" w:rsidP="004A12EB">
            <w:pPr>
              <w:tabs>
                <w:tab w:val="decimal" w:pos="1307"/>
              </w:tabs>
              <w:spacing w:after="0" w:line="240" w:lineRule="auto"/>
              <w:rPr>
                <w:rFonts w:cstheme="minorHAnsi"/>
                <w:b/>
              </w:rPr>
            </w:pPr>
            <w:r w:rsidRPr="009B546D">
              <w:rPr>
                <w:rFonts w:cstheme="minorHAnsi"/>
              </w:rPr>
              <w:t>50,000</w:t>
            </w:r>
          </w:p>
        </w:tc>
      </w:tr>
      <w:tr w:rsidR="001902F4" w:rsidRPr="009B546D" w14:paraId="30C0EA1F" w14:textId="77777777" w:rsidTr="00EA2BB6">
        <w:tc>
          <w:tcPr>
            <w:tcW w:w="5778" w:type="dxa"/>
            <w:shd w:val="clear" w:color="auto" w:fill="auto"/>
          </w:tcPr>
          <w:p w14:paraId="51DB5744" w14:textId="77777777" w:rsidR="001902F4" w:rsidRPr="009B546D" w:rsidRDefault="001902F4" w:rsidP="004A12EB">
            <w:pPr>
              <w:spacing w:after="0" w:line="240" w:lineRule="auto"/>
              <w:jc w:val="left"/>
              <w:rPr>
                <w:rFonts w:cstheme="minorHAnsi"/>
              </w:rPr>
            </w:pPr>
            <w:r w:rsidRPr="009B546D">
              <w:rPr>
                <w:rFonts w:cstheme="minorHAnsi"/>
              </w:rPr>
              <w:t>Retained earnings</w:t>
            </w:r>
          </w:p>
        </w:tc>
        <w:tc>
          <w:tcPr>
            <w:tcW w:w="851" w:type="dxa"/>
            <w:shd w:val="clear" w:color="auto" w:fill="auto"/>
          </w:tcPr>
          <w:p w14:paraId="66AFA398" w14:textId="77777777" w:rsidR="001902F4" w:rsidRPr="009B546D" w:rsidRDefault="001902F4" w:rsidP="004A12EB">
            <w:pPr>
              <w:tabs>
                <w:tab w:val="decimal" w:pos="497"/>
              </w:tabs>
              <w:spacing w:after="0" w:line="240" w:lineRule="auto"/>
              <w:rPr>
                <w:rFonts w:cstheme="minorHAnsi"/>
              </w:rPr>
            </w:pPr>
          </w:p>
        </w:tc>
        <w:tc>
          <w:tcPr>
            <w:tcW w:w="1559" w:type="dxa"/>
            <w:shd w:val="clear" w:color="auto" w:fill="auto"/>
          </w:tcPr>
          <w:p w14:paraId="7B23DA87" w14:textId="77777777" w:rsidR="001902F4" w:rsidRPr="009B546D" w:rsidRDefault="001902F4" w:rsidP="004A12EB">
            <w:pPr>
              <w:tabs>
                <w:tab w:val="decimal" w:pos="1173"/>
              </w:tabs>
              <w:spacing w:after="0" w:line="240" w:lineRule="auto"/>
              <w:rPr>
                <w:rFonts w:cstheme="minorHAnsi"/>
              </w:rPr>
            </w:pPr>
          </w:p>
        </w:tc>
        <w:tc>
          <w:tcPr>
            <w:tcW w:w="1134" w:type="dxa"/>
            <w:shd w:val="clear" w:color="auto" w:fill="auto"/>
          </w:tcPr>
          <w:p w14:paraId="298364DB" w14:textId="77777777" w:rsidR="001902F4" w:rsidRPr="009B546D" w:rsidRDefault="001902F4" w:rsidP="004A12EB">
            <w:pPr>
              <w:tabs>
                <w:tab w:val="decimal" w:pos="1307"/>
              </w:tabs>
              <w:spacing w:after="0" w:line="240" w:lineRule="auto"/>
              <w:rPr>
                <w:rFonts w:cstheme="minorHAnsi"/>
              </w:rPr>
            </w:pPr>
            <w:r w:rsidRPr="009B546D">
              <w:rPr>
                <w:rFonts w:cstheme="minorHAnsi"/>
              </w:rPr>
              <w:t>429,461</w:t>
            </w:r>
          </w:p>
        </w:tc>
      </w:tr>
      <w:tr w:rsidR="001902F4" w:rsidRPr="009B546D" w14:paraId="55BF7EE5" w14:textId="77777777" w:rsidTr="00EA2BB6">
        <w:tc>
          <w:tcPr>
            <w:tcW w:w="5778" w:type="dxa"/>
            <w:shd w:val="clear" w:color="auto" w:fill="auto"/>
          </w:tcPr>
          <w:p w14:paraId="73E26274" w14:textId="77777777" w:rsidR="001902F4" w:rsidRPr="009B546D" w:rsidRDefault="001902F4" w:rsidP="004A12EB">
            <w:pPr>
              <w:spacing w:after="0" w:line="240" w:lineRule="auto"/>
              <w:jc w:val="left"/>
              <w:rPr>
                <w:rFonts w:cstheme="minorHAnsi"/>
              </w:rPr>
            </w:pPr>
          </w:p>
        </w:tc>
        <w:tc>
          <w:tcPr>
            <w:tcW w:w="851" w:type="dxa"/>
            <w:shd w:val="clear" w:color="auto" w:fill="auto"/>
          </w:tcPr>
          <w:p w14:paraId="4EE7E903" w14:textId="77777777" w:rsidR="001902F4" w:rsidRPr="009B546D" w:rsidRDefault="001902F4" w:rsidP="004A12EB">
            <w:pPr>
              <w:tabs>
                <w:tab w:val="decimal" w:pos="497"/>
              </w:tabs>
              <w:spacing w:after="0" w:line="240" w:lineRule="auto"/>
              <w:rPr>
                <w:rFonts w:cstheme="minorHAnsi"/>
              </w:rPr>
            </w:pPr>
          </w:p>
        </w:tc>
        <w:tc>
          <w:tcPr>
            <w:tcW w:w="1559" w:type="dxa"/>
            <w:shd w:val="clear" w:color="auto" w:fill="auto"/>
          </w:tcPr>
          <w:p w14:paraId="31E2EF15" w14:textId="77777777" w:rsidR="001902F4" w:rsidRPr="009B546D" w:rsidRDefault="001902F4" w:rsidP="004A12EB">
            <w:pPr>
              <w:tabs>
                <w:tab w:val="decimal" w:pos="1173"/>
              </w:tabs>
              <w:spacing w:after="0" w:line="240" w:lineRule="auto"/>
              <w:rPr>
                <w:rFonts w:cstheme="minorHAnsi"/>
              </w:rPr>
            </w:pPr>
          </w:p>
        </w:tc>
        <w:tc>
          <w:tcPr>
            <w:tcW w:w="1134" w:type="dxa"/>
            <w:shd w:val="clear" w:color="auto" w:fill="auto"/>
          </w:tcPr>
          <w:p w14:paraId="69FACE0C" w14:textId="77777777" w:rsidR="001902F4" w:rsidRPr="009B546D" w:rsidRDefault="001902F4" w:rsidP="004A12EB">
            <w:pPr>
              <w:tabs>
                <w:tab w:val="decimal" w:pos="1307"/>
              </w:tabs>
              <w:spacing w:after="0" w:line="240" w:lineRule="auto"/>
              <w:rPr>
                <w:rFonts w:cstheme="minorHAnsi"/>
              </w:rPr>
            </w:pPr>
            <w:r w:rsidRPr="009B546D">
              <w:rPr>
                <w:rFonts w:cstheme="minorHAnsi"/>
              </w:rPr>
              <w:t>_________</w:t>
            </w:r>
          </w:p>
        </w:tc>
      </w:tr>
      <w:tr w:rsidR="001902F4" w:rsidRPr="009B546D" w14:paraId="6AE2CCD9" w14:textId="77777777" w:rsidTr="00EA2BB6">
        <w:tc>
          <w:tcPr>
            <w:tcW w:w="5778" w:type="dxa"/>
            <w:shd w:val="clear" w:color="auto" w:fill="auto"/>
          </w:tcPr>
          <w:p w14:paraId="2E73FD8B" w14:textId="77777777" w:rsidR="001902F4" w:rsidRPr="009B546D" w:rsidRDefault="001902F4" w:rsidP="004A12EB">
            <w:pPr>
              <w:spacing w:after="0" w:line="240" w:lineRule="auto"/>
              <w:jc w:val="left"/>
              <w:rPr>
                <w:rFonts w:cstheme="minorHAnsi"/>
              </w:rPr>
            </w:pPr>
          </w:p>
        </w:tc>
        <w:tc>
          <w:tcPr>
            <w:tcW w:w="851" w:type="dxa"/>
            <w:shd w:val="clear" w:color="auto" w:fill="auto"/>
          </w:tcPr>
          <w:p w14:paraId="32D29BFB" w14:textId="77777777" w:rsidR="001902F4" w:rsidRPr="009B546D" w:rsidRDefault="001902F4" w:rsidP="004A12EB">
            <w:pPr>
              <w:tabs>
                <w:tab w:val="decimal" w:pos="497"/>
              </w:tabs>
              <w:spacing w:after="0" w:line="240" w:lineRule="auto"/>
              <w:rPr>
                <w:rFonts w:cstheme="minorHAnsi"/>
                <w:b/>
              </w:rPr>
            </w:pPr>
          </w:p>
        </w:tc>
        <w:tc>
          <w:tcPr>
            <w:tcW w:w="1559" w:type="dxa"/>
            <w:shd w:val="clear" w:color="auto" w:fill="auto"/>
          </w:tcPr>
          <w:p w14:paraId="54B6C7E5"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031F829F" w14:textId="77777777" w:rsidR="001902F4" w:rsidRPr="009B546D" w:rsidRDefault="001902F4" w:rsidP="004A12EB">
            <w:pPr>
              <w:tabs>
                <w:tab w:val="decimal" w:pos="1307"/>
              </w:tabs>
              <w:spacing w:after="0" w:line="240" w:lineRule="auto"/>
              <w:rPr>
                <w:rFonts w:cstheme="minorHAnsi"/>
                <w:b/>
              </w:rPr>
            </w:pPr>
          </w:p>
        </w:tc>
      </w:tr>
      <w:tr w:rsidR="001902F4" w:rsidRPr="009B546D" w14:paraId="76165739" w14:textId="77777777" w:rsidTr="00EA2BB6">
        <w:tc>
          <w:tcPr>
            <w:tcW w:w="5778" w:type="dxa"/>
            <w:shd w:val="clear" w:color="auto" w:fill="auto"/>
          </w:tcPr>
          <w:p w14:paraId="19D99ECB" w14:textId="77777777" w:rsidR="001902F4" w:rsidRPr="009B546D" w:rsidRDefault="001902F4" w:rsidP="004A12EB">
            <w:pPr>
              <w:spacing w:after="0" w:line="240" w:lineRule="auto"/>
              <w:jc w:val="left"/>
              <w:rPr>
                <w:rFonts w:cstheme="minorHAnsi"/>
                <w:b/>
              </w:rPr>
            </w:pPr>
            <w:r w:rsidRPr="009B546D">
              <w:rPr>
                <w:rFonts w:cstheme="minorHAnsi"/>
                <w:b/>
              </w:rPr>
              <w:t>Total shareholders’ equity</w:t>
            </w:r>
          </w:p>
        </w:tc>
        <w:tc>
          <w:tcPr>
            <w:tcW w:w="851" w:type="dxa"/>
            <w:shd w:val="clear" w:color="auto" w:fill="auto"/>
          </w:tcPr>
          <w:p w14:paraId="4CAD82D3" w14:textId="77777777" w:rsidR="001902F4" w:rsidRPr="009B546D" w:rsidRDefault="001902F4" w:rsidP="004A12EB">
            <w:pPr>
              <w:tabs>
                <w:tab w:val="decimal" w:pos="497"/>
              </w:tabs>
              <w:spacing w:after="0" w:line="240" w:lineRule="auto"/>
              <w:jc w:val="left"/>
              <w:rPr>
                <w:rFonts w:cstheme="minorHAnsi"/>
                <w:b/>
              </w:rPr>
            </w:pPr>
          </w:p>
        </w:tc>
        <w:tc>
          <w:tcPr>
            <w:tcW w:w="1559" w:type="dxa"/>
            <w:shd w:val="clear" w:color="auto" w:fill="auto"/>
          </w:tcPr>
          <w:p w14:paraId="3780B185"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5F26FF20" w14:textId="77777777" w:rsidR="001902F4" w:rsidRPr="009B546D" w:rsidRDefault="001902F4" w:rsidP="004A12EB">
            <w:pPr>
              <w:tabs>
                <w:tab w:val="decimal" w:pos="1307"/>
              </w:tabs>
              <w:spacing w:after="0" w:line="240" w:lineRule="auto"/>
              <w:rPr>
                <w:rFonts w:cstheme="minorHAnsi"/>
                <w:b/>
              </w:rPr>
            </w:pPr>
            <w:r w:rsidRPr="009B546D">
              <w:rPr>
                <w:rFonts w:cstheme="minorHAnsi"/>
                <w:b/>
              </w:rPr>
              <w:t>479,561</w:t>
            </w:r>
          </w:p>
        </w:tc>
      </w:tr>
      <w:tr w:rsidR="001902F4" w:rsidRPr="009B546D" w14:paraId="3F143BF2" w14:textId="77777777" w:rsidTr="00EA2BB6">
        <w:tc>
          <w:tcPr>
            <w:tcW w:w="5778" w:type="dxa"/>
            <w:shd w:val="clear" w:color="auto" w:fill="auto"/>
          </w:tcPr>
          <w:p w14:paraId="521D156D" w14:textId="77777777" w:rsidR="001902F4" w:rsidRPr="009B546D" w:rsidRDefault="001902F4" w:rsidP="004A12EB">
            <w:pPr>
              <w:spacing w:after="0" w:line="240" w:lineRule="auto"/>
              <w:jc w:val="left"/>
              <w:rPr>
                <w:rFonts w:cstheme="minorHAnsi"/>
              </w:rPr>
            </w:pPr>
          </w:p>
        </w:tc>
        <w:tc>
          <w:tcPr>
            <w:tcW w:w="851" w:type="dxa"/>
            <w:shd w:val="clear" w:color="auto" w:fill="auto"/>
          </w:tcPr>
          <w:p w14:paraId="40CBC9D8" w14:textId="77777777" w:rsidR="001902F4" w:rsidRPr="009B546D" w:rsidRDefault="001902F4" w:rsidP="004A12EB">
            <w:pPr>
              <w:tabs>
                <w:tab w:val="decimal" w:pos="497"/>
              </w:tabs>
              <w:spacing w:after="0" w:line="240" w:lineRule="auto"/>
              <w:jc w:val="left"/>
              <w:rPr>
                <w:rFonts w:cstheme="minorHAnsi"/>
              </w:rPr>
            </w:pPr>
          </w:p>
        </w:tc>
        <w:tc>
          <w:tcPr>
            <w:tcW w:w="1559" w:type="dxa"/>
            <w:shd w:val="clear" w:color="auto" w:fill="auto"/>
          </w:tcPr>
          <w:p w14:paraId="650B35BD" w14:textId="77777777" w:rsidR="001902F4" w:rsidRPr="009B546D" w:rsidRDefault="001902F4" w:rsidP="004A12EB">
            <w:pPr>
              <w:tabs>
                <w:tab w:val="decimal" w:pos="1173"/>
              </w:tabs>
              <w:spacing w:after="0" w:line="240" w:lineRule="auto"/>
              <w:rPr>
                <w:rFonts w:cstheme="minorHAnsi"/>
                <w:b/>
              </w:rPr>
            </w:pPr>
          </w:p>
        </w:tc>
        <w:tc>
          <w:tcPr>
            <w:tcW w:w="1134" w:type="dxa"/>
            <w:shd w:val="clear" w:color="auto" w:fill="auto"/>
          </w:tcPr>
          <w:p w14:paraId="7A197E6E" w14:textId="77777777" w:rsidR="001902F4" w:rsidRPr="009B546D" w:rsidRDefault="001902F4" w:rsidP="004A12EB">
            <w:pPr>
              <w:tabs>
                <w:tab w:val="decimal" w:pos="1307"/>
              </w:tabs>
              <w:spacing w:after="0" w:line="240" w:lineRule="auto"/>
              <w:rPr>
                <w:rFonts w:cstheme="minorHAnsi"/>
                <w:b/>
              </w:rPr>
            </w:pPr>
            <w:r w:rsidRPr="009B546D">
              <w:rPr>
                <w:rFonts w:cstheme="minorHAnsi"/>
                <w:u w:val="double"/>
              </w:rPr>
              <w:t>_________</w:t>
            </w:r>
          </w:p>
        </w:tc>
      </w:tr>
    </w:tbl>
    <w:p w14:paraId="79F915D7" w14:textId="77777777" w:rsidR="001C6F66" w:rsidRPr="009B546D" w:rsidRDefault="001C6F66" w:rsidP="00F432B9">
      <w:pPr>
        <w:spacing w:after="0" w:line="240" w:lineRule="auto"/>
        <w:jc w:val="left"/>
        <w:rPr>
          <w:rFonts w:cstheme="minorHAnsi"/>
          <w:b/>
        </w:rPr>
      </w:pPr>
      <w:r w:rsidRPr="009B546D">
        <w:rPr>
          <w:rFonts w:cstheme="minorHAnsi"/>
          <w:b/>
        </w:rPr>
        <w:br w:type="page"/>
      </w:r>
    </w:p>
    <w:p w14:paraId="63C7C214" w14:textId="77777777" w:rsidR="001C6F66" w:rsidRPr="009B546D" w:rsidRDefault="001C6F66" w:rsidP="00F432B9">
      <w:pPr>
        <w:spacing w:line="240" w:lineRule="auto"/>
        <w:rPr>
          <w:rFonts w:cstheme="minorHAnsi"/>
          <w:b/>
        </w:rPr>
      </w:pPr>
      <w:r w:rsidRPr="009B546D">
        <w:rPr>
          <w:rFonts w:cstheme="minorHAnsi"/>
          <w:b/>
        </w:rPr>
        <w:lastRenderedPageBreak/>
        <w:t>Statement of changes in equity</w:t>
      </w:r>
    </w:p>
    <w:p w14:paraId="016D658B" w14:textId="77777777" w:rsidR="001C6F66" w:rsidRPr="009B546D" w:rsidRDefault="001C6F66" w:rsidP="00F432B9">
      <w:pPr>
        <w:spacing w:line="240" w:lineRule="auto"/>
        <w:rPr>
          <w:rFonts w:cstheme="minorHAnsi"/>
        </w:rPr>
      </w:pPr>
      <w:r w:rsidRPr="009B546D">
        <w:rPr>
          <w:rFonts w:cstheme="minorHAnsi"/>
          <w:b/>
        </w:rPr>
        <w:t>For the period from incorporation on 17 April 2018 to 30 April 2019</w:t>
      </w:r>
    </w:p>
    <w:p w14:paraId="5CDD24AA" w14:textId="77777777" w:rsidR="001C6F66" w:rsidRPr="009B546D" w:rsidRDefault="001C6F66" w:rsidP="00F432B9">
      <w:pPr>
        <w:pBdr>
          <w:bottom w:val="single" w:sz="6" w:space="1" w:color="auto"/>
        </w:pBdr>
        <w:spacing w:line="240" w:lineRule="auto"/>
        <w:jc w:val="right"/>
        <w:rPr>
          <w:rFonts w:cstheme="minorHAnsi"/>
        </w:rPr>
      </w:pPr>
    </w:p>
    <w:p w14:paraId="2AD47D2E" w14:textId="77777777" w:rsidR="001C6F66" w:rsidRPr="009B546D" w:rsidRDefault="001C6F66" w:rsidP="00F432B9">
      <w:pPr>
        <w:tabs>
          <w:tab w:val="decimal" w:pos="8504"/>
          <w:tab w:val="decimal" w:pos="9921"/>
        </w:tabs>
        <w:spacing w:line="240" w:lineRule="auto"/>
        <w:rPr>
          <w:rFonts w:cstheme="minorHAnsi"/>
        </w:rPr>
      </w:pPr>
    </w:p>
    <w:tbl>
      <w:tblPr>
        <w:tblW w:w="9889" w:type="dxa"/>
        <w:tblInd w:w="-108" w:type="dxa"/>
        <w:tblLayout w:type="fixed"/>
        <w:tblLook w:val="0000" w:firstRow="0" w:lastRow="0" w:firstColumn="0" w:lastColumn="0" w:noHBand="0" w:noVBand="0"/>
      </w:tblPr>
      <w:tblGrid>
        <w:gridCol w:w="3369"/>
        <w:gridCol w:w="1275"/>
        <w:gridCol w:w="426"/>
        <w:gridCol w:w="1134"/>
        <w:gridCol w:w="567"/>
        <w:gridCol w:w="1134"/>
        <w:gridCol w:w="425"/>
        <w:gridCol w:w="850"/>
        <w:gridCol w:w="709"/>
      </w:tblGrid>
      <w:tr w:rsidR="001C6F66" w:rsidRPr="009B546D" w14:paraId="69B09F5B" w14:textId="77777777" w:rsidTr="00EA2BB6">
        <w:trPr>
          <w:trHeight w:val="70"/>
        </w:trPr>
        <w:tc>
          <w:tcPr>
            <w:tcW w:w="3369" w:type="dxa"/>
            <w:shd w:val="clear" w:color="auto" w:fill="auto"/>
          </w:tcPr>
          <w:p w14:paraId="34D31079" w14:textId="77777777" w:rsidR="001C6F66" w:rsidRPr="009B546D" w:rsidRDefault="001C6F66" w:rsidP="00F432B9">
            <w:pPr>
              <w:spacing w:line="240" w:lineRule="auto"/>
              <w:jc w:val="left"/>
              <w:rPr>
                <w:rFonts w:cstheme="minorHAnsi"/>
              </w:rPr>
            </w:pPr>
          </w:p>
        </w:tc>
        <w:tc>
          <w:tcPr>
            <w:tcW w:w="1701" w:type="dxa"/>
            <w:gridSpan w:val="2"/>
            <w:shd w:val="clear" w:color="auto" w:fill="auto"/>
          </w:tcPr>
          <w:p w14:paraId="202BC5BB" w14:textId="77777777" w:rsidR="001C6F66" w:rsidRPr="009B546D" w:rsidRDefault="001C6F66" w:rsidP="00F432B9">
            <w:pPr>
              <w:tabs>
                <w:tab w:val="decimal" w:pos="1230"/>
              </w:tabs>
              <w:spacing w:line="240" w:lineRule="auto"/>
              <w:rPr>
                <w:rFonts w:cstheme="minorHAnsi"/>
                <w:b/>
                <w:bCs/>
                <w:snapToGrid w:val="0"/>
                <w:color w:val="000000"/>
              </w:rPr>
            </w:pPr>
          </w:p>
        </w:tc>
        <w:tc>
          <w:tcPr>
            <w:tcW w:w="1701" w:type="dxa"/>
            <w:gridSpan w:val="2"/>
          </w:tcPr>
          <w:p w14:paraId="4A4D4D42" w14:textId="77777777" w:rsidR="001C6F66" w:rsidRPr="009B546D" w:rsidRDefault="001C6F66" w:rsidP="00F432B9">
            <w:pPr>
              <w:tabs>
                <w:tab w:val="decimal" w:pos="1230"/>
              </w:tabs>
              <w:spacing w:line="240" w:lineRule="auto"/>
              <w:rPr>
                <w:rFonts w:cstheme="minorHAnsi"/>
                <w:b/>
                <w:bCs/>
                <w:color w:val="000000"/>
              </w:rPr>
            </w:pPr>
          </w:p>
        </w:tc>
        <w:tc>
          <w:tcPr>
            <w:tcW w:w="1559" w:type="dxa"/>
            <w:gridSpan w:val="2"/>
            <w:shd w:val="clear" w:color="auto" w:fill="auto"/>
          </w:tcPr>
          <w:p w14:paraId="1299AAE8" w14:textId="77777777" w:rsidR="001C6F66" w:rsidRPr="009B546D" w:rsidRDefault="001C6F66" w:rsidP="00F432B9">
            <w:pPr>
              <w:tabs>
                <w:tab w:val="decimal" w:pos="1230"/>
              </w:tabs>
              <w:spacing w:line="240" w:lineRule="auto"/>
              <w:rPr>
                <w:rFonts w:cstheme="minorHAnsi"/>
                <w:b/>
                <w:bCs/>
                <w:color w:val="000000"/>
              </w:rPr>
            </w:pPr>
          </w:p>
        </w:tc>
        <w:tc>
          <w:tcPr>
            <w:tcW w:w="1559" w:type="dxa"/>
            <w:gridSpan w:val="2"/>
            <w:shd w:val="clear" w:color="auto" w:fill="auto"/>
          </w:tcPr>
          <w:p w14:paraId="2C3E3629" w14:textId="77777777" w:rsidR="001C6F66" w:rsidRPr="009B546D" w:rsidRDefault="001C6F66" w:rsidP="00F432B9">
            <w:pPr>
              <w:tabs>
                <w:tab w:val="decimal" w:pos="1230"/>
              </w:tabs>
              <w:spacing w:line="240" w:lineRule="auto"/>
              <w:rPr>
                <w:rFonts w:cstheme="minorHAnsi"/>
                <w:b/>
                <w:bCs/>
                <w:color w:val="000000"/>
              </w:rPr>
            </w:pPr>
          </w:p>
        </w:tc>
      </w:tr>
      <w:tr w:rsidR="001C6F66" w:rsidRPr="009B546D" w14:paraId="0EED5C17" w14:textId="77777777" w:rsidTr="00EA2BB6">
        <w:trPr>
          <w:gridAfter w:val="1"/>
          <w:wAfter w:w="709" w:type="dxa"/>
        </w:trPr>
        <w:tc>
          <w:tcPr>
            <w:tcW w:w="3369" w:type="dxa"/>
            <w:shd w:val="clear" w:color="auto" w:fill="auto"/>
          </w:tcPr>
          <w:p w14:paraId="37DE4571" w14:textId="77777777" w:rsidR="001C6F66" w:rsidRPr="009B546D" w:rsidRDefault="001C6F66" w:rsidP="00F432B9">
            <w:pPr>
              <w:spacing w:line="240" w:lineRule="auto"/>
              <w:jc w:val="left"/>
              <w:rPr>
                <w:rFonts w:cstheme="minorHAnsi"/>
              </w:rPr>
            </w:pPr>
          </w:p>
        </w:tc>
        <w:tc>
          <w:tcPr>
            <w:tcW w:w="1275" w:type="dxa"/>
            <w:shd w:val="clear" w:color="auto" w:fill="auto"/>
          </w:tcPr>
          <w:p w14:paraId="651AE2A8" w14:textId="77777777" w:rsidR="001C6F66" w:rsidRPr="009B546D" w:rsidRDefault="001C6F66" w:rsidP="00F432B9">
            <w:pPr>
              <w:tabs>
                <w:tab w:val="decimal" w:pos="1230"/>
              </w:tabs>
              <w:spacing w:line="240" w:lineRule="auto"/>
              <w:rPr>
                <w:rFonts w:cstheme="minorHAnsi"/>
                <w:b/>
                <w:bCs/>
                <w:snapToGrid w:val="0"/>
                <w:color w:val="000000"/>
              </w:rPr>
            </w:pPr>
            <w:r w:rsidRPr="009B546D">
              <w:rPr>
                <w:rFonts w:cstheme="minorHAnsi"/>
                <w:b/>
                <w:bCs/>
                <w:snapToGrid w:val="0"/>
                <w:color w:val="000000"/>
              </w:rPr>
              <w:t>Share</w:t>
            </w:r>
          </w:p>
        </w:tc>
        <w:tc>
          <w:tcPr>
            <w:tcW w:w="1560" w:type="dxa"/>
            <w:gridSpan w:val="2"/>
          </w:tcPr>
          <w:p w14:paraId="5376225E" w14:textId="77777777" w:rsidR="001C6F66" w:rsidRPr="009B546D" w:rsidRDefault="001C6F66" w:rsidP="00F432B9">
            <w:pPr>
              <w:tabs>
                <w:tab w:val="decimal" w:pos="1230"/>
              </w:tabs>
              <w:spacing w:line="240" w:lineRule="auto"/>
              <w:rPr>
                <w:rFonts w:cstheme="minorHAnsi"/>
                <w:b/>
                <w:bCs/>
                <w:color w:val="000000"/>
              </w:rPr>
            </w:pPr>
            <w:r w:rsidRPr="009B546D">
              <w:rPr>
                <w:rFonts w:cstheme="minorHAnsi"/>
                <w:b/>
                <w:bCs/>
                <w:color w:val="000000"/>
              </w:rPr>
              <w:t>Capital</w:t>
            </w:r>
          </w:p>
        </w:tc>
        <w:tc>
          <w:tcPr>
            <w:tcW w:w="1701" w:type="dxa"/>
            <w:gridSpan w:val="2"/>
            <w:shd w:val="clear" w:color="auto" w:fill="auto"/>
          </w:tcPr>
          <w:p w14:paraId="76115A18" w14:textId="77777777" w:rsidR="001C6F66" w:rsidRPr="009B546D" w:rsidRDefault="001C6F66" w:rsidP="00F432B9">
            <w:pPr>
              <w:tabs>
                <w:tab w:val="decimal" w:pos="1230"/>
              </w:tabs>
              <w:spacing w:line="240" w:lineRule="auto"/>
              <w:rPr>
                <w:rFonts w:cstheme="minorHAnsi"/>
                <w:b/>
                <w:bCs/>
                <w:color w:val="000000"/>
              </w:rPr>
            </w:pPr>
            <w:r w:rsidRPr="009B546D">
              <w:rPr>
                <w:rFonts w:cstheme="minorHAnsi"/>
                <w:b/>
                <w:bCs/>
                <w:color w:val="000000"/>
              </w:rPr>
              <w:t>Retained</w:t>
            </w:r>
          </w:p>
        </w:tc>
        <w:tc>
          <w:tcPr>
            <w:tcW w:w="1275" w:type="dxa"/>
            <w:gridSpan w:val="2"/>
            <w:shd w:val="clear" w:color="auto" w:fill="auto"/>
          </w:tcPr>
          <w:p w14:paraId="12BA44C8" w14:textId="77777777" w:rsidR="001C6F66" w:rsidRPr="009B546D" w:rsidRDefault="001C6F66" w:rsidP="00F432B9">
            <w:pPr>
              <w:tabs>
                <w:tab w:val="decimal" w:pos="1230"/>
              </w:tabs>
              <w:spacing w:line="240" w:lineRule="auto"/>
              <w:rPr>
                <w:rFonts w:cstheme="minorHAnsi"/>
                <w:b/>
                <w:bCs/>
                <w:color w:val="000000"/>
              </w:rPr>
            </w:pPr>
          </w:p>
        </w:tc>
      </w:tr>
      <w:tr w:rsidR="001C6F66" w:rsidRPr="009B546D" w14:paraId="6EF35701" w14:textId="77777777" w:rsidTr="00EA2BB6">
        <w:trPr>
          <w:gridAfter w:val="1"/>
          <w:wAfter w:w="709" w:type="dxa"/>
        </w:trPr>
        <w:tc>
          <w:tcPr>
            <w:tcW w:w="3369" w:type="dxa"/>
            <w:shd w:val="clear" w:color="auto" w:fill="auto"/>
          </w:tcPr>
          <w:p w14:paraId="42F29102" w14:textId="77777777" w:rsidR="001C6F66" w:rsidRPr="009B546D" w:rsidRDefault="001C6F66" w:rsidP="00F432B9">
            <w:pPr>
              <w:spacing w:line="240" w:lineRule="auto"/>
              <w:jc w:val="left"/>
              <w:rPr>
                <w:rFonts w:cstheme="minorHAnsi"/>
              </w:rPr>
            </w:pPr>
          </w:p>
        </w:tc>
        <w:tc>
          <w:tcPr>
            <w:tcW w:w="1275" w:type="dxa"/>
            <w:shd w:val="clear" w:color="auto" w:fill="auto"/>
          </w:tcPr>
          <w:p w14:paraId="6EB1CB79" w14:textId="77777777" w:rsidR="001C6F66" w:rsidRPr="009B546D" w:rsidRDefault="001C6F66" w:rsidP="00F432B9">
            <w:pPr>
              <w:tabs>
                <w:tab w:val="decimal" w:pos="1230"/>
              </w:tabs>
              <w:spacing w:line="240" w:lineRule="auto"/>
              <w:rPr>
                <w:rFonts w:cstheme="minorHAnsi"/>
                <w:b/>
              </w:rPr>
            </w:pPr>
            <w:r w:rsidRPr="009B546D">
              <w:rPr>
                <w:rFonts w:cstheme="minorHAnsi"/>
                <w:b/>
              </w:rPr>
              <w:t>Capital</w:t>
            </w:r>
          </w:p>
        </w:tc>
        <w:tc>
          <w:tcPr>
            <w:tcW w:w="1560" w:type="dxa"/>
            <w:gridSpan w:val="2"/>
          </w:tcPr>
          <w:p w14:paraId="35D7C151" w14:textId="77777777" w:rsidR="001C6F66" w:rsidRPr="009B546D" w:rsidRDefault="001C6F66" w:rsidP="00F432B9">
            <w:pPr>
              <w:tabs>
                <w:tab w:val="decimal" w:pos="1230"/>
              </w:tabs>
              <w:spacing w:line="240" w:lineRule="auto"/>
              <w:rPr>
                <w:rFonts w:cstheme="minorHAnsi"/>
                <w:b/>
              </w:rPr>
            </w:pPr>
            <w:r w:rsidRPr="009B546D">
              <w:rPr>
                <w:rFonts w:cstheme="minorHAnsi"/>
                <w:b/>
              </w:rPr>
              <w:t>Contribution</w:t>
            </w:r>
          </w:p>
        </w:tc>
        <w:tc>
          <w:tcPr>
            <w:tcW w:w="1701" w:type="dxa"/>
            <w:gridSpan w:val="2"/>
            <w:shd w:val="clear" w:color="auto" w:fill="auto"/>
          </w:tcPr>
          <w:p w14:paraId="31200AAE" w14:textId="77777777" w:rsidR="001C6F66" w:rsidRPr="009B546D" w:rsidRDefault="001C6F66" w:rsidP="00F432B9">
            <w:pPr>
              <w:tabs>
                <w:tab w:val="decimal" w:pos="1230"/>
              </w:tabs>
              <w:spacing w:line="240" w:lineRule="auto"/>
              <w:rPr>
                <w:rFonts w:cstheme="minorHAnsi"/>
                <w:b/>
              </w:rPr>
            </w:pPr>
            <w:r w:rsidRPr="009B546D">
              <w:rPr>
                <w:rFonts w:cstheme="minorHAnsi"/>
                <w:b/>
              </w:rPr>
              <w:t>Earnings</w:t>
            </w:r>
          </w:p>
        </w:tc>
        <w:tc>
          <w:tcPr>
            <w:tcW w:w="1275" w:type="dxa"/>
            <w:gridSpan w:val="2"/>
            <w:shd w:val="clear" w:color="auto" w:fill="auto"/>
          </w:tcPr>
          <w:p w14:paraId="35468F47" w14:textId="77777777" w:rsidR="001C6F66" w:rsidRPr="009B546D" w:rsidRDefault="001C6F66" w:rsidP="00F432B9">
            <w:pPr>
              <w:tabs>
                <w:tab w:val="decimal" w:pos="1230"/>
              </w:tabs>
              <w:spacing w:line="240" w:lineRule="auto"/>
              <w:rPr>
                <w:rFonts w:cstheme="minorHAnsi"/>
                <w:b/>
              </w:rPr>
            </w:pPr>
            <w:r w:rsidRPr="009B546D">
              <w:rPr>
                <w:rFonts w:cstheme="minorHAnsi"/>
                <w:b/>
              </w:rPr>
              <w:t>Total</w:t>
            </w:r>
          </w:p>
        </w:tc>
      </w:tr>
      <w:tr w:rsidR="001C6F66" w:rsidRPr="009B546D" w14:paraId="7B8DF33D" w14:textId="77777777" w:rsidTr="00EA2BB6">
        <w:trPr>
          <w:gridAfter w:val="1"/>
          <w:wAfter w:w="709" w:type="dxa"/>
        </w:trPr>
        <w:tc>
          <w:tcPr>
            <w:tcW w:w="3369" w:type="dxa"/>
            <w:shd w:val="clear" w:color="auto" w:fill="auto"/>
          </w:tcPr>
          <w:p w14:paraId="085DB4C2" w14:textId="77777777" w:rsidR="001C6F66" w:rsidRPr="009B546D" w:rsidRDefault="001C6F66" w:rsidP="00F432B9">
            <w:pPr>
              <w:spacing w:line="240" w:lineRule="auto"/>
              <w:jc w:val="left"/>
              <w:rPr>
                <w:rFonts w:cstheme="minorHAnsi"/>
                <w:color w:val="000000"/>
              </w:rPr>
            </w:pPr>
          </w:p>
        </w:tc>
        <w:tc>
          <w:tcPr>
            <w:tcW w:w="1275" w:type="dxa"/>
            <w:shd w:val="clear" w:color="auto" w:fill="auto"/>
          </w:tcPr>
          <w:p w14:paraId="0DEC1F77" w14:textId="77777777" w:rsidR="001C6F66" w:rsidRPr="009B546D" w:rsidRDefault="001C6F66" w:rsidP="00F432B9">
            <w:pPr>
              <w:tabs>
                <w:tab w:val="decimal" w:pos="1230"/>
              </w:tabs>
              <w:spacing w:line="240" w:lineRule="auto"/>
              <w:rPr>
                <w:rFonts w:cstheme="minorHAnsi"/>
                <w:b/>
              </w:rPr>
            </w:pPr>
            <w:r w:rsidRPr="009B546D">
              <w:rPr>
                <w:rFonts w:cstheme="minorHAnsi"/>
                <w:b/>
              </w:rPr>
              <w:t>RM</w:t>
            </w:r>
          </w:p>
        </w:tc>
        <w:tc>
          <w:tcPr>
            <w:tcW w:w="1560" w:type="dxa"/>
            <w:gridSpan w:val="2"/>
          </w:tcPr>
          <w:p w14:paraId="367FD96B" w14:textId="77777777" w:rsidR="001C6F66" w:rsidRPr="009B546D" w:rsidRDefault="001C6F66" w:rsidP="00F432B9">
            <w:pPr>
              <w:tabs>
                <w:tab w:val="decimal" w:pos="1230"/>
              </w:tabs>
              <w:spacing w:line="240" w:lineRule="auto"/>
              <w:rPr>
                <w:rFonts w:cstheme="minorHAnsi"/>
                <w:b/>
              </w:rPr>
            </w:pPr>
            <w:r w:rsidRPr="009B546D">
              <w:rPr>
                <w:rFonts w:cstheme="minorHAnsi"/>
                <w:b/>
              </w:rPr>
              <w:t>RM</w:t>
            </w:r>
          </w:p>
        </w:tc>
        <w:tc>
          <w:tcPr>
            <w:tcW w:w="1701" w:type="dxa"/>
            <w:gridSpan w:val="2"/>
            <w:shd w:val="clear" w:color="auto" w:fill="auto"/>
          </w:tcPr>
          <w:p w14:paraId="61C4B8C2" w14:textId="77777777" w:rsidR="001C6F66" w:rsidRPr="009B546D" w:rsidRDefault="001C6F66" w:rsidP="00F432B9">
            <w:pPr>
              <w:tabs>
                <w:tab w:val="decimal" w:pos="1230"/>
              </w:tabs>
              <w:spacing w:line="240" w:lineRule="auto"/>
              <w:rPr>
                <w:rFonts w:cstheme="minorHAnsi"/>
                <w:b/>
              </w:rPr>
            </w:pPr>
            <w:r w:rsidRPr="009B546D">
              <w:rPr>
                <w:rFonts w:cstheme="minorHAnsi"/>
                <w:b/>
              </w:rPr>
              <w:t>RM</w:t>
            </w:r>
          </w:p>
        </w:tc>
        <w:tc>
          <w:tcPr>
            <w:tcW w:w="1275" w:type="dxa"/>
            <w:gridSpan w:val="2"/>
            <w:shd w:val="clear" w:color="auto" w:fill="auto"/>
          </w:tcPr>
          <w:p w14:paraId="52F0D0FA" w14:textId="77777777" w:rsidR="001C6F66" w:rsidRPr="009B546D" w:rsidRDefault="001C6F66" w:rsidP="00F432B9">
            <w:pPr>
              <w:tabs>
                <w:tab w:val="decimal" w:pos="1230"/>
              </w:tabs>
              <w:spacing w:line="240" w:lineRule="auto"/>
              <w:rPr>
                <w:rFonts w:cstheme="minorHAnsi"/>
                <w:b/>
              </w:rPr>
            </w:pPr>
            <w:r w:rsidRPr="009B546D">
              <w:rPr>
                <w:rFonts w:cstheme="minorHAnsi"/>
                <w:b/>
              </w:rPr>
              <w:t>RM</w:t>
            </w:r>
          </w:p>
        </w:tc>
      </w:tr>
      <w:tr w:rsidR="001C6F66" w:rsidRPr="009B546D" w14:paraId="30601DCB" w14:textId="77777777" w:rsidTr="00EA2BB6">
        <w:trPr>
          <w:gridAfter w:val="1"/>
          <w:wAfter w:w="709" w:type="dxa"/>
        </w:trPr>
        <w:tc>
          <w:tcPr>
            <w:tcW w:w="3369" w:type="dxa"/>
            <w:shd w:val="clear" w:color="auto" w:fill="auto"/>
          </w:tcPr>
          <w:p w14:paraId="0FB964FF" w14:textId="77777777" w:rsidR="001C6F66" w:rsidRPr="009B546D" w:rsidRDefault="001C6F66" w:rsidP="00F432B9">
            <w:pPr>
              <w:spacing w:line="240" w:lineRule="auto"/>
              <w:jc w:val="left"/>
              <w:rPr>
                <w:rFonts w:cstheme="minorHAnsi"/>
                <w:snapToGrid w:val="0"/>
                <w:color w:val="000000"/>
              </w:rPr>
            </w:pPr>
          </w:p>
        </w:tc>
        <w:tc>
          <w:tcPr>
            <w:tcW w:w="1275" w:type="dxa"/>
            <w:shd w:val="clear" w:color="auto" w:fill="auto"/>
          </w:tcPr>
          <w:p w14:paraId="56644B99" w14:textId="77777777" w:rsidR="001C6F66" w:rsidRPr="009B546D" w:rsidRDefault="001C6F66" w:rsidP="00F432B9">
            <w:pPr>
              <w:tabs>
                <w:tab w:val="decimal" w:pos="1230"/>
              </w:tabs>
              <w:spacing w:line="240" w:lineRule="auto"/>
              <w:rPr>
                <w:rFonts w:cstheme="minorHAnsi"/>
              </w:rPr>
            </w:pPr>
          </w:p>
        </w:tc>
        <w:tc>
          <w:tcPr>
            <w:tcW w:w="1560" w:type="dxa"/>
            <w:gridSpan w:val="2"/>
          </w:tcPr>
          <w:p w14:paraId="60B518ED" w14:textId="77777777" w:rsidR="001C6F66" w:rsidRPr="009B546D" w:rsidRDefault="001C6F66" w:rsidP="00F432B9">
            <w:pPr>
              <w:tabs>
                <w:tab w:val="decimal" w:pos="1230"/>
              </w:tabs>
              <w:spacing w:line="240" w:lineRule="auto"/>
              <w:rPr>
                <w:rFonts w:cstheme="minorHAnsi"/>
              </w:rPr>
            </w:pPr>
          </w:p>
        </w:tc>
        <w:tc>
          <w:tcPr>
            <w:tcW w:w="1701" w:type="dxa"/>
            <w:gridSpan w:val="2"/>
            <w:shd w:val="clear" w:color="auto" w:fill="auto"/>
          </w:tcPr>
          <w:p w14:paraId="1E8A2EF7" w14:textId="77777777" w:rsidR="001C6F66" w:rsidRPr="009B546D" w:rsidRDefault="001C6F66" w:rsidP="00F432B9">
            <w:pPr>
              <w:tabs>
                <w:tab w:val="decimal" w:pos="1230"/>
              </w:tabs>
              <w:spacing w:line="240" w:lineRule="auto"/>
              <w:rPr>
                <w:rFonts w:cstheme="minorHAnsi"/>
              </w:rPr>
            </w:pPr>
          </w:p>
        </w:tc>
        <w:tc>
          <w:tcPr>
            <w:tcW w:w="1275" w:type="dxa"/>
            <w:gridSpan w:val="2"/>
            <w:shd w:val="clear" w:color="auto" w:fill="auto"/>
          </w:tcPr>
          <w:p w14:paraId="36387EAA" w14:textId="77777777" w:rsidR="001C6F66" w:rsidRPr="009B546D" w:rsidRDefault="001C6F66" w:rsidP="00F432B9">
            <w:pPr>
              <w:tabs>
                <w:tab w:val="decimal" w:pos="1230"/>
              </w:tabs>
              <w:spacing w:line="240" w:lineRule="auto"/>
              <w:rPr>
                <w:rFonts w:cstheme="minorHAnsi"/>
              </w:rPr>
            </w:pPr>
          </w:p>
        </w:tc>
      </w:tr>
      <w:tr w:rsidR="001C6F66" w:rsidRPr="009B546D" w14:paraId="109B9AEF" w14:textId="77777777" w:rsidTr="00EA2BB6">
        <w:trPr>
          <w:gridAfter w:val="1"/>
          <w:wAfter w:w="709" w:type="dxa"/>
        </w:trPr>
        <w:tc>
          <w:tcPr>
            <w:tcW w:w="3369" w:type="dxa"/>
            <w:shd w:val="clear" w:color="auto" w:fill="auto"/>
          </w:tcPr>
          <w:p w14:paraId="7263CD02" w14:textId="77777777" w:rsidR="001C6F66" w:rsidRPr="009B546D" w:rsidRDefault="001C6F66" w:rsidP="00F432B9">
            <w:pPr>
              <w:spacing w:line="240" w:lineRule="auto"/>
              <w:jc w:val="left"/>
              <w:rPr>
                <w:rFonts w:cstheme="minorHAnsi"/>
                <w:color w:val="000000"/>
              </w:rPr>
            </w:pPr>
            <w:r w:rsidRPr="009B546D">
              <w:rPr>
                <w:rFonts w:cstheme="minorHAnsi"/>
                <w:color w:val="000000"/>
              </w:rPr>
              <w:t>As at 17 April 2018 (Date of incorporation)</w:t>
            </w:r>
          </w:p>
        </w:tc>
        <w:tc>
          <w:tcPr>
            <w:tcW w:w="1275" w:type="dxa"/>
            <w:shd w:val="clear" w:color="auto" w:fill="auto"/>
          </w:tcPr>
          <w:p w14:paraId="79BCC4E0" w14:textId="77777777" w:rsidR="001C6F66" w:rsidRPr="009B546D" w:rsidRDefault="001C6F66" w:rsidP="00F432B9">
            <w:pPr>
              <w:tabs>
                <w:tab w:val="decimal" w:pos="1230"/>
              </w:tabs>
              <w:spacing w:line="240" w:lineRule="auto"/>
              <w:rPr>
                <w:rFonts w:cstheme="minorHAnsi"/>
              </w:rPr>
            </w:pPr>
            <w:r w:rsidRPr="009B546D">
              <w:rPr>
                <w:rFonts w:cstheme="minorHAnsi"/>
              </w:rPr>
              <w:t>100</w:t>
            </w:r>
          </w:p>
        </w:tc>
        <w:tc>
          <w:tcPr>
            <w:tcW w:w="1560" w:type="dxa"/>
            <w:gridSpan w:val="2"/>
          </w:tcPr>
          <w:p w14:paraId="59D9CF04" w14:textId="77777777" w:rsidR="001C6F66" w:rsidRPr="009B546D" w:rsidRDefault="001C6F66" w:rsidP="00F432B9">
            <w:pPr>
              <w:tabs>
                <w:tab w:val="decimal" w:pos="1230"/>
              </w:tabs>
              <w:spacing w:line="240" w:lineRule="auto"/>
              <w:rPr>
                <w:rFonts w:cstheme="minorHAnsi"/>
              </w:rPr>
            </w:pPr>
            <w:r w:rsidRPr="009B546D">
              <w:rPr>
                <w:rFonts w:cstheme="minorHAnsi"/>
              </w:rPr>
              <w:t>-</w:t>
            </w:r>
          </w:p>
        </w:tc>
        <w:tc>
          <w:tcPr>
            <w:tcW w:w="1701" w:type="dxa"/>
            <w:gridSpan w:val="2"/>
            <w:shd w:val="clear" w:color="auto" w:fill="auto"/>
          </w:tcPr>
          <w:p w14:paraId="13E7C038" w14:textId="77777777" w:rsidR="001C6F66" w:rsidRPr="009B546D" w:rsidRDefault="001C6F66" w:rsidP="00F432B9">
            <w:pPr>
              <w:tabs>
                <w:tab w:val="decimal" w:pos="1230"/>
              </w:tabs>
              <w:spacing w:line="240" w:lineRule="auto"/>
              <w:rPr>
                <w:rFonts w:cstheme="minorHAnsi"/>
              </w:rPr>
            </w:pPr>
            <w:r w:rsidRPr="009B546D">
              <w:rPr>
                <w:rFonts w:cstheme="minorHAnsi"/>
              </w:rPr>
              <w:t>-</w:t>
            </w:r>
          </w:p>
        </w:tc>
        <w:tc>
          <w:tcPr>
            <w:tcW w:w="1275" w:type="dxa"/>
            <w:gridSpan w:val="2"/>
            <w:shd w:val="clear" w:color="auto" w:fill="auto"/>
          </w:tcPr>
          <w:p w14:paraId="3CC5F02C" w14:textId="77777777" w:rsidR="001C6F66" w:rsidRPr="009B546D" w:rsidRDefault="001C6F66" w:rsidP="00F432B9">
            <w:pPr>
              <w:tabs>
                <w:tab w:val="decimal" w:pos="1230"/>
              </w:tabs>
              <w:spacing w:line="240" w:lineRule="auto"/>
              <w:rPr>
                <w:rFonts w:cstheme="minorHAnsi"/>
              </w:rPr>
            </w:pPr>
            <w:r w:rsidRPr="009B546D">
              <w:rPr>
                <w:rFonts w:cstheme="minorHAnsi"/>
              </w:rPr>
              <w:t>100</w:t>
            </w:r>
          </w:p>
        </w:tc>
      </w:tr>
      <w:tr w:rsidR="001C6F66" w:rsidRPr="009B546D" w14:paraId="3B6303DB" w14:textId="77777777" w:rsidTr="00EA2BB6">
        <w:trPr>
          <w:gridAfter w:val="1"/>
          <w:wAfter w:w="709" w:type="dxa"/>
        </w:trPr>
        <w:tc>
          <w:tcPr>
            <w:tcW w:w="3369" w:type="dxa"/>
            <w:shd w:val="clear" w:color="auto" w:fill="auto"/>
          </w:tcPr>
          <w:p w14:paraId="3C937939" w14:textId="77777777" w:rsidR="001C6F66" w:rsidRPr="009B546D" w:rsidRDefault="001C6F66" w:rsidP="00F432B9">
            <w:pPr>
              <w:spacing w:line="240" w:lineRule="auto"/>
              <w:jc w:val="left"/>
              <w:rPr>
                <w:rFonts w:cstheme="minorHAnsi"/>
                <w:color w:val="000000"/>
              </w:rPr>
            </w:pPr>
          </w:p>
        </w:tc>
        <w:tc>
          <w:tcPr>
            <w:tcW w:w="1275" w:type="dxa"/>
            <w:shd w:val="clear" w:color="auto" w:fill="auto"/>
          </w:tcPr>
          <w:p w14:paraId="009E549B" w14:textId="77777777" w:rsidR="001C6F66" w:rsidRPr="009B546D" w:rsidRDefault="001C6F66" w:rsidP="00F432B9">
            <w:pPr>
              <w:tabs>
                <w:tab w:val="decimal" w:pos="1230"/>
              </w:tabs>
              <w:spacing w:line="240" w:lineRule="auto"/>
              <w:rPr>
                <w:rFonts w:cstheme="minorHAnsi"/>
              </w:rPr>
            </w:pPr>
          </w:p>
        </w:tc>
        <w:tc>
          <w:tcPr>
            <w:tcW w:w="1560" w:type="dxa"/>
            <w:gridSpan w:val="2"/>
          </w:tcPr>
          <w:p w14:paraId="55206A11" w14:textId="77777777" w:rsidR="001C6F66" w:rsidRPr="009B546D" w:rsidRDefault="001C6F66" w:rsidP="00F432B9">
            <w:pPr>
              <w:tabs>
                <w:tab w:val="decimal" w:pos="1230"/>
              </w:tabs>
              <w:spacing w:line="240" w:lineRule="auto"/>
              <w:rPr>
                <w:rFonts w:cstheme="minorHAnsi"/>
              </w:rPr>
            </w:pPr>
          </w:p>
        </w:tc>
        <w:tc>
          <w:tcPr>
            <w:tcW w:w="1701" w:type="dxa"/>
            <w:gridSpan w:val="2"/>
            <w:shd w:val="clear" w:color="auto" w:fill="auto"/>
          </w:tcPr>
          <w:p w14:paraId="5791EB03" w14:textId="77777777" w:rsidR="001C6F66" w:rsidRPr="009B546D" w:rsidRDefault="001C6F66" w:rsidP="00F432B9">
            <w:pPr>
              <w:tabs>
                <w:tab w:val="decimal" w:pos="1230"/>
              </w:tabs>
              <w:spacing w:line="240" w:lineRule="auto"/>
              <w:rPr>
                <w:rFonts w:cstheme="minorHAnsi"/>
              </w:rPr>
            </w:pPr>
          </w:p>
        </w:tc>
        <w:tc>
          <w:tcPr>
            <w:tcW w:w="1275" w:type="dxa"/>
            <w:gridSpan w:val="2"/>
            <w:shd w:val="clear" w:color="auto" w:fill="auto"/>
          </w:tcPr>
          <w:p w14:paraId="13F1B96B" w14:textId="77777777" w:rsidR="001C6F66" w:rsidRPr="009B546D" w:rsidRDefault="001C6F66" w:rsidP="00F432B9">
            <w:pPr>
              <w:tabs>
                <w:tab w:val="decimal" w:pos="1230"/>
              </w:tabs>
              <w:spacing w:line="240" w:lineRule="auto"/>
              <w:rPr>
                <w:rFonts w:cstheme="minorHAnsi"/>
              </w:rPr>
            </w:pPr>
          </w:p>
        </w:tc>
      </w:tr>
      <w:tr w:rsidR="001C6F66" w:rsidRPr="009B546D" w14:paraId="6CD75016" w14:textId="77777777" w:rsidTr="00EA2BB6">
        <w:trPr>
          <w:gridAfter w:val="1"/>
          <w:wAfter w:w="709" w:type="dxa"/>
        </w:trPr>
        <w:tc>
          <w:tcPr>
            <w:tcW w:w="3369" w:type="dxa"/>
            <w:shd w:val="clear" w:color="auto" w:fill="auto"/>
          </w:tcPr>
          <w:p w14:paraId="6097B50F" w14:textId="77777777" w:rsidR="001C6F66" w:rsidRPr="009B546D" w:rsidRDefault="001C6F66" w:rsidP="00F432B9">
            <w:pPr>
              <w:spacing w:line="240" w:lineRule="auto"/>
              <w:jc w:val="left"/>
              <w:rPr>
                <w:rFonts w:cstheme="minorHAnsi"/>
                <w:color w:val="000000"/>
              </w:rPr>
            </w:pPr>
            <w:r w:rsidRPr="009B546D">
              <w:rPr>
                <w:rFonts w:cstheme="minorHAnsi"/>
                <w:color w:val="000000"/>
              </w:rPr>
              <w:t>Total comprehensive income for the financial period</w:t>
            </w:r>
          </w:p>
        </w:tc>
        <w:tc>
          <w:tcPr>
            <w:tcW w:w="1275" w:type="dxa"/>
            <w:shd w:val="clear" w:color="auto" w:fill="auto"/>
          </w:tcPr>
          <w:p w14:paraId="3709EBBF" w14:textId="77777777" w:rsidR="001C6F66" w:rsidRPr="009B546D" w:rsidRDefault="001C6F66" w:rsidP="00F432B9">
            <w:pPr>
              <w:tabs>
                <w:tab w:val="decimal" w:pos="1230"/>
              </w:tabs>
              <w:spacing w:line="240" w:lineRule="auto"/>
              <w:rPr>
                <w:rFonts w:cstheme="minorHAnsi"/>
              </w:rPr>
            </w:pPr>
            <w:r w:rsidRPr="009B546D">
              <w:rPr>
                <w:rFonts w:cstheme="minorHAnsi"/>
              </w:rPr>
              <w:t>-</w:t>
            </w:r>
          </w:p>
        </w:tc>
        <w:tc>
          <w:tcPr>
            <w:tcW w:w="1560" w:type="dxa"/>
            <w:gridSpan w:val="2"/>
          </w:tcPr>
          <w:p w14:paraId="12A5DC6D" w14:textId="77777777" w:rsidR="001C6F66" w:rsidRPr="009B546D" w:rsidRDefault="001C6F66" w:rsidP="00F432B9">
            <w:pPr>
              <w:tabs>
                <w:tab w:val="decimal" w:pos="1230"/>
              </w:tabs>
              <w:spacing w:line="240" w:lineRule="auto"/>
              <w:rPr>
                <w:rFonts w:cstheme="minorHAnsi"/>
              </w:rPr>
            </w:pPr>
            <w:r w:rsidRPr="009B546D">
              <w:rPr>
                <w:rFonts w:cstheme="minorHAnsi"/>
              </w:rPr>
              <w:t>-</w:t>
            </w:r>
          </w:p>
        </w:tc>
        <w:tc>
          <w:tcPr>
            <w:tcW w:w="1701" w:type="dxa"/>
            <w:gridSpan w:val="2"/>
            <w:shd w:val="clear" w:color="auto" w:fill="auto"/>
          </w:tcPr>
          <w:p w14:paraId="0005F381" w14:textId="77777777" w:rsidR="001C6F66" w:rsidRPr="009B546D" w:rsidRDefault="001C6F66" w:rsidP="00F432B9">
            <w:pPr>
              <w:tabs>
                <w:tab w:val="decimal" w:pos="1230"/>
              </w:tabs>
              <w:spacing w:line="240" w:lineRule="auto"/>
              <w:rPr>
                <w:rFonts w:cstheme="minorHAnsi"/>
              </w:rPr>
            </w:pPr>
            <w:r w:rsidRPr="009B546D">
              <w:rPr>
                <w:rFonts w:cstheme="minorHAnsi"/>
              </w:rPr>
              <w:t>429,461</w:t>
            </w:r>
          </w:p>
        </w:tc>
        <w:tc>
          <w:tcPr>
            <w:tcW w:w="1275" w:type="dxa"/>
            <w:gridSpan w:val="2"/>
            <w:shd w:val="clear" w:color="auto" w:fill="auto"/>
          </w:tcPr>
          <w:p w14:paraId="7F5B4E49" w14:textId="77777777" w:rsidR="001C6F66" w:rsidRPr="009B546D" w:rsidRDefault="001C6F66" w:rsidP="00F432B9">
            <w:pPr>
              <w:tabs>
                <w:tab w:val="decimal" w:pos="1230"/>
              </w:tabs>
              <w:spacing w:line="240" w:lineRule="auto"/>
              <w:rPr>
                <w:rFonts w:cstheme="minorHAnsi"/>
              </w:rPr>
            </w:pPr>
            <w:r w:rsidRPr="009B546D">
              <w:rPr>
                <w:rFonts w:cstheme="minorHAnsi"/>
              </w:rPr>
              <w:t>429,461</w:t>
            </w:r>
          </w:p>
        </w:tc>
      </w:tr>
      <w:tr w:rsidR="001C6F66" w:rsidRPr="009B546D" w14:paraId="1A7B8797" w14:textId="77777777" w:rsidTr="00EA2BB6">
        <w:trPr>
          <w:gridAfter w:val="1"/>
          <w:wAfter w:w="709" w:type="dxa"/>
        </w:trPr>
        <w:tc>
          <w:tcPr>
            <w:tcW w:w="3369" w:type="dxa"/>
            <w:shd w:val="clear" w:color="auto" w:fill="auto"/>
          </w:tcPr>
          <w:p w14:paraId="1B2856A7" w14:textId="77777777" w:rsidR="001C6F66" w:rsidRPr="009B546D" w:rsidRDefault="001C6F66" w:rsidP="00F432B9">
            <w:pPr>
              <w:spacing w:line="240" w:lineRule="auto"/>
              <w:jc w:val="left"/>
              <w:rPr>
                <w:rFonts w:cstheme="minorHAnsi"/>
                <w:color w:val="000000"/>
              </w:rPr>
            </w:pPr>
          </w:p>
        </w:tc>
        <w:tc>
          <w:tcPr>
            <w:tcW w:w="1275" w:type="dxa"/>
            <w:shd w:val="clear" w:color="auto" w:fill="auto"/>
          </w:tcPr>
          <w:p w14:paraId="7591057A" w14:textId="77777777" w:rsidR="001C6F66" w:rsidRPr="009B546D" w:rsidRDefault="001C6F66" w:rsidP="00F432B9">
            <w:pPr>
              <w:tabs>
                <w:tab w:val="decimal" w:pos="1230"/>
              </w:tabs>
              <w:spacing w:line="240" w:lineRule="auto"/>
              <w:rPr>
                <w:rFonts w:cstheme="minorHAnsi"/>
              </w:rPr>
            </w:pPr>
          </w:p>
        </w:tc>
        <w:tc>
          <w:tcPr>
            <w:tcW w:w="1560" w:type="dxa"/>
            <w:gridSpan w:val="2"/>
          </w:tcPr>
          <w:p w14:paraId="578C1E18" w14:textId="77777777" w:rsidR="001C6F66" w:rsidRPr="009B546D" w:rsidRDefault="001C6F66" w:rsidP="00F432B9">
            <w:pPr>
              <w:tabs>
                <w:tab w:val="decimal" w:pos="1230"/>
              </w:tabs>
              <w:spacing w:line="240" w:lineRule="auto"/>
              <w:rPr>
                <w:rFonts w:cstheme="minorHAnsi"/>
              </w:rPr>
            </w:pPr>
          </w:p>
        </w:tc>
        <w:tc>
          <w:tcPr>
            <w:tcW w:w="1701" w:type="dxa"/>
            <w:gridSpan w:val="2"/>
            <w:shd w:val="clear" w:color="auto" w:fill="auto"/>
          </w:tcPr>
          <w:p w14:paraId="356B5377" w14:textId="77777777" w:rsidR="001C6F66" w:rsidRPr="009B546D" w:rsidRDefault="001C6F66" w:rsidP="00F432B9">
            <w:pPr>
              <w:tabs>
                <w:tab w:val="decimal" w:pos="1230"/>
              </w:tabs>
              <w:spacing w:line="240" w:lineRule="auto"/>
              <w:rPr>
                <w:rFonts w:cstheme="minorHAnsi"/>
              </w:rPr>
            </w:pPr>
          </w:p>
        </w:tc>
        <w:tc>
          <w:tcPr>
            <w:tcW w:w="1275" w:type="dxa"/>
            <w:gridSpan w:val="2"/>
            <w:shd w:val="clear" w:color="auto" w:fill="auto"/>
          </w:tcPr>
          <w:p w14:paraId="716DC06A" w14:textId="77777777" w:rsidR="001C6F66" w:rsidRPr="009B546D" w:rsidRDefault="001C6F66" w:rsidP="00F432B9">
            <w:pPr>
              <w:tabs>
                <w:tab w:val="decimal" w:pos="1230"/>
              </w:tabs>
              <w:spacing w:line="240" w:lineRule="auto"/>
              <w:rPr>
                <w:rFonts w:cstheme="minorHAnsi"/>
              </w:rPr>
            </w:pPr>
          </w:p>
        </w:tc>
      </w:tr>
      <w:tr w:rsidR="001C6F66" w:rsidRPr="009B546D" w14:paraId="71FCC0E6" w14:textId="77777777" w:rsidTr="00EA2BB6">
        <w:trPr>
          <w:gridAfter w:val="1"/>
          <w:wAfter w:w="709" w:type="dxa"/>
        </w:trPr>
        <w:tc>
          <w:tcPr>
            <w:tcW w:w="3369" w:type="dxa"/>
            <w:shd w:val="clear" w:color="auto" w:fill="auto"/>
          </w:tcPr>
          <w:p w14:paraId="100D60AF" w14:textId="77777777" w:rsidR="001C6F66" w:rsidRPr="009B546D" w:rsidRDefault="001C6F66" w:rsidP="00F432B9">
            <w:pPr>
              <w:spacing w:line="240" w:lineRule="auto"/>
              <w:jc w:val="left"/>
              <w:rPr>
                <w:rFonts w:cstheme="minorHAnsi"/>
                <w:color w:val="000000"/>
              </w:rPr>
            </w:pPr>
            <w:r w:rsidRPr="009B546D">
              <w:rPr>
                <w:rFonts w:cstheme="minorHAnsi"/>
                <w:color w:val="000000"/>
              </w:rPr>
              <w:t>Transactions with shareholders</w:t>
            </w:r>
          </w:p>
        </w:tc>
        <w:tc>
          <w:tcPr>
            <w:tcW w:w="1275" w:type="dxa"/>
            <w:shd w:val="clear" w:color="auto" w:fill="auto"/>
          </w:tcPr>
          <w:p w14:paraId="6C42CF38" w14:textId="77777777" w:rsidR="001C6F66" w:rsidRPr="009B546D" w:rsidRDefault="001C6F66" w:rsidP="00F432B9">
            <w:pPr>
              <w:tabs>
                <w:tab w:val="decimal" w:pos="1230"/>
              </w:tabs>
              <w:spacing w:line="240" w:lineRule="auto"/>
              <w:rPr>
                <w:rFonts w:cstheme="minorHAnsi"/>
              </w:rPr>
            </w:pPr>
            <w:r w:rsidRPr="009B546D">
              <w:rPr>
                <w:rFonts w:cstheme="minorHAnsi"/>
              </w:rPr>
              <w:t>-</w:t>
            </w:r>
          </w:p>
        </w:tc>
        <w:tc>
          <w:tcPr>
            <w:tcW w:w="1560" w:type="dxa"/>
            <w:gridSpan w:val="2"/>
          </w:tcPr>
          <w:p w14:paraId="5A1499A5" w14:textId="77777777" w:rsidR="001C6F66" w:rsidRPr="009B546D" w:rsidRDefault="001C6F66" w:rsidP="00F432B9">
            <w:pPr>
              <w:tabs>
                <w:tab w:val="decimal" w:pos="1230"/>
              </w:tabs>
              <w:spacing w:line="240" w:lineRule="auto"/>
              <w:rPr>
                <w:rFonts w:cstheme="minorHAnsi"/>
              </w:rPr>
            </w:pPr>
            <w:r w:rsidRPr="009B546D">
              <w:rPr>
                <w:rFonts w:cstheme="minorHAnsi"/>
              </w:rPr>
              <w:t>50,000</w:t>
            </w:r>
          </w:p>
        </w:tc>
        <w:tc>
          <w:tcPr>
            <w:tcW w:w="1701" w:type="dxa"/>
            <w:gridSpan w:val="2"/>
            <w:shd w:val="clear" w:color="auto" w:fill="auto"/>
          </w:tcPr>
          <w:p w14:paraId="635723FC" w14:textId="77777777" w:rsidR="001C6F66" w:rsidRPr="009B546D" w:rsidRDefault="001C6F66" w:rsidP="00F432B9">
            <w:pPr>
              <w:tabs>
                <w:tab w:val="decimal" w:pos="1230"/>
              </w:tabs>
              <w:spacing w:line="240" w:lineRule="auto"/>
              <w:rPr>
                <w:rFonts w:cstheme="minorHAnsi"/>
              </w:rPr>
            </w:pPr>
            <w:r w:rsidRPr="009B546D">
              <w:rPr>
                <w:rFonts w:cstheme="minorHAnsi"/>
              </w:rPr>
              <w:t>-</w:t>
            </w:r>
          </w:p>
        </w:tc>
        <w:tc>
          <w:tcPr>
            <w:tcW w:w="1275" w:type="dxa"/>
            <w:gridSpan w:val="2"/>
            <w:shd w:val="clear" w:color="auto" w:fill="auto"/>
          </w:tcPr>
          <w:p w14:paraId="210C5A9B" w14:textId="77777777" w:rsidR="001C6F66" w:rsidRPr="009B546D" w:rsidRDefault="001C6F66" w:rsidP="00F432B9">
            <w:pPr>
              <w:tabs>
                <w:tab w:val="decimal" w:pos="1230"/>
              </w:tabs>
              <w:spacing w:line="240" w:lineRule="auto"/>
              <w:rPr>
                <w:rFonts w:cstheme="minorHAnsi"/>
              </w:rPr>
            </w:pPr>
            <w:r w:rsidRPr="009B546D">
              <w:rPr>
                <w:rFonts w:cstheme="minorHAnsi"/>
              </w:rPr>
              <w:t>50,000</w:t>
            </w:r>
          </w:p>
        </w:tc>
      </w:tr>
      <w:tr w:rsidR="001C6F66" w:rsidRPr="009B546D" w14:paraId="4092B725" w14:textId="77777777" w:rsidTr="00EA2BB6">
        <w:trPr>
          <w:gridAfter w:val="1"/>
          <w:wAfter w:w="709" w:type="dxa"/>
        </w:trPr>
        <w:tc>
          <w:tcPr>
            <w:tcW w:w="3369" w:type="dxa"/>
            <w:shd w:val="clear" w:color="auto" w:fill="auto"/>
          </w:tcPr>
          <w:p w14:paraId="08813A88" w14:textId="77777777" w:rsidR="001C6F66" w:rsidRPr="009B546D" w:rsidRDefault="001C6F66" w:rsidP="00F432B9">
            <w:pPr>
              <w:spacing w:line="240" w:lineRule="auto"/>
              <w:jc w:val="left"/>
              <w:rPr>
                <w:rFonts w:cstheme="minorHAnsi"/>
                <w:color w:val="000000"/>
              </w:rPr>
            </w:pPr>
          </w:p>
        </w:tc>
        <w:tc>
          <w:tcPr>
            <w:tcW w:w="1275" w:type="dxa"/>
            <w:shd w:val="clear" w:color="auto" w:fill="auto"/>
          </w:tcPr>
          <w:p w14:paraId="60AF3A5D" w14:textId="77777777" w:rsidR="001C6F66" w:rsidRPr="009B546D" w:rsidRDefault="001C6F66" w:rsidP="00F432B9">
            <w:pPr>
              <w:tabs>
                <w:tab w:val="decimal" w:pos="1230"/>
              </w:tabs>
              <w:spacing w:line="240" w:lineRule="auto"/>
              <w:rPr>
                <w:rFonts w:cstheme="minorHAnsi"/>
              </w:rPr>
            </w:pPr>
            <w:r w:rsidRPr="009B546D">
              <w:rPr>
                <w:rFonts w:cstheme="minorHAnsi"/>
              </w:rPr>
              <w:t>_________</w:t>
            </w:r>
          </w:p>
        </w:tc>
        <w:tc>
          <w:tcPr>
            <w:tcW w:w="1560" w:type="dxa"/>
            <w:gridSpan w:val="2"/>
          </w:tcPr>
          <w:p w14:paraId="3D5EDC26" w14:textId="77777777" w:rsidR="001C6F66" w:rsidRPr="009B546D" w:rsidRDefault="001C6F66" w:rsidP="00F432B9">
            <w:pPr>
              <w:tabs>
                <w:tab w:val="decimal" w:pos="1230"/>
              </w:tabs>
              <w:spacing w:line="240" w:lineRule="auto"/>
              <w:rPr>
                <w:rFonts w:cstheme="minorHAnsi"/>
              </w:rPr>
            </w:pPr>
            <w:r w:rsidRPr="009B546D">
              <w:rPr>
                <w:rFonts w:cstheme="minorHAnsi"/>
              </w:rPr>
              <w:t>_________</w:t>
            </w:r>
          </w:p>
        </w:tc>
        <w:tc>
          <w:tcPr>
            <w:tcW w:w="1701" w:type="dxa"/>
            <w:gridSpan w:val="2"/>
            <w:shd w:val="clear" w:color="auto" w:fill="auto"/>
          </w:tcPr>
          <w:p w14:paraId="7B3079E3" w14:textId="77777777" w:rsidR="001C6F66" w:rsidRPr="009B546D" w:rsidRDefault="001C6F66" w:rsidP="00F432B9">
            <w:pPr>
              <w:tabs>
                <w:tab w:val="decimal" w:pos="1230"/>
              </w:tabs>
              <w:spacing w:line="240" w:lineRule="auto"/>
              <w:rPr>
                <w:rFonts w:cstheme="minorHAnsi"/>
              </w:rPr>
            </w:pPr>
            <w:r w:rsidRPr="009B546D">
              <w:rPr>
                <w:rFonts w:cstheme="minorHAnsi"/>
              </w:rPr>
              <w:t>_________</w:t>
            </w:r>
          </w:p>
        </w:tc>
        <w:tc>
          <w:tcPr>
            <w:tcW w:w="1275" w:type="dxa"/>
            <w:gridSpan w:val="2"/>
            <w:shd w:val="clear" w:color="auto" w:fill="auto"/>
          </w:tcPr>
          <w:p w14:paraId="0DC102BD" w14:textId="77777777" w:rsidR="001C6F66" w:rsidRPr="009B546D" w:rsidRDefault="001C6F66" w:rsidP="00F432B9">
            <w:pPr>
              <w:tabs>
                <w:tab w:val="decimal" w:pos="1230"/>
              </w:tabs>
              <w:spacing w:line="240" w:lineRule="auto"/>
              <w:rPr>
                <w:rFonts w:cstheme="minorHAnsi"/>
              </w:rPr>
            </w:pPr>
            <w:r w:rsidRPr="009B546D">
              <w:rPr>
                <w:rFonts w:cstheme="minorHAnsi"/>
              </w:rPr>
              <w:t>_________</w:t>
            </w:r>
          </w:p>
        </w:tc>
      </w:tr>
      <w:tr w:rsidR="001C6F66" w:rsidRPr="009B546D" w14:paraId="3AB92921" w14:textId="77777777" w:rsidTr="00EA2BB6">
        <w:trPr>
          <w:gridAfter w:val="1"/>
          <w:wAfter w:w="709" w:type="dxa"/>
        </w:trPr>
        <w:tc>
          <w:tcPr>
            <w:tcW w:w="3369" w:type="dxa"/>
            <w:shd w:val="clear" w:color="auto" w:fill="auto"/>
          </w:tcPr>
          <w:p w14:paraId="5788DFE8" w14:textId="77777777" w:rsidR="001C6F66" w:rsidRPr="009B546D" w:rsidRDefault="001C6F66" w:rsidP="00F432B9">
            <w:pPr>
              <w:spacing w:line="240" w:lineRule="auto"/>
              <w:jc w:val="left"/>
              <w:rPr>
                <w:rFonts w:cstheme="minorHAnsi"/>
                <w:color w:val="000000"/>
              </w:rPr>
            </w:pPr>
          </w:p>
        </w:tc>
        <w:tc>
          <w:tcPr>
            <w:tcW w:w="1275" w:type="dxa"/>
            <w:shd w:val="clear" w:color="auto" w:fill="auto"/>
          </w:tcPr>
          <w:p w14:paraId="39029C7A" w14:textId="77777777" w:rsidR="001C6F66" w:rsidRPr="009B546D" w:rsidRDefault="001C6F66" w:rsidP="00F432B9">
            <w:pPr>
              <w:tabs>
                <w:tab w:val="decimal" w:pos="1230"/>
              </w:tabs>
              <w:spacing w:line="240" w:lineRule="auto"/>
              <w:rPr>
                <w:rFonts w:cstheme="minorHAnsi"/>
              </w:rPr>
            </w:pPr>
          </w:p>
        </w:tc>
        <w:tc>
          <w:tcPr>
            <w:tcW w:w="1560" w:type="dxa"/>
            <w:gridSpan w:val="2"/>
          </w:tcPr>
          <w:p w14:paraId="3439BBF4" w14:textId="77777777" w:rsidR="001C6F66" w:rsidRPr="009B546D" w:rsidRDefault="001C6F66" w:rsidP="00F432B9">
            <w:pPr>
              <w:tabs>
                <w:tab w:val="decimal" w:pos="1230"/>
              </w:tabs>
              <w:spacing w:line="240" w:lineRule="auto"/>
              <w:rPr>
                <w:rFonts w:cstheme="minorHAnsi"/>
              </w:rPr>
            </w:pPr>
          </w:p>
        </w:tc>
        <w:tc>
          <w:tcPr>
            <w:tcW w:w="1701" w:type="dxa"/>
            <w:gridSpan w:val="2"/>
            <w:shd w:val="clear" w:color="auto" w:fill="auto"/>
          </w:tcPr>
          <w:p w14:paraId="25EC4BFF" w14:textId="77777777" w:rsidR="001C6F66" w:rsidRPr="009B546D" w:rsidRDefault="001C6F66" w:rsidP="00F432B9">
            <w:pPr>
              <w:tabs>
                <w:tab w:val="decimal" w:pos="1230"/>
              </w:tabs>
              <w:spacing w:line="240" w:lineRule="auto"/>
              <w:rPr>
                <w:rFonts w:cstheme="minorHAnsi"/>
              </w:rPr>
            </w:pPr>
          </w:p>
        </w:tc>
        <w:tc>
          <w:tcPr>
            <w:tcW w:w="1275" w:type="dxa"/>
            <w:gridSpan w:val="2"/>
            <w:shd w:val="clear" w:color="auto" w:fill="auto"/>
          </w:tcPr>
          <w:p w14:paraId="752C2CA2" w14:textId="77777777" w:rsidR="001C6F66" w:rsidRPr="009B546D" w:rsidRDefault="001C6F66" w:rsidP="00F432B9">
            <w:pPr>
              <w:tabs>
                <w:tab w:val="decimal" w:pos="1230"/>
              </w:tabs>
              <w:spacing w:line="240" w:lineRule="auto"/>
              <w:rPr>
                <w:rFonts w:cstheme="minorHAnsi"/>
              </w:rPr>
            </w:pPr>
          </w:p>
        </w:tc>
      </w:tr>
      <w:tr w:rsidR="001C6F66" w:rsidRPr="009B546D" w14:paraId="494CEBF8" w14:textId="77777777" w:rsidTr="00EA2BB6">
        <w:trPr>
          <w:gridAfter w:val="1"/>
          <w:wAfter w:w="709" w:type="dxa"/>
        </w:trPr>
        <w:tc>
          <w:tcPr>
            <w:tcW w:w="3369" w:type="dxa"/>
            <w:shd w:val="clear" w:color="auto" w:fill="auto"/>
          </w:tcPr>
          <w:p w14:paraId="6C6BAE94" w14:textId="77777777" w:rsidR="001C6F66" w:rsidRPr="009B546D" w:rsidRDefault="001C6F66" w:rsidP="00F432B9">
            <w:pPr>
              <w:spacing w:line="240" w:lineRule="auto"/>
              <w:jc w:val="left"/>
              <w:rPr>
                <w:rFonts w:cstheme="minorHAnsi"/>
                <w:color w:val="000000"/>
              </w:rPr>
            </w:pPr>
            <w:r w:rsidRPr="009B546D">
              <w:rPr>
                <w:rFonts w:cstheme="minorHAnsi"/>
                <w:color w:val="000000"/>
              </w:rPr>
              <w:t>As at 30 April 2019</w:t>
            </w:r>
          </w:p>
        </w:tc>
        <w:tc>
          <w:tcPr>
            <w:tcW w:w="1275" w:type="dxa"/>
            <w:shd w:val="clear" w:color="auto" w:fill="auto"/>
          </w:tcPr>
          <w:p w14:paraId="7A154A90" w14:textId="77777777" w:rsidR="001C6F66" w:rsidRPr="009B546D" w:rsidRDefault="001C6F66" w:rsidP="00F432B9">
            <w:pPr>
              <w:tabs>
                <w:tab w:val="decimal" w:pos="1230"/>
              </w:tabs>
              <w:spacing w:line="240" w:lineRule="auto"/>
              <w:rPr>
                <w:rFonts w:cstheme="minorHAnsi"/>
              </w:rPr>
            </w:pPr>
            <w:r w:rsidRPr="009B546D">
              <w:rPr>
                <w:rFonts w:cstheme="minorHAnsi"/>
              </w:rPr>
              <w:t>100</w:t>
            </w:r>
          </w:p>
        </w:tc>
        <w:tc>
          <w:tcPr>
            <w:tcW w:w="1560" w:type="dxa"/>
            <w:gridSpan w:val="2"/>
          </w:tcPr>
          <w:p w14:paraId="1DDA7E9C" w14:textId="77777777" w:rsidR="001C6F66" w:rsidRPr="009B546D" w:rsidRDefault="001C6F66" w:rsidP="00F432B9">
            <w:pPr>
              <w:tabs>
                <w:tab w:val="decimal" w:pos="1230"/>
              </w:tabs>
              <w:spacing w:line="240" w:lineRule="auto"/>
              <w:rPr>
                <w:rFonts w:cstheme="minorHAnsi"/>
              </w:rPr>
            </w:pPr>
            <w:r w:rsidRPr="009B546D">
              <w:rPr>
                <w:rFonts w:cstheme="minorHAnsi"/>
              </w:rPr>
              <w:t>50,000</w:t>
            </w:r>
          </w:p>
        </w:tc>
        <w:tc>
          <w:tcPr>
            <w:tcW w:w="1701" w:type="dxa"/>
            <w:gridSpan w:val="2"/>
            <w:shd w:val="clear" w:color="auto" w:fill="auto"/>
          </w:tcPr>
          <w:p w14:paraId="6237E9BB" w14:textId="77777777" w:rsidR="001C6F66" w:rsidRPr="009B546D" w:rsidRDefault="001C6F66" w:rsidP="00F432B9">
            <w:pPr>
              <w:tabs>
                <w:tab w:val="decimal" w:pos="1230"/>
              </w:tabs>
              <w:spacing w:line="240" w:lineRule="auto"/>
              <w:rPr>
                <w:rFonts w:cstheme="minorHAnsi"/>
              </w:rPr>
            </w:pPr>
            <w:r w:rsidRPr="009B546D">
              <w:rPr>
                <w:rFonts w:cstheme="minorHAnsi"/>
              </w:rPr>
              <w:t>429,461</w:t>
            </w:r>
          </w:p>
        </w:tc>
        <w:tc>
          <w:tcPr>
            <w:tcW w:w="1275" w:type="dxa"/>
            <w:gridSpan w:val="2"/>
            <w:shd w:val="clear" w:color="auto" w:fill="auto"/>
          </w:tcPr>
          <w:p w14:paraId="160E9A94" w14:textId="77777777" w:rsidR="001C6F66" w:rsidRPr="009B546D" w:rsidRDefault="001C6F66" w:rsidP="00F432B9">
            <w:pPr>
              <w:tabs>
                <w:tab w:val="decimal" w:pos="1230"/>
              </w:tabs>
              <w:spacing w:line="240" w:lineRule="auto"/>
              <w:rPr>
                <w:rFonts w:cstheme="minorHAnsi"/>
              </w:rPr>
            </w:pPr>
            <w:r w:rsidRPr="009B546D">
              <w:rPr>
                <w:rFonts w:cstheme="minorHAnsi"/>
              </w:rPr>
              <w:t>479,561</w:t>
            </w:r>
          </w:p>
        </w:tc>
      </w:tr>
      <w:tr w:rsidR="001C6F66" w:rsidRPr="009B546D" w14:paraId="0FEBBC46" w14:textId="77777777" w:rsidTr="00EA2BB6">
        <w:trPr>
          <w:gridAfter w:val="1"/>
          <w:wAfter w:w="709" w:type="dxa"/>
        </w:trPr>
        <w:tc>
          <w:tcPr>
            <w:tcW w:w="3369" w:type="dxa"/>
            <w:shd w:val="clear" w:color="auto" w:fill="auto"/>
          </w:tcPr>
          <w:p w14:paraId="27055885" w14:textId="77777777" w:rsidR="001C6F66" w:rsidRPr="009B546D" w:rsidRDefault="001C6F66" w:rsidP="00F432B9">
            <w:pPr>
              <w:spacing w:line="240" w:lineRule="auto"/>
              <w:jc w:val="left"/>
              <w:rPr>
                <w:rFonts w:cstheme="minorHAnsi"/>
                <w:color w:val="000000"/>
              </w:rPr>
            </w:pPr>
          </w:p>
        </w:tc>
        <w:tc>
          <w:tcPr>
            <w:tcW w:w="1275" w:type="dxa"/>
            <w:shd w:val="clear" w:color="auto" w:fill="auto"/>
          </w:tcPr>
          <w:p w14:paraId="1321AE7A" w14:textId="77777777" w:rsidR="001C6F66" w:rsidRPr="009B546D" w:rsidRDefault="001C6F66" w:rsidP="00F432B9">
            <w:pPr>
              <w:tabs>
                <w:tab w:val="decimal" w:pos="1230"/>
              </w:tabs>
              <w:spacing w:line="240" w:lineRule="auto"/>
              <w:rPr>
                <w:rFonts w:cstheme="minorHAnsi"/>
                <w:b/>
              </w:rPr>
            </w:pPr>
            <w:r w:rsidRPr="009B546D">
              <w:rPr>
                <w:rFonts w:cstheme="minorHAnsi"/>
                <w:u w:val="double"/>
              </w:rPr>
              <w:t>_________</w:t>
            </w:r>
          </w:p>
        </w:tc>
        <w:tc>
          <w:tcPr>
            <w:tcW w:w="1560" w:type="dxa"/>
            <w:gridSpan w:val="2"/>
          </w:tcPr>
          <w:p w14:paraId="0E2F2EBA" w14:textId="77777777" w:rsidR="001C6F66" w:rsidRPr="009B546D" w:rsidRDefault="001C6F66" w:rsidP="00F432B9">
            <w:pPr>
              <w:tabs>
                <w:tab w:val="decimal" w:pos="1230"/>
              </w:tabs>
              <w:spacing w:line="240" w:lineRule="auto"/>
              <w:rPr>
                <w:rFonts w:cstheme="minorHAnsi"/>
                <w:u w:val="double"/>
              </w:rPr>
            </w:pPr>
            <w:r w:rsidRPr="009B546D">
              <w:rPr>
                <w:rFonts w:cstheme="minorHAnsi"/>
                <w:u w:val="double"/>
              </w:rPr>
              <w:t>_________</w:t>
            </w:r>
          </w:p>
        </w:tc>
        <w:tc>
          <w:tcPr>
            <w:tcW w:w="1701" w:type="dxa"/>
            <w:gridSpan w:val="2"/>
            <w:shd w:val="clear" w:color="auto" w:fill="auto"/>
          </w:tcPr>
          <w:p w14:paraId="43205615" w14:textId="77777777" w:rsidR="001C6F66" w:rsidRPr="009B546D" w:rsidRDefault="001C6F66" w:rsidP="00F432B9">
            <w:pPr>
              <w:tabs>
                <w:tab w:val="decimal" w:pos="1230"/>
              </w:tabs>
              <w:spacing w:line="240" w:lineRule="auto"/>
              <w:rPr>
                <w:rFonts w:cstheme="minorHAnsi"/>
                <w:b/>
              </w:rPr>
            </w:pPr>
            <w:r w:rsidRPr="009B546D">
              <w:rPr>
                <w:rFonts w:cstheme="minorHAnsi"/>
                <w:u w:val="double"/>
              </w:rPr>
              <w:t>_________</w:t>
            </w:r>
          </w:p>
        </w:tc>
        <w:tc>
          <w:tcPr>
            <w:tcW w:w="1275" w:type="dxa"/>
            <w:gridSpan w:val="2"/>
            <w:shd w:val="clear" w:color="auto" w:fill="auto"/>
          </w:tcPr>
          <w:p w14:paraId="4A934C87" w14:textId="77777777" w:rsidR="001C6F66" w:rsidRPr="009B546D" w:rsidRDefault="001C6F66" w:rsidP="00F432B9">
            <w:pPr>
              <w:tabs>
                <w:tab w:val="decimal" w:pos="1230"/>
              </w:tabs>
              <w:spacing w:line="240" w:lineRule="auto"/>
              <w:rPr>
                <w:rFonts w:cstheme="minorHAnsi"/>
                <w:b/>
              </w:rPr>
            </w:pPr>
            <w:r w:rsidRPr="009B546D">
              <w:rPr>
                <w:rFonts w:cstheme="minorHAnsi"/>
                <w:u w:val="double"/>
              </w:rPr>
              <w:t>_________</w:t>
            </w:r>
          </w:p>
        </w:tc>
      </w:tr>
    </w:tbl>
    <w:p w14:paraId="61A28C1D" w14:textId="77777777" w:rsidR="001C6F66" w:rsidRPr="009B546D" w:rsidRDefault="001C6F66" w:rsidP="00F432B9">
      <w:pPr>
        <w:spacing w:line="240" w:lineRule="auto"/>
        <w:rPr>
          <w:rFonts w:cstheme="minorHAnsi"/>
          <w:b/>
        </w:rPr>
      </w:pPr>
    </w:p>
    <w:p w14:paraId="33E627B3" w14:textId="77777777" w:rsidR="001C6F66" w:rsidRPr="009B546D" w:rsidRDefault="001C6F66" w:rsidP="00F432B9">
      <w:pPr>
        <w:spacing w:line="240" w:lineRule="auto"/>
        <w:jc w:val="left"/>
        <w:rPr>
          <w:rFonts w:cstheme="minorHAnsi"/>
        </w:rPr>
      </w:pPr>
      <w:r w:rsidRPr="009B546D">
        <w:rPr>
          <w:rFonts w:cstheme="minorHAnsi"/>
        </w:rPr>
        <w:t>The capital contribution represents computer equipment with a cost value of RM50,000, provided to Alchemist by a shareholder.</w:t>
      </w:r>
      <w:r w:rsidRPr="009B546D">
        <w:rPr>
          <w:rFonts w:cstheme="minorHAnsi"/>
        </w:rPr>
        <w:br w:type="page"/>
      </w:r>
    </w:p>
    <w:p w14:paraId="1F8DDED6" w14:textId="77777777" w:rsidR="001C6F66" w:rsidRPr="009B546D" w:rsidRDefault="001C6F66" w:rsidP="00F432B9">
      <w:pPr>
        <w:spacing w:line="240" w:lineRule="auto"/>
        <w:rPr>
          <w:rFonts w:cstheme="minorHAnsi"/>
          <w:b/>
        </w:rPr>
      </w:pPr>
      <w:r w:rsidRPr="009B546D">
        <w:rPr>
          <w:rFonts w:cstheme="minorHAnsi"/>
          <w:b/>
        </w:rPr>
        <w:lastRenderedPageBreak/>
        <w:t>Statement of cash flows</w:t>
      </w:r>
    </w:p>
    <w:p w14:paraId="20AA854C" w14:textId="77777777" w:rsidR="001C6F66" w:rsidRPr="009B546D" w:rsidRDefault="001C6F66" w:rsidP="00F432B9">
      <w:pPr>
        <w:spacing w:line="240" w:lineRule="auto"/>
        <w:rPr>
          <w:rFonts w:cstheme="minorHAnsi"/>
        </w:rPr>
      </w:pPr>
      <w:r w:rsidRPr="009B546D">
        <w:rPr>
          <w:rFonts w:cstheme="minorHAnsi"/>
          <w:b/>
        </w:rPr>
        <w:t>For the period from incorporation on 17 April 2018 to 30 April 2019</w:t>
      </w:r>
    </w:p>
    <w:p w14:paraId="48C86803" w14:textId="77777777" w:rsidR="001C6F66" w:rsidRPr="009B546D" w:rsidRDefault="001C6F66" w:rsidP="00F432B9">
      <w:pPr>
        <w:pBdr>
          <w:bottom w:val="single" w:sz="6" w:space="1" w:color="auto"/>
        </w:pBdr>
        <w:spacing w:line="240" w:lineRule="auto"/>
        <w:jc w:val="right"/>
        <w:rPr>
          <w:rFonts w:cstheme="minorHAnsi"/>
        </w:rPr>
      </w:pPr>
    </w:p>
    <w:p w14:paraId="4B4B05CB" w14:textId="77777777" w:rsidR="001C6F66" w:rsidRPr="009B546D" w:rsidRDefault="001C6F66" w:rsidP="00F432B9">
      <w:pPr>
        <w:spacing w:after="0" w:line="240" w:lineRule="auto"/>
        <w:rPr>
          <w:rFonts w:cstheme="minorHAnsi"/>
        </w:rPr>
      </w:pPr>
    </w:p>
    <w:tbl>
      <w:tblPr>
        <w:tblW w:w="9889" w:type="dxa"/>
        <w:tblInd w:w="-108" w:type="dxa"/>
        <w:tblLayout w:type="fixed"/>
        <w:tblLook w:val="04A0" w:firstRow="1" w:lastRow="0" w:firstColumn="1" w:lastColumn="0" w:noHBand="0" w:noVBand="1"/>
      </w:tblPr>
      <w:tblGrid>
        <w:gridCol w:w="8046"/>
        <w:gridCol w:w="1134"/>
        <w:gridCol w:w="709"/>
      </w:tblGrid>
      <w:tr w:rsidR="001C6F66" w:rsidRPr="009B546D" w14:paraId="44F14B4A" w14:textId="77777777" w:rsidTr="00EA2BB6">
        <w:trPr>
          <w:gridAfter w:val="1"/>
          <w:wAfter w:w="709" w:type="dxa"/>
        </w:trPr>
        <w:tc>
          <w:tcPr>
            <w:tcW w:w="8046" w:type="dxa"/>
          </w:tcPr>
          <w:p w14:paraId="182A1A42" w14:textId="77777777" w:rsidR="001C6F66" w:rsidRPr="009B546D" w:rsidRDefault="001C6F66" w:rsidP="00F432B9">
            <w:pPr>
              <w:spacing w:after="0" w:line="240" w:lineRule="auto"/>
              <w:jc w:val="left"/>
              <w:rPr>
                <w:rFonts w:cstheme="minorHAnsi"/>
                <w:b/>
              </w:rPr>
            </w:pPr>
          </w:p>
        </w:tc>
        <w:tc>
          <w:tcPr>
            <w:tcW w:w="1134" w:type="dxa"/>
          </w:tcPr>
          <w:p w14:paraId="223E23D4" w14:textId="77777777" w:rsidR="001C6F66" w:rsidRPr="009B546D" w:rsidRDefault="001C6F66" w:rsidP="00F432B9">
            <w:pPr>
              <w:tabs>
                <w:tab w:val="decimal" w:pos="1457"/>
              </w:tabs>
              <w:spacing w:after="0" w:line="240" w:lineRule="auto"/>
              <w:rPr>
                <w:rFonts w:cstheme="minorHAnsi"/>
                <w:b/>
              </w:rPr>
            </w:pPr>
            <w:r w:rsidRPr="009B546D">
              <w:rPr>
                <w:rFonts w:cstheme="minorHAnsi"/>
                <w:b/>
              </w:rPr>
              <w:t>RM</w:t>
            </w:r>
          </w:p>
        </w:tc>
      </w:tr>
      <w:tr w:rsidR="001C6F66" w:rsidRPr="009B546D" w14:paraId="706FD449" w14:textId="77777777" w:rsidTr="00EA2BB6">
        <w:trPr>
          <w:gridAfter w:val="1"/>
          <w:wAfter w:w="709" w:type="dxa"/>
        </w:trPr>
        <w:tc>
          <w:tcPr>
            <w:tcW w:w="8046" w:type="dxa"/>
          </w:tcPr>
          <w:p w14:paraId="77E23676" w14:textId="77777777" w:rsidR="001C6F66" w:rsidRPr="009B546D" w:rsidRDefault="001C6F66" w:rsidP="00F432B9">
            <w:pPr>
              <w:spacing w:after="0" w:line="240" w:lineRule="auto"/>
              <w:jc w:val="left"/>
              <w:rPr>
                <w:rFonts w:cstheme="minorHAnsi"/>
                <w:b/>
              </w:rPr>
            </w:pPr>
          </w:p>
        </w:tc>
        <w:tc>
          <w:tcPr>
            <w:tcW w:w="1134" w:type="dxa"/>
          </w:tcPr>
          <w:p w14:paraId="3C50523D" w14:textId="77777777" w:rsidR="001C6F66" w:rsidRPr="009B546D" w:rsidRDefault="001C6F66" w:rsidP="00F432B9">
            <w:pPr>
              <w:tabs>
                <w:tab w:val="decimal" w:pos="1457"/>
              </w:tabs>
              <w:spacing w:after="0" w:line="240" w:lineRule="auto"/>
              <w:rPr>
                <w:rFonts w:cstheme="minorHAnsi"/>
                <w:b/>
              </w:rPr>
            </w:pPr>
          </w:p>
        </w:tc>
      </w:tr>
      <w:tr w:rsidR="001C6F66" w:rsidRPr="009B546D" w14:paraId="51854498" w14:textId="77777777" w:rsidTr="00EA2BB6">
        <w:trPr>
          <w:gridAfter w:val="1"/>
          <w:wAfter w:w="709" w:type="dxa"/>
        </w:trPr>
        <w:tc>
          <w:tcPr>
            <w:tcW w:w="8046" w:type="dxa"/>
          </w:tcPr>
          <w:p w14:paraId="0D2FE477" w14:textId="77777777" w:rsidR="001C6F66" w:rsidRPr="009B546D" w:rsidRDefault="001C6F66" w:rsidP="00F432B9">
            <w:pPr>
              <w:spacing w:after="0" w:line="240" w:lineRule="auto"/>
              <w:jc w:val="left"/>
              <w:rPr>
                <w:rFonts w:cstheme="minorHAnsi"/>
                <w:b/>
              </w:rPr>
            </w:pPr>
            <w:r w:rsidRPr="009B546D">
              <w:rPr>
                <w:rFonts w:cstheme="minorHAnsi"/>
                <w:b/>
              </w:rPr>
              <w:t>Cash flows from operating activities</w:t>
            </w:r>
          </w:p>
        </w:tc>
        <w:tc>
          <w:tcPr>
            <w:tcW w:w="1134" w:type="dxa"/>
          </w:tcPr>
          <w:p w14:paraId="015C6B19" w14:textId="77777777" w:rsidR="001C6F66" w:rsidRPr="009B546D" w:rsidRDefault="001C6F66" w:rsidP="00F432B9">
            <w:pPr>
              <w:tabs>
                <w:tab w:val="decimal" w:pos="1457"/>
              </w:tabs>
              <w:spacing w:after="0" w:line="240" w:lineRule="auto"/>
              <w:rPr>
                <w:rFonts w:cstheme="minorHAnsi"/>
                <w:b/>
              </w:rPr>
            </w:pPr>
          </w:p>
        </w:tc>
      </w:tr>
      <w:tr w:rsidR="001C6F66" w:rsidRPr="009B546D" w14:paraId="49822487" w14:textId="77777777" w:rsidTr="00EA2BB6">
        <w:trPr>
          <w:gridAfter w:val="1"/>
          <w:wAfter w:w="709" w:type="dxa"/>
        </w:trPr>
        <w:tc>
          <w:tcPr>
            <w:tcW w:w="8046" w:type="dxa"/>
          </w:tcPr>
          <w:p w14:paraId="00A56300" w14:textId="77777777" w:rsidR="001C6F66" w:rsidRPr="009B546D" w:rsidRDefault="001C6F66" w:rsidP="00F432B9">
            <w:pPr>
              <w:spacing w:after="0" w:line="240" w:lineRule="auto"/>
              <w:jc w:val="left"/>
              <w:rPr>
                <w:rFonts w:cstheme="minorHAnsi"/>
                <w:b/>
              </w:rPr>
            </w:pPr>
            <w:r w:rsidRPr="009B546D">
              <w:rPr>
                <w:rFonts w:cstheme="minorHAnsi"/>
                <w:b/>
              </w:rPr>
              <w:t>Profit before tax</w:t>
            </w:r>
          </w:p>
        </w:tc>
        <w:tc>
          <w:tcPr>
            <w:tcW w:w="1134" w:type="dxa"/>
          </w:tcPr>
          <w:p w14:paraId="63D3A587" w14:textId="77777777" w:rsidR="001C6F66" w:rsidRPr="009B546D" w:rsidRDefault="001C6F66" w:rsidP="00F432B9">
            <w:pPr>
              <w:tabs>
                <w:tab w:val="decimal" w:pos="1457"/>
              </w:tabs>
              <w:spacing w:after="0" w:line="240" w:lineRule="auto"/>
              <w:rPr>
                <w:rFonts w:cstheme="minorHAnsi"/>
              </w:rPr>
            </w:pPr>
            <w:r w:rsidRPr="009B546D">
              <w:rPr>
                <w:rFonts w:cstheme="minorHAnsi"/>
              </w:rPr>
              <w:t>504,052</w:t>
            </w:r>
          </w:p>
        </w:tc>
      </w:tr>
      <w:tr w:rsidR="001C6F66" w:rsidRPr="009B546D" w14:paraId="78975537" w14:textId="77777777" w:rsidTr="00EA2BB6">
        <w:trPr>
          <w:gridAfter w:val="1"/>
          <w:wAfter w:w="709" w:type="dxa"/>
        </w:trPr>
        <w:tc>
          <w:tcPr>
            <w:tcW w:w="8046" w:type="dxa"/>
          </w:tcPr>
          <w:p w14:paraId="20C03758" w14:textId="77777777" w:rsidR="001C6F66" w:rsidRPr="009B546D" w:rsidRDefault="001C6F66" w:rsidP="00F432B9">
            <w:pPr>
              <w:spacing w:after="0" w:line="240" w:lineRule="auto"/>
              <w:jc w:val="left"/>
              <w:rPr>
                <w:rFonts w:cstheme="minorHAnsi"/>
              </w:rPr>
            </w:pPr>
            <w:r w:rsidRPr="009B546D">
              <w:rPr>
                <w:rFonts w:cstheme="minorHAnsi"/>
              </w:rPr>
              <w:t>Adjustments for:</w:t>
            </w:r>
          </w:p>
        </w:tc>
        <w:tc>
          <w:tcPr>
            <w:tcW w:w="1134" w:type="dxa"/>
          </w:tcPr>
          <w:p w14:paraId="0917FED1" w14:textId="77777777" w:rsidR="001C6F66" w:rsidRPr="009B546D" w:rsidRDefault="001C6F66" w:rsidP="00F432B9">
            <w:pPr>
              <w:tabs>
                <w:tab w:val="decimal" w:pos="1457"/>
              </w:tabs>
              <w:spacing w:after="0" w:line="240" w:lineRule="auto"/>
              <w:rPr>
                <w:rFonts w:cstheme="minorHAnsi"/>
                <w:b/>
              </w:rPr>
            </w:pPr>
          </w:p>
        </w:tc>
      </w:tr>
      <w:tr w:rsidR="001C6F66" w:rsidRPr="009B546D" w14:paraId="0DFF170C" w14:textId="77777777" w:rsidTr="00EA2BB6">
        <w:trPr>
          <w:gridAfter w:val="1"/>
          <w:wAfter w:w="709" w:type="dxa"/>
        </w:trPr>
        <w:tc>
          <w:tcPr>
            <w:tcW w:w="8046" w:type="dxa"/>
          </w:tcPr>
          <w:p w14:paraId="60AD0F25" w14:textId="77777777" w:rsidR="001C6F66" w:rsidRPr="009B546D" w:rsidRDefault="001C6F66" w:rsidP="00F432B9">
            <w:pPr>
              <w:spacing w:after="0" w:line="240" w:lineRule="auto"/>
              <w:jc w:val="left"/>
              <w:rPr>
                <w:rFonts w:cstheme="minorHAnsi"/>
              </w:rPr>
            </w:pPr>
            <w:r w:rsidRPr="009B546D">
              <w:rPr>
                <w:rFonts w:cstheme="minorHAnsi"/>
              </w:rPr>
              <w:t>Depreciation of plant and equipment</w:t>
            </w:r>
          </w:p>
        </w:tc>
        <w:tc>
          <w:tcPr>
            <w:tcW w:w="1134" w:type="dxa"/>
          </w:tcPr>
          <w:p w14:paraId="6A2AFB7F" w14:textId="77777777" w:rsidR="001C6F66" w:rsidRPr="009B546D" w:rsidRDefault="001C6F66" w:rsidP="00F432B9">
            <w:pPr>
              <w:tabs>
                <w:tab w:val="decimal" w:pos="1457"/>
              </w:tabs>
              <w:spacing w:after="0" w:line="240" w:lineRule="auto"/>
              <w:rPr>
                <w:rFonts w:cstheme="minorHAnsi"/>
              </w:rPr>
            </w:pPr>
            <w:r w:rsidRPr="009B546D">
              <w:rPr>
                <w:rFonts w:cstheme="minorHAnsi"/>
              </w:rPr>
              <w:t>10,084</w:t>
            </w:r>
          </w:p>
        </w:tc>
      </w:tr>
      <w:tr w:rsidR="001C6F66" w:rsidRPr="009B546D" w14:paraId="229F40E9" w14:textId="77777777" w:rsidTr="00EA2BB6">
        <w:trPr>
          <w:gridAfter w:val="1"/>
          <w:wAfter w:w="709" w:type="dxa"/>
        </w:trPr>
        <w:tc>
          <w:tcPr>
            <w:tcW w:w="8046" w:type="dxa"/>
          </w:tcPr>
          <w:p w14:paraId="0E23EE05" w14:textId="77777777" w:rsidR="001C6F66" w:rsidRPr="009B546D" w:rsidRDefault="001C6F66" w:rsidP="00F432B9">
            <w:pPr>
              <w:spacing w:after="0" w:line="240" w:lineRule="auto"/>
              <w:jc w:val="left"/>
              <w:rPr>
                <w:rFonts w:cstheme="minorHAnsi"/>
              </w:rPr>
            </w:pPr>
            <w:r w:rsidRPr="009B546D">
              <w:rPr>
                <w:rFonts w:cstheme="minorHAnsi"/>
              </w:rPr>
              <w:t>Amortisation of intangible assets</w:t>
            </w:r>
          </w:p>
        </w:tc>
        <w:tc>
          <w:tcPr>
            <w:tcW w:w="1134" w:type="dxa"/>
          </w:tcPr>
          <w:p w14:paraId="136EF44F" w14:textId="77777777" w:rsidR="001C6F66" w:rsidRPr="009B546D" w:rsidRDefault="001C6F66" w:rsidP="00F432B9">
            <w:pPr>
              <w:tabs>
                <w:tab w:val="decimal" w:pos="1457"/>
              </w:tabs>
              <w:spacing w:after="0" w:line="240" w:lineRule="auto"/>
              <w:jc w:val="left"/>
              <w:rPr>
                <w:rFonts w:cstheme="minorHAnsi"/>
              </w:rPr>
            </w:pPr>
            <w:r w:rsidRPr="009B546D">
              <w:rPr>
                <w:rFonts w:cstheme="minorHAnsi"/>
              </w:rPr>
              <w:t>65,171</w:t>
            </w:r>
          </w:p>
        </w:tc>
      </w:tr>
      <w:tr w:rsidR="001C6F66" w:rsidRPr="009B546D" w14:paraId="42F99D2C" w14:textId="77777777" w:rsidTr="00EA2BB6">
        <w:trPr>
          <w:gridAfter w:val="1"/>
          <w:wAfter w:w="709" w:type="dxa"/>
        </w:trPr>
        <w:tc>
          <w:tcPr>
            <w:tcW w:w="8046" w:type="dxa"/>
          </w:tcPr>
          <w:p w14:paraId="5289E5B0" w14:textId="77777777" w:rsidR="001C6F66" w:rsidRPr="009B546D" w:rsidRDefault="001C6F66" w:rsidP="00F432B9">
            <w:pPr>
              <w:spacing w:after="0" w:line="240" w:lineRule="auto"/>
              <w:jc w:val="left"/>
              <w:rPr>
                <w:rFonts w:cstheme="minorHAnsi"/>
              </w:rPr>
            </w:pPr>
            <w:r w:rsidRPr="009B546D">
              <w:rPr>
                <w:rFonts w:cstheme="minorHAnsi"/>
              </w:rPr>
              <w:t>Increase in trade and other receivables</w:t>
            </w:r>
          </w:p>
        </w:tc>
        <w:tc>
          <w:tcPr>
            <w:tcW w:w="1134" w:type="dxa"/>
          </w:tcPr>
          <w:p w14:paraId="0F3D6FE0" w14:textId="0DD08BEB" w:rsidR="001C6F66" w:rsidRPr="009B546D" w:rsidRDefault="001C6F66" w:rsidP="00F432B9">
            <w:pPr>
              <w:tabs>
                <w:tab w:val="decimal" w:pos="1457"/>
              </w:tabs>
              <w:spacing w:after="0" w:line="240" w:lineRule="auto"/>
              <w:jc w:val="left"/>
              <w:rPr>
                <w:rFonts w:cstheme="minorHAnsi"/>
              </w:rPr>
            </w:pPr>
            <w:r w:rsidRPr="009B546D">
              <w:rPr>
                <w:rFonts w:cstheme="minorHAnsi"/>
              </w:rPr>
              <w:t>(</w:t>
            </w:r>
            <w:r w:rsidR="001D37D5">
              <w:rPr>
                <w:rFonts w:cstheme="minorHAnsi"/>
              </w:rPr>
              <w:t>16</w:t>
            </w:r>
            <w:r w:rsidRPr="009B546D">
              <w:rPr>
                <w:rFonts w:cstheme="minorHAnsi"/>
              </w:rPr>
              <w:t>,500)</w:t>
            </w:r>
          </w:p>
        </w:tc>
      </w:tr>
      <w:tr w:rsidR="001C6F66" w:rsidRPr="009B546D" w14:paraId="6E87C140" w14:textId="77777777" w:rsidTr="00EA2BB6">
        <w:trPr>
          <w:gridAfter w:val="1"/>
          <w:wAfter w:w="709" w:type="dxa"/>
        </w:trPr>
        <w:tc>
          <w:tcPr>
            <w:tcW w:w="8046" w:type="dxa"/>
          </w:tcPr>
          <w:p w14:paraId="7D0F6EAE" w14:textId="2170412D" w:rsidR="001C6F66" w:rsidRPr="009B546D" w:rsidRDefault="001C6F66" w:rsidP="00F432B9">
            <w:pPr>
              <w:spacing w:after="0" w:line="240" w:lineRule="auto"/>
              <w:jc w:val="left"/>
              <w:rPr>
                <w:rFonts w:cstheme="minorHAnsi"/>
              </w:rPr>
            </w:pPr>
            <w:r w:rsidRPr="009B546D">
              <w:rPr>
                <w:rFonts w:cstheme="minorHAnsi"/>
              </w:rPr>
              <w:t xml:space="preserve">Increase in </w:t>
            </w:r>
            <w:r w:rsidR="00A4679D" w:rsidRPr="009B546D">
              <w:rPr>
                <w:rFonts w:cstheme="minorHAnsi"/>
              </w:rPr>
              <w:t>trade</w:t>
            </w:r>
            <w:r w:rsidRPr="009B546D">
              <w:rPr>
                <w:rFonts w:cstheme="minorHAnsi"/>
              </w:rPr>
              <w:t xml:space="preserve"> payables and accruals</w:t>
            </w:r>
          </w:p>
        </w:tc>
        <w:tc>
          <w:tcPr>
            <w:tcW w:w="1134" w:type="dxa"/>
          </w:tcPr>
          <w:p w14:paraId="54161746" w14:textId="14947F6E" w:rsidR="001C6F66" w:rsidRPr="009B546D" w:rsidRDefault="00BF1E64" w:rsidP="00F432B9">
            <w:pPr>
              <w:tabs>
                <w:tab w:val="decimal" w:pos="1457"/>
              </w:tabs>
              <w:spacing w:after="0" w:line="240" w:lineRule="auto"/>
              <w:rPr>
                <w:rFonts w:cstheme="minorHAnsi"/>
              </w:rPr>
            </w:pPr>
            <w:r w:rsidRPr="009B546D">
              <w:rPr>
                <w:rFonts w:cstheme="minorHAnsi"/>
              </w:rPr>
              <w:t>6</w:t>
            </w:r>
            <w:r w:rsidR="001D37D5">
              <w:rPr>
                <w:rFonts w:cstheme="minorHAnsi"/>
              </w:rPr>
              <w:t>6</w:t>
            </w:r>
            <w:r w:rsidR="001C6F66" w:rsidRPr="009B546D">
              <w:rPr>
                <w:rFonts w:cstheme="minorHAnsi"/>
              </w:rPr>
              <w:t>,</w:t>
            </w:r>
            <w:r w:rsidRPr="009B546D">
              <w:rPr>
                <w:rFonts w:cstheme="minorHAnsi"/>
              </w:rPr>
              <w:t>1</w:t>
            </w:r>
            <w:r w:rsidR="001C6F66" w:rsidRPr="009B546D">
              <w:rPr>
                <w:rFonts w:cstheme="minorHAnsi"/>
              </w:rPr>
              <w:t>71</w:t>
            </w:r>
          </w:p>
        </w:tc>
      </w:tr>
      <w:tr w:rsidR="001C6F66" w:rsidRPr="009B546D" w14:paraId="409D073E" w14:textId="77777777" w:rsidTr="00EA2BB6">
        <w:trPr>
          <w:gridAfter w:val="1"/>
          <w:wAfter w:w="709" w:type="dxa"/>
        </w:trPr>
        <w:tc>
          <w:tcPr>
            <w:tcW w:w="8046" w:type="dxa"/>
          </w:tcPr>
          <w:p w14:paraId="690DB8DF" w14:textId="77777777" w:rsidR="001C6F66" w:rsidRPr="009B546D" w:rsidRDefault="001C6F66" w:rsidP="00F432B9">
            <w:pPr>
              <w:spacing w:after="0" w:line="240" w:lineRule="auto"/>
              <w:jc w:val="left"/>
              <w:rPr>
                <w:rFonts w:cstheme="minorHAnsi"/>
              </w:rPr>
            </w:pPr>
          </w:p>
        </w:tc>
        <w:tc>
          <w:tcPr>
            <w:tcW w:w="1134" w:type="dxa"/>
          </w:tcPr>
          <w:p w14:paraId="4E7A3055" w14:textId="77777777" w:rsidR="001C6F66" w:rsidRPr="009B546D" w:rsidRDefault="001C6F66" w:rsidP="00F432B9">
            <w:pPr>
              <w:tabs>
                <w:tab w:val="decimal" w:pos="1457"/>
              </w:tabs>
              <w:spacing w:after="0" w:line="240" w:lineRule="auto"/>
              <w:rPr>
                <w:rFonts w:cstheme="minorHAnsi"/>
                <w:b/>
                <w:u w:val="single"/>
              </w:rPr>
            </w:pPr>
            <w:r w:rsidRPr="009B546D">
              <w:rPr>
                <w:rFonts w:cstheme="minorHAnsi"/>
              </w:rPr>
              <w:t>_________</w:t>
            </w:r>
          </w:p>
        </w:tc>
      </w:tr>
      <w:tr w:rsidR="001C6F66" w:rsidRPr="009B546D" w14:paraId="073C4E9E" w14:textId="77777777" w:rsidTr="00EA2BB6">
        <w:trPr>
          <w:gridAfter w:val="1"/>
          <w:wAfter w:w="709" w:type="dxa"/>
        </w:trPr>
        <w:tc>
          <w:tcPr>
            <w:tcW w:w="8046" w:type="dxa"/>
          </w:tcPr>
          <w:p w14:paraId="632BB19C" w14:textId="77777777" w:rsidR="001C6F66" w:rsidRPr="009B546D" w:rsidRDefault="001C6F66" w:rsidP="00F432B9">
            <w:pPr>
              <w:spacing w:after="0" w:line="240" w:lineRule="auto"/>
              <w:jc w:val="left"/>
              <w:rPr>
                <w:rFonts w:cstheme="minorHAnsi"/>
              </w:rPr>
            </w:pPr>
          </w:p>
        </w:tc>
        <w:tc>
          <w:tcPr>
            <w:tcW w:w="1134" w:type="dxa"/>
          </w:tcPr>
          <w:p w14:paraId="1E499094" w14:textId="77777777" w:rsidR="001C6F66" w:rsidRPr="009B546D" w:rsidRDefault="001C6F66" w:rsidP="00F432B9">
            <w:pPr>
              <w:tabs>
                <w:tab w:val="decimal" w:pos="1457"/>
              </w:tabs>
              <w:spacing w:after="0" w:line="240" w:lineRule="auto"/>
              <w:rPr>
                <w:rFonts w:cstheme="minorHAnsi"/>
                <w:b/>
              </w:rPr>
            </w:pPr>
          </w:p>
        </w:tc>
      </w:tr>
      <w:tr w:rsidR="001C6F66" w:rsidRPr="009B546D" w14:paraId="0BC7714D" w14:textId="77777777" w:rsidTr="00EA2BB6">
        <w:trPr>
          <w:gridAfter w:val="1"/>
          <w:wAfter w:w="709" w:type="dxa"/>
        </w:trPr>
        <w:tc>
          <w:tcPr>
            <w:tcW w:w="8046" w:type="dxa"/>
            <w:vAlign w:val="bottom"/>
          </w:tcPr>
          <w:p w14:paraId="2FA0B680" w14:textId="77777777" w:rsidR="001C6F66" w:rsidRPr="009B546D" w:rsidRDefault="001C6F66" w:rsidP="00F432B9">
            <w:pPr>
              <w:spacing w:after="0" w:line="240" w:lineRule="auto"/>
              <w:jc w:val="left"/>
              <w:rPr>
                <w:rFonts w:cstheme="minorHAnsi"/>
              </w:rPr>
            </w:pPr>
            <w:r w:rsidRPr="009B546D">
              <w:rPr>
                <w:rFonts w:cstheme="minorHAnsi"/>
                <w:b/>
                <w:i/>
              </w:rPr>
              <w:t>Net cash generated from operating activities</w:t>
            </w:r>
          </w:p>
        </w:tc>
        <w:tc>
          <w:tcPr>
            <w:tcW w:w="1134" w:type="dxa"/>
            <w:vAlign w:val="bottom"/>
          </w:tcPr>
          <w:p w14:paraId="438621B2" w14:textId="675602CB" w:rsidR="001C6F66" w:rsidRPr="009B546D" w:rsidRDefault="001C6F66" w:rsidP="00F432B9">
            <w:pPr>
              <w:tabs>
                <w:tab w:val="decimal" w:pos="1457"/>
              </w:tabs>
              <w:spacing w:after="0" w:line="240" w:lineRule="auto"/>
              <w:rPr>
                <w:rFonts w:cstheme="minorHAnsi"/>
                <w:b/>
              </w:rPr>
            </w:pPr>
            <w:r w:rsidRPr="009B546D">
              <w:rPr>
                <w:rFonts w:cstheme="minorHAnsi"/>
                <w:b/>
              </w:rPr>
              <w:t>6</w:t>
            </w:r>
            <w:r w:rsidR="00BF1E64" w:rsidRPr="009B546D">
              <w:rPr>
                <w:rFonts w:cstheme="minorHAnsi"/>
                <w:b/>
              </w:rPr>
              <w:t>28</w:t>
            </w:r>
            <w:r w:rsidRPr="009B546D">
              <w:rPr>
                <w:rFonts w:cstheme="minorHAnsi"/>
                <w:b/>
              </w:rPr>
              <w:t>,</w:t>
            </w:r>
            <w:r w:rsidR="00BF1E64" w:rsidRPr="009B546D">
              <w:rPr>
                <w:rFonts w:cstheme="minorHAnsi"/>
                <w:b/>
              </w:rPr>
              <w:t>9</w:t>
            </w:r>
            <w:r w:rsidRPr="009B546D">
              <w:rPr>
                <w:rFonts w:cstheme="minorHAnsi"/>
                <w:b/>
              </w:rPr>
              <w:t>78</w:t>
            </w:r>
          </w:p>
        </w:tc>
      </w:tr>
      <w:tr w:rsidR="001C6F66" w:rsidRPr="009B546D" w14:paraId="3DB273FF" w14:textId="77777777" w:rsidTr="00EA2BB6">
        <w:trPr>
          <w:gridAfter w:val="1"/>
          <w:wAfter w:w="709" w:type="dxa"/>
        </w:trPr>
        <w:tc>
          <w:tcPr>
            <w:tcW w:w="8046" w:type="dxa"/>
            <w:vAlign w:val="bottom"/>
          </w:tcPr>
          <w:p w14:paraId="7D523CF5" w14:textId="77777777" w:rsidR="001C6F66" w:rsidRPr="009B546D" w:rsidRDefault="001C6F66" w:rsidP="00F432B9">
            <w:pPr>
              <w:spacing w:after="0" w:line="240" w:lineRule="auto"/>
              <w:jc w:val="left"/>
              <w:rPr>
                <w:rFonts w:cstheme="minorHAnsi"/>
                <w:b/>
                <w:i/>
              </w:rPr>
            </w:pPr>
          </w:p>
        </w:tc>
        <w:tc>
          <w:tcPr>
            <w:tcW w:w="1134" w:type="dxa"/>
            <w:vAlign w:val="bottom"/>
          </w:tcPr>
          <w:p w14:paraId="56F986BA" w14:textId="77777777" w:rsidR="001C6F66" w:rsidRPr="009B546D" w:rsidRDefault="001C6F66" w:rsidP="00F432B9">
            <w:pPr>
              <w:tabs>
                <w:tab w:val="decimal" w:pos="1457"/>
              </w:tabs>
              <w:spacing w:after="0" w:line="240" w:lineRule="auto"/>
              <w:rPr>
                <w:rFonts w:cstheme="minorHAnsi"/>
                <w:b/>
              </w:rPr>
            </w:pPr>
            <w:r w:rsidRPr="009B546D">
              <w:rPr>
                <w:rFonts w:cstheme="minorHAnsi"/>
              </w:rPr>
              <w:t>_________</w:t>
            </w:r>
          </w:p>
        </w:tc>
      </w:tr>
      <w:tr w:rsidR="001C6F66" w:rsidRPr="009B546D" w14:paraId="3D12EAB8" w14:textId="77777777" w:rsidTr="00EA2BB6">
        <w:trPr>
          <w:gridAfter w:val="1"/>
          <w:wAfter w:w="709" w:type="dxa"/>
          <w:trHeight w:val="169"/>
        </w:trPr>
        <w:tc>
          <w:tcPr>
            <w:tcW w:w="8046" w:type="dxa"/>
          </w:tcPr>
          <w:p w14:paraId="0218E318" w14:textId="77777777" w:rsidR="001C6F66" w:rsidRPr="009B546D" w:rsidRDefault="001C6F66" w:rsidP="00F432B9">
            <w:pPr>
              <w:spacing w:after="0" w:line="240" w:lineRule="auto"/>
              <w:jc w:val="left"/>
              <w:rPr>
                <w:rFonts w:cstheme="minorHAnsi"/>
                <w:b/>
              </w:rPr>
            </w:pPr>
          </w:p>
        </w:tc>
        <w:tc>
          <w:tcPr>
            <w:tcW w:w="1134" w:type="dxa"/>
          </w:tcPr>
          <w:p w14:paraId="0FCCC0F3" w14:textId="77777777" w:rsidR="001C6F66" w:rsidRPr="009B546D" w:rsidRDefault="001C6F66" w:rsidP="00F432B9">
            <w:pPr>
              <w:tabs>
                <w:tab w:val="decimal" w:pos="1457"/>
              </w:tabs>
              <w:spacing w:after="0" w:line="240" w:lineRule="auto"/>
              <w:rPr>
                <w:rFonts w:cstheme="minorHAnsi"/>
                <w:b/>
              </w:rPr>
            </w:pPr>
          </w:p>
        </w:tc>
      </w:tr>
      <w:tr w:rsidR="001C6F66" w:rsidRPr="009B546D" w14:paraId="0FE087E3" w14:textId="77777777" w:rsidTr="00EA2BB6">
        <w:trPr>
          <w:gridAfter w:val="1"/>
          <w:wAfter w:w="709" w:type="dxa"/>
          <w:trHeight w:val="271"/>
        </w:trPr>
        <w:tc>
          <w:tcPr>
            <w:tcW w:w="8046" w:type="dxa"/>
          </w:tcPr>
          <w:p w14:paraId="19C3676B" w14:textId="77777777" w:rsidR="001C6F66" w:rsidRPr="009B546D" w:rsidRDefault="001C6F66" w:rsidP="00F432B9">
            <w:pPr>
              <w:spacing w:after="0" w:line="240" w:lineRule="auto"/>
              <w:jc w:val="left"/>
              <w:rPr>
                <w:rFonts w:cstheme="minorHAnsi"/>
              </w:rPr>
            </w:pPr>
            <w:r w:rsidRPr="009B546D">
              <w:rPr>
                <w:rFonts w:cstheme="minorHAnsi"/>
                <w:b/>
              </w:rPr>
              <w:t>Cash flows from investing activities</w:t>
            </w:r>
          </w:p>
        </w:tc>
        <w:tc>
          <w:tcPr>
            <w:tcW w:w="1134" w:type="dxa"/>
          </w:tcPr>
          <w:p w14:paraId="78632DCA" w14:textId="77777777" w:rsidR="001C6F66" w:rsidRPr="009B546D" w:rsidRDefault="001C6F66" w:rsidP="00F432B9">
            <w:pPr>
              <w:tabs>
                <w:tab w:val="decimal" w:pos="1457"/>
              </w:tabs>
              <w:spacing w:after="0" w:line="240" w:lineRule="auto"/>
              <w:jc w:val="left"/>
              <w:rPr>
                <w:rFonts w:cstheme="minorHAnsi"/>
                <w:b/>
              </w:rPr>
            </w:pPr>
          </w:p>
        </w:tc>
      </w:tr>
      <w:tr w:rsidR="001C6F66" w:rsidRPr="009B546D" w14:paraId="77C49717" w14:textId="77777777" w:rsidTr="00EA2BB6">
        <w:trPr>
          <w:gridAfter w:val="1"/>
          <w:wAfter w:w="709" w:type="dxa"/>
        </w:trPr>
        <w:tc>
          <w:tcPr>
            <w:tcW w:w="8046" w:type="dxa"/>
          </w:tcPr>
          <w:p w14:paraId="33C9B95A" w14:textId="77777777" w:rsidR="001C6F66" w:rsidRPr="009B546D" w:rsidRDefault="001C6F66" w:rsidP="00F432B9">
            <w:pPr>
              <w:spacing w:after="0" w:line="240" w:lineRule="auto"/>
              <w:jc w:val="left"/>
              <w:rPr>
                <w:rFonts w:cstheme="minorHAnsi"/>
              </w:rPr>
            </w:pPr>
            <w:r w:rsidRPr="009B546D">
              <w:rPr>
                <w:rFonts w:cstheme="minorHAnsi"/>
              </w:rPr>
              <w:t>Purchase of plant and equipment</w:t>
            </w:r>
          </w:p>
        </w:tc>
        <w:tc>
          <w:tcPr>
            <w:tcW w:w="1134" w:type="dxa"/>
          </w:tcPr>
          <w:p w14:paraId="5CD879C6" w14:textId="08963296" w:rsidR="001C6F66" w:rsidRPr="009B546D" w:rsidRDefault="001C6F66" w:rsidP="00F432B9">
            <w:pPr>
              <w:tabs>
                <w:tab w:val="decimal" w:pos="1457"/>
              </w:tabs>
              <w:spacing w:after="0" w:line="240" w:lineRule="auto"/>
              <w:rPr>
                <w:rFonts w:cstheme="minorHAnsi"/>
              </w:rPr>
            </w:pPr>
            <w:r w:rsidRPr="009B546D">
              <w:rPr>
                <w:rFonts w:cstheme="minorHAnsi"/>
              </w:rPr>
              <w:t>(</w:t>
            </w:r>
            <w:r w:rsidR="00BF1E64" w:rsidRPr="009B546D">
              <w:rPr>
                <w:rFonts w:cstheme="minorHAnsi"/>
              </w:rPr>
              <w:t>1</w:t>
            </w:r>
            <w:r w:rsidRPr="009B546D">
              <w:rPr>
                <w:rFonts w:cstheme="minorHAnsi"/>
              </w:rPr>
              <w:t>7,562)</w:t>
            </w:r>
          </w:p>
        </w:tc>
      </w:tr>
      <w:tr w:rsidR="001C6F66" w:rsidRPr="009B546D" w14:paraId="77FAF617" w14:textId="77777777" w:rsidTr="00EA2BB6">
        <w:trPr>
          <w:gridAfter w:val="1"/>
          <w:wAfter w:w="709" w:type="dxa"/>
        </w:trPr>
        <w:tc>
          <w:tcPr>
            <w:tcW w:w="8046" w:type="dxa"/>
          </w:tcPr>
          <w:p w14:paraId="4BE5385A" w14:textId="77777777" w:rsidR="001C6F66" w:rsidRPr="009B546D" w:rsidRDefault="001C6F66" w:rsidP="00F432B9">
            <w:pPr>
              <w:spacing w:after="0" w:line="240" w:lineRule="auto"/>
              <w:jc w:val="left"/>
              <w:rPr>
                <w:rFonts w:cstheme="minorHAnsi"/>
              </w:rPr>
            </w:pPr>
            <w:r w:rsidRPr="009B546D">
              <w:rPr>
                <w:rFonts w:cstheme="minorHAnsi"/>
              </w:rPr>
              <w:t>Purchase of intangible assets</w:t>
            </w:r>
          </w:p>
        </w:tc>
        <w:tc>
          <w:tcPr>
            <w:tcW w:w="1134" w:type="dxa"/>
          </w:tcPr>
          <w:p w14:paraId="33AFBD39" w14:textId="77777777" w:rsidR="001C6F66" w:rsidRPr="009B546D" w:rsidRDefault="001C6F66" w:rsidP="00F432B9">
            <w:pPr>
              <w:tabs>
                <w:tab w:val="decimal" w:pos="1457"/>
              </w:tabs>
              <w:spacing w:after="0" w:line="240" w:lineRule="auto"/>
              <w:rPr>
                <w:rFonts w:cstheme="minorHAnsi"/>
              </w:rPr>
            </w:pPr>
            <w:r w:rsidRPr="009B546D">
              <w:rPr>
                <w:rFonts w:cstheme="minorHAnsi"/>
              </w:rPr>
              <w:t>(325,853)</w:t>
            </w:r>
          </w:p>
        </w:tc>
      </w:tr>
      <w:tr w:rsidR="001C6F66" w:rsidRPr="009B546D" w14:paraId="02C2AFD1" w14:textId="77777777" w:rsidTr="00EA2BB6">
        <w:trPr>
          <w:gridAfter w:val="1"/>
          <w:wAfter w:w="709" w:type="dxa"/>
        </w:trPr>
        <w:tc>
          <w:tcPr>
            <w:tcW w:w="8046" w:type="dxa"/>
          </w:tcPr>
          <w:p w14:paraId="71BFCE02" w14:textId="77777777" w:rsidR="001C6F66" w:rsidRPr="009B546D" w:rsidRDefault="001C6F66" w:rsidP="00F432B9">
            <w:pPr>
              <w:spacing w:after="0" w:line="240" w:lineRule="auto"/>
              <w:jc w:val="left"/>
              <w:rPr>
                <w:rFonts w:cstheme="minorHAnsi"/>
              </w:rPr>
            </w:pPr>
          </w:p>
        </w:tc>
        <w:tc>
          <w:tcPr>
            <w:tcW w:w="1134" w:type="dxa"/>
          </w:tcPr>
          <w:p w14:paraId="664F1417" w14:textId="77777777" w:rsidR="001C6F66" w:rsidRPr="009B546D" w:rsidRDefault="001C6F66" w:rsidP="00F432B9">
            <w:pPr>
              <w:tabs>
                <w:tab w:val="decimal" w:pos="1457"/>
              </w:tabs>
              <w:spacing w:after="0" w:line="240" w:lineRule="auto"/>
              <w:rPr>
                <w:rFonts w:cstheme="minorHAnsi"/>
                <w:b/>
              </w:rPr>
            </w:pPr>
            <w:r w:rsidRPr="009B546D">
              <w:rPr>
                <w:rFonts w:cstheme="minorHAnsi"/>
              </w:rPr>
              <w:t>_________</w:t>
            </w:r>
          </w:p>
        </w:tc>
      </w:tr>
      <w:tr w:rsidR="001C6F66" w:rsidRPr="009B546D" w14:paraId="05A36925" w14:textId="77777777" w:rsidTr="00EA2BB6">
        <w:trPr>
          <w:gridAfter w:val="1"/>
          <w:wAfter w:w="709" w:type="dxa"/>
        </w:trPr>
        <w:tc>
          <w:tcPr>
            <w:tcW w:w="8046" w:type="dxa"/>
          </w:tcPr>
          <w:p w14:paraId="01DFA944" w14:textId="77777777" w:rsidR="001C6F66" w:rsidRPr="009B546D" w:rsidRDefault="001C6F66" w:rsidP="00F432B9">
            <w:pPr>
              <w:spacing w:after="0" w:line="240" w:lineRule="auto"/>
              <w:jc w:val="left"/>
              <w:rPr>
                <w:rFonts w:cstheme="minorHAnsi"/>
              </w:rPr>
            </w:pPr>
          </w:p>
        </w:tc>
        <w:tc>
          <w:tcPr>
            <w:tcW w:w="1134" w:type="dxa"/>
          </w:tcPr>
          <w:p w14:paraId="7C6D3BFE" w14:textId="77777777" w:rsidR="001C6F66" w:rsidRPr="009B546D" w:rsidRDefault="001C6F66" w:rsidP="00F432B9">
            <w:pPr>
              <w:tabs>
                <w:tab w:val="decimal" w:pos="1457"/>
              </w:tabs>
              <w:spacing w:after="0" w:line="240" w:lineRule="auto"/>
              <w:rPr>
                <w:rFonts w:cstheme="minorHAnsi"/>
                <w:b/>
              </w:rPr>
            </w:pPr>
          </w:p>
        </w:tc>
      </w:tr>
      <w:tr w:rsidR="001C6F66" w:rsidRPr="009B546D" w14:paraId="12131D96" w14:textId="77777777" w:rsidTr="00EA2BB6">
        <w:trPr>
          <w:gridAfter w:val="1"/>
          <w:wAfter w:w="709" w:type="dxa"/>
        </w:trPr>
        <w:tc>
          <w:tcPr>
            <w:tcW w:w="8046" w:type="dxa"/>
          </w:tcPr>
          <w:p w14:paraId="69057599" w14:textId="77777777" w:rsidR="001C6F66" w:rsidRPr="009B546D" w:rsidRDefault="001C6F66" w:rsidP="00F432B9">
            <w:pPr>
              <w:spacing w:after="0" w:line="240" w:lineRule="auto"/>
              <w:jc w:val="left"/>
              <w:rPr>
                <w:rFonts w:cstheme="minorHAnsi"/>
                <w:b/>
                <w:i/>
              </w:rPr>
            </w:pPr>
            <w:r w:rsidRPr="009B546D">
              <w:rPr>
                <w:rFonts w:cstheme="minorHAnsi"/>
                <w:b/>
                <w:i/>
              </w:rPr>
              <w:t>Net cash used in investing activities</w:t>
            </w:r>
          </w:p>
        </w:tc>
        <w:tc>
          <w:tcPr>
            <w:tcW w:w="1134" w:type="dxa"/>
          </w:tcPr>
          <w:p w14:paraId="117D6186" w14:textId="1FEBA658" w:rsidR="001C6F66" w:rsidRPr="009B546D" w:rsidRDefault="001C6F66" w:rsidP="00F432B9">
            <w:pPr>
              <w:tabs>
                <w:tab w:val="decimal" w:pos="1457"/>
              </w:tabs>
              <w:spacing w:after="0" w:line="240" w:lineRule="auto"/>
              <w:rPr>
                <w:rFonts w:cstheme="minorHAnsi"/>
                <w:b/>
              </w:rPr>
            </w:pPr>
            <w:r w:rsidRPr="009B546D">
              <w:rPr>
                <w:rFonts w:cstheme="minorHAnsi"/>
                <w:b/>
              </w:rPr>
              <w:t>(3</w:t>
            </w:r>
            <w:r w:rsidR="00BF1E64" w:rsidRPr="009B546D">
              <w:rPr>
                <w:rFonts w:cstheme="minorHAnsi"/>
                <w:b/>
              </w:rPr>
              <w:t>4</w:t>
            </w:r>
            <w:r w:rsidRPr="009B546D">
              <w:rPr>
                <w:rFonts w:cstheme="minorHAnsi"/>
                <w:b/>
              </w:rPr>
              <w:t>3,415)</w:t>
            </w:r>
          </w:p>
        </w:tc>
      </w:tr>
      <w:tr w:rsidR="001C6F66" w:rsidRPr="009B546D" w14:paraId="5FB9B77C" w14:textId="77777777" w:rsidTr="00EA2BB6">
        <w:trPr>
          <w:gridAfter w:val="1"/>
          <w:wAfter w:w="709" w:type="dxa"/>
        </w:trPr>
        <w:tc>
          <w:tcPr>
            <w:tcW w:w="8046" w:type="dxa"/>
          </w:tcPr>
          <w:p w14:paraId="0262B70C" w14:textId="77777777" w:rsidR="001C6F66" w:rsidRPr="009B546D" w:rsidRDefault="001C6F66" w:rsidP="00F432B9">
            <w:pPr>
              <w:spacing w:after="0" w:line="240" w:lineRule="auto"/>
              <w:jc w:val="left"/>
              <w:rPr>
                <w:rFonts w:cstheme="minorHAnsi"/>
                <w:b/>
                <w:i/>
              </w:rPr>
            </w:pPr>
          </w:p>
        </w:tc>
        <w:tc>
          <w:tcPr>
            <w:tcW w:w="1134" w:type="dxa"/>
          </w:tcPr>
          <w:p w14:paraId="2014F9A3" w14:textId="77777777" w:rsidR="001C6F66" w:rsidRPr="009B546D" w:rsidRDefault="001C6F66" w:rsidP="00F432B9">
            <w:pPr>
              <w:tabs>
                <w:tab w:val="decimal" w:pos="1457"/>
              </w:tabs>
              <w:spacing w:after="0" w:line="240" w:lineRule="auto"/>
              <w:rPr>
                <w:rFonts w:cstheme="minorHAnsi"/>
                <w:b/>
              </w:rPr>
            </w:pPr>
            <w:r w:rsidRPr="009B546D">
              <w:rPr>
                <w:rFonts w:cstheme="minorHAnsi"/>
              </w:rPr>
              <w:t>_________</w:t>
            </w:r>
          </w:p>
        </w:tc>
      </w:tr>
      <w:tr w:rsidR="001C6F66" w:rsidRPr="009B546D" w14:paraId="6C84B803" w14:textId="77777777" w:rsidTr="00EA2BB6">
        <w:trPr>
          <w:gridAfter w:val="1"/>
          <w:wAfter w:w="709" w:type="dxa"/>
        </w:trPr>
        <w:tc>
          <w:tcPr>
            <w:tcW w:w="8046" w:type="dxa"/>
          </w:tcPr>
          <w:p w14:paraId="72C0F5A6" w14:textId="77777777" w:rsidR="001C6F66" w:rsidRPr="009B546D" w:rsidRDefault="001C6F66" w:rsidP="00F432B9">
            <w:pPr>
              <w:spacing w:after="0" w:line="240" w:lineRule="auto"/>
              <w:jc w:val="left"/>
              <w:rPr>
                <w:rFonts w:cstheme="minorHAnsi"/>
                <w:b/>
                <w:i/>
              </w:rPr>
            </w:pPr>
          </w:p>
        </w:tc>
        <w:tc>
          <w:tcPr>
            <w:tcW w:w="1134" w:type="dxa"/>
          </w:tcPr>
          <w:p w14:paraId="6F9CC6D4" w14:textId="77777777" w:rsidR="001C6F66" w:rsidRPr="009B546D" w:rsidRDefault="001C6F66" w:rsidP="00F432B9">
            <w:pPr>
              <w:tabs>
                <w:tab w:val="decimal" w:pos="1457"/>
              </w:tabs>
              <w:spacing w:after="0" w:line="240" w:lineRule="auto"/>
              <w:rPr>
                <w:rFonts w:cstheme="minorHAnsi"/>
                <w:b/>
              </w:rPr>
            </w:pPr>
          </w:p>
        </w:tc>
      </w:tr>
      <w:tr w:rsidR="008F420F" w:rsidRPr="009B546D" w14:paraId="394DD26F" w14:textId="77777777" w:rsidTr="00EA2BB6">
        <w:trPr>
          <w:gridAfter w:val="1"/>
          <w:wAfter w:w="709" w:type="dxa"/>
        </w:trPr>
        <w:tc>
          <w:tcPr>
            <w:tcW w:w="8046" w:type="dxa"/>
          </w:tcPr>
          <w:p w14:paraId="3A9434D0" w14:textId="559EFDC3" w:rsidR="008F420F" w:rsidRPr="009B546D" w:rsidRDefault="008F420F" w:rsidP="008F420F">
            <w:pPr>
              <w:spacing w:after="0" w:line="240" w:lineRule="auto"/>
              <w:jc w:val="left"/>
              <w:rPr>
                <w:rFonts w:cstheme="minorHAnsi"/>
              </w:rPr>
            </w:pPr>
            <w:r w:rsidRPr="009B546D">
              <w:rPr>
                <w:rFonts w:cstheme="minorHAnsi"/>
                <w:b/>
              </w:rPr>
              <w:t>Cash flows from financing activities</w:t>
            </w:r>
          </w:p>
        </w:tc>
        <w:tc>
          <w:tcPr>
            <w:tcW w:w="1134" w:type="dxa"/>
          </w:tcPr>
          <w:p w14:paraId="62BAF4CA" w14:textId="77777777" w:rsidR="008F420F" w:rsidRPr="009B546D" w:rsidRDefault="008F420F" w:rsidP="008F420F">
            <w:pPr>
              <w:tabs>
                <w:tab w:val="decimal" w:pos="1457"/>
              </w:tabs>
              <w:spacing w:after="0" w:line="240" w:lineRule="auto"/>
              <w:rPr>
                <w:rFonts w:cstheme="minorHAnsi"/>
              </w:rPr>
            </w:pPr>
          </w:p>
        </w:tc>
      </w:tr>
      <w:tr w:rsidR="008F420F" w:rsidRPr="009B546D" w14:paraId="66B52CDF" w14:textId="77777777" w:rsidTr="00EA2BB6">
        <w:trPr>
          <w:gridAfter w:val="1"/>
          <w:wAfter w:w="709" w:type="dxa"/>
        </w:trPr>
        <w:tc>
          <w:tcPr>
            <w:tcW w:w="8046" w:type="dxa"/>
          </w:tcPr>
          <w:p w14:paraId="798EB91F" w14:textId="4F7A0F3C" w:rsidR="008F420F" w:rsidRPr="009B546D" w:rsidRDefault="008F420F" w:rsidP="008F420F">
            <w:pPr>
              <w:spacing w:after="0" w:line="240" w:lineRule="auto"/>
              <w:jc w:val="left"/>
              <w:rPr>
                <w:rFonts w:cstheme="minorHAnsi"/>
              </w:rPr>
            </w:pPr>
            <w:r w:rsidRPr="009B546D">
              <w:rPr>
                <w:rFonts w:cstheme="minorHAnsi"/>
              </w:rPr>
              <w:t>Injection of share capital</w:t>
            </w:r>
          </w:p>
        </w:tc>
        <w:tc>
          <w:tcPr>
            <w:tcW w:w="1134" w:type="dxa"/>
          </w:tcPr>
          <w:p w14:paraId="7360E16E" w14:textId="18A75222" w:rsidR="008F420F" w:rsidRPr="009B546D" w:rsidRDefault="008F420F" w:rsidP="008F420F">
            <w:pPr>
              <w:tabs>
                <w:tab w:val="decimal" w:pos="1457"/>
              </w:tabs>
              <w:spacing w:after="0" w:line="240" w:lineRule="auto"/>
              <w:jc w:val="left"/>
              <w:rPr>
                <w:rFonts w:cstheme="minorHAnsi"/>
              </w:rPr>
            </w:pPr>
            <w:r w:rsidRPr="009B546D">
              <w:rPr>
                <w:rFonts w:cstheme="minorHAnsi"/>
              </w:rPr>
              <w:t>100</w:t>
            </w:r>
          </w:p>
        </w:tc>
      </w:tr>
      <w:tr w:rsidR="008F420F" w:rsidRPr="009B546D" w14:paraId="5361320E" w14:textId="77777777" w:rsidTr="00EA2BB6">
        <w:trPr>
          <w:gridAfter w:val="1"/>
          <w:wAfter w:w="709" w:type="dxa"/>
        </w:trPr>
        <w:tc>
          <w:tcPr>
            <w:tcW w:w="8046" w:type="dxa"/>
          </w:tcPr>
          <w:p w14:paraId="4F876737" w14:textId="660693F4" w:rsidR="008F420F" w:rsidRPr="009B546D" w:rsidRDefault="008F420F" w:rsidP="008F420F">
            <w:pPr>
              <w:spacing w:after="0" w:line="240" w:lineRule="auto"/>
              <w:jc w:val="left"/>
              <w:rPr>
                <w:rFonts w:cstheme="minorHAnsi"/>
              </w:rPr>
            </w:pPr>
            <w:r>
              <w:rPr>
                <w:rFonts w:cstheme="minorHAnsi"/>
              </w:rPr>
              <w:t>Increase in amounts owing to a director</w:t>
            </w:r>
          </w:p>
        </w:tc>
        <w:tc>
          <w:tcPr>
            <w:tcW w:w="1134" w:type="dxa"/>
          </w:tcPr>
          <w:p w14:paraId="188F7AA8" w14:textId="2566DAEC" w:rsidR="008F420F" w:rsidRPr="009B546D" w:rsidRDefault="008F420F" w:rsidP="008F420F">
            <w:pPr>
              <w:tabs>
                <w:tab w:val="decimal" w:pos="1457"/>
              </w:tabs>
              <w:spacing w:after="0" w:line="240" w:lineRule="auto"/>
              <w:jc w:val="left"/>
              <w:rPr>
                <w:rFonts w:cstheme="minorHAnsi"/>
              </w:rPr>
            </w:pPr>
            <w:r>
              <w:rPr>
                <w:rFonts w:cstheme="minorHAnsi"/>
              </w:rPr>
              <w:t>24,000</w:t>
            </w:r>
          </w:p>
        </w:tc>
      </w:tr>
      <w:tr w:rsidR="008F420F" w:rsidRPr="009B546D" w14:paraId="0BE4E6ED" w14:textId="77777777" w:rsidTr="00EA2BB6">
        <w:trPr>
          <w:gridAfter w:val="1"/>
          <w:wAfter w:w="709" w:type="dxa"/>
        </w:trPr>
        <w:tc>
          <w:tcPr>
            <w:tcW w:w="8046" w:type="dxa"/>
          </w:tcPr>
          <w:p w14:paraId="52CA37AC" w14:textId="0AAD8134" w:rsidR="008F420F" w:rsidRPr="009B546D" w:rsidRDefault="008F420F" w:rsidP="008F420F">
            <w:pPr>
              <w:spacing w:after="0" w:line="240" w:lineRule="auto"/>
              <w:jc w:val="left"/>
              <w:rPr>
                <w:rFonts w:cstheme="minorHAnsi"/>
              </w:rPr>
            </w:pPr>
            <w:r>
              <w:rPr>
                <w:rFonts w:cstheme="minorHAnsi"/>
              </w:rPr>
              <w:t>Increase in amounts owing to a shareholder</w:t>
            </w:r>
          </w:p>
        </w:tc>
        <w:tc>
          <w:tcPr>
            <w:tcW w:w="1134" w:type="dxa"/>
          </w:tcPr>
          <w:p w14:paraId="32C6B39A" w14:textId="75E95D0F" w:rsidR="008F420F" w:rsidRPr="009B546D" w:rsidRDefault="008F420F" w:rsidP="008F420F">
            <w:pPr>
              <w:tabs>
                <w:tab w:val="decimal" w:pos="1457"/>
              </w:tabs>
              <w:spacing w:after="0" w:line="240" w:lineRule="auto"/>
              <w:rPr>
                <w:rFonts w:cstheme="minorHAnsi"/>
                <w:b/>
              </w:rPr>
            </w:pPr>
            <w:r>
              <w:rPr>
                <w:rFonts w:cstheme="minorHAnsi"/>
              </w:rPr>
              <w:t>18,900</w:t>
            </w:r>
          </w:p>
        </w:tc>
      </w:tr>
      <w:tr w:rsidR="001C6F66" w:rsidRPr="009B546D" w14:paraId="3C681604" w14:textId="77777777" w:rsidTr="00EA2BB6">
        <w:trPr>
          <w:gridAfter w:val="1"/>
          <w:wAfter w:w="709" w:type="dxa"/>
        </w:trPr>
        <w:tc>
          <w:tcPr>
            <w:tcW w:w="8046" w:type="dxa"/>
          </w:tcPr>
          <w:p w14:paraId="677BCC9D" w14:textId="77777777" w:rsidR="001C6F66" w:rsidRPr="009B546D" w:rsidRDefault="001C6F66" w:rsidP="00F432B9">
            <w:pPr>
              <w:spacing w:after="0" w:line="240" w:lineRule="auto"/>
              <w:jc w:val="left"/>
              <w:rPr>
                <w:rFonts w:cstheme="minorHAnsi"/>
              </w:rPr>
            </w:pPr>
          </w:p>
        </w:tc>
        <w:tc>
          <w:tcPr>
            <w:tcW w:w="1134" w:type="dxa"/>
          </w:tcPr>
          <w:p w14:paraId="13659DEC" w14:textId="77777777" w:rsidR="001C6F66" w:rsidRPr="009B546D" w:rsidRDefault="001C6F66" w:rsidP="00F432B9">
            <w:pPr>
              <w:tabs>
                <w:tab w:val="decimal" w:pos="1457"/>
              </w:tabs>
              <w:spacing w:after="0" w:line="240" w:lineRule="auto"/>
              <w:rPr>
                <w:rFonts w:cstheme="minorHAnsi"/>
                <w:b/>
              </w:rPr>
            </w:pPr>
          </w:p>
        </w:tc>
      </w:tr>
      <w:tr w:rsidR="00E94EED" w:rsidRPr="009B546D" w14:paraId="683E6EF9" w14:textId="77777777" w:rsidTr="00EA2BB6">
        <w:trPr>
          <w:gridAfter w:val="1"/>
          <w:wAfter w:w="709" w:type="dxa"/>
        </w:trPr>
        <w:tc>
          <w:tcPr>
            <w:tcW w:w="8046" w:type="dxa"/>
          </w:tcPr>
          <w:p w14:paraId="081214C8" w14:textId="77777777" w:rsidR="00E94EED" w:rsidRPr="009B546D" w:rsidRDefault="00E94EED" w:rsidP="00E94EED">
            <w:pPr>
              <w:spacing w:after="0" w:line="240" w:lineRule="auto"/>
              <w:jc w:val="left"/>
              <w:rPr>
                <w:rFonts w:cstheme="minorHAnsi"/>
              </w:rPr>
            </w:pPr>
          </w:p>
        </w:tc>
        <w:tc>
          <w:tcPr>
            <w:tcW w:w="1134" w:type="dxa"/>
          </w:tcPr>
          <w:p w14:paraId="38B3E3FF" w14:textId="374BBB89" w:rsidR="00E94EED" w:rsidRPr="009B546D" w:rsidRDefault="00E94EED" w:rsidP="00E94EED">
            <w:pPr>
              <w:tabs>
                <w:tab w:val="decimal" w:pos="1457"/>
              </w:tabs>
              <w:spacing w:after="0" w:line="240" w:lineRule="auto"/>
              <w:rPr>
                <w:rFonts w:cstheme="minorHAnsi"/>
                <w:b/>
              </w:rPr>
            </w:pPr>
            <w:r w:rsidRPr="009B546D">
              <w:rPr>
                <w:rFonts w:cstheme="minorHAnsi"/>
              </w:rPr>
              <w:t>_________</w:t>
            </w:r>
          </w:p>
        </w:tc>
      </w:tr>
      <w:tr w:rsidR="00E94EED" w:rsidRPr="009B546D" w14:paraId="3F76F13A" w14:textId="77777777" w:rsidTr="00EA2BB6">
        <w:trPr>
          <w:gridAfter w:val="1"/>
          <w:wAfter w:w="709" w:type="dxa"/>
        </w:trPr>
        <w:tc>
          <w:tcPr>
            <w:tcW w:w="8046" w:type="dxa"/>
          </w:tcPr>
          <w:p w14:paraId="4A3D6C09" w14:textId="77777777" w:rsidR="00E94EED" w:rsidRPr="009B546D" w:rsidRDefault="00E94EED" w:rsidP="00E94EED">
            <w:pPr>
              <w:spacing w:after="0" w:line="240" w:lineRule="auto"/>
              <w:jc w:val="left"/>
              <w:rPr>
                <w:rFonts w:cstheme="minorHAnsi"/>
              </w:rPr>
            </w:pPr>
          </w:p>
        </w:tc>
        <w:tc>
          <w:tcPr>
            <w:tcW w:w="1134" w:type="dxa"/>
          </w:tcPr>
          <w:p w14:paraId="31665FD3" w14:textId="77777777" w:rsidR="00E94EED" w:rsidRPr="009B546D" w:rsidRDefault="00E94EED" w:rsidP="00E94EED">
            <w:pPr>
              <w:tabs>
                <w:tab w:val="decimal" w:pos="1457"/>
              </w:tabs>
              <w:spacing w:after="0" w:line="240" w:lineRule="auto"/>
              <w:rPr>
                <w:rFonts w:cstheme="minorHAnsi"/>
                <w:b/>
              </w:rPr>
            </w:pPr>
          </w:p>
        </w:tc>
      </w:tr>
      <w:tr w:rsidR="00E94EED" w:rsidRPr="009B546D" w14:paraId="4280634D" w14:textId="77777777" w:rsidTr="00EA2BB6">
        <w:trPr>
          <w:gridAfter w:val="1"/>
          <w:wAfter w:w="709" w:type="dxa"/>
        </w:trPr>
        <w:tc>
          <w:tcPr>
            <w:tcW w:w="8046" w:type="dxa"/>
          </w:tcPr>
          <w:p w14:paraId="00216289" w14:textId="14A3F3AD" w:rsidR="00E94EED" w:rsidRPr="009B546D" w:rsidRDefault="00E94EED" w:rsidP="00E94EED">
            <w:pPr>
              <w:spacing w:after="0" w:line="240" w:lineRule="auto"/>
              <w:jc w:val="left"/>
              <w:rPr>
                <w:rFonts w:cstheme="minorHAnsi"/>
                <w:b/>
                <w:i/>
              </w:rPr>
            </w:pPr>
            <w:r w:rsidRPr="009B546D">
              <w:rPr>
                <w:rFonts w:cstheme="minorHAnsi"/>
                <w:b/>
                <w:i/>
              </w:rPr>
              <w:t>Net cash generated from financing activities</w:t>
            </w:r>
          </w:p>
        </w:tc>
        <w:tc>
          <w:tcPr>
            <w:tcW w:w="1134" w:type="dxa"/>
          </w:tcPr>
          <w:p w14:paraId="1BCDD566" w14:textId="70C7E4A0" w:rsidR="00E94EED" w:rsidRPr="009B546D" w:rsidRDefault="00E94EED" w:rsidP="00E94EED">
            <w:pPr>
              <w:tabs>
                <w:tab w:val="decimal" w:pos="1457"/>
              </w:tabs>
              <w:spacing w:after="0" w:line="240" w:lineRule="auto"/>
              <w:rPr>
                <w:rFonts w:cstheme="minorHAnsi"/>
                <w:b/>
              </w:rPr>
            </w:pPr>
            <w:r w:rsidRPr="009B546D">
              <w:rPr>
                <w:rFonts w:cstheme="minorHAnsi"/>
                <w:b/>
              </w:rPr>
              <w:t>43,000</w:t>
            </w:r>
          </w:p>
        </w:tc>
      </w:tr>
      <w:tr w:rsidR="00E94EED" w:rsidRPr="009B546D" w14:paraId="159CD9E1" w14:textId="77777777" w:rsidTr="00EA2BB6">
        <w:trPr>
          <w:gridAfter w:val="1"/>
          <w:wAfter w:w="709" w:type="dxa"/>
        </w:trPr>
        <w:tc>
          <w:tcPr>
            <w:tcW w:w="8046" w:type="dxa"/>
          </w:tcPr>
          <w:p w14:paraId="526E6081" w14:textId="77777777" w:rsidR="00E94EED" w:rsidRPr="009B546D" w:rsidRDefault="00E94EED" w:rsidP="00E94EED">
            <w:pPr>
              <w:spacing w:after="0" w:line="240" w:lineRule="auto"/>
              <w:jc w:val="left"/>
              <w:rPr>
                <w:rFonts w:cstheme="minorHAnsi"/>
              </w:rPr>
            </w:pPr>
          </w:p>
        </w:tc>
        <w:tc>
          <w:tcPr>
            <w:tcW w:w="1134" w:type="dxa"/>
          </w:tcPr>
          <w:p w14:paraId="6F792567" w14:textId="3F9AB17B" w:rsidR="00E94EED" w:rsidRPr="009B546D" w:rsidRDefault="00E94EED" w:rsidP="00E94EED">
            <w:pPr>
              <w:tabs>
                <w:tab w:val="decimal" w:pos="1457"/>
              </w:tabs>
              <w:spacing w:after="0" w:line="240" w:lineRule="auto"/>
              <w:rPr>
                <w:rFonts w:cstheme="minorHAnsi"/>
              </w:rPr>
            </w:pPr>
            <w:r w:rsidRPr="009B546D">
              <w:rPr>
                <w:rFonts w:cstheme="minorHAnsi"/>
              </w:rPr>
              <w:t>_________</w:t>
            </w:r>
          </w:p>
        </w:tc>
      </w:tr>
      <w:tr w:rsidR="001C6F66" w:rsidRPr="009B546D" w14:paraId="2E390E59" w14:textId="77777777" w:rsidTr="00EA2BB6">
        <w:trPr>
          <w:gridAfter w:val="1"/>
          <w:wAfter w:w="709" w:type="dxa"/>
        </w:trPr>
        <w:tc>
          <w:tcPr>
            <w:tcW w:w="8046" w:type="dxa"/>
          </w:tcPr>
          <w:p w14:paraId="3D5F5126" w14:textId="77777777" w:rsidR="001C6F66" w:rsidRPr="009B546D" w:rsidRDefault="001C6F66" w:rsidP="00F432B9">
            <w:pPr>
              <w:spacing w:after="0" w:line="240" w:lineRule="auto"/>
              <w:jc w:val="left"/>
              <w:rPr>
                <w:rFonts w:cstheme="minorHAnsi"/>
              </w:rPr>
            </w:pPr>
          </w:p>
        </w:tc>
        <w:tc>
          <w:tcPr>
            <w:tcW w:w="1134" w:type="dxa"/>
          </w:tcPr>
          <w:p w14:paraId="0CB8F26E" w14:textId="77777777" w:rsidR="001C6F66" w:rsidRPr="009B546D" w:rsidRDefault="001C6F66" w:rsidP="00F432B9">
            <w:pPr>
              <w:tabs>
                <w:tab w:val="decimal" w:pos="1457"/>
              </w:tabs>
              <w:spacing w:after="0" w:line="240" w:lineRule="auto"/>
              <w:rPr>
                <w:rFonts w:cstheme="minorHAnsi"/>
              </w:rPr>
            </w:pPr>
          </w:p>
        </w:tc>
      </w:tr>
      <w:tr w:rsidR="001C6F66" w:rsidRPr="009B546D" w14:paraId="285BDCC8" w14:textId="77777777" w:rsidTr="00EA2BB6">
        <w:trPr>
          <w:gridAfter w:val="1"/>
          <w:wAfter w:w="709" w:type="dxa"/>
        </w:trPr>
        <w:tc>
          <w:tcPr>
            <w:tcW w:w="8046" w:type="dxa"/>
          </w:tcPr>
          <w:p w14:paraId="5DE84280" w14:textId="77777777" w:rsidR="001C6F66" w:rsidRPr="009B546D" w:rsidRDefault="001C6F66" w:rsidP="00F432B9">
            <w:pPr>
              <w:spacing w:after="0" w:line="240" w:lineRule="auto"/>
              <w:jc w:val="left"/>
              <w:rPr>
                <w:rFonts w:cstheme="minorHAnsi"/>
                <w:b/>
              </w:rPr>
            </w:pPr>
            <w:r w:rsidRPr="009B546D">
              <w:rPr>
                <w:rFonts w:cstheme="minorHAnsi"/>
                <w:b/>
              </w:rPr>
              <w:t>Net increase in cash and cash equivalents</w:t>
            </w:r>
          </w:p>
        </w:tc>
        <w:tc>
          <w:tcPr>
            <w:tcW w:w="1134" w:type="dxa"/>
          </w:tcPr>
          <w:p w14:paraId="324BFDFF" w14:textId="77777777" w:rsidR="001C6F66" w:rsidRPr="009B546D" w:rsidRDefault="001C6F66" w:rsidP="00F432B9">
            <w:pPr>
              <w:tabs>
                <w:tab w:val="decimal" w:pos="1457"/>
              </w:tabs>
              <w:spacing w:after="0" w:line="240" w:lineRule="auto"/>
              <w:rPr>
                <w:rFonts w:cstheme="minorHAnsi"/>
                <w:b/>
              </w:rPr>
            </w:pPr>
            <w:r w:rsidRPr="009B546D">
              <w:rPr>
                <w:rFonts w:cstheme="minorHAnsi"/>
                <w:b/>
              </w:rPr>
              <w:t>328,563</w:t>
            </w:r>
          </w:p>
        </w:tc>
      </w:tr>
      <w:tr w:rsidR="001C6F66" w:rsidRPr="009B546D" w14:paraId="63426D52" w14:textId="77777777" w:rsidTr="00EA2BB6">
        <w:trPr>
          <w:gridAfter w:val="1"/>
          <w:wAfter w:w="709" w:type="dxa"/>
        </w:trPr>
        <w:tc>
          <w:tcPr>
            <w:tcW w:w="8046" w:type="dxa"/>
          </w:tcPr>
          <w:p w14:paraId="6731A086" w14:textId="77777777" w:rsidR="001C6F66" w:rsidRPr="009B546D" w:rsidRDefault="001C6F66" w:rsidP="00F432B9">
            <w:pPr>
              <w:spacing w:after="0" w:line="240" w:lineRule="auto"/>
              <w:jc w:val="left"/>
              <w:rPr>
                <w:rFonts w:cstheme="minorHAnsi"/>
              </w:rPr>
            </w:pPr>
          </w:p>
        </w:tc>
        <w:tc>
          <w:tcPr>
            <w:tcW w:w="1134" w:type="dxa"/>
          </w:tcPr>
          <w:p w14:paraId="75E81389" w14:textId="77777777" w:rsidR="001C6F66" w:rsidRPr="009B546D" w:rsidRDefault="001C6F66" w:rsidP="00F432B9">
            <w:pPr>
              <w:tabs>
                <w:tab w:val="decimal" w:pos="1457"/>
              </w:tabs>
              <w:spacing w:after="0" w:line="240" w:lineRule="auto"/>
              <w:rPr>
                <w:rFonts w:cstheme="minorHAnsi"/>
              </w:rPr>
            </w:pPr>
            <w:r w:rsidRPr="009B546D">
              <w:rPr>
                <w:rFonts w:cstheme="minorHAnsi"/>
              </w:rPr>
              <w:t>_________</w:t>
            </w:r>
          </w:p>
        </w:tc>
      </w:tr>
      <w:tr w:rsidR="001C6F66" w:rsidRPr="009B546D" w14:paraId="761E73E4" w14:textId="77777777" w:rsidTr="00EA2BB6">
        <w:trPr>
          <w:gridAfter w:val="1"/>
          <w:wAfter w:w="709" w:type="dxa"/>
        </w:trPr>
        <w:tc>
          <w:tcPr>
            <w:tcW w:w="8046" w:type="dxa"/>
          </w:tcPr>
          <w:p w14:paraId="0668DB0E" w14:textId="77777777" w:rsidR="001C6F66" w:rsidRPr="009B546D" w:rsidRDefault="001C6F66" w:rsidP="00F432B9">
            <w:pPr>
              <w:spacing w:after="0" w:line="240" w:lineRule="auto"/>
              <w:jc w:val="left"/>
              <w:rPr>
                <w:rFonts w:cstheme="minorHAnsi"/>
              </w:rPr>
            </w:pPr>
          </w:p>
        </w:tc>
        <w:tc>
          <w:tcPr>
            <w:tcW w:w="1134" w:type="dxa"/>
          </w:tcPr>
          <w:p w14:paraId="7FA849A6" w14:textId="77777777" w:rsidR="001C6F66" w:rsidRPr="009B546D" w:rsidRDefault="001C6F66" w:rsidP="00F432B9">
            <w:pPr>
              <w:tabs>
                <w:tab w:val="decimal" w:pos="1457"/>
              </w:tabs>
              <w:spacing w:after="0" w:line="240" w:lineRule="auto"/>
              <w:rPr>
                <w:rFonts w:cstheme="minorHAnsi"/>
              </w:rPr>
            </w:pPr>
          </w:p>
        </w:tc>
      </w:tr>
      <w:tr w:rsidR="001C6F66" w:rsidRPr="009B546D" w14:paraId="0DBE37D6" w14:textId="77777777" w:rsidTr="00EA2BB6">
        <w:trPr>
          <w:gridAfter w:val="1"/>
          <w:wAfter w:w="709" w:type="dxa"/>
        </w:trPr>
        <w:tc>
          <w:tcPr>
            <w:tcW w:w="8046" w:type="dxa"/>
          </w:tcPr>
          <w:p w14:paraId="0950E525" w14:textId="77777777" w:rsidR="001C6F66" w:rsidRPr="009B546D" w:rsidRDefault="001C6F66" w:rsidP="00F432B9">
            <w:pPr>
              <w:spacing w:after="0" w:line="240" w:lineRule="auto"/>
              <w:jc w:val="left"/>
              <w:rPr>
                <w:rFonts w:cstheme="minorHAnsi"/>
                <w:b/>
              </w:rPr>
            </w:pPr>
            <w:r w:rsidRPr="009B546D">
              <w:rPr>
                <w:rFonts w:cstheme="minorHAnsi"/>
                <w:b/>
              </w:rPr>
              <w:t>Cash and cash equivalents at the end of the financial period</w:t>
            </w:r>
          </w:p>
        </w:tc>
        <w:tc>
          <w:tcPr>
            <w:tcW w:w="1134" w:type="dxa"/>
          </w:tcPr>
          <w:p w14:paraId="7F7384E5" w14:textId="77777777" w:rsidR="001C6F66" w:rsidRPr="009B546D" w:rsidRDefault="001C6F66" w:rsidP="00F432B9">
            <w:pPr>
              <w:tabs>
                <w:tab w:val="decimal" w:pos="1457"/>
              </w:tabs>
              <w:spacing w:after="0" w:line="240" w:lineRule="auto"/>
              <w:rPr>
                <w:rFonts w:cstheme="minorHAnsi"/>
                <w:b/>
              </w:rPr>
            </w:pPr>
            <w:r w:rsidRPr="009B546D">
              <w:rPr>
                <w:rFonts w:cstheme="minorHAnsi"/>
                <w:b/>
              </w:rPr>
              <w:t>328,563</w:t>
            </w:r>
          </w:p>
        </w:tc>
      </w:tr>
      <w:tr w:rsidR="001C6F66" w:rsidRPr="009B546D" w14:paraId="36F29DA7" w14:textId="77777777" w:rsidTr="00EA2BB6">
        <w:trPr>
          <w:gridAfter w:val="1"/>
          <w:wAfter w:w="709" w:type="dxa"/>
        </w:trPr>
        <w:tc>
          <w:tcPr>
            <w:tcW w:w="8046" w:type="dxa"/>
          </w:tcPr>
          <w:p w14:paraId="5570BCEC" w14:textId="77777777" w:rsidR="001C6F66" w:rsidRPr="009B546D" w:rsidRDefault="001C6F66" w:rsidP="00F432B9">
            <w:pPr>
              <w:spacing w:after="0" w:line="240" w:lineRule="auto"/>
              <w:jc w:val="left"/>
              <w:rPr>
                <w:rFonts w:cstheme="minorHAnsi"/>
              </w:rPr>
            </w:pPr>
          </w:p>
        </w:tc>
        <w:tc>
          <w:tcPr>
            <w:tcW w:w="1134" w:type="dxa"/>
          </w:tcPr>
          <w:p w14:paraId="610C7BB4" w14:textId="77777777" w:rsidR="001C6F66" w:rsidRPr="009B546D" w:rsidRDefault="001C6F66" w:rsidP="00F432B9">
            <w:pPr>
              <w:tabs>
                <w:tab w:val="decimal" w:pos="1457"/>
              </w:tabs>
              <w:spacing w:after="0" w:line="240" w:lineRule="auto"/>
              <w:rPr>
                <w:rFonts w:cstheme="minorHAnsi"/>
                <w:b/>
              </w:rPr>
            </w:pPr>
            <w:r w:rsidRPr="009B546D">
              <w:rPr>
                <w:rFonts w:cstheme="minorHAnsi"/>
                <w:b/>
              </w:rPr>
              <w:t>________</w:t>
            </w:r>
          </w:p>
        </w:tc>
      </w:tr>
      <w:tr w:rsidR="001C6F66" w:rsidRPr="009B546D" w14:paraId="306388F7" w14:textId="77777777" w:rsidTr="007C0902">
        <w:tc>
          <w:tcPr>
            <w:tcW w:w="8046" w:type="dxa"/>
          </w:tcPr>
          <w:p w14:paraId="1496F3C6" w14:textId="77777777" w:rsidR="001C6F66" w:rsidRPr="009B546D" w:rsidRDefault="001C6F66" w:rsidP="00F432B9">
            <w:pPr>
              <w:spacing w:after="0" w:line="240" w:lineRule="auto"/>
              <w:jc w:val="left"/>
              <w:rPr>
                <w:rFonts w:cstheme="minorHAnsi"/>
              </w:rPr>
            </w:pPr>
          </w:p>
        </w:tc>
        <w:tc>
          <w:tcPr>
            <w:tcW w:w="1843" w:type="dxa"/>
            <w:gridSpan w:val="2"/>
          </w:tcPr>
          <w:p w14:paraId="7E12C02D" w14:textId="77777777" w:rsidR="001C6F66" w:rsidRPr="009B546D" w:rsidRDefault="001C6F66" w:rsidP="00F432B9">
            <w:pPr>
              <w:tabs>
                <w:tab w:val="decimal" w:pos="1457"/>
              </w:tabs>
              <w:spacing w:after="0" w:line="240" w:lineRule="auto"/>
              <w:rPr>
                <w:rFonts w:cstheme="minorHAnsi"/>
                <w:b/>
              </w:rPr>
            </w:pPr>
          </w:p>
        </w:tc>
      </w:tr>
    </w:tbl>
    <w:p w14:paraId="277E401B" w14:textId="77777777" w:rsidR="00420EA6" w:rsidRPr="009B546D" w:rsidRDefault="00420EA6" w:rsidP="00F432B9">
      <w:pPr>
        <w:spacing w:line="240" w:lineRule="auto"/>
        <w:jc w:val="left"/>
        <w:rPr>
          <w:rFonts w:cstheme="minorHAnsi"/>
          <w:b/>
          <w:color w:val="0D0D0D" w:themeColor="text1" w:themeTint="F2"/>
          <w:u w:val="single"/>
        </w:rPr>
      </w:pPr>
      <w:r w:rsidRPr="009B546D">
        <w:rPr>
          <w:rFonts w:cstheme="minorHAnsi"/>
          <w:b/>
          <w:color w:val="0D0D0D" w:themeColor="text1" w:themeTint="F2"/>
          <w:u w:val="single"/>
        </w:rPr>
        <w:t>Non-cash transactions</w:t>
      </w:r>
    </w:p>
    <w:p w14:paraId="316E171D" w14:textId="77777777" w:rsidR="00420EA6" w:rsidRPr="009B546D" w:rsidRDefault="00420EA6" w:rsidP="00F432B9">
      <w:pPr>
        <w:spacing w:line="240" w:lineRule="auto"/>
        <w:rPr>
          <w:rFonts w:cstheme="minorHAnsi"/>
          <w:b/>
          <w:color w:val="FF0000"/>
        </w:rPr>
      </w:pPr>
      <w:r w:rsidRPr="009B546D">
        <w:rPr>
          <w:rFonts w:cstheme="minorHAnsi"/>
          <w:color w:val="0D0D0D" w:themeColor="text1" w:themeTint="F2"/>
        </w:rPr>
        <w:t>Computer equipment with a value of RM50,000 was provided to Alchemist by a shareholder. This has been recorded as a capital contribution</w:t>
      </w:r>
      <w:r w:rsidRPr="009B546D">
        <w:rPr>
          <w:rFonts w:cstheme="minorHAnsi"/>
          <w:color w:val="FF0000"/>
        </w:rPr>
        <w:t>.</w:t>
      </w:r>
    </w:p>
    <w:p w14:paraId="758A4711" w14:textId="77777777" w:rsidR="001C6F66" w:rsidRPr="009B546D" w:rsidRDefault="001C6F66" w:rsidP="00F432B9">
      <w:pPr>
        <w:spacing w:after="0" w:line="240" w:lineRule="auto"/>
        <w:rPr>
          <w:rFonts w:cstheme="minorHAnsi"/>
          <w:b/>
        </w:rPr>
      </w:pPr>
    </w:p>
    <w:p w14:paraId="54D54120" w14:textId="77777777" w:rsidR="001C6F66" w:rsidRPr="009B546D" w:rsidRDefault="001C6F66" w:rsidP="00F432B9">
      <w:pPr>
        <w:spacing w:after="0" w:line="240" w:lineRule="auto"/>
        <w:jc w:val="left"/>
        <w:rPr>
          <w:rFonts w:cstheme="minorHAnsi"/>
          <w:b/>
        </w:rPr>
      </w:pPr>
      <w:r w:rsidRPr="009B546D">
        <w:rPr>
          <w:rFonts w:cstheme="minorHAnsi"/>
          <w:b/>
        </w:rPr>
        <w:br w:type="page"/>
      </w:r>
    </w:p>
    <w:p w14:paraId="14303C79" w14:textId="77777777" w:rsidR="001C6F66" w:rsidRPr="009B546D" w:rsidRDefault="001C6F66" w:rsidP="00F432B9">
      <w:pPr>
        <w:spacing w:line="240" w:lineRule="auto"/>
        <w:rPr>
          <w:rFonts w:cstheme="minorHAnsi"/>
          <w:b/>
          <w:caps/>
        </w:rPr>
      </w:pPr>
      <w:bookmarkStart w:id="45" w:name="NotesToAccounts"/>
      <w:r w:rsidRPr="009B546D">
        <w:rPr>
          <w:rFonts w:cstheme="minorHAnsi"/>
          <w:b/>
          <w:caps/>
        </w:rPr>
        <w:lastRenderedPageBreak/>
        <w:t>n</w:t>
      </w:r>
      <w:r w:rsidRPr="009B546D">
        <w:rPr>
          <w:rFonts w:cstheme="minorHAnsi"/>
          <w:b/>
        </w:rPr>
        <w:t>otes to the financial information</w:t>
      </w:r>
      <w:bookmarkEnd w:id="45"/>
    </w:p>
    <w:p w14:paraId="198CAB40" w14:textId="77777777" w:rsidR="001C6F66" w:rsidRPr="00384557" w:rsidRDefault="001C6F66" w:rsidP="00F432B9">
      <w:pPr>
        <w:spacing w:line="240" w:lineRule="auto"/>
        <w:rPr>
          <w:rFonts w:cstheme="minorHAnsi"/>
          <w:b/>
          <w:caps/>
        </w:rPr>
      </w:pPr>
      <w:r w:rsidRPr="009B546D">
        <w:rPr>
          <w:rFonts w:cstheme="minorHAnsi"/>
          <w:b/>
          <w:caps/>
        </w:rPr>
        <w:t>F</w:t>
      </w:r>
      <w:r w:rsidRPr="009B546D">
        <w:rPr>
          <w:rFonts w:cstheme="minorHAnsi"/>
          <w:b/>
        </w:rPr>
        <w:t xml:space="preserve">or the </w:t>
      </w:r>
      <w:r w:rsidRPr="009B546D">
        <w:rPr>
          <w:rFonts w:cstheme="minorHAnsi"/>
          <w:b/>
          <w:caps/>
        </w:rPr>
        <w:fldChar w:fldCharType="begin"/>
      </w:r>
      <w:r w:rsidRPr="009B546D">
        <w:rPr>
          <w:rFonts w:cstheme="minorHAnsi"/>
          <w:b/>
          <w:caps/>
        </w:rPr>
        <w:instrText xml:space="preserve"> DOCPROPERTY  "Fin year/period (for cover page)"\* Caps \* MERGEFORMAT </w:instrText>
      </w:r>
      <w:r w:rsidRPr="009B546D">
        <w:rPr>
          <w:rFonts w:cstheme="minorHAnsi"/>
          <w:b/>
          <w:caps/>
        </w:rPr>
        <w:fldChar w:fldCharType="separate"/>
      </w:r>
      <w:r w:rsidRPr="009B546D">
        <w:rPr>
          <w:rFonts w:cstheme="minorHAnsi"/>
          <w:b/>
        </w:rPr>
        <w:t>financial period ended from 17 April 2018 (date of incorporation) to 30 April 2019</w:t>
      </w:r>
      <w:r w:rsidRPr="009B546D">
        <w:rPr>
          <w:rFonts w:cstheme="minorHAnsi"/>
          <w:b/>
          <w:caps/>
        </w:rPr>
        <w:fldChar w:fldCharType="end"/>
      </w:r>
    </w:p>
    <w:p w14:paraId="4492800E" w14:textId="77777777" w:rsidR="001C6F66" w:rsidRPr="009B546D" w:rsidRDefault="001C6F66" w:rsidP="00F432B9">
      <w:pPr>
        <w:pBdr>
          <w:bottom w:val="single" w:sz="6" w:space="1" w:color="auto"/>
        </w:pBdr>
        <w:spacing w:line="240" w:lineRule="auto"/>
        <w:jc w:val="right"/>
        <w:rPr>
          <w:rFonts w:cstheme="minorHAnsi"/>
        </w:rPr>
      </w:pPr>
    </w:p>
    <w:p w14:paraId="43476FB4" w14:textId="77777777" w:rsidR="001C6F66" w:rsidRPr="009B546D" w:rsidRDefault="001C6F66" w:rsidP="00F432B9">
      <w:pPr>
        <w:spacing w:line="240" w:lineRule="auto"/>
        <w:rPr>
          <w:rFonts w:cstheme="minorHAnsi"/>
        </w:rPr>
      </w:pPr>
    </w:p>
    <w:p w14:paraId="26952555" w14:textId="77777777" w:rsidR="001C6F66" w:rsidRPr="009B546D" w:rsidRDefault="001C6F66" w:rsidP="00496B89">
      <w:pPr>
        <w:keepNext/>
        <w:keepLines/>
        <w:numPr>
          <w:ilvl w:val="0"/>
          <w:numId w:val="26"/>
        </w:numPr>
        <w:tabs>
          <w:tab w:val="left" w:pos="576"/>
        </w:tabs>
        <w:spacing w:after="0" w:line="240" w:lineRule="auto"/>
        <w:rPr>
          <w:rFonts w:cstheme="minorHAnsi"/>
          <w:b/>
          <w:caps/>
        </w:rPr>
      </w:pPr>
      <w:r w:rsidRPr="009B546D">
        <w:rPr>
          <w:rFonts w:cstheme="minorHAnsi"/>
          <w:b/>
          <w:caps/>
        </w:rPr>
        <w:t>GENERAL INFORMATION</w:t>
      </w:r>
    </w:p>
    <w:p w14:paraId="42C5F8A8" w14:textId="77777777" w:rsidR="001C6F66" w:rsidRPr="009B546D" w:rsidRDefault="001C6F66" w:rsidP="00F432B9">
      <w:pPr>
        <w:keepNext/>
        <w:keepLines/>
        <w:spacing w:line="240" w:lineRule="auto"/>
        <w:ind w:left="576"/>
        <w:rPr>
          <w:rFonts w:cstheme="minorHAnsi"/>
          <w:b/>
          <w:caps/>
        </w:rPr>
      </w:pPr>
    </w:p>
    <w:p w14:paraId="3FE12983" w14:textId="2C979021" w:rsidR="001C6F66" w:rsidRPr="009B546D" w:rsidRDefault="001C6F66" w:rsidP="00F432B9">
      <w:pPr>
        <w:spacing w:after="180" w:line="240" w:lineRule="auto"/>
        <w:ind w:left="576"/>
        <w:rPr>
          <w:rFonts w:cstheme="minorHAnsi"/>
        </w:rPr>
      </w:pPr>
      <w:r w:rsidRPr="009B546D">
        <w:rPr>
          <w:rFonts w:cstheme="minorHAnsi"/>
        </w:rPr>
        <w:t xml:space="preserve">Alchemist Codes </w:t>
      </w:r>
      <w:r w:rsidR="00DB11F6" w:rsidRPr="009B546D">
        <w:rPr>
          <w:rFonts w:cstheme="minorHAnsi"/>
        </w:rPr>
        <w:t>Sdn. Bhd</w:t>
      </w:r>
      <w:r w:rsidRPr="009B546D">
        <w:rPr>
          <w:rFonts w:cstheme="minorHAnsi"/>
        </w:rPr>
        <w:t xml:space="preserve"> (“</w:t>
      </w:r>
      <w:r w:rsidRPr="00EA2BB6">
        <w:rPr>
          <w:rFonts w:cstheme="minorHAnsi"/>
          <w:b/>
          <w:bCs/>
        </w:rPr>
        <w:t>Alchemist</w:t>
      </w:r>
      <w:r w:rsidRPr="009B546D">
        <w:rPr>
          <w:rFonts w:cstheme="minorHAnsi"/>
        </w:rPr>
        <w:t>”) is a private limited company incorporated and domiciled in Malaysia.</w:t>
      </w:r>
    </w:p>
    <w:p w14:paraId="3C025052" w14:textId="77777777" w:rsidR="001C6F66" w:rsidRPr="009B546D" w:rsidRDefault="001C6F66" w:rsidP="00F432B9">
      <w:pPr>
        <w:spacing w:after="220" w:line="240" w:lineRule="auto"/>
        <w:ind w:left="576"/>
        <w:rPr>
          <w:rFonts w:cstheme="minorHAnsi"/>
        </w:rPr>
      </w:pPr>
      <w:r w:rsidRPr="009B546D">
        <w:rPr>
          <w:rFonts w:cstheme="minorHAnsi"/>
        </w:rPr>
        <w:t xml:space="preserve">Alchemist is principally engaged in the designing and development of software. There have been no significant changes in the nature of the activities during the </w:t>
      </w:r>
      <w:r w:rsidRPr="009B546D">
        <w:rPr>
          <w:rFonts w:cstheme="minorHAnsi"/>
        </w:rPr>
        <w:fldChar w:fldCharType="begin"/>
      </w:r>
      <w:r w:rsidRPr="009B546D">
        <w:rPr>
          <w:rFonts w:cstheme="minorHAnsi"/>
        </w:rPr>
        <w:instrText xml:space="preserve"> DOCPROPERTY  "year or period ?" \* MERGEFORMAT </w:instrText>
      </w:r>
      <w:r w:rsidRPr="009B546D">
        <w:rPr>
          <w:rFonts w:cstheme="minorHAnsi"/>
        </w:rPr>
        <w:fldChar w:fldCharType="separate"/>
      </w:r>
      <w:r w:rsidRPr="009B546D">
        <w:rPr>
          <w:rFonts w:cstheme="minorHAnsi"/>
        </w:rPr>
        <w:t>financial period</w:t>
      </w:r>
      <w:r w:rsidRPr="009B546D">
        <w:rPr>
          <w:rFonts w:cstheme="minorHAnsi"/>
        </w:rPr>
        <w:fldChar w:fldCharType="end"/>
      </w:r>
      <w:r w:rsidRPr="00384557">
        <w:rPr>
          <w:rFonts w:cstheme="minorHAnsi"/>
        </w:rPr>
        <w:t>.</w:t>
      </w:r>
    </w:p>
    <w:p w14:paraId="3FD02970" w14:textId="4D8110AA" w:rsidR="001C6F66" w:rsidRPr="009B546D" w:rsidRDefault="001C6F66" w:rsidP="00F432B9">
      <w:pPr>
        <w:spacing w:line="240" w:lineRule="auto"/>
        <w:ind w:left="576"/>
        <w:rPr>
          <w:rFonts w:cstheme="minorHAnsi"/>
        </w:rPr>
      </w:pPr>
      <w:r w:rsidRPr="009B546D">
        <w:rPr>
          <w:rFonts w:cstheme="minorHAnsi"/>
        </w:rPr>
        <w:t xml:space="preserve">The registered office is located at 2-9, Jalan Puteri 4/8, Bandar </w:t>
      </w:r>
      <w:r w:rsidR="00DB11F6">
        <w:rPr>
          <w:rFonts w:cstheme="minorHAnsi"/>
        </w:rPr>
        <w:t>P</w:t>
      </w:r>
      <w:r w:rsidRPr="009B546D">
        <w:rPr>
          <w:rFonts w:cstheme="minorHAnsi"/>
        </w:rPr>
        <w:t>uteri, 47100 Puchong, Selangor Darul Ehsan.</w:t>
      </w:r>
    </w:p>
    <w:p w14:paraId="2FD28AC0" w14:textId="77777777" w:rsidR="001C6F66" w:rsidRPr="00E42C6E" w:rsidRDefault="001C6F66" w:rsidP="00F432B9">
      <w:pPr>
        <w:spacing w:line="240" w:lineRule="auto"/>
        <w:ind w:left="576"/>
        <w:rPr>
          <w:rFonts w:cstheme="minorHAnsi"/>
        </w:rPr>
      </w:pPr>
      <w:r w:rsidRPr="00E42C6E">
        <w:rPr>
          <w:rFonts w:cstheme="minorHAnsi"/>
        </w:rPr>
        <w:tab/>
      </w:r>
    </w:p>
    <w:p w14:paraId="3B21B228" w14:textId="77777777" w:rsidR="001C6F66" w:rsidRPr="00E42C6E" w:rsidRDefault="001C6F66" w:rsidP="00F432B9">
      <w:pPr>
        <w:spacing w:after="220" w:line="240" w:lineRule="auto"/>
        <w:ind w:left="576"/>
        <w:rPr>
          <w:rFonts w:cstheme="minorHAnsi"/>
        </w:rPr>
      </w:pPr>
      <w:r w:rsidRPr="00E42C6E">
        <w:rPr>
          <w:rFonts w:cstheme="minorHAnsi"/>
        </w:rPr>
        <w:t>The principal place of business is located at Unit BV05F20, IOI Boulevard, Jalan Kenari 5, Bandar Puchong Jaya, 47100 Puchong, Selangor Darul Ehsan.</w:t>
      </w:r>
    </w:p>
    <w:p w14:paraId="16BC6A2C" w14:textId="77777777" w:rsidR="001C6F66" w:rsidRPr="00E42C6E" w:rsidRDefault="001C6F66" w:rsidP="00F432B9">
      <w:pPr>
        <w:spacing w:after="220" w:line="240" w:lineRule="auto"/>
        <w:ind w:left="576"/>
        <w:rPr>
          <w:rFonts w:cstheme="minorHAnsi"/>
        </w:rPr>
      </w:pPr>
      <w:r w:rsidRPr="00E42C6E">
        <w:rPr>
          <w:rFonts w:cstheme="minorHAnsi"/>
        </w:rPr>
        <w:t>The principal place of research and development located at E-07-22, Unit E-07-22, Block E, Sunway Geo Avenue, Jalan Lagoon Selatan Sunway South Quay, Bandar Sunway, 47500 Subang Jaya, Selangor Darul Ehsan.</w:t>
      </w:r>
    </w:p>
    <w:p w14:paraId="5541D1F4" w14:textId="77777777" w:rsidR="001C6F66" w:rsidRPr="00E42C6E" w:rsidRDefault="001C6F66" w:rsidP="00F432B9">
      <w:pPr>
        <w:spacing w:after="180" w:line="240" w:lineRule="auto"/>
        <w:ind w:left="576"/>
        <w:rPr>
          <w:rFonts w:cstheme="minorHAnsi"/>
        </w:rPr>
      </w:pPr>
      <w:r w:rsidRPr="00E42C6E">
        <w:rPr>
          <w:rFonts w:cstheme="minorHAnsi"/>
        </w:rPr>
        <w:t xml:space="preserve">The financial information of Alchemist is presented in the functional currency, which is the currency of the primary economic environment in which the entity operates. </w:t>
      </w:r>
    </w:p>
    <w:p w14:paraId="592071C7" w14:textId="77777777" w:rsidR="001C6F66" w:rsidRPr="00E42C6E" w:rsidRDefault="001C6F66" w:rsidP="00F432B9">
      <w:pPr>
        <w:spacing w:after="180" w:line="240" w:lineRule="auto"/>
        <w:ind w:left="576"/>
        <w:rPr>
          <w:rFonts w:cstheme="minorHAnsi"/>
        </w:rPr>
      </w:pPr>
      <w:r w:rsidRPr="00E42C6E">
        <w:rPr>
          <w:rFonts w:cstheme="minorHAnsi"/>
        </w:rPr>
        <w:t>The functional currency of Alchemist is the Malaysian Ringgit (“</w:t>
      </w:r>
      <w:r w:rsidRPr="00EA2BB6">
        <w:rPr>
          <w:rFonts w:cstheme="minorHAnsi"/>
          <w:b/>
          <w:bCs/>
        </w:rPr>
        <w:t>RM</w:t>
      </w:r>
      <w:r w:rsidRPr="00E42C6E">
        <w:rPr>
          <w:rFonts w:cstheme="minorHAnsi"/>
        </w:rPr>
        <w:t>”).</w:t>
      </w:r>
    </w:p>
    <w:p w14:paraId="2DC1F7D4" w14:textId="77777777" w:rsidR="00B709FF" w:rsidRPr="009B546D" w:rsidRDefault="00B709FF" w:rsidP="00B709FF">
      <w:pPr>
        <w:keepNext/>
        <w:keepLines/>
        <w:numPr>
          <w:ilvl w:val="0"/>
          <w:numId w:val="26"/>
        </w:numPr>
        <w:tabs>
          <w:tab w:val="left" w:pos="576"/>
        </w:tabs>
        <w:spacing w:after="0" w:line="240" w:lineRule="auto"/>
        <w:rPr>
          <w:rFonts w:cstheme="minorHAnsi"/>
          <w:b/>
          <w:caps/>
        </w:rPr>
      </w:pPr>
      <w:r w:rsidRPr="009B546D">
        <w:rPr>
          <w:rFonts w:cstheme="minorHAnsi"/>
          <w:b/>
          <w:caps/>
        </w:rPr>
        <w:t xml:space="preserve">NEW AND REVISED INTERNATIONAL FINANCIAL REPORTING STANDARDS and the Interpretations (collectively “IFRS”) issued by the International accounting standaRds board </w:t>
      </w:r>
    </w:p>
    <w:p w14:paraId="054D5A62" w14:textId="77777777" w:rsidR="00B709FF" w:rsidRPr="009B546D" w:rsidRDefault="00B709FF" w:rsidP="00B709FF">
      <w:pPr>
        <w:keepNext/>
        <w:keepLines/>
        <w:spacing w:line="240" w:lineRule="auto"/>
        <w:ind w:left="576"/>
        <w:rPr>
          <w:rFonts w:cstheme="minorHAnsi"/>
          <w:b/>
          <w:caps/>
        </w:rPr>
      </w:pPr>
    </w:p>
    <w:p w14:paraId="03911754" w14:textId="77777777" w:rsidR="00B709FF" w:rsidRPr="009B546D" w:rsidRDefault="00B709FF" w:rsidP="00B709FF">
      <w:pPr>
        <w:spacing w:after="220" w:line="240" w:lineRule="auto"/>
        <w:ind w:left="576"/>
        <w:rPr>
          <w:rFonts w:cstheme="minorHAnsi"/>
        </w:rPr>
      </w:pPr>
      <w:r w:rsidRPr="009B546D">
        <w:rPr>
          <w:rFonts w:cstheme="minorHAnsi"/>
        </w:rPr>
        <w:t xml:space="preserve">As at the date of authorisation for issue of the financial information, </w:t>
      </w:r>
      <w:r>
        <w:rPr>
          <w:rFonts w:cstheme="minorHAnsi"/>
        </w:rPr>
        <w:t>there were no IFRSs in issue but not yet in effect that are expected to have a significant impact on Alchemist other than the following.</w:t>
      </w:r>
    </w:p>
    <w:p w14:paraId="7038AE0E" w14:textId="77777777" w:rsidR="00B709FF" w:rsidRPr="009B546D" w:rsidRDefault="00B709FF" w:rsidP="00B709FF">
      <w:pPr>
        <w:spacing w:line="240" w:lineRule="auto"/>
        <w:jc w:val="center"/>
        <w:rPr>
          <w:rFonts w:cstheme="minorHAnsi"/>
          <w:b/>
        </w:rPr>
      </w:pPr>
    </w:p>
    <w:p w14:paraId="497A464C" w14:textId="77777777" w:rsidR="00B709FF" w:rsidRPr="009B546D" w:rsidRDefault="00B709FF" w:rsidP="00B709FF">
      <w:pPr>
        <w:keepNext/>
        <w:keepLines/>
        <w:numPr>
          <w:ilvl w:val="2"/>
          <w:numId w:val="27"/>
        </w:numPr>
        <w:tabs>
          <w:tab w:val="clear" w:pos="576"/>
          <w:tab w:val="left" w:pos="1728"/>
        </w:tabs>
        <w:spacing w:after="220" w:line="240" w:lineRule="auto"/>
        <w:rPr>
          <w:rFonts w:cstheme="minorHAnsi"/>
          <w:b/>
          <w:i/>
        </w:rPr>
      </w:pPr>
      <w:r w:rsidRPr="009B546D">
        <w:rPr>
          <w:rFonts w:cstheme="minorHAnsi"/>
          <w:b/>
          <w:i/>
        </w:rPr>
        <w:t>IFRS 16 Leases</w:t>
      </w:r>
    </w:p>
    <w:p w14:paraId="72E7AB25" w14:textId="77777777" w:rsidR="00B709FF" w:rsidRPr="004A12EB" w:rsidRDefault="00B709FF" w:rsidP="00B709FF">
      <w:pPr>
        <w:pStyle w:val="ListParagraph"/>
        <w:keepNext/>
        <w:keepLines/>
        <w:tabs>
          <w:tab w:val="left" w:pos="1728"/>
        </w:tabs>
        <w:spacing w:after="220"/>
        <w:ind w:left="1152"/>
        <w:rPr>
          <w:rFonts w:asciiTheme="minorHAnsi" w:hAnsiTheme="minorHAnsi" w:cstheme="minorHAnsi"/>
          <w:sz w:val="20"/>
          <w:szCs w:val="20"/>
        </w:rPr>
      </w:pPr>
      <w:r w:rsidRPr="004A12EB">
        <w:rPr>
          <w:rFonts w:asciiTheme="minorHAnsi" w:hAnsiTheme="minorHAnsi" w:cstheme="minorHAnsi"/>
          <w:sz w:val="20"/>
          <w:szCs w:val="20"/>
        </w:rPr>
        <w:t>The standard eliminates the distinction between finance and operating leases for lessees. All leases will be brought onto the balance sheet as recording certain leases as off balance sheet leases will no longer be allowed except for some limited practical exemptions.</w:t>
      </w:r>
    </w:p>
    <w:p w14:paraId="3C9DACF8" w14:textId="77777777" w:rsidR="00B709FF" w:rsidRPr="004A12EB" w:rsidRDefault="00B709FF" w:rsidP="00B709FF">
      <w:pPr>
        <w:pStyle w:val="ListParagraph"/>
        <w:keepNext/>
        <w:keepLines/>
        <w:tabs>
          <w:tab w:val="left" w:pos="1728"/>
        </w:tabs>
        <w:spacing w:after="220"/>
        <w:ind w:left="1152"/>
        <w:rPr>
          <w:rFonts w:asciiTheme="minorHAnsi" w:hAnsiTheme="minorHAnsi" w:cstheme="minorHAnsi"/>
          <w:sz w:val="20"/>
          <w:szCs w:val="20"/>
        </w:rPr>
      </w:pPr>
    </w:p>
    <w:p w14:paraId="080169C2" w14:textId="77777777" w:rsidR="00B709FF" w:rsidRDefault="00B709FF" w:rsidP="00B709FF">
      <w:pPr>
        <w:spacing w:after="220"/>
        <w:rPr>
          <w:rFonts w:cstheme="minorHAnsi"/>
        </w:rPr>
      </w:pPr>
      <w:r w:rsidRPr="00B709FF">
        <w:rPr>
          <w:rFonts w:cstheme="minorHAnsi"/>
          <w:szCs w:val="20"/>
        </w:rPr>
        <w:t>Instead of an operating lease rental expense, Alchemist will recognise a right of use asset in respect of its premises lease, and a corresponding lease liability. The right of use asset will be amortised over the lease term. A finance expense will be recognised due to the lease finance charge.</w:t>
      </w:r>
      <w:r w:rsidRPr="00D04CEB">
        <w:rPr>
          <w:rFonts w:cstheme="minorHAnsi"/>
        </w:rPr>
        <w:t xml:space="preserve"> </w:t>
      </w:r>
    </w:p>
    <w:p w14:paraId="4CB9CDF6" w14:textId="77777777" w:rsidR="001C6F66" w:rsidRPr="00E42C6E" w:rsidRDefault="001C6F66" w:rsidP="00F432B9">
      <w:pPr>
        <w:spacing w:line="240" w:lineRule="auto"/>
        <w:jc w:val="left"/>
        <w:rPr>
          <w:rFonts w:cstheme="minorHAnsi"/>
        </w:rPr>
      </w:pPr>
      <w:r w:rsidRPr="00E42C6E">
        <w:rPr>
          <w:rFonts w:cstheme="minorHAnsi"/>
        </w:rPr>
        <w:br w:type="page"/>
      </w:r>
    </w:p>
    <w:p w14:paraId="0F1F3B13" w14:textId="77777777" w:rsidR="001C6F66" w:rsidRPr="009B546D" w:rsidRDefault="001C6F66" w:rsidP="00F432B9">
      <w:pPr>
        <w:spacing w:line="240" w:lineRule="auto"/>
        <w:rPr>
          <w:rFonts w:cstheme="minorHAnsi"/>
          <w:b/>
          <w:caps/>
        </w:rPr>
      </w:pPr>
      <w:r w:rsidRPr="00384557">
        <w:rPr>
          <w:rFonts w:cstheme="minorHAnsi"/>
          <w:b/>
          <w:caps/>
        </w:rPr>
        <w:lastRenderedPageBreak/>
        <w:t>n</w:t>
      </w:r>
      <w:r w:rsidRPr="009B546D">
        <w:rPr>
          <w:rFonts w:cstheme="minorHAnsi"/>
          <w:b/>
        </w:rPr>
        <w:t>otes to the financial information</w:t>
      </w:r>
    </w:p>
    <w:p w14:paraId="3C2A002D" w14:textId="77777777" w:rsidR="001C6F66" w:rsidRPr="009B546D" w:rsidRDefault="001C6F66" w:rsidP="00F432B9">
      <w:pPr>
        <w:spacing w:line="240" w:lineRule="auto"/>
        <w:rPr>
          <w:rFonts w:cstheme="minorHAnsi"/>
          <w:b/>
          <w:caps/>
        </w:rPr>
      </w:pPr>
      <w:r w:rsidRPr="009B546D">
        <w:rPr>
          <w:rFonts w:cstheme="minorHAnsi"/>
          <w:b/>
          <w:caps/>
        </w:rPr>
        <w:t>F</w:t>
      </w:r>
      <w:r w:rsidRPr="009B546D">
        <w:rPr>
          <w:rFonts w:cstheme="minorHAnsi"/>
          <w:b/>
        </w:rPr>
        <w:t xml:space="preserve">or the </w:t>
      </w:r>
      <w:r w:rsidRPr="009B546D">
        <w:rPr>
          <w:rFonts w:cstheme="minorHAnsi"/>
          <w:b/>
          <w:caps/>
        </w:rPr>
        <w:fldChar w:fldCharType="begin"/>
      </w:r>
      <w:r w:rsidRPr="009B546D">
        <w:rPr>
          <w:rFonts w:cstheme="minorHAnsi"/>
          <w:b/>
          <w:caps/>
        </w:rPr>
        <w:instrText xml:space="preserve"> DOCPROPERTY  "Fin year/period (for cover page)"\* Caps \* MERGEFORMAT </w:instrText>
      </w:r>
      <w:r w:rsidRPr="009B546D">
        <w:rPr>
          <w:rFonts w:cstheme="minorHAnsi"/>
          <w:b/>
          <w:caps/>
        </w:rPr>
        <w:fldChar w:fldCharType="separate"/>
      </w:r>
      <w:r w:rsidRPr="009B546D">
        <w:rPr>
          <w:rFonts w:cstheme="minorHAnsi"/>
          <w:b/>
        </w:rPr>
        <w:t>financial period ended from 17 April 2018 (date of incorporation) to 30 April 2019</w:t>
      </w:r>
      <w:r w:rsidRPr="009B546D">
        <w:rPr>
          <w:rFonts w:cstheme="minorHAnsi"/>
          <w:b/>
          <w:caps/>
        </w:rPr>
        <w:fldChar w:fldCharType="end"/>
      </w:r>
      <w:r w:rsidRPr="00384557">
        <w:rPr>
          <w:rFonts w:cstheme="minorHAnsi"/>
          <w:b/>
          <w:caps/>
        </w:rPr>
        <w:t xml:space="preserve"> (</w:t>
      </w:r>
      <w:r w:rsidRPr="009B546D">
        <w:rPr>
          <w:rFonts w:cstheme="minorHAnsi"/>
          <w:b/>
          <w:i/>
        </w:rPr>
        <w:t>continued)</w:t>
      </w:r>
    </w:p>
    <w:p w14:paraId="325581A2" w14:textId="77777777" w:rsidR="001C6F66" w:rsidRPr="009B546D" w:rsidRDefault="001C6F66" w:rsidP="00F432B9">
      <w:pPr>
        <w:pBdr>
          <w:bottom w:val="single" w:sz="6" w:space="1" w:color="auto"/>
        </w:pBdr>
        <w:spacing w:line="240" w:lineRule="auto"/>
        <w:jc w:val="right"/>
        <w:rPr>
          <w:rFonts w:cstheme="minorHAnsi"/>
        </w:rPr>
      </w:pPr>
    </w:p>
    <w:p w14:paraId="18BFB304" w14:textId="77777777" w:rsidR="00B709FF" w:rsidRPr="009B546D" w:rsidRDefault="00B709FF" w:rsidP="00B709FF">
      <w:pPr>
        <w:keepNext/>
        <w:keepLines/>
        <w:numPr>
          <w:ilvl w:val="0"/>
          <w:numId w:val="31"/>
        </w:numPr>
        <w:spacing w:after="0" w:line="240" w:lineRule="auto"/>
        <w:rPr>
          <w:rFonts w:cstheme="minorHAnsi"/>
          <w:b/>
          <w:caps/>
        </w:rPr>
      </w:pPr>
      <w:r w:rsidRPr="009B546D">
        <w:rPr>
          <w:rFonts w:cstheme="minorHAnsi"/>
          <w:b/>
          <w:caps/>
        </w:rPr>
        <w:t>SIGNIFICANT ACCOUNTING POLICIES</w:t>
      </w:r>
    </w:p>
    <w:p w14:paraId="0D435116" w14:textId="77777777" w:rsidR="00B709FF" w:rsidRPr="009B546D" w:rsidRDefault="00B709FF" w:rsidP="00B709FF">
      <w:pPr>
        <w:keepNext/>
        <w:keepLines/>
        <w:spacing w:line="240" w:lineRule="auto"/>
        <w:ind w:left="576"/>
        <w:rPr>
          <w:rFonts w:cstheme="minorHAnsi"/>
          <w:b/>
          <w:caps/>
        </w:rPr>
      </w:pPr>
    </w:p>
    <w:p w14:paraId="6A8A680B" w14:textId="77777777" w:rsidR="00B709FF" w:rsidRPr="009B546D" w:rsidRDefault="00B709FF" w:rsidP="00B709FF">
      <w:pPr>
        <w:spacing w:after="220" w:line="240" w:lineRule="auto"/>
        <w:ind w:left="576"/>
        <w:rPr>
          <w:rFonts w:cstheme="minorHAnsi"/>
        </w:rPr>
      </w:pPr>
      <w:r w:rsidRPr="009B546D">
        <w:rPr>
          <w:rFonts w:cstheme="minorHAnsi"/>
        </w:rPr>
        <w:t>The financial information of Alchemist ha</w:t>
      </w:r>
      <w:r>
        <w:rPr>
          <w:rFonts w:cstheme="minorHAnsi"/>
        </w:rPr>
        <w:t>s</w:t>
      </w:r>
      <w:r w:rsidRPr="009B546D">
        <w:rPr>
          <w:rFonts w:cstheme="minorHAnsi"/>
        </w:rPr>
        <w:t xml:space="preserve"> been prepared in accordance with International Financial Reporting Standards as adopted by the European Union (“</w:t>
      </w:r>
      <w:r w:rsidRPr="00EA2BB6">
        <w:rPr>
          <w:rFonts w:cstheme="minorHAnsi"/>
          <w:b/>
          <w:bCs/>
        </w:rPr>
        <w:t>IFRS</w:t>
      </w:r>
      <w:r w:rsidRPr="009B546D">
        <w:rPr>
          <w:rFonts w:cstheme="minorHAnsi"/>
        </w:rPr>
        <w:t>”).</w:t>
      </w:r>
    </w:p>
    <w:p w14:paraId="5AC670E5" w14:textId="67808735" w:rsidR="00B709FF" w:rsidRPr="009B546D" w:rsidRDefault="00B709FF" w:rsidP="00B709FF">
      <w:pPr>
        <w:spacing w:after="220" w:line="240" w:lineRule="auto"/>
        <w:ind w:left="576"/>
        <w:rPr>
          <w:rFonts w:cstheme="minorHAnsi"/>
        </w:rPr>
      </w:pPr>
      <w:r w:rsidRPr="009B546D">
        <w:rPr>
          <w:rFonts w:cstheme="minorHAnsi"/>
        </w:rPr>
        <w:t>The financial information has been prepared on the historical cost basis unless otherwise indicated in the summary of significant accounting policies</w:t>
      </w:r>
      <w:r w:rsidR="00FE7E30">
        <w:rPr>
          <w:rFonts w:cstheme="minorHAnsi"/>
        </w:rPr>
        <w:t xml:space="preserve"> and on the basis the Proposed Acquisition completes</w:t>
      </w:r>
      <w:r w:rsidRPr="009B546D">
        <w:rPr>
          <w:rFonts w:cstheme="minorHAnsi"/>
        </w:rPr>
        <w:t>. The principal accounting policies adopted are set out below:</w:t>
      </w:r>
    </w:p>
    <w:p w14:paraId="09E5E78C" w14:textId="77777777" w:rsidR="00B709FF" w:rsidRPr="009B546D" w:rsidRDefault="00B709FF" w:rsidP="00B709FF">
      <w:pPr>
        <w:keepNext/>
        <w:keepLines/>
        <w:numPr>
          <w:ilvl w:val="1"/>
          <w:numId w:val="31"/>
        </w:numPr>
        <w:tabs>
          <w:tab w:val="left" w:pos="1152"/>
        </w:tabs>
        <w:spacing w:after="220" w:line="240" w:lineRule="auto"/>
        <w:rPr>
          <w:rFonts w:cstheme="minorHAnsi"/>
          <w:b/>
          <w:smallCaps/>
        </w:rPr>
      </w:pPr>
      <w:r w:rsidRPr="009B546D">
        <w:rPr>
          <w:rFonts w:cstheme="minorHAnsi"/>
          <w:b/>
          <w:smallCaps/>
        </w:rPr>
        <w:t>Plant and equipment</w:t>
      </w:r>
    </w:p>
    <w:p w14:paraId="53F09DFB" w14:textId="77777777" w:rsidR="00B709FF" w:rsidRPr="009B546D" w:rsidRDefault="00B709FF" w:rsidP="00B709FF">
      <w:pPr>
        <w:spacing w:after="220" w:line="240" w:lineRule="auto"/>
        <w:ind w:left="1152"/>
        <w:rPr>
          <w:rFonts w:cstheme="minorHAnsi"/>
        </w:rPr>
      </w:pPr>
      <w:r w:rsidRPr="009B546D">
        <w:rPr>
          <w:rFonts w:cstheme="minorHAnsi"/>
        </w:rPr>
        <w:t>The cost of plant and equipment is recognised as an asset when it is probable that future economic benefits associate with the item will flow to Alchemist and the cost of the item can be measured reliably. After recognition as an asset, an item of plant and equipment are measured at cost less an accumulated depreciation and any accumulated impairment losses if any.</w:t>
      </w:r>
    </w:p>
    <w:p w14:paraId="50E981E5" w14:textId="77777777" w:rsidR="00B709FF" w:rsidRPr="009B546D" w:rsidRDefault="00B709FF" w:rsidP="00B709FF">
      <w:pPr>
        <w:spacing w:after="220" w:line="240" w:lineRule="auto"/>
        <w:ind w:left="1152"/>
        <w:rPr>
          <w:rFonts w:cstheme="minorHAnsi"/>
        </w:rPr>
      </w:pPr>
      <w:r w:rsidRPr="009B546D">
        <w:rPr>
          <w:rFonts w:cstheme="minorHAnsi"/>
        </w:rPr>
        <w:t xml:space="preserve">Depreciation is provided on a straight-line method so as to write off the depreciable amount of the following assets over their estimated useful lives, as follows: </w:t>
      </w:r>
    </w:p>
    <w:tbl>
      <w:tblPr>
        <w:tblW w:w="0" w:type="auto"/>
        <w:tblInd w:w="1152" w:type="dxa"/>
        <w:tblLook w:val="01E0" w:firstRow="1" w:lastRow="1" w:firstColumn="1" w:lastColumn="1" w:noHBand="0" w:noVBand="0"/>
      </w:tblPr>
      <w:tblGrid>
        <w:gridCol w:w="5305"/>
        <w:gridCol w:w="2569"/>
      </w:tblGrid>
      <w:tr w:rsidR="00B709FF" w:rsidRPr="009B546D" w14:paraId="762740C9" w14:textId="77777777" w:rsidTr="004A12EB">
        <w:tc>
          <w:tcPr>
            <w:tcW w:w="5305" w:type="dxa"/>
          </w:tcPr>
          <w:p w14:paraId="2929149F" w14:textId="77777777" w:rsidR="00B709FF" w:rsidRPr="009B546D" w:rsidRDefault="00B709FF" w:rsidP="004A12EB">
            <w:pPr>
              <w:spacing w:line="240" w:lineRule="auto"/>
              <w:rPr>
                <w:rFonts w:cstheme="minorHAnsi"/>
              </w:rPr>
            </w:pPr>
            <w:r w:rsidRPr="009B546D">
              <w:rPr>
                <w:rFonts w:cstheme="minorHAnsi"/>
              </w:rPr>
              <w:br w:type="page"/>
            </w:r>
            <w:r w:rsidRPr="009B546D">
              <w:rPr>
                <w:rFonts w:cstheme="minorHAnsi"/>
              </w:rPr>
              <w:br w:type="page"/>
            </w:r>
            <w:r w:rsidRPr="009B546D">
              <w:rPr>
                <w:rFonts w:cstheme="minorHAnsi"/>
              </w:rPr>
              <w:br w:type="page"/>
            </w:r>
          </w:p>
        </w:tc>
        <w:tc>
          <w:tcPr>
            <w:tcW w:w="2569" w:type="dxa"/>
            <w:hideMark/>
          </w:tcPr>
          <w:p w14:paraId="2808D6DA" w14:textId="77777777" w:rsidR="00B709FF" w:rsidRPr="009B546D" w:rsidRDefault="00B709FF" w:rsidP="004A12EB">
            <w:pPr>
              <w:spacing w:line="240" w:lineRule="auto"/>
              <w:jc w:val="right"/>
              <w:rPr>
                <w:rFonts w:cstheme="minorHAnsi"/>
                <w:b/>
                <w:u w:val="single"/>
              </w:rPr>
            </w:pPr>
            <w:r w:rsidRPr="009B546D">
              <w:rPr>
                <w:rFonts w:cstheme="minorHAnsi"/>
                <w:b/>
                <w:u w:val="single"/>
              </w:rPr>
              <w:t>Rate</w:t>
            </w:r>
          </w:p>
        </w:tc>
      </w:tr>
      <w:tr w:rsidR="00B709FF" w:rsidRPr="009B546D" w14:paraId="1ACA2CB2" w14:textId="77777777" w:rsidTr="004A12EB">
        <w:tc>
          <w:tcPr>
            <w:tcW w:w="5305" w:type="dxa"/>
          </w:tcPr>
          <w:p w14:paraId="5AED45D2" w14:textId="77777777" w:rsidR="00B709FF" w:rsidRPr="009B546D" w:rsidRDefault="00B709FF" w:rsidP="004A12EB">
            <w:pPr>
              <w:spacing w:line="240" w:lineRule="auto"/>
              <w:rPr>
                <w:rFonts w:cstheme="minorHAnsi"/>
              </w:rPr>
            </w:pPr>
            <w:r w:rsidRPr="009B546D">
              <w:rPr>
                <w:rFonts w:cstheme="minorHAnsi"/>
              </w:rPr>
              <w:t>Computers</w:t>
            </w:r>
          </w:p>
        </w:tc>
        <w:tc>
          <w:tcPr>
            <w:tcW w:w="2569" w:type="dxa"/>
          </w:tcPr>
          <w:p w14:paraId="5B9C6B38" w14:textId="77777777" w:rsidR="00B709FF" w:rsidRPr="009B546D" w:rsidRDefault="00B709FF" w:rsidP="004A12EB">
            <w:pPr>
              <w:spacing w:line="240" w:lineRule="auto"/>
              <w:jc w:val="right"/>
              <w:rPr>
                <w:rFonts w:cstheme="minorHAnsi"/>
              </w:rPr>
            </w:pPr>
            <w:r w:rsidRPr="009B546D">
              <w:rPr>
                <w:rFonts w:cstheme="minorHAnsi"/>
              </w:rPr>
              <w:t>20%</w:t>
            </w:r>
          </w:p>
        </w:tc>
      </w:tr>
      <w:tr w:rsidR="00B709FF" w:rsidRPr="009B546D" w14:paraId="2F5E5F7E" w14:textId="77777777" w:rsidTr="004A12EB">
        <w:tc>
          <w:tcPr>
            <w:tcW w:w="5305" w:type="dxa"/>
          </w:tcPr>
          <w:p w14:paraId="59216AF9" w14:textId="77777777" w:rsidR="00B709FF" w:rsidRPr="009B546D" w:rsidRDefault="00B709FF" w:rsidP="004A12EB">
            <w:pPr>
              <w:spacing w:line="240" w:lineRule="auto"/>
              <w:rPr>
                <w:rFonts w:cstheme="minorHAnsi"/>
              </w:rPr>
            </w:pPr>
            <w:r w:rsidRPr="009B546D">
              <w:rPr>
                <w:rFonts w:cstheme="minorHAnsi"/>
              </w:rPr>
              <w:t>Furniture and fittings</w:t>
            </w:r>
          </w:p>
        </w:tc>
        <w:tc>
          <w:tcPr>
            <w:tcW w:w="2569" w:type="dxa"/>
          </w:tcPr>
          <w:p w14:paraId="7211C924" w14:textId="77777777" w:rsidR="00B709FF" w:rsidRPr="009B546D" w:rsidRDefault="00B709FF" w:rsidP="004A12EB">
            <w:pPr>
              <w:spacing w:line="240" w:lineRule="auto"/>
              <w:jc w:val="right"/>
              <w:rPr>
                <w:rFonts w:cstheme="minorHAnsi"/>
                <w:b/>
                <w:u w:val="single"/>
              </w:rPr>
            </w:pPr>
            <w:r w:rsidRPr="009B546D">
              <w:rPr>
                <w:rFonts w:cstheme="minorHAnsi"/>
              </w:rPr>
              <w:t>10%</w:t>
            </w:r>
          </w:p>
        </w:tc>
      </w:tr>
      <w:tr w:rsidR="00B709FF" w:rsidRPr="009B546D" w14:paraId="12BEDBB4" w14:textId="77777777" w:rsidTr="004A12EB">
        <w:tc>
          <w:tcPr>
            <w:tcW w:w="5305" w:type="dxa"/>
          </w:tcPr>
          <w:p w14:paraId="52823086" w14:textId="77777777" w:rsidR="00B709FF" w:rsidRPr="009B546D" w:rsidRDefault="00B709FF" w:rsidP="004A12EB">
            <w:pPr>
              <w:spacing w:line="240" w:lineRule="auto"/>
              <w:rPr>
                <w:rFonts w:cstheme="minorHAnsi"/>
              </w:rPr>
            </w:pPr>
            <w:r w:rsidRPr="009B546D">
              <w:rPr>
                <w:rFonts w:cstheme="minorHAnsi"/>
              </w:rPr>
              <w:t>Office equipment</w:t>
            </w:r>
          </w:p>
        </w:tc>
        <w:tc>
          <w:tcPr>
            <w:tcW w:w="2569" w:type="dxa"/>
          </w:tcPr>
          <w:p w14:paraId="678C7705" w14:textId="77777777" w:rsidR="00B709FF" w:rsidRPr="009B546D" w:rsidRDefault="00B709FF" w:rsidP="004A12EB">
            <w:pPr>
              <w:spacing w:line="240" w:lineRule="auto"/>
              <w:jc w:val="right"/>
              <w:rPr>
                <w:rFonts w:cstheme="minorHAnsi"/>
              </w:rPr>
            </w:pPr>
            <w:r w:rsidRPr="009B546D">
              <w:rPr>
                <w:rFonts w:cstheme="minorHAnsi"/>
              </w:rPr>
              <w:t>10%</w:t>
            </w:r>
          </w:p>
        </w:tc>
      </w:tr>
      <w:tr w:rsidR="00B709FF" w:rsidRPr="009B546D" w14:paraId="268815F1" w14:textId="77777777" w:rsidTr="004A12EB">
        <w:tc>
          <w:tcPr>
            <w:tcW w:w="5305" w:type="dxa"/>
          </w:tcPr>
          <w:p w14:paraId="3EFF368C" w14:textId="77777777" w:rsidR="00B709FF" w:rsidRPr="009B546D" w:rsidRDefault="00B709FF" w:rsidP="004A12EB">
            <w:pPr>
              <w:spacing w:line="240" w:lineRule="auto"/>
              <w:rPr>
                <w:rFonts w:cstheme="minorHAnsi"/>
              </w:rPr>
            </w:pPr>
            <w:r w:rsidRPr="009B546D">
              <w:rPr>
                <w:rFonts w:cstheme="minorHAnsi"/>
              </w:rPr>
              <w:t>Renovation</w:t>
            </w:r>
          </w:p>
        </w:tc>
        <w:tc>
          <w:tcPr>
            <w:tcW w:w="2569" w:type="dxa"/>
          </w:tcPr>
          <w:p w14:paraId="5FDC6E80" w14:textId="77777777" w:rsidR="00B709FF" w:rsidRPr="009B546D" w:rsidRDefault="00B709FF" w:rsidP="004A12EB">
            <w:pPr>
              <w:spacing w:line="240" w:lineRule="auto"/>
              <w:jc w:val="right"/>
              <w:rPr>
                <w:rFonts w:cstheme="minorHAnsi"/>
              </w:rPr>
            </w:pPr>
            <w:r w:rsidRPr="009B546D">
              <w:rPr>
                <w:rFonts w:cstheme="minorHAnsi"/>
              </w:rPr>
              <w:t>10%</w:t>
            </w:r>
          </w:p>
        </w:tc>
      </w:tr>
    </w:tbl>
    <w:p w14:paraId="4DBE988A" w14:textId="77777777" w:rsidR="00B709FF" w:rsidRPr="00AC4885" w:rsidRDefault="00B709FF" w:rsidP="00B709FF">
      <w:pPr>
        <w:pStyle w:val="Default"/>
        <w:spacing w:before="240" w:after="220"/>
        <w:ind w:left="576"/>
        <w:rPr>
          <w:rFonts w:asciiTheme="minorHAnsi" w:hAnsiTheme="minorHAnsi" w:cstheme="minorHAnsi"/>
          <w:sz w:val="20"/>
          <w:szCs w:val="20"/>
        </w:rPr>
      </w:pPr>
      <w:r w:rsidRPr="00AC4885">
        <w:rPr>
          <w:rFonts w:asciiTheme="minorHAnsi" w:hAnsiTheme="minorHAnsi" w:cstheme="minorHAnsi"/>
          <w:sz w:val="20"/>
          <w:szCs w:val="20"/>
        </w:rPr>
        <w:t xml:space="preserve">Depreciation of an asset begins when it is ready for its intended use. </w:t>
      </w:r>
    </w:p>
    <w:p w14:paraId="23EEC5BE" w14:textId="77777777" w:rsidR="00B709FF" w:rsidRPr="00AC4885" w:rsidRDefault="00B709FF" w:rsidP="00B709FF">
      <w:pPr>
        <w:pStyle w:val="Default"/>
        <w:spacing w:before="240" w:after="220"/>
        <w:ind w:left="576"/>
        <w:rPr>
          <w:rFonts w:asciiTheme="minorHAnsi" w:hAnsiTheme="minorHAnsi" w:cstheme="minorHAnsi"/>
          <w:sz w:val="20"/>
          <w:szCs w:val="20"/>
        </w:rPr>
      </w:pPr>
      <w:r w:rsidRPr="00AC4885">
        <w:rPr>
          <w:rFonts w:asciiTheme="minorHAnsi" w:hAnsiTheme="minorHAnsi" w:cstheme="minorHAnsi"/>
          <w:sz w:val="20"/>
          <w:szCs w:val="20"/>
        </w:rPr>
        <w:t xml:space="preserve">The residual values, depreciation method and useful lives of depreciable assets are reviewed annually and adjusted prospectively. </w:t>
      </w:r>
    </w:p>
    <w:p w14:paraId="1A24DB2C" w14:textId="77777777" w:rsidR="00B709FF" w:rsidRPr="009B546D" w:rsidRDefault="00B709FF" w:rsidP="00B709FF">
      <w:pPr>
        <w:pStyle w:val="Default"/>
        <w:spacing w:before="240" w:after="220"/>
        <w:ind w:left="576"/>
        <w:jc w:val="both"/>
      </w:pPr>
      <w:r w:rsidRPr="00AC4885">
        <w:rPr>
          <w:rFonts w:asciiTheme="minorHAnsi" w:hAnsiTheme="minorHAnsi" w:cstheme="minorHAnsi"/>
          <w:sz w:val="20"/>
          <w:szCs w:val="20"/>
        </w:rPr>
        <w:t>The carrying amounts of items of plant and equipment are derecognised on disposal or when no future economic benefits are expected from their use or disposal. Any gain or loss arising from the derecognition of items of plant and equipment, determined as the difference between the net disposal proceeds, if any, and the carrying amounts of the item, i</w:t>
      </w:r>
      <w:r>
        <w:rPr>
          <w:rFonts w:asciiTheme="minorHAnsi" w:hAnsiTheme="minorHAnsi" w:cstheme="minorHAnsi"/>
          <w:sz w:val="20"/>
          <w:szCs w:val="20"/>
        </w:rPr>
        <w:t>s recognised in profit or loss.</w:t>
      </w:r>
      <w:r w:rsidRPr="009B546D">
        <w:t xml:space="preserve"> </w:t>
      </w:r>
    </w:p>
    <w:p w14:paraId="4BFF7C57" w14:textId="77777777" w:rsidR="00B709FF" w:rsidRPr="00B709FF" w:rsidRDefault="00B709FF" w:rsidP="00EA2BB6">
      <w:pPr>
        <w:spacing w:after="220"/>
        <w:rPr>
          <w:rFonts w:cstheme="minorHAnsi"/>
        </w:rPr>
      </w:pPr>
    </w:p>
    <w:p w14:paraId="76BB8D56" w14:textId="77777777" w:rsidR="001C6F66" w:rsidRPr="009B546D" w:rsidRDefault="001C6F66" w:rsidP="00EA2BB6">
      <w:pPr>
        <w:pStyle w:val="ListParagraph"/>
        <w:ind w:left="1152"/>
      </w:pPr>
    </w:p>
    <w:p w14:paraId="142A18DA" w14:textId="77777777" w:rsidR="001C6F66" w:rsidRPr="009B546D" w:rsidRDefault="001C6F66" w:rsidP="00F432B9">
      <w:pPr>
        <w:spacing w:line="240" w:lineRule="auto"/>
        <w:rPr>
          <w:rFonts w:cstheme="minorHAnsi"/>
          <w:b/>
          <w:caps/>
        </w:rPr>
      </w:pPr>
      <w:r w:rsidRPr="009B546D">
        <w:rPr>
          <w:rFonts w:cstheme="minorHAnsi"/>
          <w:b/>
        </w:rPr>
        <w:br w:type="page"/>
      </w:r>
      <w:r w:rsidRPr="009B546D">
        <w:rPr>
          <w:rFonts w:cstheme="minorHAnsi"/>
          <w:b/>
          <w:caps/>
        </w:rPr>
        <w:lastRenderedPageBreak/>
        <w:t>n</w:t>
      </w:r>
      <w:r w:rsidRPr="009B546D">
        <w:rPr>
          <w:rFonts w:cstheme="minorHAnsi"/>
          <w:b/>
        </w:rPr>
        <w:t>otes to the financial information</w:t>
      </w:r>
    </w:p>
    <w:p w14:paraId="2E08195F" w14:textId="77777777" w:rsidR="001C6F66" w:rsidRPr="009B546D" w:rsidRDefault="001C6F66" w:rsidP="00F432B9">
      <w:pPr>
        <w:spacing w:line="240" w:lineRule="auto"/>
        <w:rPr>
          <w:rFonts w:cstheme="minorHAnsi"/>
          <w:b/>
          <w:caps/>
        </w:rPr>
      </w:pPr>
      <w:r w:rsidRPr="009B546D">
        <w:rPr>
          <w:rFonts w:cstheme="minorHAnsi"/>
          <w:b/>
          <w:caps/>
        </w:rPr>
        <w:t>F</w:t>
      </w:r>
      <w:r w:rsidRPr="009B546D">
        <w:rPr>
          <w:rFonts w:cstheme="minorHAnsi"/>
          <w:b/>
        </w:rPr>
        <w:t xml:space="preserve">or the </w:t>
      </w:r>
      <w:r w:rsidRPr="009B546D">
        <w:rPr>
          <w:rFonts w:cstheme="minorHAnsi"/>
          <w:b/>
          <w:caps/>
        </w:rPr>
        <w:fldChar w:fldCharType="begin"/>
      </w:r>
      <w:r w:rsidRPr="009B546D">
        <w:rPr>
          <w:rFonts w:cstheme="minorHAnsi"/>
          <w:b/>
          <w:caps/>
        </w:rPr>
        <w:instrText xml:space="preserve"> DOCPROPERTY  "Fin year/period (for cover page)"\* Caps \* MERGEFORMAT </w:instrText>
      </w:r>
      <w:r w:rsidRPr="009B546D">
        <w:rPr>
          <w:rFonts w:cstheme="minorHAnsi"/>
          <w:b/>
          <w:caps/>
        </w:rPr>
        <w:fldChar w:fldCharType="separate"/>
      </w:r>
      <w:r w:rsidRPr="009B546D">
        <w:rPr>
          <w:rFonts w:cstheme="minorHAnsi"/>
          <w:b/>
        </w:rPr>
        <w:t>financial period ended from 17 April 2018 (date of incorporation) to 30 April 2019</w:t>
      </w:r>
      <w:r w:rsidRPr="009B546D">
        <w:rPr>
          <w:rFonts w:cstheme="minorHAnsi"/>
          <w:b/>
          <w:caps/>
        </w:rPr>
        <w:fldChar w:fldCharType="end"/>
      </w:r>
      <w:r w:rsidRPr="00384557">
        <w:rPr>
          <w:rFonts w:cstheme="minorHAnsi"/>
          <w:b/>
          <w:caps/>
        </w:rPr>
        <w:t xml:space="preserve"> (</w:t>
      </w:r>
      <w:r w:rsidRPr="009B546D">
        <w:rPr>
          <w:rFonts w:cstheme="minorHAnsi"/>
          <w:b/>
          <w:i/>
        </w:rPr>
        <w:t>continued)</w:t>
      </w:r>
    </w:p>
    <w:p w14:paraId="07C21181" w14:textId="77777777" w:rsidR="001C6F66" w:rsidRPr="009B546D" w:rsidRDefault="001C6F66" w:rsidP="00F432B9">
      <w:pPr>
        <w:pBdr>
          <w:bottom w:val="single" w:sz="6" w:space="1" w:color="auto"/>
        </w:pBdr>
        <w:spacing w:line="240" w:lineRule="auto"/>
        <w:jc w:val="right"/>
        <w:rPr>
          <w:rFonts w:cstheme="minorHAnsi"/>
        </w:rPr>
      </w:pPr>
    </w:p>
    <w:p w14:paraId="10829CE9" w14:textId="23114B8D" w:rsidR="00CF6B15" w:rsidRPr="009B546D" w:rsidRDefault="00CF6B15" w:rsidP="00EA2BB6">
      <w:pPr>
        <w:keepNext/>
        <w:keepLines/>
        <w:spacing w:after="0" w:line="240" w:lineRule="auto"/>
        <w:rPr>
          <w:rFonts w:cstheme="minorHAnsi"/>
          <w:b/>
          <w:caps/>
        </w:rPr>
      </w:pPr>
      <w:r w:rsidRPr="009B546D">
        <w:rPr>
          <w:rFonts w:cstheme="minorHAnsi"/>
          <w:b/>
          <w:caps/>
        </w:rPr>
        <w:t>SIGNIFICANT ACCOUNTING POLICIES</w:t>
      </w:r>
      <w:r>
        <w:rPr>
          <w:rFonts w:cstheme="minorHAnsi"/>
          <w:b/>
          <w:caps/>
        </w:rPr>
        <w:t xml:space="preserve"> </w:t>
      </w:r>
      <w:r w:rsidRPr="009B546D">
        <w:rPr>
          <w:rFonts w:cstheme="minorHAnsi"/>
          <w:caps/>
        </w:rPr>
        <w:t>(</w:t>
      </w:r>
      <w:r w:rsidRPr="009B546D">
        <w:rPr>
          <w:rFonts w:cstheme="minorHAnsi"/>
          <w:i/>
        </w:rPr>
        <w:t>continued)</w:t>
      </w:r>
    </w:p>
    <w:p w14:paraId="3B2639FC" w14:textId="77777777" w:rsidR="001C6F66" w:rsidRPr="009B546D" w:rsidRDefault="001C6F66" w:rsidP="00F432B9">
      <w:pPr>
        <w:spacing w:line="240" w:lineRule="auto"/>
        <w:rPr>
          <w:rFonts w:cstheme="minorHAnsi"/>
        </w:rPr>
      </w:pPr>
    </w:p>
    <w:p w14:paraId="3EC339F0" w14:textId="77777777" w:rsidR="001C6F66" w:rsidRPr="009B546D" w:rsidRDefault="001C6F66" w:rsidP="00496B89">
      <w:pPr>
        <w:keepNext/>
        <w:keepLines/>
        <w:numPr>
          <w:ilvl w:val="1"/>
          <w:numId w:val="31"/>
        </w:numPr>
        <w:tabs>
          <w:tab w:val="left" w:pos="1152"/>
        </w:tabs>
        <w:spacing w:after="220" w:line="240" w:lineRule="auto"/>
        <w:rPr>
          <w:rFonts w:cstheme="minorHAnsi"/>
          <w:b/>
          <w:smallCaps/>
        </w:rPr>
      </w:pPr>
      <w:r w:rsidRPr="009B546D">
        <w:rPr>
          <w:rFonts w:cstheme="minorHAnsi"/>
          <w:b/>
          <w:smallCaps/>
        </w:rPr>
        <w:t>Revenue</w:t>
      </w:r>
    </w:p>
    <w:p w14:paraId="258D218E" w14:textId="77777777" w:rsidR="006B232E" w:rsidRPr="00EA2BB6" w:rsidRDefault="006B232E" w:rsidP="00EA2BB6">
      <w:pPr>
        <w:keepNext/>
        <w:keepLines/>
        <w:tabs>
          <w:tab w:val="left" w:pos="1152"/>
        </w:tabs>
        <w:spacing w:after="220" w:line="240" w:lineRule="auto"/>
        <w:ind w:left="1152"/>
        <w:rPr>
          <w:rFonts w:cstheme="minorHAnsi"/>
          <w:bCs/>
          <w:color w:val="0D0D0D" w:themeColor="text1" w:themeTint="F2"/>
          <w:szCs w:val="20"/>
        </w:rPr>
      </w:pPr>
      <w:r w:rsidRPr="00EA2BB6">
        <w:rPr>
          <w:rFonts w:cstheme="minorHAnsi"/>
          <w:bCs/>
          <w:color w:val="0D0D0D" w:themeColor="text1" w:themeTint="F2"/>
          <w:szCs w:val="20"/>
        </w:rPr>
        <w:t xml:space="preserve">All </w:t>
      </w:r>
      <w:r w:rsidRPr="006B232E">
        <w:rPr>
          <w:rFonts w:cstheme="minorHAnsi"/>
          <w:szCs w:val="20"/>
        </w:rPr>
        <w:t>trade</w:t>
      </w:r>
      <w:r w:rsidRPr="00EA2BB6">
        <w:rPr>
          <w:rFonts w:cstheme="minorHAnsi"/>
          <w:bCs/>
          <w:color w:val="0D0D0D" w:themeColor="text1" w:themeTint="F2"/>
          <w:szCs w:val="20"/>
        </w:rPr>
        <w:t xml:space="preserve"> revenue recognised during the reporting period relates to the sale of tailored messaging app products with no alternative use. Under the contractual terms with customers, a sale occurs on a point in time basis on delivery of a completed messaging app, to which the customer confirms their acceptance by signing a job acceptance form. At this point, Alchemist is considered to have fulfilled its performance obligation under the contract. Partly-completed apps are not provided to customers and the Company has no enforceable right to payment for performance completed to date. </w:t>
      </w:r>
    </w:p>
    <w:p w14:paraId="324D0E2B" w14:textId="77777777" w:rsidR="006B232E" w:rsidRPr="00EA2BB6" w:rsidRDefault="006B232E" w:rsidP="00EA2BB6">
      <w:pPr>
        <w:keepNext/>
        <w:keepLines/>
        <w:tabs>
          <w:tab w:val="left" w:pos="1152"/>
        </w:tabs>
        <w:spacing w:after="220"/>
        <w:ind w:left="1152"/>
        <w:rPr>
          <w:rFonts w:cstheme="minorHAnsi"/>
          <w:bCs/>
          <w:color w:val="0D0D0D" w:themeColor="text1" w:themeTint="F2"/>
          <w:szCs w:val="20"/>
        </w:rPr>
      </w:pPr>
      <w:r w:rsidRPr="00EA2BB6">
        <w:rPr>
          <w:rFonts w:cstheme="minorHAnsi"/>
          <w:bCs/>
          <w:color w:val="0D0D0D" w:themeColor="text1" w:themeTint="F2"/>
          <w:szCs w:val="20"/>
        </w:rPr>
        <w:t xml:space="preserve">Alchemist allocates all of the transaction price to the acceptance of the completed app to the customer. </w:t>
      </w:r>
    </w:p>
    <w:p w14:paraId="51254955" w14:textId="77777777" w:rsidR="006B232E" w:rsidRPr="00EA2BB6" w:rsidRDefault="006B232E" w:rsidP="00EA2BB6">
      <w:pPr>
        <w:keepNext/>
        <w:keepLines/>
        <w:tabs>
          <w:tab w:val="left" w:pos="1152"/>
        </w:tabs>
        <w:spacing w:after="220"/>
        <w:ind w:left="1152"/>
        <w:rPr>
          <w:rFonts w:cstheme="minorHAnsi"/>
          <w:bCs/>
          <w:color w:val="0D0D0D" w:themeColor="text1" w:themeTint="F2"/>
          <w:szCs w:val="20"/>
        </w:rPr>
      </w:pPr>
      <w:r w:rsidRPr="00EA2BB6">
        <w:rPr>
          <w:rFonts w:cstheme="minorHAnsi"/>
          <w:bCs/>
          <w:color w:val="0D0D0D" w:themeColor="text1" w:themeTint="F2"/>
          <w:szCs w:val="20"/>
        </w:rPr>
        <w:t>Customers are typically billed in advance, with trade receivables and contract liabilities shown net, until the payment becomes due.</w:t>
      </w:r>
    </w:p>
    <w:p w14:paraId="047AA134" w14:textId="2E2FF02E" w:rsidR="006B232E" w:rsidRPr="009B546D" w:rsidRDefault="006B232E" w:rsidP="00EA2BB6">
      <w:pPr>
        <w:ind w:left="1152"/>
        <w:rPr>
          <w:smallCaps/>
        </w:rPr>
      </w:pPr>
      <w:r w:rsidRPr="00EA2BB6">
        <w:rPr>
          <w:rFonts w:cstheme="minorHAnsi"/>
          <w:bCs/>
          <w:color w:val="0D0D0D" w:themeColor="text1" w:themeTint="F2"/>
          <w:szCs w:val="20"/>
        </w:rPr>
        <w:t>Invoice payment terms are 180 days</w:t>
      </w:r>
      <w:r w:rsidRPr="00EA2BB6">
        <w:rPr>
          <w:rFonts w:cstheme="minorHAnsi"/>
          <w:bCs/>
          <w:color w:val="0D0D0D" w:themeColor="text1" w:themeTint="F2"/>
        </w:rPr>
        <w:t>.</w:t>
      </w:r>
    </w:p>
    <w:p w14:paraId="29B99164" w14:textId="306E04A1" w:rsidR="001C6F66" w:rsidRPr="009B546D" w:rsidRDefault="001C6F66" w:rsidP="00F432B9">
      <w:pPr>
        <w:keepNext/>
        <w:keepLines/>
        <w:numPr>
          <w:ilvl w:val="1"/>
          <w:numId w:val="31"/>
        </w:numPr>
        <w:tabs>
          <w:tab w:val="left" w:pos="1152"/>
        </w:tabs>
        <w:spacing w:after="220" w:line="240" w:lineRule="auto"/>
        <w:rPr>
          <w:rFonts w:cstheme="minorHAnsi"/>
          <w:b/>
          <w:smallCaps/>
        </w:rPr>
      </w:pPr>
      <w:r w:rsidRPr="009B546D">
        <w:rPr>
          <w:rFonts w:cstheme="minorHAnsi"/>
          <w:b/>
          <w:smallCaps/>
        </w:rPr>
        <w:t>externally acquired intangible assets</w:t>
      </w:r>
    </w:p>
    <w:p w14:paraId="4F0B67BE" w14:textId="001DE989" w:rsidR="001C6F66" w:rsidRPr="009B546D" w:rsidRDefault="001C6F66" w:rsidP="00F432B9">
      <w:pPr>
        <w:keepNext/>
        <w:keepLines/>
        <w:tabs>
          <w:tab w:val="left" w:pos="1152"/>
        </w:tabs>
        <w:spacing w:after="220" w:line="240" w:lineRule="auto"/>
        <w:ind w:left="1152"/>
        <w:rPr>
          <w:rFonts w:cstheme="minorHAnsi"/>
        </w:rPr>
      </w:pPr>
      <w:r w:rsidRPr="009B546D">
        <w:rPr>
          <w:rFonts w:cstheme="minorHAnsi"/>
        </w:rPr>
        <w:t>Intangible assets are capitalised at cost and amortised to nil by equal instalments over their estimated useful economic life.</w:t>
      </w:r>
      <w:r w:rsidR="00B575FC">
        <w:rPr>
          <w:rFonts w:cstheme="minorHAnsi"/>
        </w:rPr>
        <w:t xml:space="preserve"> </w:t>
      </w:r>
      <w:r w:rsidRPr="009B546D">
        <w:rPr>
          <w:rFonts w:cstheme="minorHAnsi"/>
        </w:rPr>
        <w:t>The significant intangibles recognised by Alchemist and the amortisation policy are as follows:</w:t>
      </w:r>
    </w:p>
    <w:tbl>
      <w:tblPr>
        <w:tblW w:w="0" w:type="auto"/>
        <w:tblInd w:w="1152" w:type="dxa"/>
        <w:tblLook w:val="01E0" w:firstRow="1" w:lastRow="1" w:firstColumn="1" w:lastColumn="1" w:noHBand="0" w:noVBand="0"/>
      </w:tblPr>
      <w:tblGrid>
        <w:gridCol w:w="5290"/>
        <w:gridCol w:w="2584"/>
      </w:tblGrid>
      <w:tr w:rsidR="001C6F66" w:rsidRPr="009B546D" w14:paraId="4936B93A" w14:textId="77777777" w:rsidTr="00E0672A">
        <w:tc>
          <w:tcPr>
            <w:tcW w:w="5290" w:type="dxa"/>
          </w:tcPr>
          <w:p w14:paraId="0397C9A1" w14:textId="77777777" w:rsidR="001C6F66" w:rsidRPr="009B546D" w:rsidRDefault="001C6F66" w:rsidP="00F432B9">
            <w:pPr>
              <w:spacing w:line="240" w:lineRule="auto"/>
              <w:rPr>
                <w:rFonts w:cstheme="minorHAnsi"/>
              </w:rPr>
            </w:pPr>
            <w:r w:rsidRPr="009B546D">
              <w:rPr>
                <w:rFonts w:cstheme="minorHAnsi"/>
              </w:rPr>
              <w:br w:type="page"/>
            </w:r>
            <w:r w:rsidRPr="009B546D">
              <w:rPr>
                <w:rFonts w:cstheme="minorHAnsi"/>
              </w:rPr>
              <w:br w:type="page"/>
            </w:r>
            <w:r w:rsidRPr="009B546D">
              <w:rPr>
                <w:rFonts w:cstheme="minorHAnsi"/>
              </w:rPr>
              <w:br w:type="page"/>
            </w:r>
          </w:p>
        </w:tc>
        <w:tc>
          <w:tcPr>
            <w:tcW w:w="2584" w:type="dxa"/>
            <w:hideMark/>
          </w:tcPr>
          <w:p w14:paraId="711EE4A6" w14:textId="77777777" w:rsidR="001C6F66" w:rsidRPr="009B546D" w:rsidRDefault="001C6F66" w:rsidP="00F432B9">
            <w:pPr>
              <w:spacing w:line="240" w:lineRule="auto"/>
              <w:jc w:val="right"/>
              <w:rPr>
                <w:rFonts w:cstheme="minorHAnsi"/>
                <w:b/>
                <w:u w:val="single"/>
              </w:rPr>
            </w:pPr>
            <w:r w:rsidRPr="009B546D">
              <w:rPr>
                <w:rFonts w:cstheme="minorHAnsi"/>
                <w:b/>
                <w:u w:val="single"/>
              </w:rPr>
              <w:t>Rate</w:t>
            </w:r>
          </w:p>
        </w:tc>
      </w:tr>
      <w:tr w:rsidR="001C6F66" w:rsidRPr="009B546D" w14:paraId="0CBEE2B3" w14:textId="77777777" w:rsidTr="00E0672A">
        <w:tc>
          <w:tcPr>
            <w:tcW w:w="5290" w:type="dxa"/>
          </w:tcPr>
          <w:p w14:paraId="536CC8E6" w14:textId="77777777" w:rsidR="001C6F66" w:rsidRPr="009B546D" w:rsidRDefault="001C6F66" w:rsidP="00F432B9">
            <w:pPr>
              <w:spacing w:line="240" w:lineRule="auto"/>
              <w:rPr>
                <w:rFonts w:cstheme="minorHAnsi"/>
              </w:rPr>
            </w:pPr>
            <w:r w:rsidRPr="009B546D">
              <w:rPr>
                <w:rFonts w:cstheme="minorHAnsi"/>
              </w:rPr>
              <w:t>Software</w:t>
            </w:r>
          </w:p>
        </w:tc>
        <w:tc>
          <w:tcPr>
            <w:tcW w:w="2584" w:type="dxa"/>
          </w:tcPr>
          <w:p w14:paraId="0F640FCD" w14:textId="77777777" w:rsidR="001C6F66" w:rsidRPr="009B546D" w:rsidRDefault="001C6F66" w:rsidP="00F432B9">
            <w:pPr>
              <w:spacing w:line="240" w:lineRule="auto"/>
              <w:jc w:val="right"/>
              <w:rPr>
                <w:rFonts w:cstheme="minorHAnsi"/>
                <w:b/>
                <w:u w:val="single"/>
              </w:rPr>
            </w:pPr>
            <w:r w:rsidRPr="009B546D">
              <w:rPr>
                <w:rFonts w:cstheme="minorHAnsi"/>
              </w:rPr>
              <w:t>20% straight line</w:t>
            </w:r>
          </w:p>
        </w:tc>
      </w:tr>
    </w:tbl>
    <w:p w14:paraId="7D0ED4E6" w14:textId="77777777" w:rsidR="00E0672A" w:rsidRPr="009B546D" w:rsidRDefault="00E0672A" w:rsidP="00E0672A">
      <w:pPr>
        <w:keepNext/>
        <w:keepLines/>
        <w:tabs>
          <w:tab w:val="left" w:pos="1152"/>
        </w:tabs>
        <w:spacing w:after="220" w:line="240" w:lineRule="auto"/>
        <w:ind w:left="1152"/>
        <w:rPr>
          <w:rFonts w:cstheme="minorHAnsi"/>
        </w:rPr>
      </w:pPr>
      <w:r>
        <w:rPr>
          <w:rFonts w:cstheme="minorHAnsi"/>
        </w:rPr>
        <w:t>Amortisation of the software is included in cost of sales.</w:t>
      </w:r>
    </w:p>
    <w:p w14:paraId="2CFF9882" w14:textId="77777777" w:rsidR="00CF6B15" w:rsidRPr="009B546D" w:rsidRDefault="00CF6B15" w:rsidP="00CF6B15">
      <w:pPr>
        <w:keepNext/>
        <w:keepLines/>
        <w:numPr>
          <w:ilvl w:val="1"/>
          <w:numId w:val="33"/>
        </w:numPr>
        <w:tabs>
          <w:tab w:val="left" w:pos="1152"/>
        </w:tabs>
        <w:spacing w:after="220" w:line="240" w:lineRule="auto"/>
        <w:rPr>
          <w:rFonts w:cstheme="minorHAnsi"/>
          <w:b/>
          <w:smallCaps/>
        </w:rPr>
      </w:pPr>
      <w:r w:rsidRPr="009B546D">
        <w:rPr>
          <w:rFonts w:cstheme="minorHAnsi"/>
          <w:b/>
          <w:smallCaps/>
        </w:rPr>
        <w:t>Foreign currencies</w:t>
      </w:r>
    </w:p>
    <w:p w14:paraId="648A90E3" w14:textId="77777777" w:rsidR="00CF6B15" w:rsidRPr="004264DD" w:rsidRDefault="00CF6B15" w:rsidP="00CF6B15">
      <w:pPr>
        <w:autoSpaceDE w:val="0"/>
        <w:autoSpaceDN w:val="0"/>
        <w:adjustRightInd w:val="0"/>
        <w:ind w:left="1152"/>
        <w:rPr>
          <w:rFonts w:cstheme="minorHAnsi"/>
        </w:rPr>
      </w:pPr>
      <w:r w:rsidRPr="004264DD">
        <w:rPr>
          <w:rFonts w:cstheme="minorHAnsi"/>
        </w:rPr>
        <w:t xml:space="preserve">In preparing the financial information of Alchemist, transactions in currencies other than Alchemist’s functional currency (foreign currencies) are recognised at the rates of exchange prevailing on the dates of the transactions. At each reporting date, monetary assets and liabilities that are denominated in foreign currencies are retranslated at the rates prevailing at that date. </w:t>
      </w:r>
    </w:p>
    <w:p w14:paraId="32E53041" w14:textId="77777777" w:rsidR="00CF6B15" w:rsidRPr="004264DD" w:rsidRDefault="00CF6B15" w:rsidP="00CF6B15">
      <w:pPr>
        <w:autoSpaceDE w:val="0"/>
        <w:autoSpaceDN w:val="0"/>
        <w:adjustRightInd w:val="0"/>
        <w:ind w:left="1152"/>
        <w:rPr>
          <w:rFonts w:cstheme="minorHAnsi"/>
        </w:rPr>
      </w:pPr>
      <w:r w:rsidRPr="004264DD">
        <w:rPr>
          <w:rFonts w:cstheme="minorHAnsi"/>
        </w:rPr>
        <w:t>Alchemist’s exchange differences are recognised in profit or loss in the period in which they arise.</w:t>
      </w:r>
    </w:p>
    <w:p w14:paraId="1D78F4A6" w14:textId="77777777" w:rsidR="00CF6B15" w:rsidRPr="009B546D" w:rsidRDefault="00CF6B15" w:rsidP="00CF6B15">
      <w:pPr>
        <w:ind w:left="1152"/>
      </w:pPr>
      <w:r w:rsidRPr="004264DD">
        <w:rPr>
          <w:rFonts w:cstheme="minorHAnsi"/>
        </w:rPr>
        <w:t>Non-monetary items carried at historical cost that are denominated in foreign currencies are translated at the rates prevailing at the date of acquisition</w:t>
      </w:r>
      <w:r w:rsidRPr="009B546D">
        <w:t>.</w:t>
      </w:r>
    </w:p>
    <w:p w14:paraId="120B9B7C" w14:textId="77777777" w:rsidR="001C6F66" w:rsidRPr="009B546D" w:rsidRDefault="001C6F66" w:rsidP="00F432B9">
      <w:pPr>
        <w:keepNext/>
        <w:keepLines/>
        <w:tabs>
          <w:tab w:val="left" w:pos="1152"/>
        </w:tabs>
        <w:spacing w:after="220" w:line="240" w:lineRule="auto"/>
        <w:ind w:left="1152"/>
        <w:rPr>
          <w:rFonts w:cstheme="minorHAnsi"/>
        </w:rPr>
      </w:pPr>
    </w:p>
    <w:p w14:paraId="6258AF33" w14:textId="77777777" w:rsidR="001C6F66" w:rsidRPr="009B546D" w:rsidRDefault="001C6F66" w:rsidP="00F432B9">
      <w:pPr>
        <w:autoSpaceDE w:val="0"/>
        <w:autoSpaceDN w:val="0"/>
        <w:adjustRightInd w:val="0"/>
        <w:spacing w:line="240" w:lineRule="auto"/>
        <w:ind w:left="1152"/>
        <w:rPr>
          <w:rFonts w:cstheme="minorHAnsi"/>
        </w:rPr>
      </w:pPr>
      <w:r w:rsidRPr="009B546D">
        <w:rPr>
          <w:rFonts w:cstheme="minorHAnsi"/>
        </w:rPr>
        <w:br w:type="page"/>
      </w:r>
    </w:p>
    <w:p w14:paraId="7F46187B" w14:textId="77777777" w:rsidR="001C6F66" w:rsidRPr="009B546D" w:rsidRDefault="001C6F66" w:rsidP="00F432B9">
      <w:pPr>
        <w:spacing w:line="240" w:lineRule="auto"/>
        <w:jc w:val="left"/>
        <w:rPr>
          <w:rFonts w:cstheme="minorHAnsi"/>
          <w:b/>
          <w:caps/>
        </w:rPr>
      </w:pPr>
      <w:r w:rsidRPr="009B546D">
        <w:rPr>
          <w:rFonts w:cstheme="minorHAnsi"/>
          <w:b/>
          <w:caps/>
        </w:rPr>
        <w:lastRenderedPageBreak/>
        <w:t>n</w:t>
      </w:r>
      <w:r w:rsidRPr="009B546D">
        <w:rPr>
          <w:rFonts w:cstheme="minorHAnsi"/>
          <w:b/>
        </w:rPr>
        <w:t>otes to the financial information</w:t>
      </w:r>
    </w:p>
    <w:p w14:paraId="3F262889" w14:textId="77777777" w:rsidR="001C6F66" w:rsidRPr="009B546D" w:rsidRDefault="001C6F66" w:rsidP="00F432B9">
      <w:pPr>
        <w:spacing w:line="240" w:lineRule="auto"/>
        <w:jc w:val="left"/>
        <w:rPr>
          <w:rFonts w:cstheme="minorHAnsi"/>
          <w:b/>
          <w:caps/>
        </w:rPr>
      </w:pPr>
      <w:r w:rsidRPr="009B546D">
        <w:rPr>
          <w:rFonts w:cstheme="minorHAnsi"/>
          <w:b/>
          <w:caps/>
        </w:rPr>
        <w:t>F</w:t>
      </w:r>
      <w:r w:rsidRPr="009B546D">
        <w:rPr>
          <w:rFonts w:cstheme="minorHAnsi"/>
          <w:b/>
        </w:rPr>
        <w:t xml:space="preserve">or the </w:t>
      </w:r>
      <w:r w:rsidRPr="009B546D">
        <w:rPr>
          <w:rFonts w:cstheme="minorHAnsi"/>
          <w:b/>
          <w:caps/>
        </w:rPr>
        <w:fldChar w:fldCharType="begin"/>
      </w:r>
      <w:r w:rsidRPr="009B546D">
        <w:rPr>
          <w:rFonts w:cstheme="minorHAnsi"/>
          <w:b/>
          <w:caps/>
        </w:rPr>
        <w:instrText xml:space="preserve"> DOCPROPERTY  "Fin year/period (for cover page)"\* Caps \* MERGEFORMAT </w:instrText>
      </w:r>
      <w:r w:rsidRPr="009B546D">
        <w:rPr>
          <w:rFonts w:cstheme="minorHAnsi"/>
          <w:b/>
          <w:caps/>
        </w:rPr>
        <w:fldChar w:fldCharType="separate"/>
      </w:r>
      <w:r w:rsidRPr="009B546D">
        <w:rPr>
          <w:rFonts w:cstheme="minorHAnsi"/>
          <w:b/>
        </w:rPr>
        <w:t>financial period ended from 17 April 2018 (date of incorporation) to 30 April 2019</w:t>
      </w:r>
      <w:r w:rsidRPr="009B546D">
        <w:rPr>
          <w:rFonts w:cstheme="minorHAnsi"/>
          <w:b/>
          <w:caps/>
        </w:rPr>
        <w:fldChar w:fldCharType="end"/>
      </w:r>
      <w:r w:rsidRPr="00384557">
        <w:rPr>
          <w:rFonts w:cstheme="minorHAnsi"/>
          <w:b/>
          <w:caps/>
        </w:rPr>
        <w:t xml:space="preserve"> (</w:t>
      </w:r>
      <w:r w:rsidRPr="009B546D">
        <w:rPr>
          <w:rFonts w:cstheme="minorHAnsi"/>
          <w:b/>
          <w:i/>
        </w:rPr>
        <w:t>continued)</w:t>
      </w:r>
    </w:p>
    <w:p w14:paraId="35EDE15E" w14:textId="77777777" w:rsidR="001C6F66" w:rsidRPr="009B546D" w:rsidRDefault="001C6F66" w:rsidP="00F432B9">
      <w:pPr>
        <w:pBdr>
          <w:bottom w:val="single" w:sz="6" w:space="1" w:color="auto"/>
        </w:pBdr>
        <w:spacing w:line="240" w:lineRule="auto"/>
        <w:jc w:val="right"/>
        <w:rPr>
          <w:rFonts w:cstheme="minorHAnsi"/>
        </w:rPr>
      </w:pPr>
    </w:p>
    <w:p w14:paraId="11EAF0E8" w14:textId="77777777" w:rsidR="00D02A5A" w:rsidRPr="00D02A5A" w:rsidRDefault="00D02A5A" w:rsidP="00EA2BB6">
      <w:pPr>
        <w:rPr>
          <w:b/>
          <w:caps/>
        </w:rPr>
      </w:pPr>
      <w:r w:rsidRPr="00D02A5A">
        <w:rPr>
          <w:b/>
          <w:caps/>
        </w:rPr>
        <w:t xml:space="preserve">SIGNIFICANT ACCOUNTING POLICIES </w:t>
      </w:r>
      <w:r w:rsidRPr="00D02A5A">
        <w:rPr>
          <w:caps/>
        </w:rPr>
        <w:t>(</w:t>
      </w:r>
      <w:r w:rsidRPr="00D02A5A">
        <w:rPr>
          <w:i/>
        </w:rPr>
        <w:t>continued)</w:t>
      </w:r>
    </w:p>
    <w:p w14:paraId="7B19FEA0" w14:textId="27B42222" w:rsidR="00D02A5A" w:rsidRPr="00D02A5A" w:rsidRDefault="00D02A5A" w:rsidP="00D02A5A">
      <w:pPr>
        <w:pStyle w:val="Default"/>
        <w:keepNext/>
        <w:keepLines/>
        <w:numPr>
          <w:ilvl w:val="1"/>
          <w:numId w:val="33"/>
        </w:numPr>
        <w:tabs>
          <w:tab w:val="left" w:pos="1152"/>
        </w:tabs>
        <w:spacing w:after="180"/>
        <w:jc w:val="both"/>
        <w:rPr>
          <w:rFonts w:asciiTheme="minorHAnsi" w:hAnsiTheme="minorHAnsi" w:cstheme="minorHAnsi"/>
          <w:b/>
          <w:bCs/>
          <w:iCs/>
          <w:smallCaps/>
          <w:sz w:val="20"/>
          <w:szCs w:val="20"/>
        </w:rPr>
      </w:pPr>
      <w:r>
        <w:rPr>
          <w:rFonts w:asciiTheme="minorHAnsi" w:hAnsiTheme="minorHAnsi" w:cstheme="minorHAnsi"/>
          <w:b/>
          <w:bCs/>
          <w:iCs/>
          <w:smallCaps/>
          <w:sz w:val="20"/>
          <w:szCs w:val="20"/>
        </w:rPr>
        <w:t>Employee Benefits</w:t>
      </w:r>
    </w:p>
    <w:p w14:paraId="0A70DEC3" w14:textId="77777777" w:rsidR="001C6F66" w:rsidRPr="009B546D" w:rsidRDefault="001C6F66" w:rsidP="00F432B9">
      <w:pPr>
        <w:keepNext/>
        <w:keepLines/>
        <w:numPr>
          <w:ilvl w:val="2"/>
          <w:numId w:val="33"/>
        </w:numPr>
        <w:tabs>
          <w:tab w:val="left" w:pos="1728"/>
        </w:tabs>
        <w:autoSpaceDE w:val="0"/>
        <w:autoSpaceDN w:val="0"/>
        <w:adjustRightInd w:val="0"/>
        <w:spacing w:after="220" w:line="240" w:lineRule="auto"/>
        <w:rPr>
          <w:rFonts w:cstheme="minorHAnsi"/>
          <w:b/>
          <w:i/>
          <w:color w:val="000000"/>
        </w:rPr>
      </w:pPr>
      <w:r w:rsidRPr="009B546D">
        <w:rPr>
          <w:rFonts w:cstheme="minorHAnsi"/>
          <w:b/>
          <w:i/>
          <w:color w:val="000000"/>
        </w:rPr>
        <w:t>Short-term employment Benefits</w:t>
      </w:r>
    </w:p>
    <w:p w14:paraId="582164AD" w14:textId="77777777" w:rsidR="00F84A10" w:rsidRPr="007F79DB" w:rsidRDefault="00F84A10" w:rsidP="00EA2BB6">
      <w:pPr>
        <w:pStyle w:val="Default"/>
        <w:spacing w:after="220"/>
        <w:ind w:left="1152"/>
        <w:rPr>
          <w:rFonts w:asciiTheme="minorHAnsi" w:hAnsiTheme="minorHAnsi" w:cstheme="minorHAnsi"/>
          <w:sz w:val="20"/>
          <w:szCs w:val="20"/>
        </w:rPr>
      </w:pPr>
      <w:r w:rsidRPr="007F79DB">
        <w:rPr>
          <w:rFonts w:asciiTheme="minorHAnsi" w:hAnsiTheme="minorHAnsi" w:cstheme="minorHAnsi"/>
          <w:sz w:val="20"/>
          <w:szCs w:val="20"/>
        </w:rPr>
        <w:t xml:space="preserve">Short-term employment benefits, such as wages, salaries and other benefits, are recognised at the undiscounted amount as a liability and an expense when the employees have rendered services to Alchemist. </w:t>
      </w:r>
    </w:p>
    <w:p w14:paraId="14202DA6" w14:textId="77777777" w:rsidR="00F84A10" w:rsidRPr="007F79DB" w:rsidRDefault="00F84A10" w:rsidP="00EA2BB6">
      <w:pPr>
        <w:pStyle w:val="Default"/>
        <w:spacing w:after="220"/>
        <w:ind w:left="1152"/>
        <w:rPr>
          <w:rFonts w:asciiTheme="minorHAnsi" w:hAnsiTheme="minorHAnsi" w:cstheme="minorHAnsi"/>
          <w:sz w:val="20"/>
          <w:szCs w:val="20"/>
        </w:rPr>
      </w:pPr>
      <w:r w:rsidRPr="007F79DB">
        <w:rPr>
          <w:rFonts w:asciiTheme="minorHAnsi" w:hAnsiTheme="minorHAnsi" w:cstheme="minorHAnsi"/>
          <w:sz w:val="20"/>
          <w:szCs w:val="20"/>
        </w:rPr>
        <w:t>The expected cost of accumulating compensated absences are recognised when the employees render services that increase their entitlement to future compensated absences. The expected cost of non-accumulating compensated absences, such as sick and medical leaves, are recognised when the absences occur.</w:t>
      </w:r>
    </w:p>
    <w:p w14:paraId="3183E2E4" w14:textId="77777777" w:rsidR="00F84A10" w:rsidRPr="007F79DB" w:rsidRDefault="00F84A10" w:rsidP="00EA2BB6">
      <w:pPr>
        <w:pStyle w:val="Default"/>
        <w:spacing w:after="220"/>
        <w:ind w:left="1152"/>
        <w:rPr>
          <w:rFonts w:asciiTheme="minorHAnsi" w:hAnsiTheme="minorHAnsi" w:cstheme="minorHAnsi"/>
          <w:sz w:val="20"/>
          <w:szCs w:val="20"/>
        </w:rPr>
      </w:pPr>
      <w:r w:rsidRPr="007F79DB">
        <w:rPr>
          <w:rFonts w:asciiTheme="minorHAnsi" w:hAnsiTheme="minorHAnsi" w:cstheme="minorHAnsi"/>
          <w:sz w:val="20"/>
          <w:szCs w:val="20"/>
        </w:rPr>
        <w:t>The expected cost of accumulating compensated absences are measured at the undiscounted additional amount expected to be paid as a result of the unused entitlement that has accumulated at the end of the reporting period.</w:t>
      </w:r>
    </w:p>
    <w:p w14:paraId="2BA41767" w14:textId="60AE6D8D" w:rsidR="00F84A10" w:rsidRPr="007F79DB" w:rsidRDefault="00F84A10" w:rsidP="00EA2BB6">
      <w:pPr>
        <w:pStyle w:val="Default"/>
        <w:spacing w:after="220"/>
        <w:ind w:left="1152"/>
        <w:rPr>
          <w:rFonts w:asciiTheme="minorHAnsi" w:hAnsiTheme="minorHAnsi" w:cstheme="minorHAnsi"/>
          <w:sz w:val="20"/>
          <w:szCs w:val="20"/>
        </w:rPr>
      </w:pPr>
      <w:r w:rsidRPr="007F79DB">
        <w:rPr>
          <w:rFonts w:asciiTheme="minorHAnsi" w:hAnsiTheme="minorHAnsi" w:cstheme="minorHAnsi"/>
          <w:sz w:val="20"/>
          <w:szCs w:val="20"/>
        </w:rPr>
        <w:t xml:space="preserve">The expected cost of profit-sharing and bonus payments </w:t>
      </w:r>
      <w:r w:rsidR="001E1549" w:rsidRPr="007F79DB">
        <w:rPr>
          <w:rFonts w:asciiTheme="minorHAnsi" w:hAnsiTheme="minorHAnsi" w:cstheme="minorHAnsi"/>
          <w:sz w:val="20"/>
          <w:szCs w:val="20"/>
        </w:rPr>
        <w:t>is</w:t>
      </w:r>
      <w:r w:rsidRPr="007F79DB">
        <w:rPr>
          <w:rFonts w:asciiTheme="minorHAnsi" w:hAnsiTheme="minorHAnsi" w:cstheme="minorHAnsi"/>
          <w:sz w:val="20"/>
          <w:szCs w:val="20"/>
        </w:rPr>
        <w:t xml:space="preserve"> recognised when Alchemist have a present legal or constructive obligation to make such payments as a result of past events and a reliable estimate of the obligation can be made. A present obligation exists when Alchemist have no realistic alternative but to make the payments. </w:t>
      </w:r>
    </w:p>
    <w:p w14:paraId="51228456" w14:textId="77777777" w:rsidR="00F84A10" w:rsidRPr="009B546D" w:rsidRDefault="00F84A10" w:rsidP="00EA2BB6">
      <w:pPr>
        <w:pStyle w:val="Default"/>
        <w:spacing w:after="220"/>
        <w:ind w:left="1152"/>
        <w:jc w:val="both"/>
        <w:rPr>
          <w:rFonts w:asciiTheme="minorHAnsi" w:hAnsiTheme="minorHAnsi" w:cstheme="minorHAnsi"/>
          <w:sz w:val="20"/>
          <w:szCs w:val="20"/>
        </w:rPr>
      </w:pPr>
      <w:r w:rsidRPr="007F79DB">
        <w:rPr>
          <w:rFonts w:asciiTheme="minorHAnsi" w:hAnsiTheme="minorHAnsi" w:cstheme="minorHAnsi"/>
          <w:sz w:val="20"/>
          <w:szCs w:val="20"/>
        </w:rPr>
        <w:t>Staff costs related to the delivery of services under contracts with customers and costs that relate to the on-going development of the Company’s proprietary software are recognised as an expense as incurred, as the Company cannot distinguish whether the costs relate to unsatisfied performance obligations or to satisfied performance obligations (or partially satisfied performance obligations) and is unable to distinguish between expenditure attributable to specific software development projects that may be eligible for capitalisation and that which is attributable to general work.  All such costs, along with the amortisation of the Company’s proprietary software are recognised in cost of sales.</w:t>
      </w:r>
      <w:r w:rsidRPr="009B546D">
        <w:rPr>
          <w:rFonts w:asciiTheme="minorHAnsi" w:hAnsiTheme="minorHAnsi" w:cstheme="minorHAnsi"/>
          <w:sz w:val="20"/>
          <w:szCs w:val="20"/>
        </w:rPr>
        <w:t xml:space="preserve"> </w:t>
      </w:r>
    </w:p>
    <w:p w14:paraId="7DBAE3EB" w14:textId="77777777" w:rsidR="001C6F66" w:rsidRPr="009B546D" w:rsidRDefault="001C6F66" w:rsidP="00F432B9">
      <w:pPr>
        <w:keepNext/>
        <w:keepLines/>
        <w:numPr>
          <w:ilvl w:val="2"/>
          <w:numId w:val="33"/>
        </w:numPr>
        <w:tabs>
          <w:tab w:val="left" w:pos="1728"/>
        </w:tabs>
        <w:spacing w:after="220" w:line="240" w:lineRule="auto"/>
        <w:rPr>
          <w:rFonts w:cstheme="minorHAnsi"/>
          <w:b/>
          <w:i/>
        </w:rPr>
      </w:pPr>
      <w:r w:rsidRPr="009B546D">
        <w:rPr>
          <w:rFonts w:cstheme="minorHAnsi"/>
          <w:b/>
          <w:i/>
        </w:rPr>
        <w:t>Defined Contribution Plan</w:t>
      </w:r>
    </w:p>
    <w:p w14:paraId="05C6B77E" w14:textId="77777777" w:rsidR="001C6F66" w:rsidRPr="009B546D" w:rsidRDefault="001C6F66" w:rsidP="00F432B9">
      <w:pPr>
        <w:autoSpaceDE w:val="0"/>
        <w:autoSpaceDN w:val="0"/>
        <w:adjustRightInd w:val="0"/>
        <w:spacing w:after="220" w:line="240" w:lineRule="auto"/>
        <w:ind w:left="1728"/>
        <w:rPr>
          <w:rFonts w:cstheme="minorHAnsi"/>
        </w:rPr>
      </w:pPr>
      <w:r w:rsidRPr="009B546D">
        <w:rPr>
          <w:rFonts w:cstheme="minorHAnsi"/>
        </w:rPr>
        <w:t xml:space="preserve">Contributions to the statutory pension scheme are recognised as an expense in income statement in the </w:t>
      </w:r>
      <w:r w:rsidRPr="009B546D">
        <w:rPr>
          <w:rFonts w:cstheme="minorHAnsi"/>
        </w:rPr>
        <w:fldChar w:fldCharType="begin"/>
      </w:r>
      <w:r w:rsidRPr="009B546D">
        <w:rPr>
          <w:rFonts w:cstheme="minorHAnsi"/>
        </w:rPr>
        <w:instrText xml:space="preserve"> DOCPROPERTY  "year or period ?" \* MERGEFORMAT </w:instrText>
      </w:r>
      <w:r w:rsidRPr="009B546D">
        <w:rPr>
          <w:rFonts w:cstheme="minorHAnsi"/>
        </w:rPr>
        <w:fldChar w:fldCharType="separate"/>
      </w:r>
      <w:r w:rsidRPr="009B546D">
        <w:rPr>
          <w:rFonts w:cstheme="minorHAnsi"/>
        </w:rPr>
        <w:t>financial period</w:t>
      </w:r>
      <w:r w:rsidRPr="009B546D">
        <w:rPr>
          <w:rFonts w:cstheme="minorHAnsi"/>
        </w:rPr>
        <w:fldChar w:fldCharType="end"/>
      </w:r>
      <w:r w:rsidRPr="00384557">
        <w:rPr>
          <w:rFonts w:cstheme="minorHAnsi"/>
        </w:rPr>
        <w:t xml:space="preserve"> to which they relate.</w:t>
      </w:r>
      <w:r w:rsidRPr="00384557">
        <w:rPr>
          <w:rFonts w:cstheme="minorHAnsi"/>
        </w:rPr>
        <w:br w:type="page"/>
      </w:r>
    </w:p>
    <w:p w14:paraId="337A1FD6" w14:textId="77777777" w:rsidR="001C6F66" w:rsidRPr="009B546D" w:rsidRDefault="001C6F66" w:rsidP="00F432B9">
      <w:pPr>
        <w:spacing w:line="240" w:lineRule="auto"/>
        <w:rPr>
          <w:rFonts w:cstheme="minorHAnsi"/>
          <w:b/>
          <w:caps/>
        </w:rPr>
      </w:pPr>
      <w:r w:rsidRPr="009B546D">
        <w:rPr>
          <w:rFonts w:cstheme="minorHAnsi"/>
          <w:b/>
          <w:caps/>
        </w:rPr>
        <w:lastRenderedPageBreak/>
        <w:t>n</w:t>
      </w:r>
      <w:r w:rsidRPr="009B546D">
        <w:rPr>
          <w:rFonts w:cstheme="minorHAnsi"/>
          <w:b/>
        </w:rPr>
        <w:t>otes to the financial information</w:t>
      </w:r>
    </w:p>
    <w:p w14:paraId="6F241E05" w14:textId="77777777" w:rsidR="001C6F66" w:rsidRPr="009B546D" w:rsidRDefault="001C6F66" w:rsidP="00F432B9">
      <w:pPr>
        <w:spacing w:line="240" w:lineRule="auto"/>
        <w:rPr>
          <w:rFonts w:cstheme="minorHAnsi"/>
          <w:b/>
          <w:caps/>
        </w:rPr>
      </w:pPr>
      <w:r w:rsidRPr="009B546D">
        <w:rPr>
          <w:rFonts w:cstheme="minorHAnsi"/>
          <w:b/>
          <w:caps/>
        </w:rPr>
        <w:t>F</w:t>
      </w:r>
      <w:r w:rsidRPr="009B546D">
        <w:rPr>
          <w:rFonts w:cstheme="minorHAnsi"/>
          <w:b/>
        </w:rPr>
        <w:t xml:space="preserve">or the </w:t>
      </w:r>
      <w:r w:rsidRPr="009B546D">
        <w:rPr>
          <w:rFonts w:cstheme="minorHAnsi"/>
          <w:b/>
          <w:caps/>
        </w:rPr>
        <w:fldChar w:fldCharType="begin"/>
      </w:r>
      <w:r w:rsidRPr="009B546D">
        <w:rPr>
          <w:rFonts w:cstheme="minorHAnsi"/>
          <w:b/>
          <w:caps/>
        </w:rPr>
        <w:instrText xml:space="preserve"> DOCPROPERTY  "Fin year/period (for cover page)"\* Caps \* MERGEFORMAT </w:instrText>
      </w:r>
      <w:r w:rsidRPr="009B546D">
        <w:rPr>
          <w:rFonts w:cstheme="minorHAnsi"/>
          <w:b/>
          <w:caps/>
        </w:rPr>
        <w:fldChar w:fldCharType="separate"/>
      </w:r>
      <w:r w:rsidRPr="009B546D">
        <w:rPr>
          <w:rFonts w:cstheme="minorHAnsi"/>
          <w:b/>
        </w:rPr>
        <w:t>financial period ended from 17 April 2018 (date of incorporation) to 30 April 2019</w:t>
      </w:r>
      <w:r w:rsidRPr="009B546D">
        <w:rPr>
          <w:rFonts w:cstheme="minorHAnsi"/>
          <w:b/>
          <w:caps/>
        </w:rPr>
        <w:fldChar w:fldCharType="end"/>
      </w:r>
      <w:r w:rsidRPr="00384557">
        <w:rPr>
          <w:rFonts w:cstheme="minorHAnsi"/>
          <w:b/>
          <w:caps/>
        </w:rPr>
        <w:t xml:space="preserve"> (</w:t>
      </w:r>
      <w:r w:rsidRPr="009B546D">
        <w:rPr>
          <w:rFonts w:cstheme="minorHAnsi"/>
          <w:b/>
          <w:i/>
        </w:rPr>
        <w:t>continued)</w:t>
      </w:r>
    </w:p>
    <w:p w14:paraId="57A09861" w14:textId="77777777" w:rsidR="001C6F66" w:rsidRPr="009B546D" w:rsidRDefault="001C6F66" w:rsidP="00F432B9">
      <w:pPr>
        <w:pBdr>
          <w:bottom w:val="single" w:sz="6" w:space="1" w:color="auto"/>
        </w:pBdr>
        <w:spacing w:line="240" w:lineRule="auto"/>
        <w:jc w:val="right"/>
        <w:rPr>
          <w:rFonts w:cstheme="minorHAnsi"/>
        </w:rPr>
      </w:pPr>
    </w:p>
    <w:p w14:paraId="089E8C57" w14:textId="4CCD3966" w:rsidR="00D02A5A" w:rsidRDefault="00D02A5A" w:rsidP="00EA2BB6">
      <w:pPr>
        <w:rPr>
          <w:rFonts w:cstheme="minorHAnsi"/>
          <w:b/>
          <w:bCs/>
          <w:iCs/>
          <w:smallCaps/>
          <w:szCs w:val="20"/>
        </w:rPr>
      </w:pPr>
      <w:r w:rsidRPr="00EA2BB6">
        <w:rPr>
          <w:rFonts w:cstheme="minorHAnsi"/>
          <w:b/>
          <w:caps/>
        </w:rPr>
        <w:t xml:space="preserve">SIGNIFICANT ACCOUNTING POLICIES </w:t>
      </w:r>
      <w:r w:rsidRPr="00EA2BB6">
        <w:rPr>
          <w:rFonts w:cstheme="minorHAnsi"/>
          <w:caps/>
        </w:rPr>
        <w:t>(</w:t>
      </w:r>
      <w:r w:rsidRPr="00D02A5A">
        <w:rPr>
          <w:rFonts w:cstheme="minorHAnsi"/>
          <w:i/>
        </w:rPr>
        <w:t>continued)</w:t>
      </w:r>
    </w:p>
    <w:p w14:paraId="32F0DDEC" w14:textId="781FE17B" w:rsidR="00D02A5A" w:rsidRPr="009B546D" w:rsidRDefault="00D02A5A" w:rsidP="00496B89">
      <w:pPr>
        <w:pStyle w:val="Default"/>
        <w:keepNext/>
        <w:keepLines/>
        <w:numPr>
          <w:ilvl w:val="1"/>
          <w:numId w:val="33"/>
        </w:numPr>
        <w:tabs>
          <w:tab w:val="left" w:pos="1152"/>
        </w:tabs>
        <w:spacing w:after="180"/>
        <w:jc w:val="both"/>
        <w:rPr>
          <w:rFonts w:asciiTheme="minorHAnsi" w:hAnsiTheme="minorHAnsi" w:cstheme="minorHAnsi"/>
          <w:b/>
          <w:bCs/>
          <w:iCs/>
          <w:smallCaps/>
          <w:sz w:val="20"/>
          <w:szCs w:val="20"/>
        </w:rPr>
      </w:pPr>
      <w:r>
        <w:rPr>
          <w:rFonts w:asciiTheme="minorHAnsi" w:hAnsiTheme="minorHAnsi" w:cstheme="minorHAnsi"/>
          <w:b/>
          <w:bCs/>
          <w:iCs/>
          <w:smallCaps/>
          <w:sz w:val="20"/>
          <w:szCs w:val="20"/>
        </w:rPr>
        <w:t>Income tax</w:t>
      </w:r>
    </w:p>
    <w:p w14:paraId="21549A08" w14:textId="77777777" w:rsidR="001C6F66" w:rsidRPr="009B546D" w:rsidRDefault="001C6F66" w:rsidP="00F432B9">
      <w:pPr>
        <w:spacing w:after="220" w:line="240" w:lineRule="auto"/>
        <w:ind w:left="1152"/>
        <w:rPr>
          <w:rFonts w:cstheme="minorHAnsi"/>
        </w:rPr>
      </w:pPr>
      <w:r w:rsidRPr="009B546D">
        <w:rPr>
          <w:rFonts w:cstheme="minorHAnsi"/>
        </w:rPr>
        <w:t xml:space="preserve">Tax expense is recognised in profit or loss, except that a change attributable to an item of income or expense recognised as other comprehensive income is also recognised in other comprehensive income. </w:t>
      </w:r>
    </w:p>
    <w:p w14:paraId="45A5F587" w14:textId="77777777" w:rsidR="001C6F66" w:rsidRPr="009B546D" w:rsidRDefault="001C6F66" w:rsidP="00F432B9">
      <w:pPr>
        <w:spacing w:after="220" w:line="240" w:lineRule="auto"/>
        <w:ind w:left="1152"/>
        <w:rPr>
          <w:rFonts w:cstheme="minorHAnsi"/>
        </w:rPr>
      </w:pPr>
      <w:r w:rsidRPr="009B546D">
        <w:rPr>
          <w:rFonts w:cstheme="minorHAnsi"/>
        </w:rPr>
        <w:t xml:space="preserve">Tax payable on taxable profit for current and past periods is recognised as a current tax liability to the extent unpaid. If the amount paid in respect of the current and past periods exceeds the amount payable for those periods, the excess is recognised as a current tax asset. </w:t>
      </w:r>
    </w:p>
    <w:p w14:paraId="0AC926F8" w14:textId="77777777" w:rsidR="001C6F66" w:rsidRPr="009B546D" w:rsidRDefault="001C6F66" w:rsidP="00F432B9">
      <w:pPr>
        <w:spacing w:after="220" w:line="240" w:lineRule="auto"/>
        <w:ind w:left="1152"/>
        <w:rPr>
          <w:rFonts w:cstheme="minorHAnsi"/>
        </w:rPr>
      </w:pPr>
      <w:r w:rsidRPr="009B546D">
        <w:rPr>
          <w:rFonts w:cstheme="minorHAnsi"/>
        </w:rPr>
        <w:t xml:space="preserve">Current tax assets and liabilities are measured at the amounts expected to be paid or recovered, using the tax rates and laws that have been enacted or substantially enacted by the reporting date. </w:t>
      </w:r>
    </w:p>
    <w:p w14:paraId="61E8B349" w14:textId="77777777" w:rsidR="001C6F66" w:rsidRPr="009B546D" w:rsidRDefault="001C6F66" w:rsidP="00F432B9">
      <w:pPr>
        <w:spacing w:after="220" w:line="240" w:lineRule="auto"/>
        <w:ind w:left="1152"/>
        <w:rPr>
          <w:rFonts w:cstheme="minorHAnsi"/>
        </w:rPr>
      </w:pPr>
      <w:r w:rsidRPr="009B546D">
        <w:rPr>
          <w:rFonts w:cstheme="minorHAnsi"/>
        </w:rPr>
        <w:t xml:space="preserve">Current tax liabilities and assets are offset if, and only if Alchemist has a legally enforceable right to set off the amounts and plan either to settle on a net basis, or to realise the asset and settle the liability simultaneously. </w:t>
      </w:r>
    </w:p>
    <w:p w14:paraId="3732E464" w14:textId="77777777" w:rsidR="001C6F66" w:rsidRPr="009B546D" w:rsidRDefault="001C6F66" w:rsidP="00F432B9">
      <w:pPr>
        <w:spacing w:after="220" w:line="240" w:lineRule="auto"/>
        <w:ind w:left="1152"/>
        <w:rPr>
          <w:rFonts w:cstheme="minorHAnsi"/>
        </w:rPr>
      </w:pPr>
      <w:r w:rsidRPr="009B546D">
        <w:rPr>
          <w:rFonts w:cstheme="minorHAnsi"/>
        </w:rPr>
        <w:t xml:space="preserve">Deferred tax is provided in full on temporary differences which are the differences between the carrying amounts in the financial information and the corresponding tax base of an asset or liability at the end of the reporting period. </w:t>
      </w:r>
    </w:p>
    <w:p w14:paraId="3670A73F" w14:textId="77777777" w:rsidR="001C6F66" w:rsidRPr="009B546D" w:rsidRDefault="001C6F66" w:rsidP="00F432B9">
      <w:pPr>
        <w:spacing w:after="180" w:line="240" w:lineRule="auto"/>
        <w:ind w:left="1152"/>
        <w:rPr>
          <w:rFonts w:cstheme="minorHAnsi"/>
        </w:rPr>
      </w:pPr>
      <w:r w:rsidRPr="009B546D">
        <w:rPr>
          <w:rFonts w:cstheme="minorHAnsi"/>
        </w:rPr>
        <w:t xml:space="preserve">Deferred tax liabilities are recognised for all taxable temporary differences that are expected to increase taxable profit in the future. Deferred tax assets are recognised for all deductible temporary differences that are expected to reduce taxable profit in the future and the carry forward of unused tax losses and unused tax credits. </w:t>
      </w:r>
    </w:p>
    <w:p w14:paraId="1ACCEA57" w14:textId="77777777" w:rsidR="001C6F66" w:rsidRPr="009B546D" w:rsidRDefault="001C6F66" w:rsidP="00F432B9">
      <w:pPr>
        <w:spacing w:after="180" w:line="240" w:lineRule="auto"/>
        <w:ind w:left="1152"/>
        <w:rPr>
          <w:rFonts w:cstheme="minorHAnsi"/>
        </w:rPr>
      </w:pPr>
      <w:r w:rsidRPr="009B546D">
        <w:rPr>
          <w:rFonts w:cstheme="minorHAnsi"/>
        </w:rPr>
        <w:t xml:space="preserve">Deferred tax liabilities and assets reflect the tax consequences that would follow from the manner in which Alchemist expects to recover or settle the carrying amounts of their assets and liabilities and are measured at the tax rates and laws that are expected to apply to the period when the asset is realised or the liability is settled, based on tax rates that have been enacted or substantially enacted by the reporting date. </w:t>
      </w:r>
    </w:p>
    <w:p w14:paraId="4246C5E6" w14:textId="77777777" w:rsidR="001C6F66" w:rsidRPr="009B546D" w:rsidRDefault="001C6F66" w:rsidP="00F432B9">
      <w:pPr>
        <w:spacing w:line="240" w:lineRule="auto"/>
        <w:jc w:val="left"/>
        <w:rPr>
          <w:rFonts w:cstheme="minorHAnsi"/>
        </w:rPr>
      </w:pPr>
      <w:r w:rsidRPr="009B546D">
        <w:rPr>
          <w:rFonts w:cstheme="minorHAnsi"/>
        </w:rPr>
        <w:br w:type="page"/>
      </w:r>
    </w:p>
    <w:p w14:paraId="3022EE89" w14:textId="77777777" w:rsidR="001C6F66" w:rsidRPr="009B546D" w:rsidRDefault="001C6F66" w:rsidP="00F432B9">
      <w:pPr>
        <w:spacing w:line="240" w:lineRule="auto"/>
        <w:rPr>
          <w:rFonts w:cstheme="minorHAnsi"/>
          <w:b/>
          <w:caps/>
        </w:rPr>
      </w:pPr>
      <w:r w:rsidRPr="009B546D">
        <w:rPr>
          <w:rFonts w:cstheme="minorHAnsi"/>
          <w:b/>
          <w:caps/>
        </w:rPr>
        <w:lastRenderedPageBreak/>
        <w:t>n</w:t>
      </w:r>
      <w:r w:rsidRPr="009B546D">
        <w:rPr>
          <w:rFonts w:cstheme="minorHAnsi"/>
          <w:b/>
        </w:rPr>
        <w:t>otes to the financial information</w:t>
      </w:r>
    </w:p>
    <w:p w14:paraId="4725B96A" w14:textId="77777777" w:rsidR="001C6F66" w:rsidRPr="009B546D" w:rsidRDefault="001C6F66" w:rsidP="00F432B9">
      <w:pPr>
        <w:spacing w:line="240" w:lineRule="auto"/>
        <w:rPr>
          <w:rFonts w:cstheme="minorHAnsi"/>
          <w:b/>
          <w:caps/>
        </w:rPr>
      </w:pPr>
      <w:r w:rsidRPr="009B546D">
        <w:rPr>
          <w:rFonts w:cstheme="minorHAnsi"/>
          <w:b/>
          <w:caps/>
        </w:rPr>
        <w:t>F</w:t>
      </w:r>
      <w:r w:rsidRPr="009B546D">
        <w:rPr>
          <w:rFonts w:cstheme="minorHAnsi"/>
          <w:b/>
        </w:rPr>
        <w:t xml:space="preserve">or the </w:t>
      </w:r>
      <w:r w:rsidRPr="009B546D">
        <w:rPr>
          <w:rFonts w:cstheme="minorHAnsi"/>
          <w:b/>
          <w:caps/>
        </w:rPr>
        <w:fldChar w:fldCharType="begin"/>
      </w:r>
      <w:r w:rsidRPr="009B546D">
        <w:rPr>
          <w:rFonts w:cstheme="minorHAnsi"/>
          <w:b/>
          <w:caps/>
        </w:rPr>
        <w:instrText xml:space="preserve"> DOCPROPERTY  "Fin year/period (for cover page)"\* Caps \* MERGEFORMAT </w:instrText>
      </w:r>
      <w:r w:rsidRPr="009B546D">
        <w:rPr>
          <w:rFonts w:cstheme="minorHAnsi"/>
          <w:b/>
          <w:caps/>
        </w:rPr>
        <w:fldChar w:fldCharType="separate"/>
      </w:r>
      <w:r w:rsidRPr="009B546D">
        <w:rPr>
          <w:rFonts w:cstheme="minorHAnsi"/>
          <w:b/>
        </w:rPr>
        <w:t>financial period ended from 17 April 2018 (date of incorporation) to 30 April 2019</w:t>
      </w:r>
      <w:r w:rsidRPr="009B546D">
        <w:rPr>
          <w:rFonts w:cstheme="minorHAnsi"/>
          <w:b/>
          <w:caps/>
        </w:rPr>
        <w:fldChar w:fldCharType="end"/>
      </w:r>
      <w:r w:rsidRPr="00384557">
        <w:rPr>
          <w:rFonts w:cstheme="minorHAnsi"/>
          <w:b/>
          <w:caps/>
        </w:rPr>
        <w:t xml:space="preserve"> (</w:t>
      </w:r>
      <w:r w:rsidRPr="009B546D">
        <w:rPr>
          <w:rFonts w:cstheme="minorHAnsi"/>
          <w:b/>
          <w:i/>
        </w:rPr>
        <w:t>continued)</w:t>
      </w:r>
    </w:p>
    <w:p w14:paraId="0D46E177" w14:textId="77777777" w:rsidR="001C6F66" w:rsidRPr="009B546D" w:rsidRDefault="001C6F66" w:rsidP="00F432B9">
      <w:pPr>
        <w:pBdr>
          <w:bottom w:val="single" w:sz="6" w:space="1" w:color="auto"/>
        </w:pBdr>
        <w:spacing w:line="240" w:lineRule="auto"/>
        <w:jc w:val="right"/>
        <w:rPr>
          <w:rFonts w:cstheme="minorHAnsi"/>
        </w:rPr>
      </w:pPr>
    </w:p>
    <w:p w14:paraId="1ECE0FEF" w14:textId="77777777" w:rsidR="001C6F66" w:rsidRPr="009B546D" w:rsidRDefault="001C6F66" w:rsidP="00496B89">
      <w:pPr>
        <w:pStyle w:val="ListParagraph"/>
        <w:widowControl/>
        <w:numPr>
          <w:ilvl w:val="0"/>
          <w:numId w:val="33"/>
        </w:numPr>
        <w:spacing w:after="220"/>
        <w:rPr>
          <w:rFonts w:asciiTheme="minorHAnsi" w:hAnsiTheme="minorHAnsi" w:cstheme="minorHAnsi"/>
          <w:b/>
          <w:caps/>
          <w:sz w:val="20"/>
        </w:rPr>
      </w:pPr>
      <w:r w:rsidRPr="009B546D">
        <w:rPr>
          <w:rFonts w:asciiTheme="minorHAnsi" w:hAnsiTheme="minorHAnsi" w:cstheme="minorHAnsi"/>
          <w:b/>
          <w:caps/>
          <w:sz w:val="20"/>
        </w:rPr>
        <w:t xml:space="preserve">FINANCIAL RISK MANAGEMENT OBJECTIVES </w:t>
      </w:r>
      <w:smartTag w:uri="urn:schemas-microsoft-com:office:smarttags" w:element="stockticker">
        <w:r w:rsidRPr="009B546D">
          <w:rPr>
            <w:rFonts w:asciiTheme="minorHAnsi" w:hAnsiTheme="minorHAnsi" w:cstheme="minorHAnsi"/>
            <w:b/>
            <w:caps/>
            <w:sz w:val="20"/>
          </w:rPr>
          <w:t>AND</w:t>
        </w:r>
      </w:smartTag>
      <w:r w:rsidRPr="009B546D">
        <w:rPr>
          <w:rFonts w:asciiTheme="minorHAnsi" w:hAnsiTheme="minorHAnsi" w:cstheme="minorHAnsi"/>
          <w:b/>
          <w:caps/>
          <w:sz w:val="20"/>
        </w:rPr>
        <w:t xml:space="preserve"> POLICIES</w:t>
      </w:r>
    </w:p>
    <w:p w14:paraId="62460F6D" w14:textId="09D0B2EF" w:rsidR="001C6F66" w:rsidRPr="009B546D" w:rsidRDefault="001C6F66" w:rsidP="00F432B9">
      <w:pPr>
        <w:spacing w:after="220" w:line="240" w:lineRule="auto"/>
        <w:ind w:left="576"/>
        <w:rPr>
          <w:rFonts w:cstheme="minorHAnsi"/>
        </w:rPr>
      </w:pPr>
      <w:r w:rsidRPr="009B546D">
        <w:rPr>
          <w:rFonts w:cstheme="minorHAnsi"/>
        </w:rPr>
        <w:t xml:space="preserve">The financial risk management is integral to the development of the Alchemist’s business. </w:t>
      </w:r>
      <w:r w:rsidR="000C2E04" w:rsidRPr="009B546D">
        <w:rPr>
          <w:rFonts w:cstheme="minorHAnsi"/>
        </w:rPr>
        <w:t>Alchemist has</w:t>
      </w:r>
      <w:r w:rsidRPr="009B546D">
        <w:rPr>
          <w:rFonts w:cstheme="minorHAnsi"/>
        </w:rPr>
        <w:t xml:space="preserve"> in place the financial risk management policies to manage its exposure to a variety of risks to an acceptable level. Alchemist’s principal financial risk management policies are as follows:</w:t>
      </w:r>
    </w:p>
    <w:p w14:paraId="34CAAD01" w14:textId="77777777" w:rsidR="001C6F66" w:rsidRPr="009B546D" w:rsidRDefault="001C6F66" w:rsidP="00496B89">
      <w:pPr>
        <w:pStyle w:val="ListParagraph"/>
        <w:widowControl/>
        <w:numPr>
          <w:ilvl w:val="1"/>
          <w:numId w:val="35"/>
        </w:numPr>
        <w:spacing w:after="220"/>
        <w:rPr>
          <w:rFonts w:asciiTheme="minorHAnsi" w:hAnsiTheme="minorHAnsi" w:cstheme="minorHAnsi"/>
          <w:b/>
          <w:smallCaps/>
          <w:sz w:val="20"/>
        </w:rPr>
      </w:pPr>
      <w:r w:rsidRPr="009B546D">
        <w:rPr>
          <w:rFonts w:asciiTheme="minorHAnsi" w:hAnsiTheme="minorHAnsi" w:cstheme="minorHAnsi"/>
          <w:b/>
          <w:smallCaps/>
          <w:sz w:val="20"/>
        </w:rPr>
        <w:t>Market risk</w:t>
      </w:r>
    </w:p>
    <w:p w14:paraId="5E5BC21F" w14:textId="77777777" w:rsidR="001C6F66" w:rsidRPr="009B546D" w:rsidRDefault="001C6F66" w:rsidP="00F432B9">
      <w:pPr>
        <w:keepNext/>
        <w:keepLines/>
        <w:tabs>
          <w:tab w:val="left" w:pos="1152"/>
        </w:tabs>
        <w:spacing w:after="220" w:line="240" w:lineRule="auto"/>
        <w:ind w:left="1152"/>
        <w:rPr>
          <w:rFonts w:cstheme="minorHAnsi"/>
        </w:rPr>
      </w:pPr>
      <w:r w:rsidRPr="009B546D">
        <w:rPr>
          <w:rFonts w:cstheme="minorHAnsi"/>
        </w:rPr>
        <w:t>Alchemist’s activities expose it primarily to the financial risks of changes in foreign currency exchange rates.</w:t>
      </w:r>
    </w:p>
    <w:p w14:paraId="01331966" w14:textId="77777777" w:rsidR="001C6F66" w:rsidRPr="009B546D" w:rsidRDefault="001C6F66" w:rsidP="00F432B9">
      <w:pPr>
        <w:keepNext/>
        <w:keepLines/>
        <w:tabs>
          <w:tab w:val="left" w:pos="1152"/>
        </w:tabs>
        <w:spacing w:after="220" w:line="240" w:lineRule="auto"/>
        <w:ind w:left="1152"/>
        <w:rPr>
          <w:rFonts w:cstheme="minorHAnsi"/>
        </w:rPr>
      </w:pPr>
      <w:r w:rsidRPr="009B546D">
        <w:rPr>
          <w:rFonts w:cstheme="minorHAnsi"/>
        </w:rPr>
        <w:t xml:space="preserve">There has been no change to Alchemist’s exposure to market risks or the manner in which these risks are managed and measured. </w:t>
      </w:r>
    </w:p>
    <w:p w14:paraId="20621461" w14:textId="77777777" w:rsidR="001C6F66" w:rsidRPr="009B546D" w:rsidRDefault="001C6F66" w:rsidP="00496B89">
      <w:pPr>
        <w:pStyle w:val="ListParagraph"/>
        <w:widowControl/>
        <w:numPr>
          <w:ilvl w:val="1"/>
          <w:numId w:val="35"/>
        </w:numPr>
        <w:spacing w:after="220"/>
        <w:rPr>
          <w:rFonts w:asciiTheme="minorHAnsi" w:hAnsiTheme="minorHAnsi" w:cstheme="minorHAnsi"/>
          <w:b/>
          <w:smallCaps/>
          <w:sz w:val="20"/>
        </w:rPr>
      </w:pPr>
      <w:r w:rsidRPr="009B546D">
        <w:rPr>
          <w:rFonts w:asciiTheme="minorHAnsi" w:hAnsiTheme="minorHAnsi" w:cstheme="minorHAnsi"/>
          <w:b/>
          <w:smallCaps/>
          <w:sz w:val="20"/>
        </w:rPr>
        <w:t>Foreign currency risk management</w:t>
      </w:r>
    </w:p>
    <w:p w14:paraId="6DB49B2A" w14:textId="77777777" w:rsidR="001C6F66" w:rsidRPr="009B546D" w:rsidRDefault="001C6F66" w:rsidP="00F432B9">
      <w:pPr>
        <w:keepNext/>
        <w:keepLines/>
        <w:tabs>
          <w:tab w:val="left" w:pos="1152"/>
        </w:tabs>
        <w:spacing w:after="220" w:line="240" w:lineRule="auto"/>
        <w:ind w:left="1152"/>
        <w:rPr>
          <w:rFonts w:cstheme="minorHAnsi"/>
        </w:rPr>
      </w:pPr>
      <w:r w:rsidRPr="009B546D">
        <w:rPr>
          <w:rFonts w:cstheme="minorHAnsi"/>
        </w:rPr>
        <w:t xml:space="preserve">Alchemist undertakes transactions denominated in foreign currencies; consequently, exposures to exchange rate fluctuations arise. Exchange rate exposures are managed within approved policy parameters utilising forward foreign exchange contracts. </w:t>
      </w:r>
    </w:p>
    <w:p w14:paraId="44B17C00" w14:textId="77777777" w:rsidR="001C6F66" w:rsidRPr="009B546D" w:rsidRDefault="001C6F66" w:rsidP="00F432B9">
      <w:pPr>
        <w:keepNext/>
        <w:keepLines/>
        <w:tabs>
          <w:tab w:val="left" w:pos="1152"/>
        </w:tabs>
        <w:spacing w:after="220" w:line="240" w:lineRule="auto"/>
        <w:ind w:left="1152"/>
        <w:rPr>
          <w:rFonts w:cstheme="minorHAnsi"/>
        </w:rPr>
      </w:pPr>
      <w:r w:rsidRPr="009B546D">
        <w:rPr>
          <w:rFonts w:cstheme="minorHAnsi"/>
        </w:rPr>
        <w:t>The carrying amounts of Alchemist’s foreign currency denominated monetary assets and monetary liabilities at the reporting date are as follows:</w:t>
      </w:r>
    </w:p>
    <w:tbl>
      <w:tblPr>
        <w:tblW w:w="8062" w:type="dxa"/>
        <w:tblInd w:w="1152" w:type="dxa"/>
        <w:tblLayout w:type="fixed"/>
        <w:tblLook w:val="04A0" w:firstRow="1" w:lastRow="0" w:firstColumn="1" w:lastColumn="0" w:noHBand="0" w:noVBand="1"/>
      </w:tblPr>
      <w:tblGrid>
        <w:gridCol w:w="2104"/>
        <w:gridCol w:w="1349"/>
        <w:gridCol w:w="270"/>
        <w:gridCol w:w="1439"/>
        <w:gridCol w:w="270"/>
        <w:gridCol w:w="1213"/>
        <w:gridCol w:w="425"/>
        <w:gridCol w:w="992"/>
      </w:tblGrid>
      <w:tr w:rsidR="001C6F66" w:rsidRPr="009B546D" w14:paraId="2096F62C" w14:textId="77777777" w:rsidTr="00EA2BB6">
        <w:trPr>
          <w:trHeight w:val="612"/>
          <w:tblHeader/>
        </w:trPr>
        <w:tc>
          <w:tcPr>
            <w:tcW w:w="2104" w:type="dxa"/>
            <w:vAlign w:val="bottom"/>
          </w:tcPr>
          <w:p w14:paraId="67EEF738" w14:textId="77777777" w:rsidR="001C6F66" w:rsidRPr="009B546D" w:rsidRDefault="001C6F66" w:rsidP="00F432B9">
            <w:pPr>
              <w:tabs>
                <w:tab w:val="left" w:pos="288"/>
              </w:tabs>
              <w:autoSpaceDE w:val="0"/>
              <w:autoSpaceDN w:val="0"/>
              <w:adjustRightInd w:val="0"/>
              <w:spacing w:line="240" w:lineRule="auto"/>
              <w:rPr>
                <w:rFonts w:cstheme="minorHAnsi"/>
                <w:color w:val="000000"/>
                <w:lang w:val="en-MY"/>
              </w:rPr>
            </w:pPr>
          </w:p>
        </w:tc>
        <w:tc>
          <w:tcPr>
            <w:tcW w:w="1349" w:type="dxa"/>
            <w:vAlign w:val="bottom"/>
          </w:tcPr>
          <w:p w14:paraId="558F1CC6" w14:textId="77777777" w:rsidR="001C6F66" w:rsidRPr="009B546D" w:rsidRDefault="001C6F66" w:rsidP="00F432B9">
            <w:pPr>
              <w:tabs>
                <w:tab w:val="left" w:pos="288"/>
              </w:tabs>
              <w:autoSpaceDE w:val="0"/>
              <w:autoSpaceDN w:val="0"/>
              <w:adjustRightInd w:val="0"/>
              <w:spacing w:line="240" w:lineRule="auto"/>
              <w:ind w:right="72"/>
              <w:jc w:val="center"/>
              <w:rPr>
                <w:rFonts w:cstheme="minorHAnsi"/>
                <w:b/>
                <w:bCs/>
                <w:color w:val="000000"/>
                <w:lang w:val="en-MY"/>
              </w:rPr>
            </w:pPr>
          </w:p>
        </w:tc>
        <w:tc>
          <w:tcPr>
            <w:tcW w:w="270" w:type="dxa"/>
            <w:vAlign w:val="bottom"/>
          </w:tcPr>
          <w:p w14:paraId="6E4FB450" w14:textId="77777777" w:rsidR="001C6F66" w:rsidRPr="009B546D" w:rsidRDefault="001C6F66" w:rsidP="00F432B9">
            <w:pPr>
              <w:tabs>
                <w:tab w:val="left" w:pos="288"/>
              </w:tabs>
              <w:autoSpaceDE w:val="0"/>
              <w:autoSpaceDN w:val="0"/>
              <w:adjustRightInd w:val="0"/>
              <w:spacing w:line="240" w:lineRule="auto"/>
              <w:jc w:val="center"/>
              <w:rPr>
                <w:rFonts w:cstheme="minorHAnsi"/>
                <w:b/>
                <w:bCs/>
                <w:color w:val="000000"/>
                <w:lang w:val="en-MY"/>
              </w:rPr>
            </w:pPr>
          </w:p>
        </w:tc>
        <w:tc>
          <w:tcPr>
            <w:tcW w:w="1439" w:type="dxa"/>
            <w:vAlign w:val="bottom"/>
          </w:tcPr>
          <w:p w14:paraId="02C55FD8" w14:textId="77777777" w:rsidR="001C6F66" w:rsidRPr="009B546D" w:rsidRDefault="001C6F66" w:rsidP="00F432B9">
            <w:pPr>
              <w:tabs>
                <w:tab w:val="left" w:pos="288"/>
              </w:tabs>
              <w:autoSpaceDE w:val="0"/>
              <w:autoSpaceDN w:val="0"/>
              <w:adjustRightInd w:val="0"/>
              <w:spacing w:line="240" w:lineRule="auto"/>
              <w:ind w:right="72"/>
              <w:jc w:val="center"/>
              <w:rPr>
                <w:rFonts w:cstheme="minorHAnsi"/>
                <w:b/>
                <w:bCs/>
                <w:color w:val="000000"/>
                <w:lang w:val="en-MY"/>
              </w:rPr>
            </w:pPr>
          </w:p>
        </w:tc>
        <w:tc>
          <w:tcPr>
            <w:tcW w:w="270" w:type="dxa"/>
            <w:vAlign w:val="bottom"/>
          </w:tcPr>
          <w:p w14:paraId="68FAA1D4" w14:textId="77777777" w:rsidR="001C6F66" w:rsidRPr="009B546D" w:rsidRDefault="001C6F66" w:rsidP="00F432B9">
            <w:pPr>
              <w:tabs>
                <w:tab w:val="left" w:pos="288"/>
              </w:tabs>
              <w:autoSpaceDE w:val="0"/>
              <w:autoSpaceDN w:val="0"/>
              <w:adjustRightInd w:val="0"/>
              <w:spacing w:line="240" w:lineRule="auto"/>
              <w:jc w:val="center"/>
              <w:rPr>
                <w:rFonts w:cstheme="minorHAnsi"/>
                <w:b/>
                <w:bCs/>
                <w:color w:val="000000"/>
                <w:lang w:val="en-MY"/>
              </w:rPr>
            </w:pPr>
          </w:p>
        </w:tc>
        <w:tc>
          <w:tcPr>
            <w:tcW w:w="1213" w:type="dxa"/>
            <w:vAlign w:val="bottom"/>
            <w:hideMark/>
          </w:tcPr>
          <w:p w14:paraId="721F4357"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lang w:val="en-MY"/>
              </w:rPr>
            </w:pPr>
            <w:r w:rsidRPr="009B546D">
              <w:rPr>
                <w:rFonts w:cstheme="minorHAnsi"/>
                <w:b/>
                <w:bCs/>
                <w:color w:val="000000"/>
                <w:lang w:val="en-MY"/>
              </w:rPr>
              <w:t>Liabilities</w:t>
            </w:r>
          </w:p>
        </w:tc>
        <w:tc>
          <w:tcPr>
            <w:tcW w:w="425" w:type="dxa"/>
            <w:vAlign w:val="bottom"/>
          </w:tcPr>
          <w:p w14:paraId="34676514" w14:textId="77777777" w:rsidR="001C6F66" w:rsidRPr="009B546D" w:rsidRDefault="001C6F66" w:rsidP="00F432B9">
            <w:pPr>
              <w:tabs>
                <w:tab w:val="left" w:pos="288"/>
              </w:tabs>
              <w:autoSpaceDE w:val="0"/>
              <w:autoSpaceDN w:val="0"/>
              <w:adjustRightInd w:val="0"/>
              <w:spacing w:line="240" w:lineRule="auto"/>
              <w:jc w:val="right"/>
              <w:rPr>
                <w:rFonts w:cstheme="minorHAnsi"/>
                <w:b/>
                <w:bCs/>
                <w:color w:val="000000"/>
                <w:lang w:val="en-MY"/>
              </w:rPr>
            </w:pPr>
          </w:p>
        </w:tc>
        <w:tc>
          <w:tcPr>
            <w:tcW w:w="992" w:type="dxa"/>
            <w:vAlign w:val="bottom"/>
            <w:hideMark/>
          </w:tcPr>
          <w:p w14:paraId="7D9D8F7F"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lang w:val="en-MY"/>
              </w:rPr>
            </w:pPr>
            <w:r w:rsidRPr="009B546D">
              <w:rPr>
                <w:rFonts w:cstheme="minorHAnsi"/>
                <w:b/>
                <w:bCs/>
                <w:color w:val="000000"/>
                <w:lang w:val="en-MY"/>
              </w:rPr>
              <w:t>Assets</w:t>
            </w:r>
          </w:p>
        </w:tc>
      </w:tr>
      <w:tr w:rsidR="001C6F66" w:rsidRPr="009B546D" w14:paraId="73D7B539" w14:textId="77777777" w:rsidTr="00EA2BB6">
        <w:trPr>
          <w:trHeight w:val="225"/>
          <w:tblHeader/>
        </w:trPr>
        <w:tc>
          <w:tcPr>
            <w:tcW w:w="2104" w:type="dxa"/>
            <w:vAlign w:val="bottom"/>
          </w:tcPr>
          <w:p w14:paraId="5A6EB359" w14:textId="77777777" w:rsidR="001C6F66" w:rsidRPr="009B546D" w:rsidRDefault="001C6F66" w:rsidP="00F432B9">
            <w:pPr>
              <w:tabs>
                <w:tab w:val="left" w:pos="288"/>
              </w:tabs>
              <w:autoSpaceDE w:val="0"/>
              <w:autoSpaceDN w:val="0"/>
              <w:adjustRightInd w:val="0"/>
              <w:spacing w:line="240" w:lineRule="auto"/>
              <w:rPr>
                <w:rFonts w:cstheme="minorHAnsi"/>
                <w:color w:val="000000"/>
                <w:lang w:val="en-MY"/>
              </w:rPr>
            </w:pPr>
          </w:p>
        </w:tc>
        <w:tc>
          <w:tcPr>
            <w:tcW w:w="1349" w:type="dxa"/>
            <w:vAlign w:val="bottom"/>
          </w:tcPr>
          <w:p w14:paraId="63E35477" w14:textId="77777777" w:rsidR="001C6F66" w:rsidRPr="009B546D" w:rsidRDefault="001C6F66" w:rsidP="00F432B9">
            <w:pPr>
              <w:tabs>
                <w:tab w:val="left" w:pos="288"/>
              </w:tabs>
              <w:autoSpaceDE w:val="0"/>
              <w:autoSpaceDN w:val="0"/>
              <w:adjustRightInd w:val="0"/>
              <w:spacing w:line="240" w:lineRule="auto"/>
              <w:ind w:right="72"/>
              <w:jc w:val="center"/>
              <w:rPr>
                <w:rFonts w:cstheme="minorHAnsi"/>
                <w:b/>
                <w:bCs/>
                <w:color w:val="000000"/>
                <w:lang w:val="en-MY"/>
              </w:rPr>
            </w:pPr>
          </w:p>
        </w:tc>
        <w:tc>
          <w:tcPr>
            <w:tcW w:w="270" w:type="dxa"/>
            <w:vAlign w:val="bottom"/>
          </w:tcPr>
          <w:p w14:paraId="232C5218" w14:textId="77777777" w:rsidR="001C6F66" w:rsidRPr="009B546D" w:rsidRDefault="001C6F66" w:rsidP="00F432B9">
            <w:pPr>
              <w:tabs>
                <w:tab w:val="left" w:pos="288"/>
              </w:tabs>
              <w:autoSpaceDE w:val="0"/>
              <w:autoSpaceDN w:val="0"/>
              <w:adjustRightInd w:val="0"/>
              <w:spacing w:line="240" w:lineRule="auto"/>
              <w:jc w:val="center"/>
              <w:rPr>
                <w:rFonts w:cstheme="minorHAnsi"/>
                <w:b/>
                <w:bCs/>
                <w:color w:val="000000"/>
                <w:lang w:val="en-MY"/>
              </w:rPr>
            </w:pPr>
          </w:p>
        </w:tc>
        <w:tc>
          <w:tcPr>
            <w:tcW w:w="1439" w:type="dxa"/>
            <w:vAlign w:val="bottom"/>
          </w:tcPr>
          <w:p w14:paraId="765615AB" w14:textId="77777777" w:rsidR="001C6F66" w:rsidRPr="009B546D" w:rsidRDefault="001C6F66" w:rsidP="00F432B9">
            <w:pPr>
              <w:tabs>
                <w:tab w:val="left" w:pos="288"/>
              </w:tabs>
              <w:autoSpaceDE w:val="0"/>
              <w:autoSpaceDN w:val="0"/>
              <w:adjustRightInd w:val="0"/>
              <w:spacing w:line="240" w:lineRule="auto"/>
              <w:ind w:right="72"/>
              <w:jc w:val="center"/>
              <w:rPr>
                <w:rFonts w:cstheme="minorHAnsi"/>
                <w:b/>
                <w:bCs/>
                <w:color w:val="000000"/>
                <w:lang w:val="en-MY"/>
              </w:rPr>
            </w:pPr>
          </w:p>
        </w:tc>
        <w:tc>
          <w:tcPr>
            <w:tcW w:w="270" w:type="dxa"/>
            <w:vAlign w:val="bottom"/>
          </w:tcPr>
          <w:p w14:paraId="5F8A2EBD" w14:textId="77777777" w:rsidR="001C6F66" w:rsidRPr="009B546D" w:rsidRDefault="001C6F66" w:rsidP="00F432B9">
            <w:pPr>
              <w:tabs>
                <w:tab w:val="left" w:pos="288"/>
              </w:tabs>
              <w:autoSpaceDE w:val="0"/>
              <w:autoSpaceDN w:val="0"/>
              <w:adjustRightInd w:val="0"/>
              <w:spacing w:line="240" w:lineRule="auto"/>
              <w:jc w:val="center"/>
              <w:rPr>
                <w:rFonts w:cstheme="minorHAnsi"/>
                <w:b/>
                <w:bCs/>
                <w:color w:val="000000"/>
                <w:lang w:val="en-MY"/>
              </w:rPr>
            </w:pPr>
          </w:p>
        </w:tc>
        <w:tc>
          <w:tcPr>
            <w:tcW w:w="1213" w:type="dxa"/>
            <w:vAlign w:val="bottom"/>
          </w:tcPr>
          <w:p w14:paraId="532FFEF9"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lang w:val="en-MY"/>
              </w:rPr>
            </w:pPr>
            <w:r w:rsidRPr="009B546D">
              <w:rPr>
                <w:rFonts w:cstheme="minorHAnsi"/>
                <w:b/>
                <w:bCs/>
                <w:color w:val="000000"/>
                <w:lang w:val="en-MY"/>
              </w:rPr>
              <w:t>2019</w:t>
            </w:r>
          </w:p>
        </w:tc>
        <w:tc>
          <w:tcPr>
            <w:tcW w:w="425" w:type="dxa"/>
            <w:vAlign w:val="bottom"/>
          </w:tcPr>
          <w:p w14:paraId="73556906" w14:textId="77777777" w:rsidR="001C6F66" w:rsidRPr="009B546D" w:rsidRDefault="001C6F66" w:rsidP="00F432B9">
            <w:pPr>
              <w:tabs>
                <w:tab w:val="left" w:pos="288"/>
              </w:tabs>
              <w:autoSpaceDE w:val="0"/>
              <w:autoSpaceDN w:val="0"/>
              <w:adjustRightInd w:val="0"/>
              <w:spacing w:line="240" w:lineRule="auto"/>
              <w:jc w:val="right"/>
              <w:rPr>
                <w:rFonts w:cstheme="minorHAnsi"/>
                <w:b/>
                <w:bCs/>
                <w:color w:val="000000"/>
                <w:lang w:val="en-MY"/>
              </w:rPr>
            </w:pPr>
          </w:p>
        </w:tc>
        <w:tc>
          <w:tcPr>
            <w:tcW w:w="992" w:type="dxa"/>
            <w:vAlign w:val="bottom"/>
          </w:tcPr>
          <w:p w14:paraId="2EAB11D4"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lang w:val="en-MY"/>
              </w:rPr>
            </w:pPr>
            <w:r w:rsidRPr="009B546D">
              <w:rPr>
                <w:rFonts w:cstheme="minorHAnsi"/>
                <w:b/>
                <w:bCs/>
                <w:color w:val="000000"/>
                <w:lang w:val="en-MY"/>
              </w:rPr>
              <w:t>2019</w:t>
            </w:r>
          </w:p>
        </w:tc>
      </w:tr>
      <w:tr w:rsidR="001C6F66" w:rsidRPr="009B546D" w14:paraId="7BE4AF08" w14:textId="77777777" w:rsidTr="00EA2BB6">
        <w:trPr>
          <w:trHeight w:val="278"/>
          <w:tblHeader/>
        </w:trPr>
        <w:tc>
          <w:tcPr>
            <w:tcW w:w="2104" w:type="dxa"/>
            <w:vAlign w:val="bottom"/>
          </w:tcPr>
          <w:p w14:paraId="3550494A" w14:textId="77777777" w:rsidR="001C6F66" w:rsidRPr="009B546D" w:rsidRDefault="001C6F66" w:rsidP="00F432B9">
            <w:pPr>
              <w:tabs>
                <w:tab w:val="left" w:pos="288"/>
              </w:tabs>
              <w:autoSpaceDE w:val="0"/>
              <w:autoSpaceDN w:val="0"/>
              <w:adjustRightInd w:val="0"/>
              <w:spacing w:line="240" w:lineRule="auto"/>
              <w:rPr>
                <w:rFonts w:cstheme="minorHAnsi"/>
                <w:color w:val="000000"/>
                <w:lang w:val="en-MY"/>
              </w:rPr>
            </w:pPr>
          </w:p>
        </w:tc>
        <w:tc>
          <w:tcPr>
            <w:tcW w:w="1349" w:type="dxa"/>
            <w:vAlign w:val="bottom"/>
          </w:tcPr>
          <w:p w14:paraId="64185FD7" w14:textId="77777777" w:rsidR="001C6F66" w:rsidRPr="009B546D" w:rsidRDefault="001C6F66" w:rsidP="00F432B9">
            <w:pPr>
              <w:tabs>
                <w:tab w:val="left" w:pos="288"/>
              </w:tabs>
              <w:autoSpaceDE w:val="0"/>
              <w:autoSpaceDN w:val="0"/>
              <w:adjustRightInd w:val="0"/>
              <w:spacing w:line="240" w:lineRule="auto"/>
              <w:ind w:right="72"/>
              <w:jc w:val="center"/>
              <w:rPr>
                <w:rFonts w:cstheme="minorHAnsi"/>
                <w:b/>
                <w:bCs/>
                <w:color w:val="000000"/>
                <w:lang w:val="en-MY"/>
              </w:rPr>
            </w:pPr>
          </w:p>
        </w:tc>
        <w:tc>
          <w:tcPr>
            <w:tcW w:w="270" w:type="dxa"/>
            <w:vAlign w:val="bottom"/>
          </w:tcPr>
          <w:p w14:paraId="1621B1A5" w14:textId="77777777" w:rsidR="001C6F66" w:rsidRPr="009B546D" w:rsidRDefault="001C6F66" w:rsidP="00F432B9">
            <w:pPr>
              <w:tabs>
                <w:tab w:val="left" w:pos="288"/>
              </w:tabs>
              <w:autoSpaceDE w:val="0"/>
              <w:autoSpaceDN w:val="0"/>
              <w:adjustRightInd w:val="0"/>
              <w:spacing w:line="240" w:lineRule="auto"/>
              <w:jc w:val="center"/>
              <w:rPr>
                <w:rFonts w:cstheme="minorHAnsi"/>
                <w:b/>
                <w:bCs/>
                <w:color w:val="000000"/>
                <w:lang w:val="en-MY"/>
              </w:rPr>
            </w:pPr>
          </w:p>
        </w:tc>
        <w:tc>
          <w:tcPr>
            <w:tcW w:w="1439" w:type="dxa"/>
            <w:vAlign w:val="bottom"/>
          </w:tcPr>
          <w:p w14:paraId="25A8C80E" w14:textId="77777777" w:rsidR="001C6F66" w:rsidRPr="009B546D" w:rsidRDefault="001C6F66" w:rsidP="00F432B9">
            <w:pPr>
              <w:tabs>
                <w:tab w:val="left" w:pos="288"/>
              </w:tabs>
              <w:autoSpaceDE w:val="0"/>
              <w:autoSpaceDN w:val="0"/>
              <w:adjustRightInd w:val="0"/>
              <w:spacing w:line="240" w:lineRule="auto"/>
              <w:ind w:right="72"/>
              <w:jc w:val="center"/>
              <w:rPr>
                <w:rFonts w:cstheme="minorHAnsi"/>
                <w:b/>
                <w:bCs/>
                <w:color w:val="000000"/>
                <w:lang w:val="en-MY"/>
              </w:rPr>
            </w:pPr>
          </w:p>
        </w:tc>
        <w:tc>
          <w:tcPr>
            <w:tcW w:w="270" w:type="dxa"/>
            <w:vAlign w:val="bottom"/>
          </w:tcPr>
          <w:p w14:paraId="570F9501"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lang w:val="en-MY"/>
              </w:rPr>
            </w:pPr>
          </w:p>
        </w:tc>
        <w:tc>
          <w:tcPr>
            <w:tcW w:w="1213" w:type="dxa"/>
            <w:vAlign w:val="bottom"/>
            <w:hideMark/>
          </w:tcPr>
          <w:p w14:paraId="0BD431FD"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lang w:val="en-MY"/>
              </w:rPr>
            </w:pPr>
            <w:r w:rsidRPr="009B546D">
              <w:rPr>
                <w:rFonts w:cstheme="minorHAnsi"/>
                <w:b/>
                <w:bCs/>
                <w:color w:val="000000"/>
                <w:lang w:val="en-MY"/>
              </w:rPr>
              <w:t>RM</w:t>
            </w:r>
          </w:p>
        </w:tc>
        <w:tc>
          <w:tcPr>
            <w:tcW w:w="425" w:type="dxa"/>
            <w:vAlign w:val="bottom"/>
          </w:tcPr>
          <w:p w14:paraId="668E7C97"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lang w:val="en-MY"/>
              </w:rPr>
            </w:pPr>
          </w:p>
        </w:tc>
        <w:tc>
          <w:tcPr>
            <w:tcW w:w="992" w:type="dxa"/>
            <w:vAlign w:val="bottom"/>
            <w:hideMark/>
          </w:tcPr>
          <w:p w14:paraId="034EAA37"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lang w:val="en-MY"/>
              </w:rPr>
            </w:pPr>
            <w:r w:rsidRPr="009B546D">
              <w:rPr>
                <w:rFonts w:cstheme="minorHAnsi"/>
                <w:b/>
                <w:bCs/>
                <w:color w:val="000000"/>
                <w:lang w:val="en-MY"/>
              </w:rPr>
              <w:t>RM</w:t>
            </w:r>
          </w:p>
        </w:tc>
      </w:tr>
      <w:tr w:rsidR="001C6F66" w:rsidRPr="009B546D" w14:paraId="0089160B" w14:textId="77777777" w:rsidTr="00EA2BB6">
        <w:trPr>
          <w:trHeight w:val="198"/>
        </w:trPr>
        <w:tc>
          <w:tcPr>
            <w:tcW w:w="2104" w:type="dxa"/>
            <w:vAlign w:val="bottom"/>
            <w:hideMark/>
          </w:tcPr>
          <w:p w14:paraId="0F1BC8D0" w14:textId="77777777" w:rsidR="001C6F66" w:rsidRPr="009B546D" w:rsidRDefault="001C6F66" w:rsidP="00F432B9">
            <w:pPr>
              <w:tabs>
                <w:tab w:val="left" w:pos="288"/>
              </w:tabs>
              <w:autoSpaceDE w:val="0"/>
              <w:autoSpaceDN w:val="0"/>
              <w:adjustRightInd w:val="0"/>
              <w:spacing w:line="240" w:lineRule="auto"/>
              <w:rPr>
                <w:rFonts w:cstheme="minorHAnsi"/>
                <w:b/>
                <w:color w:val="000000"/>
                <w:u w:val="single"/>
                <w:lang w:val="en-MY"/>
              </w:rPr>
            </w:pPr>
            <w:r w:rsidRPr="009B546D">
              <w:rPr>
                <w:rFonts w:cstheme="minorHAnsi"/>
                <w:b/>
                <w:color w:val="000000"/>
                <w:u w:val="single"/>
                <w:lang w:val="en-MY"/>
              </w:rPr>
              <w:t>2019</w:t>
            </w:r>
          </w:p>
        </w:tc>
        <w:tc>
          <w:tcPr>
            <w:tcW w:w="1349" w:type="dxa"/>
            <w:vAlign w:val="bottom"/>
          </w:tcPr>
          <w:p w14:paraId="37F38431"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lang w:val="en-MY"/>
              </w:rPr>
            </w:pPr>
          </w:p>
        </w:tc>
        <w:tc>
          <w:tcPr>
            <w:tcW w:w="270" w:type="dxa"/>
            <w:vAlign w:val="bottom"/>
          </w:tcPr>
          <w:p w14:paraId="14232139"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lang w:val="en-MY"/>
              </w:rPr>
            </w:pPr>
          </w:p>
        </w:tc>
        <w:tc>
          <w:tcPr>
            <w:tcW w:w="1439" w:type="dxa"/>
            <w:vAlign w:val="bottom"/>
          </w:tcPr>
          <w:p w14:paraId="22BE3DE2"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lang w:val="en-MY"/>
              </w:rPr>
            </w:pPr>
          </w:p>
        </w:tc>
        <w:tc>
          <w:tcPr>
            <w:tcW w:w="270" w:type="dxa"/>
            <w:vAlign w:val="bottom"/>
          </w:tcPr>
          <w:p w14:paraId="7758C716"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lang w:val="en-MY"/>
              </w:rPr>
            </w:pPr>
          </w:p>
        </w:tc>
        <w:tc>
          <w:tcPr>
            <w:tcW w:w="1213" w:type="dxa"/>
            <w:vAlign w:val="bottom"/>
          </w:tcPr>
          <w:p w14:paraId="23DA9BD8"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lang w:val="en-MY"/>
              </w:rPr>
            </w:pPr>
          </w:p>
        </w:tc>
        <w:tc>
          <w:tcPr>
            <w:tcW w:w="425" w:type="dxa"/>
            <w:vAlign w:val="bottom"/>
          </w:tcPr>
          <w:p w14:paraId="149962E5"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lang w:val="en-MY"/>
              </w:rPr>
            </w:pPr>
          </w:p>
        </w:tc>
        <w:tc>
          <w:tcPr>
            <w:tcW w:w="992" w:type="dxa"/>
            <w:vAlign w:val="bottom"/>
          </w:tcPr>
          <w:p w14:paraId="5B73B239"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lang w:val="en-MY"/>
              </w:rPr>
            </w:pPr>
          </w:p>
        </w:tc>
      </w:tr>
      <w:tr w:rsidR="001C6F66" w:rsidRPr="009B546D" w14:paraId="58CF28F9" w14:textId="77777777" w:rsidTr="00EA2BB6">
        <w:trPr>
          <w:trHeight w:val="278"/>
        </w:trPr>
        <w:tc>
          <w:tcPr>
            <w:tcW w:w="2104" w:type="dxa"/>
            <w:vAlign w:val="bottom"/>
            <w:hideMark/>
          </w:tcPr>
          <w:p w14:paraId="261F559A" w14:textId="77777777" w:rsidR="001C6F66" w:rsidRPr="009B546D" w:rsidRDefault="001C6F66" w:rsidP="00F432B9">
            <w:pPr>
              <w:tabs>
                <w:tab w:val="left" w:pos="288"/>
              </w:tabs>
              <w:autoSpaceDE w:val="0"/>
              <w:autoSpaceDN w:val="0"/>
              <w:adjustRightInd w:val="0"/>
              <w:spacing w:line="240" w:lineRule="auto"/>
              <w:rPr>
                <w:rFonts w:cstheme="minorHAnsi"/>
                <w:color w:val="000000"/>
                <w:lang w:val="en-MY"/>
              </w:rPr>
            </w:pPr>
            <w:r w:rsidRPr="009B546D">
              <w:rPr>
                <w:rFonts w:cstheme="minorHAnsi"/>
                <w:color w:val="000000"/>
                <w:lang w:val="en-MY"/>
              </w:rPr>
              <w:t>US Dollar</w:t>
            </w:r>
          </w:p>
        </w:tc>
        <w:tc>
          <w:tcPr>
            <w:tcW w:w="1349" w:type="dxa"/>
            <w:vAlign w:val="bottom"/>
          </w:tcPr>
          <w:p w14:paraId="1B23B1DE"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p>
        </w:tc>
        <w:tc>
          <w:tcPr>
            <w:tcW w:w="270" w:type="dxa"/>
            <w:vAlign w:val="bottom"/>
          </w:tcPr>
          <w:p w14:paraId="436B441D"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lang w:val="en-MY"/>
              </w:rPr>
            </w:pPr>
          </w:p>
        </w:tc>
        <w:tc>
          <w:tcPr>
            <w:tcW w:w="1439" w:type="dxa"/>
            <w:vAlign w:val="bottom"/>
          </w:tcPr>
          <w:p w14:paraId="0520E00C"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p>
        </w:tc>
        <w:tc>
          <w:tcPr>
            <w:tcW w:w="270" w:type="dxa"/>
            <w:vAlign w:val="bottom"/>
          </w:tcPr>
          <w:p w14:paraId="593FDD83"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lang w:val="en-MY"/>
              </w:rPr>
            </w:pPr>
          </w:p>
        </w:tc>
        <w:tc>
          <w:tcPr>
            <w:tcW w:w="1213" w:type="dxa"/>
            <w:tcBorders>
              <w:bottom w:val="double" w:sz="6" w:space="0" w:color="auto"/>
            </w:tcBorders>
            <w:vAlign w:val="bottom"/>
            <w:hideMark/>
          </w:tcPr>
          <w:p w14:paraId="0221CA6D"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r w:rsidRPr="009B546D">
              <w:rPr>
                <w:rFonts w:cstheme="minorHAnsi"/>
                <w:bCs/>
                <w:iCs/>
              </w:rPr>
              <w:t>-</w:t>
            </w:r>
          </w:p>
        </w:tc>
        <w:tc>
          <w:tcPr>
            <w:tcW w:w="425" w:type="dxa"/>
            <w:vAlign w:val="bottom"/>
          </w:tcPr>
          <w:p w14:paraId="655F7749"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lang w:val="en-MY"/>
              </w:rPr>
            </w:pPr>
          </w:p>
        </w:tc>
        <w:tc>
          <w:tcPr>
            <w:tcW w:w="992" w:type="dxa"/>
            <w:tcBorders>
              <w:bottom w:val="double" w:sz="6" w:space="0" w:color="auto"/>
            </w:tcBorders>
            <w:vAlign w:val="bottom"/>
            <w:hideMark/>
          </w:tcPr>
          <w:p w14:paraId="1A701480"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lang w:val="en-MY"/>
              </w:rPr>
            </w:pPr>
            <w:r w:rsidRPr="009B546D">
              <w:rPr>
                <w:rFonts w:cstheme="minorHAnsi"/>
                <w:bCs/>
                <w:iCs/>
              </w:rPr>
              <w:t>3,962</w:t>
            </w:r>
          </w:p>
        </w:tc>
      </w:tr>
    </w:tbl>
    <w:p w14:paraId="1E63B452" w14:textId="77777777" w:rsidR="001C6F66" w:rsidRPr="009B546D" w:rsidRDefault="001C6F66" w:rsidP="00F432B9">
      <w:pPr>
        <w:keepNext/>
        <w:keepLines/>
        <w:tabs>
          <w:tab w:val="left" w:pos="1152"/>
        </w:tabs>
        <w:spacing w:after="220" w:line="240" w:lineRule="auto"/>
        <w:rPr>
          <w:rFonts w:cstheme="minorHAnsi"/>
          <w:b/>
        </w:rPr>
      </w:pPr>
      <w:r w:rsidRPr="009B546D">
        <w:rPr>
          <w:rFonts w:cstheme="minorHAnsi"/>
          <w:b/>
        </w:rPr>
        <w:tab/>
      </w:r>
    </w:p>
    <w:p w14:paraId="72097BC9" w14:textId="77777777" w:rsidR="001C6F66" w:rsidRPr="009B546D" w:rsidRDefault="001C6F66" w:rsidP="00F432B9">
      <w:pPr>
        <w:keepNext/>
        <w:keepLines/>
        <w:tabs>
          <w:tab w:val="left" w:pos="1152"/>
        </w:tabs>
        <w:spacing w:after="220" w:line="240" w:lineRule="auto"/>
        <w:ind w:left="1152"/>
        <w:rPr>
          <w:rFonts w:cstheme="minorHAnsi"/>
          <w:b/>
        </w:rPr>
      </w:pPr>
      <w:r w:rsidRPr="009B546D">
        <w:rPr>
          <w:rFonts w:cstheme="minorHAnsi"/>
          <w:b/>
        </w:rPr>
        <w:t>Foreign currency sensitivity analysis</w:t>
      </w:r>
    </w:p>
    <w:p w14:paraId="70DED197" w14:textId="77777777" w:rsidR="001C6F66" w:rsidRPr="009B546D" w:rsidRDefault="001C6F66" w:rsidP="00F432B9">
      <w:pPr>
        <w:keepNext/>
        <w:keepLines/>
        <w:tabs>
          <w:tab w:val="left" w:pos="1152"/>
        </w:tabs>
        <w:spacing w:after="220" w:line="240" w:lineRule="auto"/>
        <w:ind w:left="1152"/>
        <w:rPr>
          <w:rFonts w:cstheme="minorHAnsi"/>
        </w:rPr>
      </w:pPr>
      <w:r w:rsidRPr="009B546D">
        <w:rPr>
          <w:rFonts w:cstheme="minorHAnsi"/>
        </w:rPr>
        <w:t>Alchemist is mainly exposed to the currency of US Dollar. The following table details Alchemist’s sensitivity to a 5% increase and decrease in currency units against the relevant foreign currencies. 5% is the sensitivity rate used when reporting foreign currency risk internally to key management personnel and represents management’s assessment of the reasonably possible change in foreign exchange rates. The sensitivity analysis includes only outstanding foreign currency denominated monetary items and adjusts their translation at the year-end for a 5% change in foreign currency rates. A positive number below indicates an increase in profit and other equity where currency units strengthens 5% against the relevant currency. For a 5% weakening of currency units against the relevant currency, there would be a comparable impact on the profit and other equity, and the balances below would be negative.</w:t>
      </w:r>
    </w:p>
    <w:p w14:paraId="2F1B8C90" w14:textId="77777777" w:rsidR="001C6F66" w:rsidRPr="009B546D" w:rsidRDefault="001C6F66" w:rsidP="00F432B9">
      <w:pPr>
        <w:spacing w:line="240" w:lineRule="auto"/>
        <w:jc w:val="left"/>
        <w:rPr>
          <w:rFonts w:cstheme="minorHAnsi"/>
          <w:i/>
          <w:u w:val="single"/>
        </w:rPr>
      </w:pPr>
      <w:r w:rsidRPr="009B546D">
        <w:rPr>
          <w:rFonts w:cstheme="minorHAnsi"/>
          <w:i/>
          <w:u w:val="single"/>
        </w:rPr>
        <w:br w:type="page"/>
      </w:r>
    </w:p>
    <w:p w14:paraId="4EEC29C8" w14:textId="77777777" w:rsidR="001C6F66" w:rsidRPr="009B546D" w:rsidRDefault="001C6F66" w:rsidP="00F432B9">
      <w:pPr>
        <w:spacing w:line="240" w:lineRule="auto"/>
        <w:rPr>
          <w:rFonts w:cstheme="minorHAnsi"/>
          <w:b/>
          <w:caps/>
        </w:rPr>
      </w:pPr>
      <w:r w:rsidRPr="009B546D">
        <w:rPr>
          <w:rFonts w:cstheme="minorHAnsi"/>
          <w:b/>
          <w:caps/>
        </w:rPr>
        <w:lastRenderedPageBreak/>
        <w:t>n</w:t>
      </w:r>
      <w:r w:rsidRPr="009B546D">
        <w:rPr>
          <w:rFonts w:cstheme="minorHAnsi"/>
          <w:b/>
        </w:rPr>
        <w:t>otes to the financial information</w:t>
      </w:r>
    </w:p>
    <w:p w14:paraId="550BC3B5" w14:textId="77777777" w:rsidR="001C6F66" w:rsidRPr="009B546D" w:rsidRDefault="001C6F66" w:rsidP="00F432B9">
      <w:pPr>
        <w:spacing w:line="240" w:lineRule="auto"/>
        <w:rPr>
          <w:rFonts w:cstheme="minorHAnsi"/>
          <w:b/>
          <w:caps/>
        </w:rPr>
      </w:pPr>
      <w:r w:rsidRPr="009B546D">
        <w:rPr>
          <w:rFonts w:cstheme="minorHAnsi"/>
          <w:b/>
          <w:caps/>
        </w:rPr>
        <w:t>F</w:t>
      </w:r>
      <w:r w:rsidRPr="009B546D">
        <w:rPr>
          <w:rFonts w:cstheme="minorHAnsi"/>
          <w:b/>
        </w:rPr>
        <w:t xml:space="preserve">or the </w:t>
      </w:r>
      <w:r w:rsidRPr="009B546D">
        <w:rPr>
          <w:rFonts w:cstheme="minorHAnsi"/>
          <w:b/>
          <w:caps/>
        </w:rPr>
        <w:fldChar w:fldCharType="begin"/>
      </w:r>
      <w:r w:rsidRPr="009B546D">
        <w:rPr>
          <w:rFonts w:cstheme="minorHAnsi"/>
          <w:b/>
          <w:caps/>
        </w:rPr>
        <w:instrText xml:space="preserve"> DOCPROPERTY  "Fin year/period (for cover page)"\* Caps \* MERGEFORMAT </w:instrText>
      </w:r>
      <w:r w:rsidRPr="009B546D">
        <w:rPr>
          <w:rFonts w:cstheme="minorHAnsi"/>
          <w:b/>
          <w:caps/>
        </w:rPr>
        <w:fldChar w:fldCharType="separate"/>
      </w:r>
      <w:r w:rsidRPr="009B546D">
        <w:rPr>
          <w:rFonts w:cstheme="minorHAnsi"/>
          <w:b/>
        </w:rPr>
        <w:t>financial period ended from 17 April 2018 (date of incorporation) to 30 April 2019</w:t>
      </w:r>
      <w:r w:rsidRPr="009B546D">
        <w:rPr>
          <w:rFonts w:cstheme="minorHAnsi"/>
          <w:b/>
          <w:caps/>
        </w:rPr>
        <w:fldChar w:fldCharType="end"/>
      </w:r>
      <w:r w:rsidRPr="00384557">
        <w:rPr>
          <w:rFonts w:cstheme="minorHAnsi"/>
          <w:b/>
          <w:caps/>
        </w:rPr>
        <w:t xml:space="preserve"> (</w:t>
      </w:r>
      <w:r w:rsidRPr="009B546D">
        <w:rPr>
          <w:rFonts w:cstheme="minorHAnsi"/>
          <w:b/>
          <w:i/>
        </w:rPr>
        <w:t>continued)</w:t>
      </w:r>
    </w:p>
    <w:p w14:paraId="3F5FDFBB" w14:textId="77777777" w:rsidR="001C6F66" w:rsidRPr="009B546D" w:rsidRDefault="001C6F66" w:rsidP="00F432B9">
      <w:pPr>
        <w:pBdr>
          <w:bottom w:val="single" w:sz="6" w:space="1" w:color="auto"/>
        </w:pBdr>
        <w:spacing w:line="240" w:lineRule="auto"/>
        <w:jc w:val="right"/>
        <w:rPr>
          <w:rFonts w:cstheme="minorHAnsi"/>
        </w:rPr>
      </w:pPr>
    </w:p>
    <w:p w14:paraId="72071A21" w14:textId="77777777" w:rsidR="001C6F66" w:rsidRPr="009B546D" w:rsidRDefault="001C6F66" w:rsidP="00496B89">
      <w:pPr>
        <w:pStyle w:val="ListParagraph"/>
        <w:widowControl/>
        <w:numPr>
          <w:ilvl w:val="0"/>
          <w:numId w:val="36"/>
        </w:numPr>
        <w:spacing w:after="220"/>
        <w:rPr>
          <w:rFonts w:asciiTheme="minorHAnsi" w:hAnsiTheme="minorHAnsi" w:cstheme="minorHAnsi"/>
          <w:b/>
          <w:caps/>
          <w:sz w:val="20"/>
        </w:rPr>
      </w:pPr>
      <w:r w:rsidRPr="009B546D">
        <w:rPr>
          <w:rFonts w:asciiTheme="minorHAnsi" w:hAnsiTheme="minorHAnsi" w:cstheme="minorHAnsi"/>
          <w:b/>
          <w:caps/>
          <w:sz w:val="20"/>
        </w:rPr>
        <w:t xml:space="preserve">FINANCIAL RISK MANAGEMENT OBJECTIVES </w:t>
      </w:r>
      <w:smartTag w:uri="urn:schemas-microsoft-com:office:smarttags" w:element="stockticker">
        <w:r w:rsidRPr="009B546D">
          <w:rPr>
            <w:rFonts w:asciiTheme="minorHAnsi" w:hAnsiTheme="minorHAnsi" w:cstheme="minorHAnsi"/>
            <w:b/>
            <w:caps/>
            <w:sz w:val="20"/>
          </w:rPr>
          <w:t>AND</w:t>
        </w:r>
      </w:smartTag>
      <w:r w:rsidRPr="009B546D">
        <w:rPr>
          <w:rFonts w:asciiTheme="minorHAnsi" w:hAnsiTheme="minorHAnsi" w:cstheme="minorHAnsi"/>
          <w:b/>
          <w:caps/>
          <w:sz w:val="20"/>
        </w:rPr>
        <w:t xml:space="preserve"> POLICIES </w:t>
      </w:r>
      <w:r w:rsidRPr="009B546D">
        <w:rPr>
          <w:rFonts w:asciiTheme="minorHAnsi" w:hAnsiTheme="minorHAnsi" w:cstheme="minorHAnsi"/>
          <w:caps/>
          <w:sz w:val="20"/>
        </w:rPr>
        <w:t>(</w:t>
      </w:r>
      <w:r w:rsidRPr="009B546D">
        <w:rPr>
          <w:rFonts w:asciiTheme="minorHAnsi" w:hAnsiTheme="minorHAnsi" w:cstheme="minorHAnsi"/>
          <w:i/>
          <w:sz w:val="20"/>
        </w:rPr>
        <w:t>continued)</w:t>
      </w:r>
    </w:p>
    <w:p w14:paraId="15825788" w14:textId="77777777" w:rsidR="001C6F66" w:rsidRPr="009B546D" w:rsidRDefault="001C6F66" w:rsidP="00F432B9">
      <w:pPr>
        <w:pStyle w:val="ListParagraph"/>
        <w:spacing w:after="220"/>
        <w:ind w:left="576"/>
        <w:rPr>
          <w:rFonts w:asciiTheme="minorHAnsi" w:hAnsiTheme="minorHAnsi" w:cstheme="minorHAnsi"/>
          <w:b/>
          <w:caps/>
          <w:sz w:val="20"/>
        </w:rPr>
      </w:pPr>
    </w:p>
    <w:p w14:paraId="4464B37B" w14:textId="77777777" w:rsidR="001C6F66" w:rsidRPr="009B546D" w:rsidRDefault="001C6F66" w:rsidP="00F432B9">
      <w:pPr>
        <w:pStyle w:val="ListParagraph"/>
        <w:widowControl/>
        <w:numPr>
          <w:ilvl w:val="1"/>
          <w:numId w:val="37"/>
        </w:numPr>
        <w:spacing w:after="220"/>
        <w:rPr>
          <w:rFonts w:asciiTheme="minorHAnsi" w:hAnsiTheme="minorHAnsi" w:cstheme="minorHAnsi"/>
          <w:b/>
          <w:smallCaps/>
          <w:sz w:val="20"/>
        </w:rPr>
      </w:pPr>
      <w:r w:rsidRPr="009B546D">
        <w:rPr>
          <w:rFonts w:asciiTheme="minorHAnsi" w:hAnsiTheme="minorHAnsi" w:cstheme="minorHAnsi"/>
          <w:b/>
          <w:smallCaps/>
          <w:sz w:val="20"/>
        </w:rPr>
        <w:t>Foreign currency risk management</w:t>
      </w:r>
    </w:p>
    <w:p w14:paraId="66463C90" w14:textId="77777777" w:rsidR="001C6F66" w:rsidRPr="009B546D" w:rsidRDefault="001C6F66" w:rsidP="00F432B9">
      <w:pPr>
        <w:keepNext/>
        <w:keepLines/>
        <w:tabs>
          <w:tab w:val="left" w:pos="1152"/>
        </w:tabs>
        <w:spacing w:after="220" w:line="240" w:lineRule="auto"/>
        <w:ind w:left="1152"/>
        <w:rPr>
          <w:rFonts w:cstheme="minorHAnsi"/>
        </w:rPr>
      </w:pPr>
      <w:r w:rsidRPr="009B546D">
        <w:rPr>
          <w:rFonts w:cstheme="minorHAnsi"/>
          <w:i/>
          <w:u w:val="single"/>
        </w:rPr>
        <w:t>Sensitivity analysis for foreign currency risk</w:t>
      </w:r>
    </w:p>
    <w:p w14:paraId="2F8E5A13" w14:textId="77777777" w:rsidR="001C6F66" w:rsidRPr="009B546D" w:rsidRDefault="001C6F66" w:rsidP="00F432B9">
      <w:pPr>
        <w:spacing w:after="0" w:line="240" w:lineRule="auto"/>
        <w:ind w:left="1152"/>
        <w:rPr>
          <w:rFonts w:cstheme="minorHAnsi"/>
        </w:rPr>
      </w:pPr>
      <w:r w:rsidRPr="009B546D">
        <w:rPr>
          <w:rFonts w:cstheme="minorHAnsi"/>
        </w:rPr>
        <w:t>The following table demonstrates the sensitivity of Alchemist’s profit net of tax to a reasonable possible change in USD exchange rate against the respective functional currencies of Alchemist, with all other variables held constant.</w:t>
      </w:r>
    </w:p>
    <w:tbl>
      <w:tblPr>
        <w:tblW w:w="6600" w:type="dxa"/>
        <w:tblInd w:w="1278" w:type="dxa"/>
        <w:tblLayout w:type="fixed"/>
        <w:tblLook w:val="04A0" w:firstRow="1" w:lastRow="0" w:firstColumn="1" w:lastColumn="0" w:noHBand="0" w:noVBand="1"/>
      </w:tblPr>
      <w:tblGrid>
        <w:gridCol w:w="1440"/>
        <w:gridCol w:w="3150"/>
        <w:gridCol w:w="592"/>
        <w:gridCol w:w="1418"/>
      </w:tblGrid>
      <w:tr w:rsidR="00D02A5A" w:rsidRPr="009B546D" w14:paraId="53A6EB18" w14:textId="77777777" w:rsidTr="00EA2BB6">
        <w:trPr>
          <w:trHeight w:val="265"/>
        </w:trPr>
        <w:tc>
          <w:tcPr>
            <w:tcW w:w="1440" w:type="dxa"/>
            <w:vAlign w:val="bottom"/>
          </w:tcPr>
          <w:p w14:paraId="032244C0" w14:textId="77777777" w:rsidR="00D02A5A" w:rsidRPr="009B546D" w:rsidRDefault="00D02A5A" w:rsidP="00F432B9">
            <w:pPr>
              <w:tabs>
                <w:tab w:val="left" w:pos="288"/>
              </w:tabs>
              <w:autoSpaceDE w:val="0"/>
              <w:autoSpaceDN w:val="0"/>
              <w:adjustRightInd w:val="0"/>
              <w:spacing w:after="0" w:line="240" w:lineRule="auto"/>
              <w:rPr>
                <w:rFonts w:cstheme="minorHAnsi"/>
                <w:color w:val="000000"/>
              </w:rPr>
            </w:pPr>
          </w:p>
        </w:tc>
        <w:tc>
          <w:tcPr>
            <w:tcW w:w="3150" w:type="dxa"/>
            <w:vAlign w:val="bottom"/>
          </w:tcPr>
          <w:p w14:paraId="54B435EB" w14:textId="77777777" w:rsidR="00D02A5A" w:rsidRPr="009B546D" w:rsidRDefault="00D02A5A" w:rsidP="00F432B9">
            <w:pPr>
              <w:tabs>
                <w:tab w:val="left" w:pos="288"/>
              </w:tabs>
              <w:autoSpaceDE w:val="0"/>
              <w:autoSpaceDN w:val="0"/>
              <w:adjustRightInd w:val="0"/>
              <w:spacing w:after="0" w:line="240" w:lineRule="auto"/>
              <w:rPr>
                <w:rFonts w:cstheme="minorHAnsi"/>
                <w:color w:val="000000"/>
              </w:rPr>
            </w:pPr>
          </w:p>
        </w:tc>
        <w:tc>
          <w:tcPr>
            <w:tcW w:w="592" w:type="dxa"/>
            <w:vAlign w:val="bottom"/>
          </w:tcPr>
          <w:p w14:paraId="41DC3D8D" w14:textId="77777777" w:rsidR="00D02A5A" w:rsidRPr="009B546D" w:rsidRDefault="00D02A5A" w:rsidP="00F432B9">
            <w:pPr>
              <w:tabs>
                <w:tab w:val="left" w:pos="288"/>
              </w:tabs>
              <w:autoSpaceDE w:val="0"/>
              <w:autoSpaceDN w:val="0"/>
              <w:adjustRightInd w:val="0"/>
              <w:spacing w:after="0" w:line="240" w:lineRule="auto"/>
              <w:jc w:val="center"/>
              <w:rPr>
                <w:rFonts w:cstheme="minorHAnsi"/>
                <w:b/>
                <w:bCs/>
                <w:color w:val="000000"/>
              </w:rPr>
            </w:pPr>
          </w:p>
        </w:tc>
        <w:tc>
          <w:tcPr>
            <w:tcW w:w="1418" w:type="dxa"/>
            <w:vAlign w:val="bottom"/>
            <w:hideMark/>
          </w:tcPr>
          <w:p w14:paraId="3932244A" w14:textId="77777777" w:rsidR="00D02A5A" w:rsidRPr="009B546D" w:rsidRDefault="00D02A5A" w:rsidP="00F432B9">
            <w:pPr>
              <w:tabs>
                <w:tab w:val="left" w:pos="288"/>
              </w:tabs>
              <w:autoSpaceDE w:val="0"/>
              <w:autoSpaceDN w:val="0"/>
              <w:adjustRightInd w:val="0"/>
              <w:spacing w:after="0" w:line="240" w:lineRule="auto"/>
              <w:jc w:val="right"/>
              <w:rPr>
                <w:rFonts w:cstheme="minorHAnsi"/>
                <w:b/>
                <w:bCs/>
                <w:color w:val="000000"/>
              </w:rPr>
            </w:pPr>
            <w:r w:rsidRPr="009B546D">
              <w:rPr>
                <w:rFonts w:cstheme="minorHAnsi"/>
                <w:b/>
                <w:bCs/>
                <w:color w:val="000000"/>
              </w:rPr>
              <w:t>2019</w:t>
            </w:r>
          </w:p>
        </w:tc>
      </w:tr>
      <w:tr w:rsidR="00D02A5A" w:rsidRPr="009B546D" w14:paraId="77A7A3F4" w14:textId="77777777" w:rsidTr="00EA2BB6">
        <w:trPr>
          <w:trHeight w:val="265"/>
        </w:trPr>
        <w:tc>
          <w:tcPr>
            <w:tcW w:w="1440" w:type="dxa"/>
            <w:vAlign w:val="bottom"/>
          </w:tcPr>
          <w:p w14:paraId="4595EB1C" w14:textId="77777777" w:rsidR="00D02A5A" w:rsidRPr="009B546D" w:rsidRDefault="00D02A5A" w:rsidP="00F432B9">
            <w:pPr>
              <w:tabs>
                <w:tab w:val="left" w:pos="288"/>
              </w:tabs>
              <w:autoSpaceDE w:val="0"/>
              <w:autoSpaceDN w:val="0"/>
              <w:adjustRightInd w:val="0"/>
              <w:spacing w:after="0" w:line="240" w:lineRule="auto"/>
              <w:rPr>
                <w:rFonts w:cstheme="minorHAnsi"/>
                <w:i/>
                <w:color w:val="000000"/>
              </w:rPr>
            </w:pPr>
          </w:p>
        </w:tc>
        <w:tc>
          <w:tcPr>
            <w:tcW w:w="3150" w:type="dxa"/>
            <w:vAlign w:val="bottom"/>
          </w:tcPr>
          <w:p w14:paraId="23696086" w14:textId="77777777" w:rsidR="00D02A5A" w:rsidRPr="009B546D" w:rsidRDefault="00D02A5A" w:rsidP="00F432B9">
            <w:pPr>
              <w:tabs>
                <w:tab w:val="left" w:pos="288"/>
              </w:tabs>
              <w:autoSpaceDE w:val="0"/>
              <w:autoSpaceDN w:val="0"/>
              <w:adjustRightInd w:val="0"/>
              <w:spacing w:after="0" w:line="240" w:lineRule="auto"/>
              <w:rPr>
                <w:rFonts w:cstheme="minorHAnsi"/>
                <w:i/>
                <w:color w:val="000000"/>
              </w:rPr>
            </w:pPr>
          </w:p>
        </w:tc>
        <w:tc>
          <w:tcPr>
            <w:tcW w:w="592" w:type="dxa"/>
            <w:vAlign w:val="bottom"/>
          </w:tcPr>
          <w:p w14:paraId="6C93CE45" w14:textId="77777777" w:rsidR="00D02A5A" w:rsidRPr="009B546D" w:rsidRDefault="00D02A5A" w:rsidP="00F432B9">
            <w:pPr>
              <w:tabs>
                <w:tab w:val="left" w:pos="288"/>
              </w:tabs>
              <w:autoSpaceDE w:val="0"/>
              <w:autoSpaceDN w:val="0"/>
              <w:adjustRightInd w:val="0"/>
              <w:spacing w:after="0" w:line="240" w:lineRule="auto"/>
              <w:jc w:val="center"/>
              <w:rPr>
                <w:rFonts w:cstheme="minorHAnsi"/>
                <w:b/>
                <w:bCs/>
                <w:i/>
                <w:color w:val="000000"/>
              </w:rPr>
            </w:pPr>
          </w:p>
        </w:tc>
        <w:tc>
          <w:tcPr>
            <w:tcW w:w="1418" w:type="dxa"/>
            <w:vAlign w:val="bottom"/>
            <w:hideMark/>
          </w:tcPr>
          <w:p w14:paraId="7D5D197C" w14:textId="77777777" w:rsidR="00D02A5A" w:rsidRPr="009B546D" w:rsidRDefault="00D02A5A" w:rsidP="00F432B9">
            <w:pPr>
              <w:tabs>
                <w:tab w:val="left" w:pos="288"/>
              </w:tabs>
              <w:autoSpaceDE w:val="0"/>
              <w:autoSpaceDN w:val="0"/>
              <w:adjustRightInd w:val="0"/>
              <w:spacing w:after="0" w:line="240" w:lineRule="auto"/>
              <w:jc w:val="right"/>
              <w:rPr>
                <w:rFonts w:cstheme="minorHAnsi"/>
                <w:b/>
                <w:bCs/>
                <w:color w:val="000000"/>
              </w:rPr>
            </w:pPr>
            <w:r w:rsidRPr="009B546D">
              <w:rPr>
                <w:rFonts w:cstheme="minorHAnsi"/>
                <w:b/>
                <w:bCs/>
                <w:color w:val="000000"/>
              </w:rPr>
              <w:t>RM</w:t>
            </w:r>
          </w:p>
        </w:tc>
      </w:tr>
      <w:tr w:rsidR="00D02A5A" w:rsidRPr="009B546D" w14:paraId="7134E17D" w14:textId="77777777" w:rsidTr="00EA2BB6">
        <w:trPr>
          <w:trHeight w:val="265"/>
        </w:trPr>
        <w:tc>
          <w:tcPr>
            <w:tcW w:w="1440" w:type="dxa"/>
            <w:vAlign w:val="bottom"/>
          </w:tcPr>
          <w:p w14:paraId="7549B5DB" w14:textId="77777777" w:rsidR="00D02A5A" w:rsidRPr="009B546D" w:rsidRDefault="00D02A5A" w:rsidP="00F432B9">
            <w:pPr>
              <w:tabs>
                <w:tab w:val="left" w:pos="288"/>
              </w:tabs>
              <w:autoSpaceDE w:val="0"/>
              <w:autoSpaceDN w:val="0"/>
              <w:adjustRightInd w:val="0"/>
              <w:spacing w:after="0" w:line="240" w:lineRule="auto"/>
              <w:rPr>
                <w:rFonts w:cstheme="minorHAnsi"/>
                <w:i/>
                <w:color w:val="000000"/>
              </w:rPr>
            </w:pPr>
          </w:p>
        </w:tc>
        <w:tc>
          <w:tcPr>
            <w:tcW w:w="3150" w:type="dxa"/>
            <w:vAlign w:val="bottom"/>
          </w:tcPr>
          <w:p w14:paraId="27D29A41" w14:textId="77777777" w:rsidR="00D02A5A" w:rsidRPr="009B546D" w:rsidRDefault="00D02A5A" w:rsidP="00F432B9">
            <w:pPr>
              <w:tabs>
                <w:tab w:val="left" w:pos="288"/>
              </w:tabs>
              <w:autoSpaceDE w:val="0"/>
              <w:autoSpaceDN w:val="0"/>
              <w:adjustRightInd w:val="0"/>
              <w:spacing w:after="0" w:line="240" w:lineRule="auto"/>
              <w:rPr>
                <w:rFonts w:cstheme="minorHAnsi"/>
                <w:i/>
                <w:color w:val="000000"/>
              </w:rPr>
            </w:pPr>
          </w:p>
        </w:tc>
        <w:tc>
          <w:tcPr>
            <w:tcW w:w="592" w:type="dxa"/>
            <w:vAlign w:val="bottom"/>
          </w:tcPr>
          <w:p w14:paraId="72C12F93" w14:textId="77777777" w:rsidR="00D02A5A" w:rsidRPr="009B546D" w:rsidRDefault="00D02A5A" w:rsidP="00F432B9">
            <w:pPr>
              <w:tabs>
                <w:tab w:val="left" w:pos="288"/>
              </w:tabs>
              <w:autoSpaceDE w:val="0"/>
              <w:autoSpaceDN w:val="0"/>
              <w:adjustRightInd w:val="0"/>
              <w:spacing w:after="0" w:line="240" w:lineRule="auto"/>
              <w:jc w:val="center"/>
              <w:rPr>
                <w:rFonts w:cstheme="minorHAnsi"/>
                <w:b/>
                <w:bCs/>
                <w:i/>
                <w:color w:val="000000"/>
              </w:rPr>
            </w:pPr>
          </w:p>
        </w:tc>
        <w:tc>
          <w:tcPr>
            <w:tcW w:w="1418" w:type="dxa"/>
            <w:vAlign w:val="bottom"/>
          </w:tcPr>
          <w:p w14:paraId="784B0612" w14:textId="77777777" w:rsidR="00D02A5A" w:rsidRPr="009B546D" w:rsidRDefault="00D02A5A" w:rsidP="00F432B9">
            <w:pPr>
              <w:tabs>
                <w:tab w:val="left" w:pos="288"/>
              </w:tabs>
              <w:autoSpaceDE w:val="0"/>
              <w:autoSpaceDN w:val="0"/>
              <w:adjustRightInd w:val="0"/>
              <w:spacing w:after="0" w:line="240" w:lineRule="auto"/>
              <w:jc w:val="right"/>
              <w:rPr>
                <w:rFonts w:cstheme="minorHAnsi"/>
                <w:b/>
                <w:bCs/>
                <w:color w:val="000000"/>
              </w:rPr>
            </w:pPr>
          </w:p>
        </w:tc>
      </w:tr>
      <w:tr w:rsidR="00D02A5A" w:rsidRPr="009B546D" w14:paraId="73B90348" w14:textId="77777777" w:rsidTr="00EA2BB6">
        <w:trPr>
          <w:trHeight w:val="265"/>
        </w:trPr>
        <w:tc>
          <w:tcPr>
            <w:tcW w:w="1440" w:type="dxa"/>
            <w:vAlign w:val="bottom"/>
            <w:hideMark/>
          </w:tcPr>
          <w:p w14:paraId="14BB697B" w14:textId="77777777" w:rsidR="00D02A5A" w:rsidRPr="009B546D" w:rsidRDefault="00D02A5A"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USD/RM</w:t>
            </w:r>
          </w:p>
        </w:tc>
        <w:tc>
          <w:tcPr>
            <w:tcW w:w="3150" w:type="dxa"/>
            <w:vAlign w:val="bottom"/>
            <w:hideMark/>
          </w:tcPr>
          <w:p w14:paraId="74CA4AE7" w14:textId="77777777" w:rsidR="00D02A5A" w:rsidRPr="009B546D" w:rsidRDefault="00D02A5A"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 strengthened 3%</w:t>
            </w:r>
          </w:p>
        </w:tc>
        <w:tc>
          <w:tcPr>
            <w:tcW w:w="592" w:type="dxa"/>
          </w:tcPr>
          <w:p w14:paraId="5D6B518A" w14:textId="77777777" w:rsidR="00D02A5A" w:rsidRPr="009B546D" w:rsidRDefault="00D02A5A" w:rsidP="00F432B9">
            <w:pPr>
              <w:spacing w:after="0" w:line="240" w:lineRule="auto"/>
              <w:jc w:val="center"/>
              <w:rPr>
                <w:rFonts w:cstheme="minorHAnsi"/>
                <w:b/>
              </w:rPr>
            </w:pPr>
          </w:p>
        </w:tc>
        <w:tc>
          <w:tcPr>
            <w:tcW w:w="1418" w:type="dxa"/>
            <w:vAlign w:val="bottom"/>
          </w:tcPr>
          <w:p w14:paraId="7923F69E" w14:textId="77777777" w:rsidR="00D02A5A" w:rsidRPr="009B546D" w:rsidRDefault="00D02A5A" w:rsidP="00F432B9">
            <w:pPr>
              <w:autoSpaceDE w:val="0"/>
              <w:autoSpaceDN w:val="0"/>
              <w:spacing w:after="0" w:line="240" w:lineRule="auto"/>
              <w:ind w:right="72"/>
              <w:jc w:val="right"/>
              <w:rPr>
                <w:rFonts w:cstheme="minorHAnsi"/>
                <w:color w:val="000000"/>
              </w:rPr>
            </w:pPr>
            <w:r w:rsidRPr="009B546D">
              <w:rPr>
                <w:rFonts w:cstheme="minorHAnsi"/>
                <w:color w:val="000000"/>
              </w:rPr>
              <w:t>119</w:t>
            </w:r>
          </w:p>
        </w:tc>
      </w:tr>
      <w:tr w:rsidR="00D02A5A" w:rsidRPr="009B546D" w14:paraId="264CEF8F" w14:textId="77777777" w:rsidTr="00EA2BB6">
        <w:trPr>
          <w:trHeight w:val="265"/>
        </w:trPr>
        <w:tc>
          <w:tcPr>
            <w:tcW w:w="1440" w:type="dxa"/>
            <w:vAlign w:val="bottom"/>
          </w:tcPr>
          <w:p w14:paraId="1BBFD2FA" w14:textId="77777777" w:rsidR="00D02A5A" w:rsidRPr="009B546D" w:rsidRDefault="00D02A5A" w:rsidP="00F432B9">
            <w:pPr>
              <w:tabs>
                <w:tab w:val="left" w:pos="288"/>
              </w:tabs>
              <w:autoSpaceDE w:val="0"/>
              <w:autoSpaceDN w:val="0"/>
              <w:adjustRightInd w:val="0"/>
              <w:spacing w:after="0" w:line="240" w:lineRule="auto"/>
              <w:rPr>
                <w:rFonts w:cstheme="minorHAnsi"/>
                <w:color w:val="000000"/>
              </w:rPr>
            </w:pPr>
          </w:p>
        </w:tc>
        <w:tc>
          <w:tcPr>
            <w:tcW w:w="3150" w:type="dxa"/>
            <w:vAlign w:val="bottom"/>
            <w:hideMark/>
          </w:tcPr>
          <w:p w14:paraId="290D7100" w14:textId="77777777" w:rsidR="00D02A5A" w:rsidRPr="009B546D" w:rsidRDefault="00D02A5A"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 weakened 3%</w:t>
            </w:r>
          </w:p>
        </w:tc>
        <w:tc>
          <w:tcPr>
            <w:tcW w:w="592" w:type="dxa"/>
          </w:tcPr>
          <w:p w14:paraId="7FD21829" w14:textId="77777777" w:rsidR="00D02A5A" w:rsidRPr="009B546D" w:rsidRDefault="00D02A5A" w:rsidP="00F432B9">
            <w:pPr>
              <w:spacing w:after="0" w:line="240" w:lineRule="auto"/>
              <w:jc w:val="center"/>
              <w:rPr>
                <w:rFonts w:cstheme="minorHAnsi"/>
                <w:b/>
              </w:rPr>
            </w:pPr>
          </w:p>
        </w:tc>
        <w:tc>
          <w:tcPr>
            <w:tcW w:w="1418" w:type="dxa"/>
            <w:tcBorders>
              <w:top w:val="nil"/>
              <w:left w:val="nil"/>
              <w:bottom w:val="double" w:sz="6" w:space="0" w:color="auto"/>
              <w:right w:val="nil"/>
            </w:tcBorders>
            <w:vAlign w:val="bottom"/>
          </w:tcPr>
          <w:p w14:paraId="39F5D082" w14:textId="77777777" w:rsidR="00D02A5A" w:rsidRPr="009B546D" w:rsidRDefault="00D02A5A" w:rsidP="00F432B9">
            <w:pPr>
              <w:tabs>
                <w:tab w:val="left" w:pos="288"/>
              </w:tabs>
              <w:autoSpaceDE w:val="0"/>
              <w:autoSpaceDN w:val="0"/>
              <w:adjustRightInd w:val="0"/>
              <w:spacing w:after="0" w:line="240" w:lineRule="auto"/>
              <w:jc w:val="right"/>
              <w:rPr>
                <w:rFonts w:cstheme="minorHAnsi"/>
                <w:color w:val="000000"/>
              </w:rPr>
            </w:pPr>
            <w:r w:rsidRPr="009B546D">
              <w:rPr>
                <w:rFonts w:cstheme="minorHAnsi"/>
                <w:color w:val="000000"/>
              </w:rPr>
              <w:t>(119)</w:t>
            </w:r>
          </w:p>
        </w:tc>
      </w:tr>
      <w:tr w:rsidR="00D02A5A" w:rsidRPr="009B546D" w14:paraId="0DA29F68" w14:textId="77777777" w:rsidTr="00EA2BB6">
        <w:trPr>
          <w:trHeight w:val="265"/>
        </w:trPr>
        <w:tc>
          <w:tcPr>
            <w:tcW w:w="1440" w:type="dxa"/>
            <w:vAlign w:val="bottom"/>
          </w:tcPr>
          <w:p w14:paraId="708EFCBD" w14:textId="77777777" w:rsidR="00D02A5A" w:rsidRPr="009B546D" w:rsidRDefault="00D02A5A" w:rsidP="00F432B9">
            <w:pPr>
              <w:tabs>
                <w:tab w:val="left" w:pos="288"/>
              </w:tabs>
              <w:autoSpaceDE w:val="0"/>
              <w:autoSpaceDN w:val="0"/>
              <w:adjustRightInd w:val="0"/>
              <w:spacing w:after="0" w:line="240" w:lineRule="auto"/>
              <w:rPr>
                <w:rFonts w:cstheme="minorHAnsi"/>
                <w:color w:val="000000"/>
              </w:rPr>
            </w:pPr>
          </w:p>
        </w:tc>
        <w:tc>
          <w:tcPr>
            <w:tcW w:w="3150" w:type="dxa"/>
            <w:vAlign w:val="bottom"/>
          </w:tcPr>
          <w:p w14:paraId="3882DCEA" w14:textId="77777777" w:rsidR="00D02A5A" w:rsidRPr="009B546D" w:rsidRDefault="00D02A5A" w:rsidP="00F432B9">
            <w:pPr>
              <w:tabs>
                <w:tab w:val="left" w:pos="288"/>
              </w:tabs>
              <w:autoSpaceDE w:val="0"/>
              <w:autoSpaceDN w:val="0"/>
              <w:adjustRightInd w:val="0"/>
              <w:spacing w:after="0" w:line="240" w:lineRule="auto"/>
              <w:rPr>
                <w:rFonts w:cstheme="minorHAnsi"/>
                <w:color w:val="000000"/>
              </w:rPr>
            </w:pPr>
          </w:p>
        </w:tc>
        <w:tc>
          <w:tcPr>
            <w:tcW w:w="592" w:type="dxa"/>
            <w:vAlign w:val="bottom"/>
          </w:tcPr>
          <w:p w14:paraId="53858289" w14:textId="77777777" w:rsidR="00D02A5A" w:rsidRPr="009B546D" w:rsidRDefault="00D02A5A" w:rsidP="00F432B9">
            <w:pPr>
              <w:tabs>
                <w:tab w:val="left" w:pos="288"/>
              </w:tabs>
              <w:autoSpaceDE w:val="0"/>
              <w:autoSpaceDN w:val="0"/>
              <w:adjustRightInd w:val="0"/>
              <w:spacing w:after="0" w:line="240" w:lineRule="auto"/>
              <w:ind w:right="72"/>
              <w:jc w:val="right"/>
              <w:rPr>
                <w:rFonts w:cstheme="minorHAnsi"/>
                <w:color w:val="000000"/>
              </w:rPr>
            </w:pPr>
          </w:p>
        </w:tc>
        <w:tc>
          <w:tcPr>
            <w:tcW w:w="1418" w:type="dxa"/>
            <w:tcBorders>
              <w:top w:val="double" w:sz="6" w:space="0" w:color="auto"/>
              <w:left w:val="nil"/>
              <w:right w:val="nil"/>
            </w:tcBorders>
            <w:vAlign w:val="bottom"/>
          </w:tcPr>
          <w:p w14:paraId="43ED9CBC" w14:textId="77777777" w:rsidR="00D02A5A" w:rsidRPr="009B546D" w:rsidRDefault="00D02A5A" w:rsidP="00F432B9">
            <w:pPr>
              <w:tabs>
                <w:tab w:val="left" w:pos="288"/>
              </w:tabs>
              <w:autoSpaceDE w:val="0"/>
              <w:autoSpaceDN w:val="0"/>
              <w:adjustRightInd w:val="0"/>
              <w:spacing w:after="0" w:line="240" w:lineRule="auto"/>
              <w:ind w:right="72"/>
              <w:jc w:val="right"/>
              <w:rPr>
                <w:rFonts w:cstheme="minorHAnsi"/>
                <w:color w:val="000000"/>
              </w:rPr>
            </w:pPr>
          </w:p>
        </w:tc>
      </w:tr>
    </w:tbl>
    <w:p w14:paraId="32CA1AB8" w14:textId="77777777" w:rsidR="001C6F66" w:rsidRPr="009B546D" w:rsidRDefault="001C6F66" w:rsidP="00496B89">
      <w:pPr>
        <w:pStyle w:val="ListParagraph"/>
        <w:ind w:left="0"/>
        <w:rPr>
          <w:rFonts w:asciiTheme="minorHAnsi" w:hAnsiTheme="minorHAnsi" w:cstheme="minorHAnsi"/>
          <w:b/>
          <w:smallCaps/>
          <w:sz w:val="20"/>
        </w:rPr>
      </w:pPr>
    </w:p>
    <w:p w14:paraId="0E6FD8B1" w14:textId="3F6A373D" w:rsidR="001C6F66" w:rsidRDefault="001C6F66" w:rsidP="00F432B9">
      <w:pPr>
        <w:pStyle w:val="ListParagraph"/>
        <w:widowControl/>
        <w:numPr>
          <w:ilvl w:val="1"/>
          <w:numId w:val="35"/>
        </w:numPr>
        <w:spacing w:after="220"/>
        <w:rPr>
          <w:rFonts w:asciiTheme="minorHAnsi" w:hAnsiTheme="minorHAnsi" w:cstheme="minorHAnsi"/>
          <w:b/>
          <w:smallCaps/>
          <w:sz w:val="20"/>
        </w:rPr>
      </w:pPr>
      <w:r w:rsidRPr="009B546D">
        <w:rPr>
          <w:rFonts w:asciiTheme="minorHAnsi" w:hAnsiTheme="minorHAnsi" w:cstheme="minorHAnsi"/>
          <w:b/>
          <w:smallCaps/>
          <w:sz w:val="20"/>
        </w:rPr>
        <w:t>Interest rate risk management</w:t>
      </w:r>
    </w:p>
    <w:p w14:paraId="68D5EC09" w14:textId="77777777" w:rsidR="00647027" w:rsidRPr="009B546D" w:rsidRDefault="00647027" w:rsidP="00EA2BB6">
      <w:pPr>
        <w:pStyle w:val="ListParagraph"/>
        <w:widowControl/>
        <w:spacing w:after="220"/>
        <w:ind w:left="1152"/>
        <w:rPr>
          <w:rFonts w:asciiTheme="minorHAnsi" w:hAnsiTheme="minorHAnsi" w:cstheme="minorHAnsi"/>
          <w:b/>
          <w:smallCaps/>
          <w:sz w:val="20"/>
        </w:rPr>
      </w:pPr>
    </w:p>
    <w:p w14:paraId="6EA97DFE" w14:textId="6E1AFACE" w:rsidR="00647027" w:rsidRPr="00EA2BB6" w:rsidRDefault="00647027" w:rsidP="00647027">
      <w:pPr>
        <w:pStyle w:val="ListParagraph"/>
        <w:keepNext/>
        <w:keepLines/>
        <w:tabs>
          <w:tab w:val="left" w:pos="1152"/>
        </w:tabs>
        <w:spacing w:after="220"/>
        <w:ind w:left="1152"/>
        <w:rPr>
          <w:rFonts w:cstheme="minorHAnsi"/>
          <w:sz w:val="20"/>
          <w:szCs w:val="20"/>
        </w:rPr>
      </w:pPr>
      <w:r w:rsidRPr="00EA2BB6">
        <w:rPr>
          <w:rFonts w:cstheme="minorHAnsi"/>
          <w:sz w:val="20"/>
          <w:szCs w:val="20"/>
        </w:rPr>
        <w:t xml:space="preserve">Alchemist does not have any borrowings that attract interest rate risk. There is an element of exposure to interest rate risk on surplus funds held at bank, though this is not considered to be </w:t>
      </w:r>
      <w:r w:rsidRPr="00EA2BB6">
        <w:rPr>
          <w:rFonts w:asciiTheme="minorHAnsi" w:eastAsiaTheme="minorHAnsi" w:hAnsiTheme="minorHAnsi" w:cstheme="minorHAnsi"/>
          <w:kern w:val="0"/>
          <w:sz w:val="20"/>
          <w:szCs w:val="20"/>
          <w:lang w:eastAsia="en-US"/>
        </w:rPr>
        <w:t>significant</w:t>
      </w:r>
      <w:r w:rsidRPr="00EA2BB6">
        <w:rPr>
          <w:rFonts w:cstheme="minorHAnsi"/>
          <w:sz w:val="20"/>
          <w:szCs w:val="20"/>
        </w:rPr>
        <w:t>.</w:t>
      </w:r>
    </w:p>
    <w:p w14:paraId="1C1491FA" w14:textId="77777777" w:rsidR="00647027" w:rsidRPr="00647027" w:rsidRDefault="00647027" w:rsidP="00EA2BB6">
      <w:pPr>
        <w:pStyle w:val="ListParagraph"/>
        <w:keepNext/>
        <w:keepLines/>
        <w:tabs>
          <w:tab w:val="left" w:pos="1152"/>
        </w:tabs>
        <w:spacing w:after="220"/>
        <w:ind w:left="1152"/>
        <w:rPr>
          <w:rFonts w:cstheme="minorHAnsi"/>
        </w:rPr>
      </w:pPr>
    </w:p>
    <w:p w14:paraId="5CA18006" w14:textId="77777777" w:rsidR="001C6F66" w:rsidRPr="009B546D" w:rsidRDefault="001C6F66" w:rsidP="00496B89">
      <w:pPr>
        <w:pStyle w:val="ListParagraph"/>
        <w:widowControl/>
        <w:numPr>
          <w:ilvl w:val="1"/>
          <w:numId w:val="35"/>
        </w:numPr>
        <w:spacing w:after="220"/>
        <w:rPr>
          <w:rFonts w:asciiTheme="minorHAnsi" w:hAnsiTheme="minorHAnsi" w:cstheme="minorHAnsi"/>
          <w:b/>
          <w:smallCaps/>
          <w:sz w:val="20"/>
        </w:rPr>
      </w:pPr>
      <w:r w:rsidRPr="009B546D">
        <w:rPr>
          <w:rFonts w:asciiTheme="minorHAnsi" w:hAnsiTheme="minorHAnsi" w:cstheme="minorHAnsi"/>
          <w:b/>
          <w:smallCaps/>
          <w:sz w:val="20"/>
        </w:rPr>
        <w:t>Credit risk management</w:t>
      </w:r>
    </w:p>
    <w:p w14:paraId="3AB93CDF" w14:textId="6E97EEC1" w:rsidR="001C6F66" w:rsidRPr="009B546D" w:rsidRDefault="001C6F66" w:rsidP="00F432B9">
      <w:pPr>
        <w:keepNext/>
        <w:keepLines/>
        <w:tabs>
          <w:tab w:val="left" w:pos="1152"/>
        </w:tabs>
        <w:spacing w:after="220" w:line="240" w:lineRule="auto"/>
        <w:ind w:left="1152"/>
        <w:rPr>
          <w:rFonts w:cstheme="minorHAnsi"/>
        </w:rPr>
      </w:pPr>
      <w:r w:rsidRPr="009B546D">
        <w:rPr>
          <w:rFonts w:cstheme="minorHAnsi"/>
        </w:rPr>
        <w:t xml:space="preserve">In order to minimise credit risk, Alchemist has adopted a policy of only dealing with credit worthy counter parties. Alchemist’s exposure and the credit ratings of its counterparties are continuously </w:t>
      </w:r>
      <w:r w:rsidR="00FB5442" w:rsidRPr="009B546D">
        <w:rPr>
          <w:rFonts w:cstheme="minorHAnsi"/>
        </w:rPr>
        <w:t>monitored,</w:t>
      </w:r>
      <w:r w:rsidRPr="009B546D">
        <w:rPr>
          <w:rFonts w:cstheme="minorHAnsi"/>
        </w:rPr>
        <w:t xml:space="preserve"> and the aggregate value of transactions concluded is spread amongst approved counterparties.</w:t>
      </w:r>
    </w:p>
    <w:p w14:paraId="6F6116EB" w14:textId="77777777" w:rsidR="001C6F66" w:rsidRPr="009B546D" w:rsidRDefault="001C6F66" w:rsidP="00F432B9">
      <w:pPr>
        <w:keepNext/>
        <w:keepLines/>
        <w:tabs>
          <w:tab w:val="left" w:pos="1152"/>
        </w:tabs>
        <w:spacing w:after="220" w:line="240" w:lineRule="auto"/>
        <w:ind w:left="1152"/>
        <w:rPr>
          <w:rFonts w:cstheme="minorHAnsi"/>
        </w:rPr>
      </w:pPr>
      <w:r w:rsidRPr="009B546D">
        <w:rPr>
          <w:rFonts w:cstheme="minorHAnsi"/>
        </w:rPr>
        <w:t>Before accepting any new customer, Alchemist relies on trade references or obtain online credit checks. New customers without trade references referral will enjoy lower credit terms of 15 to 30 days only.</w:t>
      </w:r>
    </w:p>
    <w:p w14:paraId="7AB92263" w14:textId="55AF5AAC" w:rsidR="001C6F66" w:rsidRPr="009B546D" w:rsidRDefault="001C6F66" w:rsidP="00F432B9">
      <w:pPr>
        <w:keepNext/>
        <w:keepLines/>
        <w:tabs>
          <w:tab w:val="left" w:pos="1152"/>
        </w:tabs>
        <w:spacing w:after="220" w:line="240" w:lineRule="auto"/>
        <w:ind w:left="1152"/>
        <w:rPr>
          <w:rFonts w:cstheme="minorHAnsi"/>
        </w:rPr>
      </w:pPr>
      <w:r w:rsidRPr="009B546D">
        <w:rPr>
          <w:rFonts w:cstheme="minorHAnsi"/>
        </w:rPr>
        <w:t>Credit approvals and other monitoring procedures are also in place to ensure that follow-up action is taken to recover overdue debts.</w:t>
      </w:r>
      <w:r w:rsidR="00B575FC">
        <w:rPr>
          <w:rFonts w:cstheme="minorHAnsi"/>
        </w:rPr>
        <w:t xml:space="preserve"> </w:t>
      </w:r>
      <w:r w:rsidRPr="009B546D">
        <w:rPr>
          <w:rFonts w:cstheme="minorHAnsi"/>
        </w:rPr>
        <w:t xml:space="preserve">Alchemist will follow up with customers two weeks before the expiry of the credit term to minimise late payments. </w:t>
      </w:r>
    </w:p>
    <w:p w14:paraId="2B693B42" w14:textId="77777777" w:rsidR="001C6F66" w:rsidRPr="009B546D" w:rsidRDefault="001C6F66" w:rsidP="00F432B9">
      <w:pPr>
        <w:keepNext/>
        <w:keepLines/>
        <w:tabs>
          <w:tab w:val="left" w:pos="1152"/>
        </w:tabs>
        <w:spacing w:after="220" w:line="240" w:lineRule="auto"/>
        <w:ind w:left="1152"/>
        <w:rPr>
          <w:rFonts w:cstheme="minorHAnsi"/>
        </w:rPr>
      </w:pPr>
      <w:r w:rsidRPr="009B546D">
        <w:rPr>
          <w:rFonts w:cstheme="minorHAnsi"/>
        </w:rPr>
        <w:t>The credit risk on cash and bank balances is limited because the counterparties are banks with high credit-ratings assigned by international credit-rating agencies.</w:t>
      </w:r>
    </w:p>
    <w:p w14:paraId="1BC83554" w14:textId="11560353" w:rsidR="001C6F66" w:rsidRPr="009B546D" w:rsidRDefault="001C6F66" w:rsidP="00F432B9">
      <w:pPr>
        <w:spacing w:line="240" w:lineRule="auto"/>
        <w:ind w:left="432" w:firstLine="720"/>
        <w:rPr>
          <w:rFonts w:cstheme="minorHAnsi"/>
          <w:b/>
        </w:rPr>
      </w:pPr>
      <w:r w:rsidRPr="009B546D">
        <w:rPr>
          <w:rFonts w:cstheme="minorHAnsi"/>
          <w:b/>
        </w:rPr>
        <w:t>Overview of Alchemist’s exposure to credit risk</w:t>
      </w:r>
    </w:p>
    <w:p w14:paraId="5B9E9D89" w14:textId="77777777" w:rsidR="00AC40E4" w:rsidRPr="007F79DB" w:rsidRDefault="00AC40E4" w:rsidP="00AC40E4">
      <w:pPr>
        <w:spacing w:line="240" w:lineRule="auto"/>
        <w:ind w:left="1152"/>
        <w:rPr>
          <w:rFonts w:cstheme="minorHAnsi"/>
          <w:bCs/>
          <w:color w:val="0D0D0D" w:themeColor="text1" w:themeTint="F2"/>
        </w:rPr>
      </w:pPr>
      <w:r w:rsidRPr="007F79DB">
        <w:rPr>
          <w:rFonts w:cstheme="minorHAnsi"/>
          <w:bCs/>
          <w:color w:val="0D0D0D" w:themeColor="text1" w:themeTint="F2"/>
        </w:rPr>
        <w:t>Credit risk refers to the risk that a counterparty will default on its contractual obligations resulting in financial loss to Alchemist. At the reporting date, Alchemist had no trade receivables.</w:t>
      </w:r>
    </w:p>
    <w:p w14:paraId="33A37A1E" w14:textId="02678A46" w:rsidR="001C6F66" w:rsidRPr="009B546D" w:rsidRDefault="00AC40E4" w:rsidP="00EA2BB6">
      <w:pPr>
        <w:spacing w:line="240" w:lineRule="auto"/>
        <w:ind w:left="1152"/>
        <w:jc w:val="left"/>
        <w:rPr>
          <w:rFonts w:cstheme="minorHAnsi"/>
        </w:rPr>
      </w:pPr>
      <w:r w:rsidRPr="007F79DB">
        <w:rPr>
          <w:rFonts w:cstheme="minorHAnsi"/>
          <w:bCs/>
          <w:color w:val="0D0D0D" w:themeColor="text1" w:themeTint="F2"/>
        </w:rPr>
        <w:t>The maximum credit exposure at 30 April 2019 relates to rental deposits of RM15,000.</w:t>
      </w:r>
    </w:p>
    <w:p w14:paraId="10F565F0" w14:textId="36CB2A8F" w:rsidR="004462E8" w:rsidRDefault="004462E8" w:rsidP="00F432B9">
      <w:pPr>
        <w:spacing w:line="240" w:lineRule="auto"/>
        <w:jc w:val="left"/>
        <w:rPr>
          <w:rFonts w:cstheme="minorHAnsi"/>
          <w:b/>
          <w:caps/>
        </w:rPr>
      </w:pPr>
    </w:p>
    <w:p w14:paraId="2B2C7542" w14:textId="77777777" w:rsidR="00CF6B15" w:rsidRDefault="00CF6B15" w:rsidP="00F432B9">
      <w:pPr>
        <w:spacing w:line="240" w:lineRule="auto"/>
        <w:jc w:val="left"/>
        <w:rPr>
          <w:rFonts w:cstheme="minorHAnsi"/>
          <w:b/>
          <w:caps/>
        </w:rPr>
      </w:pPr>
    </w:p>
    <w:p w14:paraId="1032CD8F" w14:textId="77777777" w:rsidR="004462E8" w:rsidRDefault="004462E8" w:rsidP="00F432B9">
      <w:pPr>
        <w:spacing w:line="240" w:lineRule="auto"/>
        <w:jc w:val="left"/>
        <w:rPr>
          <w:rFonts w:cstheme="minorHAnsi"/>
          <w:b/>
          <w:caps/>
        </w:rPr>
      </w:pPr>
    </w:p>
    <w:p w14:paraId="2190A69E" w14:textId="315475AA" w:rsidR="001C6F66" w:rsidRPr="009B546D" w:rsidRDefault="001C6F66" w:rsidP="00F432B9">
      <w:pPr>
        <w:spacing w:line="240" w:lineRule="auto"/>
        <w:jc w:val="left"/>
        <w:rPr>
          <w:rFonts w:cstheme="minorHAnsi"/>
          <w:b/>
          <w:caps/>
        </w:rPr>
      </w:pPr>
      <w:r w:rsidRPr="009B546D">
        <w:rPr>
          <w:rFonts w:cstheme="minorHAnsi"/>
          <w:b/>
          <w:caps/>
        </w:rPr>
        <w:lastRenderedPageBreak/>
        <w:t>n</w:t>
      </w:r>
      <w:r w:rsidRPr="009B546D">
        <w:rPr>
          <w:rFonts w:cstheme="minorHAnsi"/>
          <w:b/>
        </w:rPr>
        <w:t>otes to the financial information</w:t>
      </w:r>
    </w:p>
    <w:p w14:paraId="4554CD72" w14:textId="77777777" w:rsidR="001C6F66" w:rsidRPr="009B546D" w:rsidRDefault="001C6F66" w:rsidP="00F432B9">
      <w:pPr>
        <w:spacing w:line="240" w:lineRule="auto"/>
        <w:jc w:val="left"/>
        <w:rPr>
          <w:rFonts w:cstheme="minorHAnsi"/>
          <w:b/>
          <w:caps/>
        </w:rPr>
      </w:pPr>
      <w:r w:rsidRPr="009B546D">
        <w:rPr>
          <w:rFonts w:cstheme="minorHAnsi"/>
          <w:b/>
          <w:caps/>
        </w:rPr>
        <w:t>F</w:t>
      </w:r>
      <w:r w:rsidRPr="009B546D">
        <w:rPr>
          <w:rFonts w:cstheme="minorHAnsi"/>
          <w:b/>
        </w:rPr>
        <w:t xml:space="preserve">or the </w:t>
      </w:r>
      <w:r w:rsidRPr="009B546D">
        <w:rPr>
          <w:rFonts w:cstheme="minorHAnsi"/>
          <w:b/>
          <w:caps/>
        </w:rPr>
        <w:fldChar w:fldCharType="begin"/>
      </w:r>
      <w:r w:rsidRPr="009B546D">
        <w:rPr>
          <w:rFonts w:cstheme="minorHAnsi"/>
          <w:b/>
          <w:caps/>
        </w:rPr>
        <w:instrText xml:space="preserve"> DOCPROPERTY  "Fin year/period (for cover page)"\* Caps \* MERGEFORMAT </w:instrText>
      </w:r>
      <w:r w:rsidRPr="009B546D">
        <w:rPr>
          <w:rFonts w:cstheme="minorHAnsi"/>
          <w:b/>
          <w:caps/>
        </w:rPr>
        <w:fldChar w:fldCharType="separate"/>
      </w:r>
      <w:r w:rsidRPr="009B546D">
        <w:rPr>
          <w:rFonts w:cstheme="minorHAnsi"/>
          <w:b/>
        </w:rPr>
        <w:t>financial period ended from 17 April 2018 (date of incorporation) to 30 April 2019</w:t>
      </w:r>
      <w:r w:rsidRPr="009B546D">
        <w:rPr>
          <w:rFonts w:cstheme="minorHAnsi"/>
          <w:b/>
          <w:caps/>
        </w:rPr>
        <w:fldChar w:fldCharType="end"/>
      </w:r>
      <w:r w:rsidRPr="00384557">
        <w:rPr>
          <w:rFonts w:cstheme="minorHAnsi"/>
          <w:b/>
          <w:caps/>
        </w:rPr>
        <w:t xml:space="preserve"> (</w:t>
      </w:r>
      <w:r w:rsidRPr="009B546D">
        <w:rPr>
          <w:rFonts w:cstheme="minorHAnsi"/>
          <w:b/>
          <w:i/>
        </w:rPr>
        <w:t>continued)</w:t>
      </w:r>
    </w:p>
    <w:p w14:paraId="615A6448" w14:textId="77777777" w:rsidR="001C6F66" w:rsidRPr="009B546D" w:rsidRDefault="001C6F66" w:rsidP="00F432B9">
      <w:pPr>
        <w:pBdr>
          <w:bottom w:val="single" w:sz="6" w:space="1" w:color="auto"/>
        </w:pBdr>
        <w:spacing w:line="240" w:lineRule="auto"/>
        <w:jc w:val="right"/>
        <w:rPr>
          <w:rFonts w:cstheme="minorHAnsi"/>
        </w:rPr>
      </w:pPr>
    </w:p>
    <w:p w14:paraId="3DB378B4" w14:textId="77777777" w:rsidR="001C6F66" w:rsidRPr="009B546D" w:rsidRDefault="001C6F66" w:rsidP="00496B89">
      <w:pPr>
        <w:pStyle w:val="ListParagraph"/>
        <w:widowControl/>
        <w:numPr>
          <w:ilvl w:val="0"/>
          <w:numId w:val="38"/>
        </w:numPr>
        <w:spacing w:after="220"/>
        <w:rPr>
          <w:rFonts w:asciiTheme="minorHAnsi" w:hAnsiTheme="minorHAnsi" w:cstheme="minorHAnsi"/>
          <w:b/>
          <w:caps/>
          <w:sz w:val="20"/>
        </w:rPr>
      </w:pPr>
      <w:r w:rsidRPr="009B546D">
        <w:rPr>
          <w:rFonts w:asciiTheme="minorHAnsi" w:hAnsiTheme="minorHAnsi" w:cstheme="minorHAnsi"/>
          <w:b/>
          <w:caps/>
          <w:sz w:val="20"/>
        </w:rPr>
        <w:t xml:space="preserve">FINANCIAL RISK MANAGEMENT OBJECTIVES </w:t>
      </w:r>
      <w:smartTag w:uri="urn:schemas-microsoft-com:office:smarttags" w:element="stockticker">
        <w:r w:rsidRPr="009B546D">
          <w:rPr>
            <w:rFonts w:asciiTheme="minorHAnsi" w:hAnsiTheme="minorHAnsi" w:cstheme="minorHAnsi"/>
            <w:b/>
            <w:caps/>
            <w:sz w:val="20"/>
          </w:rPr>
          <w:t>AND</w:t>
        </w:r>
      </w:smartTag>
      <w:r w:rsidRPr="009B546D">
        <w:rPr>
          <w:rFonts w:asciiTheme="minorHAnsi" w:hAnsiTheme="minorHAnsi" w:cstheme="minorHAnsi"/>
          <w:b/>
          <w:caps/>
          <w:sz w:val="20"/>
        </w:rPr>
        <w:t xml:space="preserve"> POLICIES </w:t>
      </w:r>
      <w:r w:rsidRPr="009B546D">
        <w:rPr>
          <w:rFonts w:asciiTheme="minorHAnsi" w:hAnsiTheme="minorHAnsi" w:cstheme="minorHAnsi"/>
          <w:caps/>
          <w:sz w:val="20"/>
        </w:rPr>
        <w:t>(</w:t>
      </w:r>
      <w:r w:rsidRPr="009B546D">
        <w:rPr>
          <w:rFonts w:asciiTheme="minorHAnsi" w:hAnsiTheme="minorHAnsi" w:cstheme="minorHAnsi"/>
          <w:i/>
          <w:sz w:val="20"/>
        </w:rPr>
        <w:t>continued)</w:t>
      </w:r>
    </w:p>
    <w:p w14:paraId="292A7220" w14:textId="77777777" w:rsidR="001C6F66" w:rsidRPr="009B546D" w:rsidRDefault="001C6F66" w:rsidP="00F432B9">
      <w:pPr>
        <w:pStyle w:val="ListParagraph"/>
        <w:spacing w:after="220"/>
        <w:ind w:left="576"/>
        <w:rPr>
          <w:rFonts w:asciiTheme="minorHAnsi" w:hAnsiTheme="minorHAnsi" w:cstheme="minorHAnsi"/>
          <w:b/>
          <w:caps/>
          <w:sz w:val="20"/>
        </w:rPr>
      </w:pPr>
    </w:p>
    <w:p w14:paraId="5C68FC35" w14:textId="77777777" w:rsidR="001C6F66" w:rsidRPr="009B546D" w:rsidRDefault="001C6F66" w:rsidP="00F432B9">
      <w:pPr>
        <w:pStyle w:val="ListParagraph"/>
        <w:widowControl/>
        <w:numPr>
          <w:ilvl w:val="1"/>
          <w:numId w:val="35"/>
        </w:numPr>
        <w:spacing w:after="220"/>
        <w:rPr>
          <w:rFonts w:asciiTheme="minorHAnsi" w:hAnsiTheme="minorHAnsi" w:cstheme="minorHAnsi"/>
          <w:b/>
          <w:smallCaps/>
          <w:sz w:val="20"/>
        </w:rPr>
      </w:pPr>
      <w:r w:rsidRPr="009B546D">
        <w:rPr>
          <w:rFonts w:asciiTheme="minorHAnsi" w:hAnsiTheme="minorHAnsi" w:cstheme="minorHAnsi"/>
          <w:b/>
          <w:smallCaps/>
          <w:sz w:val="20"/>
        </w:rPr>
        <w:t>Liquidity risk management</w:t>
      </w:r>
    </w:p>
    <w:p w14:paraId="42A05B24" w14:textId="77777777" w:rsidR="001C6F66" w:rsidRPr="009B546D" w:rsidRDefault="001C6F66" w:rsidP="00F432B9">
      <w:pPr>
        <w:keepNext/>
        <w:keepLines/>
        <w:tabs>
          <w:tab w:val="left" w:pos="1152"/>
        </w:tabs>
        <w:spacing w:after="220" w:line="240" w:lineRule="auto"/>
        <w:ind w:left="1152"/>
        <w:rPr>
          <w:rFonts w:cstheme="minorHAnsi"/>
        </w:rPr>
      </w:pPr>
      <w:r w:rsidRPr="009B546D">
        <w:rPr>
          <w:rFonts w:cstheme="minorHAnsi"/>
        </w:rPr>
        <w:t xml:space="preserve">Liquidity risk is the risk that Alchemist will encounter difficulty in meeting financial obligations due to shortage of funds. Alchemist’s exposure to liquidity risk arises primarily from mismatches of maturities of financial assets and liabilities. </w:t>
      </w:r>
    </w:p>
    <w:p w14:paraId="1CD53E69" w14:textId="77777777" w:rsidR="001C6F66" w:rsidRPr="009B546D" w:rsidRDefault="001C6F66" w:rsidP="00F432B9">
      <w:pPr>
        <w:keepNext/>
        <w:keepLines/>
        <w:tabs>
          <w:tab w:val="left" w:pos="1152"/>
        </w:tabs>
        <w:spacing w:after="220" w:line="240" w:lineRule="auto"/>
        <w:ind w:left="1152"/>
        <w:rPr>
          <w:rFonts w:cstheme="minorHAnsi"/>
        </w:rPr>
      </w:pPr>
      <w:r w:rsidRPr="009B546D">
        <w:rPr>
          <w:rFonts w:cstheme="minorHAnsi"/>
        </w:rPr>
        <w:t>Alchemist manages its debt maturity profile, operating cash flow and the availability of funding so as to ensure all repayment and funding needs are met. As part of its overall prudent liquidity management, Alchemist maintain sufficient levels of cash to meet its working capital requirements.</w:t>
      </w:r>
    </w:p>
    <w:p w14:paraId="3BC7FCD0" w14:textId="77777777" w:rsidR="001C6F66" w:rsidRPr="009B546D" w:rsidRDefault="001C6F66" w:rsidP="00F432B9">
      <w:pPr>
        <w:keepNext/>
        <w:keepLines/>
        <w:tabs>
          <w:tab w:val="left" w:pos="1152"/>
        </w:tabs>
        <w:spacing w:after="220" w:line="240" w:lineRule="auto"/>
        <w:ind w:left="1152"/>
        <w:rPr>
          <w:rFonts w:cstheme="minorHAnsi"/>
          <w:u w:val="single"/>
        </w:rPr>
      </w:pPr>
      <w:r w:rsidRPr="009B546D">
        <w:rPr>
          <w:rFonts w:cstheme="minorHAnsi"/>
          <w:u w:val="single"/>
        </w:rPr>
        <w:t>Analysis of financial instruments by remaining contractual maturities</w:t>
      </w:r>
    </w:p>
    <w:p w14:paraId="023A9A06" w14:textId="77777777" w:rsidR="001C6F66" w:rsidRPr="009B546D" w:rsidRDefault="001C6F66" w:rsidP="00F432B9">
      <w:pPr>
        <w:keepNext/>
        <w:keepLines/>
        <w:tabs>
          <w:tab w:val="left" w:pos="1152"/>
        </w:tabs>
        <w:spacing w:after="220" w:line="240" w:lineRule="auto"/>
        <w:ind w:left="1152"/>
        <w:rPr>
          <w:rFonts w:cstheme="minorHAnsi"/>
        </w:rPr>
      </w:pPr>
      <w:r w:rsidRPr="009B546D">
        <w:rPr>
          <w:rFonts w:cstheme="minorHAnsi"/>
        </w:rPr>
        <w:t>The table below summarises the maturity profile of Alchemist’s financial liabilities at the reporting date based on contractual undiscounted repayment obligations:</w:t>
      </w:r>
    </w:p>
    <w:tbl>
      <w:tblPr>
        <w:tblW w:w="7637" w:type="dxa"/>
        <w:tblInd w:w="1152" w:type="dxa"/>
        <w:tblLayout w:type="fixed"/>
        <w:tblLook w:val="04A0" w:firstRow="1" w:lastRow="0" w:firstColumn="1" w:lastColumn="0" w:noHBand="0" w:noVBand="1"/>
      </w:tblPr>
      <w:tblGrid>
        <w:gridCol w:w="2104"/>
        <w:gridCol w:w="1139"/>
        <w:gridCol w:w="283"/>
        <w:gridCol w:w="1134"/>
        <w:gridCol w:w="284"/>
        <w:gridCol w:w="1275"/>
        <w:gridCol w:w="284"/>
        <w:gridCol w:w="1134"/>
      </w:tblGrid>
      <w:tr w:rsidR="001C6F66" w:rsidRPr="009B546D" w14:paraId="74B5EE0D" w14:textId="77777777" w:rsidTr="00EA2BB6">
        <w:trPr>
          <w:trHeight w:val="612"/>
          <w:tblHeader/>
        </w:trPr>
        <w:tc>
          <w:tcPr>
            <w:tcW w:w="2104" w:type="dxa"/>
            <w:vAlign w:val="bottom"/>
          </w:tcPr>
          <w:p w14:paraId="1D337F38" w14:textId="77777777" w:rsidR="001C6F66" w:rsidRPr="00EA2BB6" w:rsidRDefault="001C6F66" w:rsidP="00F432B9">
            <w:pPr>
              <w:tabs>
                <w:tab w:val="left" w:pos="288"/>
              </w:tabs>
              <w:autoSpaceDE w:val="0"/>
              <w:autoSpaceDN w:val="0"/>
              <w:adjustRightInd w:val="0"/>
              <w:spacing w:line="240" w:lineRule="auto"/>
              <w:rPr>
                <w:rFonts w:cstheme="minorHAnsi"/>
                <w:color w:val="000000"/>
                <w:sz w:val="18"/>
                <w:szCs w:val="20"/>
                <w:lang w:val="en-MY"/>
              </w:rPr>
            </w:pPr>
          </w:p>
        </w:tc>
        <w:tc>
          <w:tcPr>
            <w:tcW w:w="1139" w:type="dxa"/>
            <w:vAlign w:val="bottom"/>
            <w:hideMark/>
          </w:tcPr>
          <w:p w14:paraId="5BA4532C" w14:textId="77777777" w:rsidR="001C6F66" w:rsidRPr="00EA2BB6" w:rsidRDefault="001C6F66" w:rsidP="00EA2BB6">
            <w:pPr>
              <w:tabs>
                <w:tab w:val="left" w:pos="288"/>
              </w:tabs>
              <w:autoSpaceDE w:val="0"/>
              <w:autoSpaceDN w:val="0"/>
              <w:adjustRightInd w:val="0"/>
              <w:spacing w:after="0" w:line="240" w:lineRule="auto"/>
              <w:ind w:right="72"/>
              <w:jc w:val="right"/>
              <w:rPr>
                <w:rFonts w:cstheme="minorHAnsi"/>
                <w:b/>
                <w:bCs/>
                <w:color w:val="000000"/>
                <w:sz w:val="18"/>
                <w:szCs w:val="20"/>
                <w:lang w:val="en-MY"/>
              </w:rPr>
            </w:pPr>
            <w:r w:rsidRPr="00EA2BB6">
              <w:rPr>
                <w:rFonts w:cstheme="minorHAnsi"/>
                <w:b/>
                <w:bCs/>
                <w:color w:val="000000"/>
                <w:sz w:val="18"/>
                <w:szCs w:val="20"/>
                <w:lang w:val="en-MY"/>
              </w:rPr>
              <w:t>Carrying amount</w:t>
            </w:r>
          </w:p>
        </w:tc>
        <w:tc>
          <w:tcPr>
            <w:tcW w:w="283" w:type="dxa"/>
            <w:vAlign w:val="bottom"/>
          </w:tcPr>
          <w:p w14:paraId="4A17A8EF" w14:textId="77777777" w:rsidR="001C6F66" w:rsidRPr="00EA2BB6" w:rsidRDefault="001C6F66" w:rsidP="00EA2BB6">
            <w:pPr>
              <w:tabs>
                <w:tab w:val="left" w:pos="288"/>
              </w:tabs>
              <w:autoSpaceDE w:val="0"/>
              <w:autoSpaceDN w:val="0"/>
              <w:adjustRightInd w:val="0"/>
              <w:spacing w:after="0" w:line="240" w:lineRule="auto"/>
              <w:jc w:val="right"/>
              <w:rPr>
                <w:rFonts w:cstheme="minorHAnsi"/>
                <w:b/>
                <w:bCs/>
                <w:color w:val="000000"/>
                <w:sz w:val="18"/>
                <w:szCs w:val="20"/>
                <w:lang w:val="en-MY"/>
              </w:rPr>
            </w:pPr>
          </w:p>
        </w:tc>
        <w:tc>
          <w:tcPr>
            <w:tcW w:w="1134" w:type="dxa"/>
            <w:vAlign w:val="bottom"/>
            <w:hideMark/>
          </w:tcPr>
          <w:p w14:paraId="08B8AC86" w14:textId="77777777" w:rsidR="001C6F66" w:rsidRPr="00EA2BB6" w:rsidRDefault="001C6F66" w:rsidP="00EA2BB6">
            <w:pPr>
              <w:tabs>
                <w:tab w:val="left" w:pos="288"/>
              </w:tabs>
              <w:autoSpaceDE w:val="0"/>
              <w:autoSpaceDN w:val="0"/>
              <w:adjustRightInd w:val="0"/>
              <w:spacing w:after="0" w:line="240" w:lineRule="auto"/>
              <w:ind w:right="72"/>
              <w:jc w:val="right"/>
              <w:rPr>
                <w:rFonts w:cstheme="minorHAnsi"/>
                <w:b/>
                <w:bCs/>
                <w:color w:val="000000"/>
                <w:sz w:val="18"/>
                <w:szCs w:val="20"/>
                <w:lang w:val="en-MY"/>
              </w:rPr>
            </w:pPr>
            <w:r w:rsidRPr="00EA2BB6">
              <w:rPr>
                <w:rFonts w:cstheme="minorHAnsi"/>
                <w:b/>
                <w:bCs/>
                <w:color w:val="000000"/>
                <w:sz w:val="18"/>
                <w:szCs w:val="20"/>
                <w:lang w:val="en-MY"/>
              </w:rPr>
              <w:t>Contractual cash flows</w:t>
            </w:r>
          </w:p>
        </w:tc>
        <w:tc>
          <w:tcPr>
            <w:tcW w:w="284" w:type="dxa"/>
            <w:vAlign w:val="bottom"/>
          </w:tcPr>
          <w:p w14:paraId="2FBF4009" w14:textId="77777777" w:rsidR="001C6F66" w:rsidRPr="00EA2BB6" w:rsidRDefault="001C6F66" w:rsidP="00EA2BB6">
            <w:pPr>
              <w:tabs>
                <w:tab w:val="left" w:pos="288"/>
              </w:tabs>
              <w:autoSpaceDE w:val="0"/>
              <w:autoSpaceDN w:val="0"/>
              <w:adjustRightInd w:val="0"/>
              <w:spacing w:after="0" w:line="240" w:lineRule="auto"/>
              <w:jc w:val="right"/>
              <w:rPr>
                <w:rFonts w:cstheme="minorHAnsi"/>
                <w:b/>
                <w:bCs/>
                <w:color w:val="000000"/>
                <w:sz w:val="18"/>
                <w:szCs w:val="20"/>
                <w:lang w:val="en-MY"/>
              </w:rPr>
            </w:pPr>
          </w:p>
        </w:tc>
        <w:tc>
          <w:tcPr>
            <w:tcW w:w="1275" w:type="dxa"/>
            <w:vAlign w:val="bottom"/>
            <w:hideMark/>
          </w:tcPr>
          <w:p w14:paraId="57086B51" w14:textId="77777777" w:rsidR="001C6F66" w:rsidRPr="00EA2BB6" w:rsidRDefault="001C6F66" w:rsidP="00EA2BB6">
            <w:pPr>
              <w:tabs>
                <w:tab w:val="left" w:pos="288"/>
              </w:tabs>
              <w:autoSpaceDE w:val="0"/>
              <w:autoSpaceDN w:val="0"/>
              <w:adjustRightInd w:val="0"/>
              <w:spacing w:after="0" w:line="240" w:lineRule="auto"/>
              <w:ind w:right="72"/>
              <w:jc w:val="right"/>
              <w:rPr>
                <w:rFonts w:cstheme="minorHAnsi"/>
                <w:b/>
                <w:bCs/>
                <w:color w:val="000000"/>
                <w:sz w:val="18"/>
                <w:szCs w:val="20"/>
                <w:lang w:val="en-MY"/>
              </w:rPr>
            </w:pPr>
            <w:r w:rsidRPr="00EA2BB6">
              <w:rPr>
                <w:rFonts w:cstheme="minorHAnsi"/>
                <w:b/>
                <w:bCs/>
                <w:color w:val="000000"/>
                <w:sz w:val="18"/>
                <w:szCs w:val="20"/>
                <w:lang w:val="en-MY"/>
              </w:rPr>
              <w:t xml:space="preserve">On demand or within </w:t>
            </w:r>
          </w:p>
          <w:p w14:paraId="7909D84A" w14:textId="77777777" w:rsidR="001C6F66" w:rsidRPr="00EA2BB6" w:rsidRDefault="001C6F66" w:rsidP="00EA2BB6">
            <w:pPr>
              <w:tabs>
                <w:tab w:val="left" w:pos="288"/>
              </w:tabs>
              <w:autoSpaceDE w:val="0"/>
              <w:autoSpaceDN w:val="0"/>
              <w:adjustRightInd w:val="0"/>
              <w:spacing w:after="0" w:line="240" w:lineRule="auto"/>
              <w:ind w:right="72"/>
              <w:jc w:val="right"/>
              <w:rPr>
                <w:rFonts w:cstheme="minorHAnsi"/>
                <w:b/>
                <w:bCs/>
                <w:color w:val="000000"/>
                <w:sz w:val="18"/>
                <w:szCs w:val="20"/>
                <w:lang w:val="en-MY"/>
              </w:rPr>
            </w:pPr>
            <w:r w:rsidRPr="00EA2BB6">
              <w:rPr>
                <w:rFonts w:cstheme="minorHAnsi"/>
                <w:b/>
                <w:bCs/>
                <w:color w:val="000000"/>
                <w:sz w:val="18"/>
                <w:szCs w:val="20"/>
                <w:lang w:val="en-MY"/>
              </w:rPr>
              <w:t>1 year</w:t>
            </w:r>
          </w:p>
        </w:tc>
        <w:tc>
          <w:tcPr>
            <w:tcW w:w="284" w:type="dxa"/>
            <w:vAlign w:val="bottom"/>
          </w:tcPr>
          <w:p w14:paraId="09BB953C" w14:textId="77777777" w:rsidR="001C6F66" w:rsidRPr="00EA2BB6" w:rsidRDefault="001C6F66" w:rsidP="00EA2BB6">
            <w:pPr>
              <w:tabs>
                <w:tab w:val="left" w:pos="288"/>
              </w:tabs>
              <w:autoSpaceDE w:val="0"/>
              <w:autoSpaceDN w:val="0"/>
              <w:adjustRightInd w:val="0"/>
              <w:spacing w:after="0" w:line="240" w:lineRule="auto"/>
              <w:jc w:val="right"/>
              <w:rPr>
                <w:rFonts w:cstheme="minorHAnsi"/>
                <w:b/>
                <w:bCs/>
                <w:color w:val="000000"/>
                <w:sz w:val="18"/>
                <w:szCs w:val="20"/>
                <w:lang w:val="en-MY"/>
              </w:rPr>
            </w:pPr>
          </w:p>
        </w:tc>
        <w:tc>
          <w:tcPr>
            <w:tcW w:w="1134" w:type="dxa"/>
            <w:vAlign w:val="bottom"/>
            <w:hideMark/>
          </w:tcPr>
          <w:p w14:paraId="7C58C622" w14:textId="77777777" w:rsidR="001C6F66" w:rsidRPr="00EA2BB6" w:rsidRDefault="001C6F66" w:rsidP="00EA2BB6">
            <w:pPr>
              <w:tabs>
                <w:tab w:val="left" w:pos="288"/>
              </w:tabs>
              <w:autoSpaceDE w:val="0"/>
              <w:autoSpaceDN w:val="0"/>
              <w:adjustRightInd w:val="0"/>
              <w:spacing w:after="0" w:line="240" w:lineRule="auto"/>
              <w:ind w:right="72"/>
              <w:jc w:val="right"/>
              <w:rPr>
                <w:rFonts w:cstheme="minorHAnsi"/>
                <w:b/>
                <w:bCs/>
                <w:color w:val="000000"/>
                <w:sz w:val="18"/>
                <w:szCs w:val="20"/>
                <w:lang w:val="en-MY"/>
              </w:rPr>
            </w:pPr>
            <w:r w:rsidRPr="00EA2BB6">
              <w:rPr>
                <w:rFonts w:cstheme="minorHAnsi"/>
                <w:b/>
                <w:bCs/>
                <w:color w:val="000000"/>
                <w:sz w:val="18"/>
                <w:szCs w:val="20"/>
                <w:lang w:val="en-MY"/>
              </w:rPr>
              <w:t>1 to 5 years</w:t>
            </w:r>
          </w:p>
        </w:tc>
      </w:tr>
      <w:tr w:rsidR="001C6F66" w:rsidRPr="009B546D" w14:paraId="5F6D91C0" w14:textId="77777777" w:rsidTr="00EA2BB6">
        <w:trPr>
          <w:trHeight w:val="278"/>
          <w:tblHeader/>
        </w:trPr>
        <w:tc>
          <w:tcPr>
            <w:tcW w:w="2104" w:type="dxa"/>
            <w:vAlign w:val="bottom"/>
          </w:tcPr>
          <w:p w14:paraId="027A518D" w14:textId="77777777" w:rsidR="001C6F66" w:rsidRPr="00EA2BB6" w:rsidRDefault="001C6F66" w:rsidP="00F432B9">
            <w:pPr>
              <w:tabs>
                <w:tab w:val="left" w:pos="288"/>
              </w:tabs>
              <w:autoSpaceDE w:val="0"/>
              <w:autoSpaceDN w:val="0"/>
              <w:adjustRightInd w:val="0"/>
              <w:spacing w:line="240" w:lineRule="auto"/>
              <w:rPr>
                <w:rFonts w:cstheme="minorHAnsi"/>
                <w:color w:val="000000"/>
                <w:sz w:val="18"/>
                <w:szCs w:val="20"/>
                <w:lang w:val="en-MY"/>
              </w:rPr>
            </w:pPr>
          </w:p>
        </w:tc>
        <w:tc>
          <w:tcPr>
            <w:tcW w:w="1139" w:type="dxa"/>
            <w:vAlign w:val="bottom"/>
            <w:hideMark/>
          </w:tcPr>
          <w:p w14:paraId="29974632" w14:textId="77777777" w:rsidR="001C6F66" w:rsidRPr="00EA2BB6" w:rsidRDefault="001C6F66" w:rsidP="00EA2BB6">
            <w:pPr>
              <w:tabs>
                <w:tab w:val="left" w:pos="288"/>
              </w:tabs>
              <w:autoSpaceDE w:val="0"/>
              <w:autoSpaceDN w:val="0"/>
              <w:adjustRightInd w:val="0"/>
              <w:spacing w:after="0" w:line="240" w:lineRule="auto"/>
              <w:ind w:right="72"/>
              <w:jc w:val="right"/>
              <w:rPr>
                <w:rFonts w:cstheme="minorHAnsi"/>
                <w:b/>
                <w:bCs/>
                <w:color w:val="000000"/>
                <w:sz w:val="18"/>
                <w:szCs w:val="20"/>
                <w:lang w:val="en-MY"/>
              </w:rPr>
            </w:pPr>
            <w:r w:rsidRPr="00EA2BB6">
              <w:rPr>
                <w:rFonts w:cstheme="minorHAnsi"/>
                <w:b/>
                <w:bCs/>
                <w:color w:val="000000"/>
                <w:sz w:val="18"/>
                <w:szCs w:val="20"/>
                <w:lang w:val="en-MY"/>
              </w:rPr>
              <w:t>RM</w:t>
            </w:r>
          </w:p>
        </w:tc>
        <w:tc>
          <w:tcPr>
            <w:tcW w:w="283" w:type="dxa"/>
            <w:vAlign w:val="bottom"/>
          </w:tcPr>
          <w:p w14:paraId="2B6CB9F2" w14:textId="77777777" w:rsidR="001C6F66" w:rsidRPr="00EA2BB6" w:rsidRDefault="001C6F66" w:rsidP="00EA2BB6">
            <w:pPr>
              <w:tabs>
                <w:tab w:val="left" w:pos="288"/>
              </w:tabs>
              <w:autoSpaceDE w:val="0"/>
              <w:autoSpaceDN w:val="0"/>
              <w:adjustRightInd w:val="0"/>
              <w:spacing w:after="0" w:line="240" w:lineRule="auto"/>
              <w:jc w:val="right"/>
              <w:rPr>
                <w:rFonts w:cstheme="minorHAnsi"/>
                <w:b/>
                <w:bCs/>
                <w:color w:val="000000"/>
                <w:sz w:val="18"/>
                <w:szCs w:val="20"/>
                <w:lang w:val="en-MY"/>
              </w:rPr>
            </w:pPr>
          </w:p>
        </w:tc>
        <w:tc>
          <w:tcPr>
            <w:tcW w:w="1134" w:type="dxa"/>
            <w:vAlign w:val="bottom"/>
            <w:hideMark/>
          </w:tcPr>
          <w:p w14:paraId="052631DD" w14:textId="77777777" w:rsidR="001C6F66" w:rsidRPr="00EA2BB6" w:rsidRDefault="001C6F66" w:rsidP="00EA2BB6">
            <w:pPr>
              <w:tabs>
                <w:tab w:val="left" w:pos="288"/>
              </w:tabs>
              <w:autoSpaceDE w:val="0"/>
              <w:autoSpaceDN w:val="0"/>
              <w:adjustRightInd w:val="0"/>
              <w:spacing w:after="0" w:line="240" w:lineRule="auto"/>
              <w:ind w:right="72"/>
              <w:jc w:val="right"/>
              <w:rPr>
                <w:rFonts w:cstheme="minorHAnsi"/>
                <w:b/>
                <w:bCs/>
                <w:color w:val="000000"/>
                <w:sz w:val="18"/>
                <w:szCs w:val="20"/>
                <w:lang w:val="en-MY"/>
              </w:rPr>
            </w:pPr>
            <w:r w:rsidRPr="00EA2BB6">
              <w:rPr>
                <w:rFonts w:cstheme="minorHAnsi"/>
                <w:b/>
                <w:bCs/>
                <w:color w:val="000000"/>
                <w:sz w:val="18"/>
                <w:szCs w:val="20"/>
                <w:lang w:val="en-MY"/>
              </w:rPr>
              <w:t>RM</w:t>
            </w:r>
          </w:p>
        </w:tc>
        <w:tc>
          <w:tcPr>
            <w:tcW w:w="284" w:type="dxa"/>
            <w:vAlign w:val="bottom"/>
          </w:tcPr>
          <w:p w14:paraId="2553A090" w14:textId="77777777" w:rsidR="001C6F66" w:rsidRPr="00EA2BB6" w:rsidRDefault="001C6F66" w:rsidP="00EA2BB6">
            <w:pPr>
              <w:tabs>
                <w:tab w:val="left" w:pos="288"/>
              </w:tabs>
              <w:autoSpaceDE w:val="0"/>
              <w:autoSpaceDN w:val="0"/>
              <w:adjustRightInd w:val="0"/>
              <w:spacing w:after="0" w:line="240" w:lineRule="auto"/>
              <w:jc w:val="right"/>
              <w:rPr>
                <w:rFonts w:cstheme="minorHAnsi"/>
                <w:color w:val="000000"/>
                <w:sz w:val="18"/>
                <w:szCs w:val="20"/>
                <w:lang w:val="en-MY"/>
              </w:rPr>
            </w:pPr>
          </w:p>
        </w:tc>
        <w:tc>
          <w:tcPr>
            <w:tcW w:w="1275" w:type="dxa"/>
            <w:vAlign w:val="bottom"/>
            <w:hideMark/>
          </w:tcPr>
          <w:p w14:paraId="14436D69" w14:textId="77777777" w:rsidR="001C6F66" w:rsidRPr="00EA2BB6" w:rsidRDefault="001C6F66" w:rsidP="00EA2BB6">
            <w:pPr>
              <w:tabs>
                <w:tab w:val="left" w:pos="288"/>
              </w:tabs>
              <w:autoSpaceDE w:val="0"/>
              <w:autoSpaceDN w:val="0"/>
              <w:adjustRightInd w:val="0"/>
              <w:spacing w:after="0" w:line="240" w:lineRule="auto"/>
              <w:ind w:right="72"/>
              <w:jc w:val="right"/>
              <w:rPr>
                <w:rFonts w:cstheme="minorHAnsi"/>
                <w:b/>
                <w:bCs/>
                <w:color w:val="000000"/>
                <w:sz w:val="18"/>
                <w:szCs w:val="20"/>
                <w:lang w:val="en-MY"/>
              </w:rPr>
            </w:pPr>
            <w:r w:rsidRPr="00EA2BB6">
              <w:rPr>
                <w:rFonts w:cstheme="minorHAnsi"/>
                <w:b/>
                <w:bCs/>
                <w:color w:val="000000"/>
                <w:sz w:val="18"/>
                <w:szCs w:val="20"/>
                <w:lang w:val="en-MY"/>
              </w:rPr>
              <w:t>RM</w:t>
            </w:r>
          </w:p>
        </w:tc>
        <w:tc>
          <w:tcPr>
            <w:tcW w:w="284" w:type="dxa"/>
            <w:vAlign w:val="bottom"/>
          </w:tcPr>
          <w:p w14:paraId="79C9185A" w14:textId="77777777" w:rsidR="001C6F66" w:rsidRPr="00EA2BB6" w:rsidRDefault="001C6F66" w:rsidP="00EA2BB6">
            <w:pPr>
              <w:tabs>
                <w:tab w:val="left" w:pos="288"/>
              </w:tabs>
              <w:autoSpaceDE w:val="0"/>
              <w:autoSpaceDN w:val="0"/>
              <w:adjustRightInd w:val="0"/>
              <w:spacing w:after="0" w:line="240" w:lineRule="auto"/>
              <w:jc w:val="right"/>
              <w:rPr>
                <w:rFonts w:cstheme="minorHAnsi"/>
                <w:color w:val="000000"/>
                <w:sz w:val="18"/>
                <w:szCs w:val="20"/>
                <w:lang w:val="en-MY"/>
              </w:rPr>
            </w:pPr>
          </w:p>
        </w:tc>
        <w:tc>
          <w:tcPr>
            <w:tcW w:w="1134" w:type="dxa"/>
            <w:vAlign w:val="bottom"/>
            <w:hideMark/>
          </w:tcPr>
          <w:p w14:paraId="32B83247" w14:textId="77777777" w:rsidR="001C6F66" w:rsidRPr="00EA2BB6" w:rsidRDefault="001C6F66" w:rsidP="00EA2BB6">
            <w:pPr>
              <w:tabs>
                <w:tab w:val="left" w:pos="288"/>
              </w:tabs>
              <w:autoSpaceDE w:val="0"/>
              <w:autoSpaceDN w:val="0"/>
              <w:adjustRightInd w:val="0"/>
              <w:spacing w:after="0" w:line="240" w:lineRule="auto"/>
              <w:ind w:right="72"/>
              <w:jc w:val="right"/>
              <w:rPr>
                <w:rFonts w:cstheme="minorHAnsi"/>
                <w:b/>
                <w:bCs/>
                <w:color w:val="000000"/>
                <w:sz w:val="18"/>
                <w:szCs w:val="20"/>
                <w:lang w:val="en-MY"/>
              </w:rPr>
            </w:pPr>
            <w:r w:rsidRPr="00EA2BB6">
              <w:rPr>
                <w:rFonts w:cstheme="minorHAnsi"/>
                <w:b/>
                <w:bCs/>
                <w:color w:val="000000"/>
                <w:sz w:val="18"/>
                <w:szCs w:val="20"/>
                <w:lang w:val="en-MY"/>
              </w:rPr>
              <w:t>RM</w:t>
            </w:r>
          </w:p>
        </w:tc>
      </w:tr>
      <w:tr w:rsidR="001C6F66" w:rsidRPr="009B546D" w14:paraId="7AF223F4" w14:textId="77777777" w:rsidTr="00EA2BB6">
        <w:trPr>
          <w:trHeight w:val="198"/>
        </w:trPr>
        <w:tc>
          <w:tcPr>
            <w:tcW w:w="2104" w:type="dxa"/>
            <w:vAlign w:val="bottom"/>
            <w:hideMark/>
          </w:tcPr>
          <w:p w14:paraId="097D694A" w14:textId="77777777" w:rsidR="001C6F66" w:rsidRPr="00EA2BB6" w:rsidRDefault="001C6F66" w:rsidP="00F432B9">
            <w:pPr>
              <w:tabs>
                <w:tab w:val="left" w:pos="288"/>
              </w:tabs>
              <w:autoSpaceDE w:val="0"/>
              <w:autoSpaceDN w:val="0"/>
              <w:adjustRightInd w:val="0"/>
              <w:spacing w:line="240" w:lineRule="auto"/>
              <w:rPr>
                <w:rFonts w:cstheme="minorHAnsi"/>
                <w:b/>
                <w:color w:val="000000"/>
                <w:sz w:val="18"/>
                <w:szCs w:val="20"/>
                <w:u w:val="single"/>
                <w:lang w:val="en-MY"/>
              </w:rPr>
            </w:pPr>
            <w:r w:rsidRPr="00EA2BB6">
              <w:rPr>
                <w:rFonts w:cstheme="minorHAnsi"/>
                <w:b/>
                <w:color w:val="000000"/>
                <w:sz w:val="18"/>
                <w:szCs w:val="20"/>
                <w:u w:val="single"/>
                <w:lang w:val="en-MY"/>
              </w:rPr>
              <w:t>2019</w:t>
            </w:r>
          </w:p>
        </w:tc>
        <w:tc>
          <w:tcPr>
            <w:tcW w:w="1139" w:type="dxa"/>
            <w:vAlign w:val="bottom"/>
          </w:tcPr>
          <w:p w14:paraId="2B3CFCFF" w14:textId="77777777" w:rsidR="001C6F66" w:rsidRPr="00EA2BB6" w:rsidRDefault="001C6F66" w:rsidP="00F432B9">
            <w:pPr>
              <w:tabs>
                <w:tab w:val="left" w:pos="288"/>
              </w:tabs>
              <w:autoSpaceDE w:val="0"/>
              <w:autoSpaceDN w:val="0"/>
              <w:adjustRightInd w:val="0"/>
              <w:spacing w:line="240" w:lineRule="auto"/>
              <w:jc w:val="right"/>
              <w:rPr>
                <w:rFonts w:cstheme="minorHAnsi"/>
                <w:color w:val="000000"/>
                <w:sz w:val="18"/>
                <w:szCs w:val="20"/>
                <w:lang w:val="en-MY"/>
              </w:rPr>
            </w:pPr>
          </w:p>
        </w:tc>
        <w:tc>
          <w:tcPr>
            <w:tcW w:w="283" w:type="dxa"/>
            <w:vAlign w:val="bottom"/>
          </w:tcPr>
          <w:p w14:paraId="5DC2968E" w14:textId="77777777" w:rsidR="001C6F66" w:rsidRPr="00EA2BB6" w:rsidRDefault="001C6F66" w:rsidP="00F432B9">
            <w:pPr>
              <w:tabs>
                <w:tab w:val="left" w:pos="288"/>
              </w:tabs>
              <w:autoSpaceDE w:val="0"/>
              <w:autoSpaceDN w:val="0"/>
              <w:adjustRightInd w:val="0"/>
              <w:spacing w:line="240" w:lineRule="auto"/>
              <w:jc w:val="right"/>
              <w:rPr>
                <w:rFonts w:cstheme="minorHAnsi"/>
                <w:color w:val="000000"/>
                <w:sz w:val="18"/>
                <w:szCs w:val="20"/>
                <w:lang w:val="en-MY"/>
              </w:rPr>
            </w:pPr>
          </w:p>
        </w:tc>
        <w:tc>
          <w:tcPr>
            <w:tcW w:w="1134" w:type="dxa"/>
            <w:vAlign w:val="bottom"/>
          </w:tcPr>
          <w:p w14:paraId="0D16B036" w14:textId="77777777" w:rsidR="001C6F66" w:rsidRPr="00EA2BB6" w:rsidRDefault="001C6F66" w:rsidP="00F432B9">
            <w:pPr>
              <w:tabs>
                <w:tab w:val="left" w:pos="288"/>
              </w:tabs>
              <w:autoSpaceDE w:val="0"/>
              <w:autoSpaceDN w:val="0"/>
              <w:adjustRightInd w:val="0"/>
              <w:spacing w:line="240" w:lineRule="auto"/>
              <w:jc w:val="right"/>
              <w:rPr>
                <w:rFonts w:cstheme="minorHAnsi"/>
                <w:color w:val="000000"/>
                <w:sz w:val="18"/>
                <w:szCs w:val="20"/>
                <w:lang w:val="en-MY"/>
              </w:rPr>
            </w:pPr>
          </w:p>
        </w:tc>
        <w:tc>
          <w:tcPr>
            <w:tcW w:w="284" w:type="dxa"/>
            <w:vAlign w:val="bottom"/>
          </w:tcPr>
          <w:p w14:paraId="3A72CD4D" w14:textId="77777777" w:rsidR="001C6F66" w:rsidRPr="00EA2BB6" w:rsidRDefault="001C6F66" w:rsidP="00F432B9">
            <w:pPr>
              <w:tabs>
                <w:tab w:val="left" w:pos="288"/>
              </w:tabs>
              <w:autoSpaceDE w:val="0"/>
              <w:autoSpaceDN w:val="0"/>
              <w:adjustRightInd w:val="0"/>
              <w:spacing w:line="240" w:lineRule="auto"/>
              <w:jc w:val="right"/>
              <w:rPr>
                <w:rFonts w:cstheme="minorHAnsi"/>
                <w:color w:val="000000"/>
                <w:sz w:val="18"/>
                <w:szCs w:val="20"/>
                <w:lang w:val="en-MY"/>
              </w:rPr>
            </w:pPr>
          </w:p>
        </w:tc>
        <w:tc>
          <w:tcPr>
            <w:tcW w:w="1275" w:type="dxa"/>
            <w:vAlign w:val="bottom"/>
          </w:tcPr>
          <w:p w14:paraId="613AD9F6" w14:textId="77777777" w:rsidR="001C6F66" w:rsidRPr="00EA2BB6" w:rsidRDefault="001C6F66" w:rsidP="00F432B9">
            <w:pPr>
              <w:tabs>
                <w:tab w:val="left" w:pos="288"/>
              </w:tabs>
              <w:autoSpaceDE w:val="0"/>
              <w:autoSpaceDN w:val="0"/>
              <w:adjustRightInd w:val="0"/>
              <w:spacing w:line="240" w:lineRule="auto"/>
              <w:jc w:val="right"/>
              <w:rPr>
                <w:rFonts w:cstheme="minorHAnsi"/>
                <w:color w:val="000000"/>
                <w:sz w:val="18"/>
                <w:szCs w:val="20"/>
                <w:lang w:val="en-MY"/>
              </w:rPr>
            </w:pPr>
          </w:p>
        </w:tc>
        <w:tc>
          <w:tcPr>
            <w:tcW w:w="284" w:type="dxa"/>
            <w:vAlign w:val="bottom"/>
          </w:tcPr>
          <w:p w14:paraId="29C8AE27" w14:textId="77777777" w:rsidR="001C6F66" w:rsidRPr="00EA2BB6" w:rsidRDefault="001C6F66" w:rsidP="00F432B9">
            <w:pPr>
              <w:tabs>
                <w:tab w:val="left" w:pos="288"/>
              </w:tabs>
              <w:autoSpaceDE w:val="0"/>
              <w:autoSpaceDN w:val="0"/>
              <w:adjustRightInd w:val="0"/>
              <w:spacing w:line="240" w:lineRule="auto"/>
              <w:jc w:val="right"/>
              <w:rPr>
                <w:rFonts w:cstheme="minorHAnsi"/>
                <w:color w:val="000000"/>
                <w:sz w:val="18"/>
                <w:szCs w:val="20"/>
                <w:lang w:val="en-MY"/>
              </w:rPr>
            </w:pPr>
          </w:p>
        </w:tc>
        <w:tc>
          <w:tcPr>
            <w:tcW w:w="1134" w:type="dxa"/>
            <w:vAlign w:val="bottom"/>
          </w:tcPr>
          <w:p w14:paraId="12CDC458" w14:textId="77777777" w:rsidR="001C6F66" w:rsidRPr="00EA2BB6" w:rsidRDefault="001C6F66" w:rsidP="00F432B9">
            <w:pPr>
              <w:tabs>
                <w:tab w:val="left" w:pos="288"/>
              </w:tabs>
              <w:autoSpaceDE w:val="0"/>
              <w:autoSpaceDN w:val="0"/>
              <w:adjustRightInd w:val="0"/>
              <w:spacing w:line="240" w:lineRule="auto"/>
              <w:jc w:val="right"/>
              <w:rPr>
                <w:rFonts w:cstheme="minorHAnsi"/>
                <w:color w:val="000000"/>
                <w:sz w:val="18"/>
                <w:szCs w:val="20"/>
                <w:lang w:val="en-MY"/>
              </w:rPr>
            </w:pPr>
          </w:p>
        </w:tc>
      </w:tr>
      <w:tr w:rsidR="001C6F66" w:rsidRPr="009B546D" w14:paraId="23B02810" w14:textId="77777777" w:rsidTr="00EA2BB6">
        <w:trPr>
          <w:trHeight w:val="278"/>
        </w:trPr>
        <w:tc>
          <w:tcPr>
            <w:tcW w:w="2104" w:type="dxa"/>
            <w:vAlign w:val="bottom"/>
            <w:hideMark/>
          </w:tcPr>
          <w:p w14:paraId="365A4C7D" w14:textId="77777777" w:rsidR="001C6F66" w:rsidRPr="00EA2BB6" w:rsidRDefault="001C6F66" w:rsidP="00F432B9">
            <w:pPr>
              <w:tabs>
                <w:tab w:val="left" w:pos="288"/>
              </w:tabs>
              <w:autoSpaceDE w:val="0"/>
              <w:autoSpaceDN w:val="0"/>
              <w:adjustRightInd w:val="0"/>
              <w:spacing w:line="240" w:lineRule="auto"/>
              <w:rPr>
                <w:rFonts w:cstheme="minorHAnsi"/>
                <w:b/>
                <w:color w:val="000000"/>
                <w:sz w:val="18"/>
                <w:szCs w:val="20"/>
                <w:lang w:val="en-MY"/>
              </w:rPr>
            </w:pPr>
            <w:r w:rsidRPr="00EA2BB6">
              <w:rPr>
                <w:rFonts w:cstheme="minorHAnsi"/>
                <w:b/>
                <w:color w:val="000000"/>
                <w:sz w:val="18"/>
                <w:szCs w:val="20"/>
                <w:lang w:val="en-MY"/>
              </w:rPr>
              <w:t>Financial liabilities</w:t>
            </w:r>
          </w:p>
        </w:tc>
        <w:tc>
          <w:tcPr>
            <w:tcW w:w="1139" w:type="dxa"/>
            <w:vAlign w:val="bottom"/>
          </w:tcPr>
          <w:p w14:paraId="41353333" w14:textId="77777777" w:rsidR="001C6F66" w:rsidRPr="00EA2BB6" w:rsidRDefault="001C6F66" w:rsidP="00F432B9">
            <w:pPr>
              <w:tabs>
                <w:tab w:val="left" w:pos="288"/>
              </w:tabs>
              <w:autoSpaceDE w:val="0"/>
              <w:autoSpaceDN w:val="0"/>
              <w:adjustRightInd w:val="0"/>
              <w:spacing w:line="240" w:lineRule="auto"/>
              <w:jc w:val="right"/>
              <w:rPr>
                <w:rFonts w:cstheme="minorHAnsi"/>
                <w:color w:val="000000"/>
                <w:sz w:val="18"/>
                <w:szCs w:val="20"/>
                <w:lang w:val="en-MY"/>
              </w:rPr>
            </w:pPr>
          </w:p>
        </w:tc>
        <w:tc>
          <w:tcPr>
            <w:tcW w:w="283" w:type="dxa"/>
            <w:vAlign w:val="bottom"/>
          </w:tcPr>
          <w:p w14:paraId="30F9F290" w14:textId="77777777" w:rsidR="001C6F66" w:rsidRPr="00EA2BB6" w:rsidRDefault="001C6F66" w:rsidP="00F432B9">
            <w:pPr>
              <w:tabs>
                <w:tab w:val="left" w:pos="288"/>
              </w:tabs>
              <w:autoSpaceDE w:val="0"/>
              <w:autoSpaceDN w:val="0"/>
              <w:adjustRightInd w:val="0"/>
              <w:spacing w:line="240" w:lineRule="auto"/>
              <w:jc w:val="right"/>
              <w:rPr>
                <w:rFonts w:cstheme="minorHAnsi"/>
                <w:color w:val="000000"/>
                <w:sz w:val="18"/>
                <w:szCs w:val="20"/>
                <w:lang w:val="en-MY"/>
              </w:rPr>
            </w:pPr>
          </w:p>
        </w:tc>
        <w:tc>
          <w:tcPr>
            <w:tcW w:w="1134" w:type="dxa"/>
            <w:vAlign w:val="bottom"/>
          </w:tcPr>
          <w:p w14:paraId="7FDB3947" w14:textId="77777777" w:rsidR="001C6F66" w:rsidRPr="00EA2BB6" w:rsidRDefault="001C6F66" w:rsidP="00F432B9">
            <w:pPr>
              <w:tabs>
                <w:tab w:val="left" w:pos="288"/>
              </w:tabs>
              <w:autoSpaceDE w:val="0"/>
              <w:autoSpaceDN w:val="0"/>
              <w:adjustRightInd w:val="0"/>
              <w:spacing w:line="240" w:lineRule="auto"/>
              <w:jc w:val="right"/>
              <w:rPr>
                <w:rFonts w:cstheme="minorHAnsi"/>
                <w:color w:val="000000"/>
                <w:sz w:val="18"/>
                <w:szCs w:val="20"/>
                <w:lang w:val="en-MY"/>
              </w:rPr>
            </w:pPr>
          </w:p>
        </w:tc>
        <w:tc>
          <w:tcPr>
            <w:tcW w:w="284" w:type="dxa"/>
            <w:vAlign w:val="bottom"/>
          </w:tcPr>
          <w:p w14:paraId="18315720" w14:textId="77777777" w:rsidR="001C6F66" w:rsidRPr="00EA2BB6" w:rsidRDefault="001C6F66" w:rsidP="00F432B9">
            <w:pPr>
              <w:tabs>
                <w:tab w:val="left" w:pos="288"/>
              </w:tabs>
              <w:autoSpaceDE w:val="0"/>
              <w:autoSpaceDN w:val="0"/>
              <w:adjustRightInd w:val="0"/>
              <w:spacing w:line="240" w:lineRule="auto"/>
              <w:jc w:val="right"/>
              <w:rPr>
                <w:rFonts w:cstheme="minorHAnsi"/>
                <w:color w:val="000000"/>
                <w:sz w:val="18"/>
                <w:szCs w:val="20"/>
                <w:lang w:val="en-MY"/>
              </w:rPr>
            </w:pPr>
          </w:p>
        </w:tc>
        <w:tc>
          <w:tcPr>
            <w:tcW w:w="1275" w:type="dxa"/>
            <w:vAlign w:val="bottom"/>
          </w:tcPr>
          <w:p w14:paraId="37E823B1" w14:textId="77777777" w:rsidR="001C6F66" w:rsidRPr="00EA2BB6" w:rsidRDefault="001C6F66" w:rsidP="00F432B9">
            <w:pPr>
              <w:tabs>
                <w:tab w:val="left" w:pos="288"/>
              </w:tabs>
              <w:autoSpaceDE w:val="0"/>
              <w:autoSpaceDN w:val="0"/>
              <w:adjustRightInd w:val="0"/>
              <w:spacing w:line="240" w:lineRule="auto"/>
              <w:jc w:val="right"/>
              <w:rPr>
                <w:rFonts w:cstheme="minorHAnsi"/>
                <w:color w:val="000000"/>
                <w:sz w:val="18"/>
                <w:szCs w:val="20"/>
                <w:lang w:val="en-MY"/>
              </w:rPr>
            </w:pPr>
          </w:p>
        </w:tc>
        <w:tc>
          <w:tcPr>
            <w:tcW w:w="284" w:type="dxa"/>
            <w:vAlign w:val="bottom"/>
          </w:tcPr>
          <w:p w14:paraId="5FAE1890" w14:textId="77777777" w:rsidR="001C6F66" w:rsidRPr="00EA2BB6" w:rsidRDefault="001C6F66" w:rsidP="00F432B9">
            <w:pPr>
              <w:tabs>
                <w:tab w:val="left" w:pos="288"/>
              </w:tabs>
              <w:autoSpaceDE w:val="0"/>
              <w:autoSpaceDN w:val="0"/>
              <w:adjustRightInd w:val="0"/>
              <w:spacing w:line="240" w:lineRule="auto"/>
              <w:jc w:val="right"/>
              <w:rPr>
                <w:rFonts w:cstheme="minorHAnsi"/>
                <w:color w:val="000000"/>
                <w:sz w:val="18"/>
                <w:szCs w:val="20"/>
                <w:lang w:val="en-MY"/>
              </w:rPr>
            </w:pPr>
          </w:p>
        </w:tc>
        <w:tc>
          <w:tcPr>
            <w:tcW w:w="1134" w:type="dxa"/>
            <w:vAlign w:val="bottom"/>
          </w:tcPr>
          <w:p w14:paraId="34F12F4B" w14:textId="77777777" w:rsidR="001C6F66" w:rsidRPr="00EA2BB6" w:rsidRDefault="001C6F66" w:rsidP="00F432B9">
            <w:pPr>
              <w:tabs>
                <w:tab w:val="left" w:pos="288"/>
              </w:tabs>
              <w:autoSpaceDE w:val="0"/>
              <w:autoSpaceDN w:val="0"/>
              <w:adjustRightInd w:val="0"/>
              <w:spacing w:line="240" w:lineRule="auto"/>
              <w:jc w:val="right"/>
              <w:rPr>
                <w:rFonts w:cstheme="minorHAnsi"/>
                <w:color w:val="000000"/>
                <w:sz w:val="18"/>
                <w:szCs w:val="20"/>
                <w:lang w:val="en-MY"/>
              </w:rPr>
            </w:pPr>
          </w:p>
        </w:tc>
      </w:tr>
      <w:tr w:rsidR="00606E04" w:rsidRPr="009B546D" w14:paraId="758FB2E7" w14:textId="77777777" w:rsidTr="00EA2BB6">
        <w:trPr>
          <w:trHeight w:val="278"/>
        </w:trPr>
        <w:tc>
          <w:tcPr>
            <w:tcW w:w="2104" w:type="dxa"/>
            <w:vAlign w:val="bottom"/>
          </w:tcPr>
          <w:p w14:paraId="1A489835" w14:textId="1FB97301" w:rsidR="00606E04" w:rsidRPr="00EA2BB6" w:rsidRDefault="00606E04" w:rsidP="00606E04">
            <w:pPr>
              <w:tabs>
                <w:tab w:val="left" w:pos="288"/>
              </w:tabs>
              <w:autoSpaceDE w:val="0"/>
              <w:autoSpaceDN w:val="0"/>
              <w:adjustRightInd w:val="0"/>
              <w:spacing w:line="240" w:lineRule="auto"/>
              <w:ind w:left="144" w:hanging="144"/>
              <w:rPr>
                <w:rFonts w:cstheme="minorHAnsi"/>
                <w:bCs/>
                <w:color w:val="000000"/>
                <w:sz w:val="18"/>
                <w:szCs w:val="20"/>
                <w:lang w:val="en-MY"/>
              </w:rPr>
            </w:pPr>
            <w:r w:rsidRPr="00EA2BB6">
              <w:rPr>
                <w:rFonts w:cstheme="minorHAnsi"/>
                <w:color w:val="000000"/>
                <w:sz w:val="18"/>
                <w:szCs w:val="20"/>
                <w:lang w:val="en-MY"/>
              </w:rPr>
              <w:t>Amounts due to a shareholder</w:t>
            </w:r>
          </w:p>
        </w:tc>
        <w:tc>
          <w:tcPr>
            <w:tcW w:w="1139" w:type="dxa"/>
            <w:vAlign w:val="bottom"/>
          </w:tcPr>
          <w:p w14:paraId="6E03E3B2" w14:textId="287DBA9E"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rPr>
            </w:pPr>
            <w:r w:rsidRPr="00EA2BB6">
              <w:rPr>
                <w:rFonts w:cstheme="minorHAnsi"/>
                <w:color w:val="000000"/>
                <w:sz w:val="18"/>
                <w:szCs w:val="20"/>
                <w:lang w:val="en-MY"/>
              </w:rPr>
              <w:t>18,900</w:t>
            </w:r>
          </w:p>
        </w:tc>
        <w:tc>
          <w:tcPr>
            <w:tcW w:w="283" w:type="dxa"/>
            <w:vAlign w:val="bottom"/>
          </w:tcPr>
          <w:p w14:paraId="26431794" w14:textId="77777777"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lang w:val="en-MY"/>
              </w:rPr>
            </w:pPr>
          </w:p>
        </w:tc>
        <w:tc>
          <w:tcPr>
            <w:tcW w:w="1134" w:type="dxa"/>
            <w:vAlign w:val="bottom"/>
          </w:tcPr>
          <w:p w14:paraId="76EC629A" w14:textId="7A6CFD49"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rPr>
            </w:pPr>
            <w:r w:rsidRPr="00EA2BB6">
              <w:rPr>
                <w:rFonts w:cstheme="minorHAnsi"/>
                <w:color w:val="000000"/>
                <w:sz w:val="18"/>
                <w:szCs w:val="20"/>
                <w:lang w:val="en-MY"/>
              </w:rPr>
              <w:t>18.900</w:t>
            </w:r>
          </w:p>
        </w:tc>
        <w:tc>
          <w:tcPr>
            <w:tcW w:w="284" w:type="dxa"/>
            <w:vAlign w:val="bottom"/>
          </w:tcPr>
          <w:p w14:paraId="658FA5FA" w14:textId="77777777"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lang w:val="en-MY"/>
              </w:rPr>
            </w:pPr>
          </w:p>
        </w:tc>
        <w:tc>
          <w:tcPr>
            <w:tcW w:w="1275" w:type="dxa"/>
            <w:vAlign w:val="bottom"/>
          </w:tcPr>
          <w:p w14:paraId="52DF67B9" w14:textId="423DDB12"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rPr>
            </w:pPr>
            <w:r w:rsidRPr="00EA2BB6">
              <w:rPr>
                <w:rFonts w:cstheme="minorHAnsi"/>
                <w:color w:val="000000"/>
                <w:sz w:val="18"/>
                <w:szCs w:val="20"/>
                <w:lang w:val="en-MY"/>
              </w:rPr>
              <w:t>18,900</w:t>
            </w:r>
          </w:p>
        </w:tc>
        <w:tc>
          <w:tcPr>
            <w:tcW w:w="284" w:type="dxa"/>
            <w:vAlign w:val="bottom"/>
          </w:tcPr>
          <w:p w14:paraId="5F9B005E" w14:textId="77777777"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lang w:val="en-MY"/>
              </w:rPr>
            </w:pPr>
          </w:p>
        </w:tc>
        <w:tc>
          <w:tcPr>
            <w:tcW w:w="1134" w:type="dxa"/>
            <w:vAlign w:val="bottom"/>
          </w:tcPr>
          <w:p w14:paraId="586A0005" w14:textId="5A0A1DA0"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lang w:val="en-MY"/>
              </w:rPr>
            </w:pPr>
            <w:r w:rsidRPr="00EA2BB6">
              <w:rPr>
                <w:rFonts w:cstheme="minorHAnsi"/>
                <w:color w:val="000000"/>
                <w:sz w:val="18"/>
                <w:szCs w:val="20"/>
                <w:lang w:val="en-MY"/>
              </w:rPr>
              <w:t>-</w:t>
            </w:r>
          </w:p>
        </w:tc>
      </w:tr>
      <w:tr w:rsidR="00606E04" w:rsidRPr="009B546D" w14:paraId="5E9DADE5" w14:textId="77777777" w:rsidTr="00EA2BB6">
        <w:trPr>
          <w:trHeight w:val="278"/>
        </w:trPr>
        <w:tc>
          <w:tcPr>
            <w:tcW w:w="2104" w:type="dxa"/>
            <w:vAlign w:val="bottom"/>
          </w:tcPr>
          <w:p w14:paraId="6F8C20F2" w14:textId="511F6608" w:rsidR="00606E04" w:rsidRPr="00EA2BB6" w:rsidRDefault="00606E04" w:rsidP="00606E04">
            <w:pPr>
              <w:tabs>
                <w:tab w:val="left" w:pos="288"/>
              </w:tabs>
              <w:autoSpaceDE w:val="0"/>
              <w:autoSpaceDN w:val="0"/>
              <w:adjustRightInd w:val="0"/>
              <w:spacing w:line="240" w:lineRule="auto"/>
              <w:ind w:left="144" w:hanging="144"/>
              <w:rPr>
                <w:rFonts w:cstheme="minorHAnsi"/>
                <w:bCs/>
                <w:color w:val="000000"/>
                <w:sz w:val="18"/>
                <w:szCs w:val="20"/>
                <w:lang w:val="en-MY"/>
              </w:rPr>
            </w:pPr>
            <w:r w:rsidRPr="00EA2BB6">
              <w:rPr>
                <w:rFonts w:cstheme="minorHAnsi"/>
                <w:color w:val="000000"/>
                <w:sz w:val="18"/>
                <w:szCs w:val="20"/>
                <w:lang w:val="en-MY"/>
              </w:rPr>
              <w:t>Amounts due to a director</w:t>
            </w:r>
          </w:p>
        </w:tc>
        <w:tc>
          <w:tcPr>
            <w:tcW w:w="1139" w:type="dxa"/>
            <w:vAlign w:val="bottom"/>
          </w:tcPr>
          <w:p w14:paraId="6DD8E503" w14:textId="3C9A11C1"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rPr>
            </w:pPr>
            <w:r w:rsidRPr="00EA2BB6">
              <w:rPr>
                <w:rFonts w:cstheme="minorHAnsi"/>
                <w:color w:val="000000"/>
                <w:sz w:val="18"/>
                <w:szCs w:val="20"/>
                <w:lang w:val="en-MY"/>
              </w:rPr>
              <w:t>24,000</w:t>
            </w:r>
          </w:p>
        </w:tc>
        <w:tc>
          <w:tcPr>
            <w:tcW w:w="283" w:type="dxa"/>
            <w:vAlign w:val="bottom"/>
          </w:tcPr>
          <w:p w14:paraId="34D6A318" w14:textId="77777777"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lang w:val="en-MY"/>
              </w:rPr>
            </w:pPr>
          </w:p>
        </w:tc>
        <w:tc>
          <w:tcPr>
            <w:tcW w:w="1134" w:type="dxa"/>
            <w:vAlign w:val="bottom"/>
          </w:tcPr>
          <w:p w14:paraId="293BA510" w14:textId="7DA7F293"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rPr>
            </w:pPr>
            <w:r w:rsidRPr="00EA2BB6">
              <w:rPr>
                <w:rFonts w:cstheme="minorHAnsi"/>
                <w:color w:val="000000"/>
                <w:sz w:val="18"/>
                <w:szCs w:val="20"/>
                <w:lang w:val="en-MY"/>
              </w:rPr>
              <w:t>24,000</w:t>
            </w:r>
          </w:p>
        </w:tc>
        <w:tc>
          <w:tcPr>
            <w:tcW w:w="284" w:type="dxa"/>
            <w:vAlign w:val="bottom"/>
          </w:tcPr>
          <w:p w14:paraId="70382C61" w14:textId="77777777"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lang w:val="en-MY"/>
              </w:rPr>
            </w:pPr>
          </w:p>
        </w:tc>
        <w:tc>
          <w:tcPr>
            <w:tcW w:w="1275" w:type="dxa"/>
            <w:vAlign w:val="bottom"/>
          </w:tcPr>
          <w:p w14:paraId="360B6FB6" w14:textId="2F11ECF6"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rPr>
            </w:pPr>
            <w:r w:rsidRPr="00EA2BB6">
              <w:rPr>
                <w:rFonts w:cstheme="minorHAnsi"/>
                <w:color w:val="000000"/>
                <w:sz w:val="18"/>
                <w:szCs w:val="20"/>
                <w:lang w:val="en-MY"/>
              </w:rPr>
              <w:t>24,000</w:t>
            </w:r>
          </w:p>
        </w:tc>
        <w:tc>
          <w:tcPr>
            <w:tcW w:w="284" w:type="dxa"/>
            <w:vAlign w:val="bottom"/>
          </w:tcPr>
          <w:p w14:paraId="6FC9774D" w14:textId="77777777"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lang w:val="en-MY"/>
              </w:rPr>
            </w:pPr>
          </w:p>
        </w:tc>
        <w:tc>
          <w:tcPr>
            <w:tcW w:w="1134" w:type="dxa"/>
            <w:vAlign w:val="bottom"/>
          </w:tcPr>
          <w:p w14:paraId="1EF2AB2D" w14:textId="5DBC6112"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lang w:val="en-MY"/>
              </w:rPr>
            </w:pPr>
            <w:r w:rsidRPr="00EA2BB6">
              <w:rPr>
                <w:rFonts w:cstheme="minorHAnsi"/>
                <w:color w:val="000000"/>
                <w:sz w:val="18"/>
                <w:szCs w:val="20"/>
                <w:lang w:val="en-MY"/>
              </w:rPr>
              <w:t>-</w:t>
            </w:r>
          </w:p>
        </w:tc>
      </w:tr>
      <w:tr w:rsidR="00606E04" w:rsidRPr="009B546D" w14:paraId="31636095" w14:textId="77777777" w:rsidTr="00EA2BB6">
        <w:trPr>
          <w:trHeight w:val="278"/>
        </w:trPr>
        <w:tc>
          <w:tcPr>
            <w:tcW w:w="2104" w:type="dxa"/>
            <w:vAlign w:val="bottom"/>
            <w:hideMark/>
          </w:tcPr>
          <w:p w14:paraId="37FDC328" w14:textId="77777777" w:rsidR="00606E04" w:rsidRPr="00EA2BB6" w:rsidRDefault="00606E04" w:rsidP="00606E04">
            <w:pPr>
              <w:tabs>
                <w:tab w:val="left" w:pos="288"/>
              </w:tabs>
              <w:autoSpaceDE w:val="0"/>
              <w:autoSpaceDN w:val="0"/>
              <w:adjustRightInd w:val="0"/>
              <w:spacing w:line="240" w:lineRule="auto"/>
              <w:ind w:left="144" w:hanging="144"/>
              <w:rPr>
                <w:rFonts w:cstheme="minorHAnsi"/>
                <w:bCs/>
                <w:color w:val="000000"/>
                <w:sz w:val="18"/>
                <w:szCs w:val="20"/>
                <w:lang w:val="en-MY"/>
              </w:rPr>
            </w:pPr>
            <w:r w:rsidRPr="00EA2BB6">
              <w:rPr>
                <w:rFonts w:cstheme="minorHAnsi"/>
                <w:bCs/>
                <w:color w:val="000000"/>
                <w:sz w:val="18"/>
                <w:szCs w:val="20"/>
                <w:lang w:val="en-MY"/>
              </w:rPr>
              <w:t>Other payables and accruals</w:t>
            </w:r>
          </w:p>
        </w:tc>
        <w:tc>
          <w:tcPr>
            <w:tcW w:w="1139" w:type="dxa"/>
            <w:tcBorders>
              <w:bottom w:val="double" w:sz="6" w:space="0" w:color="auto"/>
            </w:tcBorders>
            <w:vAlign w:val="bottom"/>
            <w:hideMark/>
          </w:tcPr>
          <w:p w14:paraId="1D34AB1A" w14:textId="77777777"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rPr>
            </w:pPr>
            <w:r w:rsidRPr="00EA2BB6">
              <w:rPr>
                <w:rFonts w:cstheme="minorHAnsi"/>
                <w:color w:val="000000"/>
                <w:sz w:val="18"/>
                <w:szCs w:val="20"/>
              </w:rPr>
              <w:t>66,171</w:t>
            </w:r>
          </w:p>
        </w:tc>
        <w:tc>
          <w:tcPr>
            <w:tcW w:w="283" w:type="dxa"/>
            <w:vAlign w:val="bottom"/>
          </w:tcPr>
          <w:p w14:paraId="0894C88F" w14:textId="77777777"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lang w:val="en-MY"/>
              </w:rPr>
            </w:pPr>
          </w:p>
        </w:tc>
        <w:tc>
          <w:tcPr>
            <w:tcW w:w="1134" w:type="dxa"/>
            <w:tcBorders>
              <w:bottom w:val="double" w:sz="6" w:space="0" w:color="auto"/>
            </w:tcBorders>
            <w:vAlign w:val="bottom"/>
            <w:hideMark/>
          </w:tcPr>
          <w:p w14:paraId="4EDECDB2" w14:textId="77777777"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rPr>
            </w:pPr>
            <w:r w:rsidRPr="00EA2BB6">
              <w:rPr>
                <w:rFonts w:cstheme="minorHAnsi"/>
                <w:color w:val="000000"/>
                <w:sz w:val="18"/>
                <w:szCs w:val="20"/>
              </w:rPr>
              <w:t>66,171</w:t>
            </w:r>
          </w:p>
        </w:tc>
        <w:tc>
          <w:tcPr>
            <w:tcW w:w="284" w:type="dxa"/>
            <w:vAlign w:val="bottom"/>
          </w:tcPr>
          <w:p w14:paraId="548604E6" w14:textId="77777777"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lang w:val="en-MY"/>
              </w:rPr>
            </w:pPr>
          </w:p>
        </w:tc>
        <w:tc>
          <w:tcPr>
            <w:tcW w:w="1275" w:type="dxa"/>
            <w:tcBorders>
              <w:bottom w:val="double" w:sz="6" w:space="0" w:color="auto"/>
            </w:tcBorders>
            <w:vAlign w:val="bottom"/>
            <w:hideMark/>
          </w:tcPr>
          <w:p w14:paraId="3476C03A" w14:textId="77777777"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rPr>
            </w:pPr>
            <w:r w:rsidRPr="00EA2BB6">
              <w:rPr>
                <w:rFonts w:cstheme="minorHAnsi"/>
                <w:color w:val="000000"/>
                <w:sz w:val="18"/>
                <w:szCs w:val="20"/>
              </w:rPr>
              <w:t>66,171</w:t>
            </w:r>
          </w:p>
        </w:tc>
        <w:tc>
          <w:tcPr>
            <w:tcW w:w="284" w:type="dxa"/>
            <w:vAlign w:val="bottom"/>
          </w:tcPr>
          <w:p w14:paraId="4AB92E49" w14:textId="77777777"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lang w:val="en-MY"/>
              </w:rPr>
            </w:pPr>
          </w:p>
        </w:tc>
        <w:tc>
          <w:tcPr>
            <w:tcW w:w="1134" w:type="dxa"/>
            <w:tcBorders>
              <w:bottom w:val="double" w:sz="6" w:space="0" w:color="auto"/>
            </w:tcBorders>
            <w:vAlign w:val="bottom"/>
            <w:hideMark/>
          </w:tcPr>
          <w:p w14:paraId="3D318FB8" w14:textId="77777777" w:rsidR="00606E04" w:rsidRPr="00EA2BB6" w:rsidRDefault="00606E04" w:rsidP="00606E04">
            <w:pPr>
              <w:tabs>
                <w:tab w:val="left" w:pos="288"/>
              </w:tabs>
              <w:autoSpaceDE w:val="0"/>
              <w:autoSpaceDN w:val="0"/>
              <w:adjustRightInd w:val="0"/>
              <w:spacing w:line="240" w:lineRule="auto"/>
              <w:ind w:right="72"/>
              <w:jc w:val="right"/>
              <w:rPr>
                <w:rFonts w:cstheme="minorHAnsi"/>
                <w:color w:val="000000"/>
                <w:sz w:val="18"/>
                <w:szCs w:val="20"/>
                <w:lang w:val="en-MY"/>
              </w:rPr>
            </w:pPr>
            <w:r w:rsidRPr="00EA2BB6">
              <w:rPr>
                <w:rFonts w:cstheme="minorHAnsi"/>
                <w:color w:val="000000"/>
                <w:sz w:val="18"/>
                <w:szCs w:val="20"/>
                <w:lang w:val="en-MY"/>
              </w:rPr>
              <w:t>-</w:t>
            </w:r>
          </w:p>
        </w:tc>
      </w:tr>
    </w:tbl>
    <w:p w14:paraId="4C7D0CB2" w14:textId="77777777" w:rsidR="001C6F66" w:rsidRPr="009B546D" w:rsidRDefault="001C6F66" w:rsidP="00F432B9">
      <w:pPr>
        <w:keepNext/>
        <w:keepLines/>
        <w:tabs>
          <w:tab w:val="left" w:pos="1152"/>
        </w:tabs>
        <w:spacing w:line="240" w:lineRule="auto"/>
        <w:ind w:left="1152"/>
        <w:rPr>
          <w:rFonts w:cstheme="minorHAnsi"/>
          <w:b/>
          <w:smallCaps/>
        </w:rPr>
      </w:pPr>
    </w:p>
    <w:p w14:paraId="745CD6F6" w14:textId="77777777" w:rsidR="001C6F66" w:rsidRPr="009B546D" w:rsidRDefault="001C6F66" w:rsidP="00496B89">
      <w:pPr>
        <w:pStyle w:val="ListParagraph"/>
        <w:widowControl/>
        <w:numPr>
          <w:ilvl w:val="1"/>
          <w:numId w:val="35"/>
        </w:numPr>
        <w:spacing w:after="220"/>
        <w:rPr>
          <w:rFonts w:asciiTheme="minorHAnsi" w:hAnsiTheme="minorHAnsi" w:cstheme="minorHAnsi"/>
          <w:b/>
          <w:smallCaps/>
          <w:sz w:val="20"/>
        </w:rPr>
      </w:pPr>
      <w:r w:rsidRPr="009B546D">
        <w:rPr>
          <w:rFonts w:asciiTheme="minorHAnsi" w:hAnsiTheme="minorHAnsi" w:cstheme="minorHAnsi"/>
          <w:b/>
          <w:smallCaps/>
          <w:sz w:val="20"/>
        </w:rPr>
        <w:t>Capital risk management</w:t>
      </w:r>
    </w:p>
    <w:p w14:paraId="72DEEDFE" w14:textId="05F03B6C" w:rsidR="001C6F66" w:rsidRPr="009B546D" w:rsidRDefault="001C6F66" w:rsidP="00606E04">
      <w:pPr>
        <w:keepNext/>
        <w:keepLines/>
        <w:tabs>
          <w:tab w:val="left" w:pos="1152"/>
        </w:tabs>
        <w:spacing w:line="240" w:lineRule="auto"/>
        <w:ind w:left="1152"/>
        <w:rPr>
          <w:rFonts w:cstheme="minorHAnsi"/>
        </w:rPr>
      </w:pPr>
      <w:r w:rsidRPr="009B546D">
        <w:rPr>
          <w:rFonts w:cstheme="minorHAnsi"/>
        </w:rPr>
        <w:t>Alchemist manages its capital to ensure that it will be able to continue as a going concern while maximising the return to shareholders through the optimisation of the equity balance.</w:t>
      </w:r>
      <w:r w:rsidR="00B575FC">
        <w:rPr>
          <w:rFonts w:cstheme="minorHAnsi"/>
        </w:rPr>
        <w:t xml:space="preserve"> </w:t>
      </w:r>
      <w:r w:rsidRPr="009B546D">
        <w:rPr>
          <w:rFonts w:cstheme="minorHAnsi"/>
        </w:rPr>
        <w:t>Alchemist’s overall strategy remains unchanged from incorporation.</w:t>
      </w:r>
      <w:r w:rsidR="00B575FC">
        <w:rPr>
          <w:rFonts w:cstheme="minorHAnsi"/>
        </w:rPr>
        <w:t xml:space="preserve"> </w:t>
      </w:r>
      <w:r w:rsidRPr="009B546D">
        <w:rPr>
          <w:rFonts w:cstheme="minorHAnsi"/>
        </w:rPr>
        <w:t>The Capital structure of Alchemist consists of equity only comprising retained earnings and share capital.</w:t>
      </w:r>
    </w:p>
    <w:p w14:paraId="6D5D30E4" w14:textId="77777777" w:rsidR="001C6F66" w:rsidRPr="009B546D" w:rsidRDefault="001C6F66" w:rsidP="00F432B9">
      <w:pPr>
        <w:keepNext/>
        <w:keepLines/>
        <w:tabs>
          <w:tab w:val="left" w:pos="1152"/>
        </w:tabs>
        <w:spacing w:line="240" w:lineRule="auto"/>
        <w:ind w:left="1152"/>
        <w:rPr>
          <w:rFonts w:cstheme="minorHAnsi"/>
        </w:rPr>
      </w:pPr>
      <w:r w:rsidRPr="009B546D">
        <w:rPr>
          <w:rFonts w:cstheme="minorHAnsi"/>
        </w:rPr>
        <w:t>Alchemist is not subject to any externally imposed capital requirements.</w:t>
      </w:r>
    </w:p>
    <w:p w14:paraId="2B299257" w14:textId="77777777" w:rsidR="001C6F66" w:rsidRPr="009B546D" w:rsidRDefault="001C6F66" w:rsidP="00F432B9">
      <w:pPr>
        <w:keepNext/>
        <w:keepLines/>
        <w:tabs>
          <w:tab w:val="left" w:pos="1152"/>
        </w:tabs>
        <w:spacing w:line="240" w:lineRule="auto"/>
        <w:ind w:left="1152"/>
        <w:rPr>
          <w:rFonts w:cstheme="minorHAnsi"/>
          <w:b/>
          <w:smallCaps/>
        </w:rPr>
      </w:pPr>
    </w:p>
    <w:p w14:paraId="74DFE2A7" w14:textId="77777777" w:rsidR="001C6F66" w:rsidRPr="009B546D" w:rsidRDefault="001C6F66" w:rsidP="00F432B9">
      <w:pPr>
        <w:spacing w:line="240" w:lineRule="auto"/>
        <w:jc w:val="left"/>
        <w:rPr>
          <w:rFonts w:cstheme="minorHAnsi"/>
          <w:b/>
          <w:caps/>
        </w:rPr>
      </w:pPr>
      <w:r w:rsidRPr="009B546D">
        <w:rPr>
          <w:rFonts w:cstheme="minorHAnsi"/>
          <w:b/>
          <w:caps/>
        </w:rPr>
        <w:br w:type="page"/>
      </w:r>
    </w:p>
    <w:p w14:paraId="4C0712B5" w14:textId="77777777" w:rsidR="001C6F66" w:rsidRPr="009B546D" w:rsidRDefault="001C6F66" w:rsidP="00F432B9">
      <w:pPr>
        <w:spacing w:line="240" w:lineRule="auto"/>
        <w:jc w:val="left"/>
        <w:rPr>
          <w:rFonts w:cstheme="minorHAnsi"/>
          <w:b/>
          <w:caps/>
        </w:rPr>
      </w:pPr>
      <w:r w:rsidRPr="009B546D">
        <w:rPr>
          <w:rFonts w:cstheme="minorHAnsi"/>
          <w:b/>
          <w:caps/>
        </w:rPr>
        <w:lastRenderedPageBreak/>
        <w:t>n</w:t>
      </w:r>
      <w:r w:rsidRPr="009B546D">
        <w:rPr>
          <w:rFonts w:cstheme="minorHAnsi"/>
          <w:b/>
        </w:rPr>
        <w:t>otes to the financial information</w:t>
      </w:r>
    </w:p>
    <w:p w14:paraId="46659547" w14:textId="77777777" w:rsidR="001C6F66" w:rsidRPr="009B546D" w:rsidRDefault="001C6F66" w:rsidP="00F432B9">
      <w:pPr>
        <w:spacing w:line="240" w:lineRule="auto"/>
        <w:jc w:val="left"/>
        <w:rPr>
          <w:rFonts w:cstheme="minorHAnsi"/>
          <w:b/>
          <w:caps/>
        </w:rPr>
      </w:pPr>
      <w:r w:rsidRPr="009B546D">
        <w:rPr>
          <w:rFonts w:cstheme="minorHAnsi"/>
          <w:b/>
          <w:caps/>
        </w:rPr>
        <w:t>F</w:t>
      </w:r>
      <w:r w:rsidRPr="009B546D">
        <w:rPr>
          <w:rFonts w:cstheme="minorHAnsi"/>
          <w:b/>
        </w:rPr>
        <w:t xml:space="preserve">or the </w:t>
      </w:r>
      <w:r w:rsidRPr="009B546D">
        <w:rPr>
          <w:rFonts w:cstheme="minorHAnsi"/>
          <w:b/>
          <w:caps/>
        </w:rPr>
        <w:fldChar w:fldCharType="begin"/>
      </w:r>
      <w:r w:rsidRPr="009B546D">
        <w:rPr>
          <w:rFonts w:cstheme="minorHAnsi"/>
          <w:b/>
          <w:caps/>
        </w:rPr>
        <w:instrText xml:space="preserve"> DOCPROPERTY  "Fin year/period (for cover page)"\* Caps \* MERGEFORMAT </w:instrText>
      </w:r>
      <w:r w:rsidRPr="009B546D">
        <w:rPr>
          <w:rFonts w:cstheme="minorHAnsi"/>
          <w:b/>
          <w:caps/>
        </w:rPr>
        <w:fldChar w:fldCharType="separate"/>
      </w:r>
      <w:r w:rsidRPr="009B546D">
        <w:rPr>
          <w:rFonts w:cstheme="minorHAnsi"/>
          <w:b/>
        </w:rPr>
        <w:t>financial period ended from 17 April 2018 (date of incorporation) to 30 April 2019</w:t>
      </w:r>
      <w:r w:rsidRPr="009B546D">
        <w:rPr>
          <w:rFonts w:cstheme="minorHAnsi"/>
          <w:b/>
          <w:caps/>
        </w:rPr>
        <w:fldChar w:fldCharType="end"/>
      </w:r>
      <w:r w:rsidRPr="00384557">
        <w:rPr>
          <w:rFonts w:cstheme="minorHAnsi"/>
          <w:b/>
          <w:caps/>
        </w:rPr>
        <w:t xml:space="preserve"> (</w:t>
      </w:r>
      <w:r w:rsidRPr="009B546D">
        <w:rPr>
          <w:rFonts w:cstheme="minorHAnsi"/>
          <w:b/>
          <w:i/>
        </w:rPr>
        <w:t>continued)</w:t>
      </w:r>
    </w:p>
    <w:p w14:paraId="421C915F" w14:textId="77777777" w:rsidR="001C6F66" w:rsidRPr="009B546D" w:rsidRDefault="001C6F66" w:rsidP="00F432B9">
      <w:pPr>
        <w:pBdr>
          <w:bottom w:val="single" w:sz="6" w:space="1" w:color="auto"/>
        </w:pBdr>
        <w:spacing w:line="240" w:lineRule="auto"/>
        <w:jc w:val="right"/>
        <w:rPr>
          <w:rFonts w:cstheme="minorHAnsi"/>
        </w:rPr>
      </w:pPr>
    </w:p>
    <w:p w14:paraId="5D01B56A" w14:textId="77777777" w:rsidR="001C6F66" w:rsidRPr="009B546D" w:rsidRDefault="001C6F66" w:rsidP="00F432B9">
      <w:pPr>
        <w:spacing w:line="240" w:lineRule="auto"/>
        <w:rPr>
          <w:rFonts w:cstheme="minorHAnsi"/>
        </w:rPr>
      </w:pPr>
    </w:p>
    <w:p w14:paraId="25997D6C" w14:textId="77777777" w:rsidR="001C6F66" w:rsidRPr="009B546D" w:rsidRDefault="001C6F66" w:rsidP="00496B89">
      <w:pPr>
        <w:pStyle w:val="ListParagraph"/>
        <w:spacing w:after="220"/>
        <w:ind w:left="576"/>
        <w:rPr>
          <w:rFonts w:asciiTheme="minorHAnsi" w:hAnsiTheme="minorHAnsi" w:cstheme="minorHAnsi"/>
          <w:b/>
          <w:sz w:val="20"/>
        </w:rPr>
      </w:pPr>
    </w:p>
    <w:p w14:paraId="0C6D70E1" w14:textId="77777777" w:rsidR="001C6F66" w:rsidRPr="009B546D" w:rsidRDefault="001C6F66" w:rsidP="00F432B9">
      <w:pPr>
        <w:pStyle w:val="ListParagraph"/>
        <w:widowControl/>
        <w:numPr>
          <w:ilvl w:val="0"/>
          <w:numId w:val="35"/>
        </w:numPr>
        <w:spacing w:after="220"/>
        <w:rPr>
          <w:rFonts w:asciiTheme="minorHAnsi" w:hAnsiTheme="minorHAnsi" w:cstheme="minorHAnsi"/>
          <w:b/>
          <w:sz w:val="20"/>
        </w:rPr>
      </w:pPr>
      <w:r w:rsidRPr="009B546D">
        <w:rPr>
          <w:rFonts w:asciiTheme="minorHAnsi" w:hAnsiTheme="minorHAnsi" w:cstheme="minorHAnsi"/>
          <w:b/>
          <w:sz w:val="20"/>
          <w:lang w:val="en-US"/>
        </w:rPr>
        <w:t>CRITICAL</w:t>
      </w:r>
      <w:r w:rsidRPr="009B546D">
        <w:rPr>
          <w:rFonts w:asciiTheme="minorHAnsi" w:hAnsiTheme="minorHAnsi" w:cstheme="minorHAnsi"/>
          <w:b/>
          <w:sz w:val="20"/>
        </w:rPr>
        <w:t xml:space="preserve"> ACCOUNTING JUDGEMENT AND KEY SOURCE OF ESTIMATION UNCERTAINTY</w:t>
      </w:r>
    </w:p>
    <w:p w14:paraId="5D9016A4" w14:textId="77777777" w:rsidR="001C6F66" w:rsidRPr="009B546D" w:rsidRDefault="001C6F66" w:rsidP="00F432B9">
      <w:pPr>
        <w:spacing w:after="220" w:line="240" w:lineRule="auto"/>
        <w:ind w:left="576"/>
        <w:rPr>
          <w:rFonts w:cstheme="minorHAnsi"/>
        </w:rPr>
      </w:pPr>
      <w:r w:rsidRPr="009B546D">
        <w:rPr>
          <w:rFonts w:cstheme="minorHAnsi"/>
        </w:rPr>
        <w:t>Estimates and judgements are continually evaluated by the directors and are based on historical experience and other factors, including expectations of future events that are believed to be reasonable under the circumstances.</w:t>
      </w:r>
    </w:p>
    <w:p w14:paraId="7BC1868A" w14:textId="77777777" w:rsidR="001C6F66" w:rsidRPr="009B546D" w:rsidRDefault="001C6F66" w:rsidP="00496B89">
      <w:pPr>
        <w:keepNext/>
        <w:keepLines/>
        <w:numPr>
          <w:ilvl w:val="1"/>
          <w:numId w:val="35"/>
        </w:numPr>
        <w:tabs>
          <w:tab w:val="left" w:pos="1152"/>
        </w:tabs>
        <w:spacing w:after="220" w:line="240" w:lineRule="auto"/>
        <w:rPr>
          <w:rFonts w:cstheme="minorHAnsi"/>
          <w:b/>
        </w:rPr>
      </w:pPr>
      <w:r w:rsidRPr="009B546D">
        <w:rPr>
          <w:rFonts w:cstheme="minorHAnsi"/>
          <w:b/>
        </w:rPr>
        <w:t>Critical Judgement in Applying the Accounting Policies</w:t>
      </w:r>
    </w:p>
    <w:p w14:paraId="4A534ABA" w14:textId="77777777" w:rsidR="001C6F66" w:rsidRPr="009B546D" w:rsidRDefault="001C6F66" w:rsidP="00F432B9">
      <w:pPr>
        <w:spacing w:line="240" w:lineRule="auto"/>
        <w:ind w:left="1152"/>
        <w:rPr>
          <w:rFonts w:cstheme="minorHAnsi"/>
        </w:rPr>
      </w:pPr>
      <w:r w:rsidRPr="009B546D">
        <w:rPr>
          <w:rFonts w:cstheme="minorHAnsi"/>
        </w:rPr>
        <w:t>In the process of applying Alchemist’s accounting policies, which are described in Note 3 above, management is of the opinion that there are no instances of application of judgement which are expected to have a significant effect on the amounts recognised in the financial information.</w:t>
      </w:r>
    </w:p>
    <w:p w14:paraId="78669F4D" w14:textId="77777777" w:rsidR="001C6F66" w:rsidRPr="009B546D" w:rsidRDefault="001C6F66" w:rsidP="00F432B9">
      <w:pPr>
        <w:keepNext/>
        <w:keepLines/>
        <w:tabs>
          <w:tab w:val="left" w:pos="1152"/>
        </w:tabs>
        <w:spacing w:line="240" w:lineRule="auto"/>
        <w:ind w:left="1152"/>
        <w:rPr>
          <w:rFonts w:cstheme="minorHAnsi"/>
          <w:b/>
          <w:smallCaps/>
        </w:rPr>
      </w:pPr>
    </w:p>
    <w:p w14:paraId="7886BB56" w14:textId="77777777" w:rsidR="00D45B5A" w:rsidRPr="009B546D" w:rsidRDefault="001C6F66" w:rsidP="00496B89">
      <w:pPr>
        <w:keepNext/>
        <w:keepLines/>
        <w:numPr>
          <w:ilvl w:val="1"/>
          <w:numId w:val="35"/>
        </w:numPr>
        <w:tabs>
          <w:tab w:val="left" w:pos="1152"/>
        </w:tabs>
        <w:spacing w:after="220" w:line="240" w:lineRule="auto"/>
        <w:rPr>
          <w:rFonts w:eastAsia="Calibri" w:cstheme="minorHAnsi"/>
          <w:lang w:val="en-MY"/>
        </w:rPr>
      </w:pPr>
      <w:r w:rsidRPr="009B546D">
        <w:rPr>
          <w:rFonts w:eastAsia="Calibri" w:cstheme="minorHAnsi"/>
          <w:b/>
          <w:lang w:val="en-MY"/>
        </w:rPr>
        <w:t>Key sources of estimation uncertainty</w:t>
      </w:r>
    </w:p>
    <w:p w14:paraId="4AB3B36D" w14:textId="6FCF2336" w:rsidR="00D45B5A" w:rsidRPr="009B546D" w:rsidRDefault="00D45B5A" w:rsidP="00F432B9">
      <w:pPr>
        <w:keepNext/>
        <w:keepLines/>
        <w:tabs>
          <w:tab w:val="left" w:pos="1152"/>
        </w:tabs>
        <w:spacing w:after="220" w:line="240" w:lineRule="auto"/>
        <w:ind w:left="1152"/>
        <w:rPr>
          <w:rFonts w:eastAsia="Calibri" w:cstheme="minorHAnsi"/>
          <w:bCs/>
          <w:color w:val="0D0D0D" w:themeColor="text1" w:themeTint="F2"/>
          <w:lang w:val="en-MY"/>
        </w:rPr>
      </w:pPr>
      <w:r w:rsidRPr="009B546D">
        <w:rPr>
          <w:rFonts w:cstheme="minorHAnsi"/>
          <w:bCs/>
          <w:color w:val="0D0D0D" w:themeColor="text1" w:themeTint="F2"/>
        </w:rPr>
        <w:t>Management consider there are no key sources of estimation uncertainty at the end of the reporting period that are expected to have a significant risk of causing a material adjustment to the carrying amounts of assets and liabilities within the next financial year.</w:t>
      </w:r>
    </w:p>
    <w:p w14:paraId="08A956F1" w14:textId="77777777" w:rsidR="001C6F66" w:rsidRPr="009B546D" w:rsidRDefault="001C6F66" w:rsidP="00F432B9">
      <w:pPr>
        <w:spacing w:line="240" w:lineRule="auto"/>
        <w:rPr>
          <w:rFonts w:cstheme="minorHAnsi"/>
          <w:b/>
        </w:rPr>
      </w:pPr>
    </w:p>
    <w:p w14:paraId="623EC09F" w14:textId="061FEBE7" w:rsidR="001C6F66" w:rsidRPr="009B546D" w:rsidRDefault="001C6F66" w:rsidP="00F432B9">
      <w:pPr>
        <w:spacing w:line="240" w:lineRule="auto"/>
        <w:ind w:left="1152"/>
        <w:rPr>
          <w:rFonts w:cstheme="minorHAnsi"/>
        </w:rPr>
      </w:pPr>
      <w:r w:rsidRPr="009B546D">
        <w:rPr>
          <w:rFonts w:cstheme="minorHAnsi"/>
        </w:rPr>
        <w:br w:type="page"/>
      </w:r>
    </w:p>
    <w:p w14:paraId="1C707492" w14:textId="77777777" w:rsidR="001C6F66" w:rsidRPr="009B546D" w:rsidRDefault="001C6F66" w:rsidP="00F432B9">
      <w:pPr>
        <w:spacing w:line="240" w:lineRule="auto"/>
        <w:rPr>
          <w:rFonts w:cstheme="minorHAnsi"/>
          <w:b/>
          <w:caps/>
        </w:rPr>
      </w:pPr>
      <w:r w:rsidRPr="009B546D">
        <w:rPr>
          <w:rFonts w:cstheme="minorHAnsi"/>
          <w:b/>
          <w:caps/>
        </w:rPr>
        <w:lastRenderedPageBreak/>
        <w:t>n</w:t>
      </w:r>
      <w:r w:rsidRPr="009B546D">
        <w:rPr>
          <w:rFonts w:cstheme="minorHAnsi"/>
          <w:b/>
        </w:rPr>
        <w:t>otes to the financial information</w:t>
      </w:r>
    </w:p>
    <w:p w14:paraId="2134D298" w14:textId="77777777" w:rsidR="001C6F66" w:rsidRPr="009B546D" w:rsidRDefault="001C6F66" w:rsidP="00F432B9">
      <w:pPr>
        <w:spacing w:line="240" w:lineRule="auto"/>
        <w:rPr>
          <w:rFonts w:cstheme="minorHAnsi"/>
          <w:b/>
          <w:caps/>
        </w:rPr>
      </w:pPr>
      <w:r w:rsidRPr="009B546D">
        <w:rPr>
          <w:rFonts w:cstheme="minorHAnsi"/>
          <w:b/>
          <w:caps/>
        </w:rPr>
        <w:t>F</w:t>
      </w:r>
      <w:r w:rsidRPr="009B546D">
        <w:rPr>
          <w:rFonts w:cstheme="minorHAnsi"/>
          <w:b/>
        </w:rPr>
        <w:t xml:space="preserve">or the </w:t>
      </w:r>
      <w:r w:rsidRPr="009B546D">
        <w:rPr>
          <w:rFonts w:cstheme="minorHAnsi"/>
          <w:b/>
          <w:caps/>
        </w:rPr>
        <w:fldChar w:fldCharType="begin"/>
      </w:r>
      <w:r w:rsidRPr="009B546D">
        <w:rPr>
          <w:rFonts w:cstheme="minorHAnsi"/>
          <w:b/>
          <w:caps/>
        </w:rPr>
        <w:instrText xml:space="preserve"> DOCPROPERTY  "Fin year/period (for cover page)"\* Caps \* MERGEFORMAT </w:instrText>
      </w:r>
      <w:r w:rsidRPr="009B546D">
        <w:rPr>
          <w:rFonts w:cstheme="minorHAnsi"/>
          <w:b/>
          <w:caps/>
        </w:rPr>
        <w:fldChar w:fldCharType="separate"/>
      </w:r>
      <w:r w:rsidRPr="009B546D">
        <w:rPr>
          <w:rFonts w:cstheme="minorHAnsi"/>
          <w:b/>
        </w:rPr>
        <w:t>financial period ended from 17 April 2018 (date of incorporation) to 30 April 2019</w:t>
      </w:r>
      <w:r w:rsidRPr="009B546D">
        <w:rPr>
          <w:rFonts w:cstheme="minorHAnsi"/>
          <w:b/>
          <w:caps/>
        </w:rPr>
        <w:fldChar w:fldCharType="end"/>
      </w:r>
      <w:r w:rsidRPr="00384557">
        <w:rPr>
          <w:rFonts w:cstheme="minorHAnsi"/>
          <w:b/>
          <w:caps/>
        </w:rPr>
        <w:t xml:space="preserve"> (</w:t>
      </w:r>
      <w:r w:rsidRPr="009B546D">
        <w:rPr>
          <w:rFonts w:cstheme="minorHAnsi"/>
          <w:b/>
          <w:i/>
        </w:rPr>
        <w:t>continued)</w:t>
      </w:r>
    </w:p>
    <w:p w14:paraId="027FC4A0" w14:textId="77777777" w:rsidR="001C6F66" w:rsidRPr="009B546D" w:rsidRDefault="001C6F66" w:rsidP="00F432B9">
      <w:pPr>
        <w:pBdr>
          <w:bottom w:val="single" w:sz="6" w:space="1" w:color="auto"/>
        </w:pBdr>
        <w:spacing w:line="240" w:lineRule="auto"/>
        <w:jc w:val="right"/>
        <w:rPr>
          <w:rFonts w:cstheme="minorHAnsi"/>
        </w:rPr>
      </w:pPr>
    </w:p>
    <w:p w14:paraId="7AA6D276" w14:textId="77777777" w:rsidR="001C6F66" w:rsidRPr="009B546D" w:rsidRDefault="001C6F66" w:rsidP="00F432B9">
      <w:pPr>
        <w:spacing w:line="240" w:lineRule="auto"/>
        <w:rPr>
          <w:rFonts w:cstheme="minorHAnsi"/>
        </w:rPr>
      </w:pPr>
    </w:p>
    <w:p w14:paraId="6CE4FCBE" w14:textId="77777777" w:rsidR="001C6F66" w:rsidRPr="009B546D" w:rsidRDefault="001C6F66" w:rsidP="00496B89">
      <w:pPr>
        <w:pStyle w:val="ListParagraph"/>
        <w:widowControl/>
        <w:numPr>
          <w:ilvl w:val="0"/>
          <w:numId w:val="35"/>
        </w:numPr>
        <w:spacing w:after="220"/>
        <w:rPr>
          <w:rFonts w:asciiTheme="minorHAnsi" w:hAnsiTheme="minorHAnsi" w:cstheme="minorHAnsi"/>
          <w:b/>
          <w:caps/>
          <w:sz w:val="20"/>
        </w:rPr>
      </w:pPr>
      <w:r w:rsidRPr="009B546D">
        <w:rPr>
          <w:rFonts w:asciiTheme="minorHAnsi" w:hAnsiTheme="minorHAnsi" w:cstheme="minorHAnsi"/>
          <w:b/>
          <w:caps/>
          <w:sz w:val="20"/>
        </w:rPr>
        <w:t>PLANT AND EQUIPMENT</w:t>
      </w:r>
    </w:p>
    <w:tbl>
      <w:tblPr>
        <w:tblW w:w="8814" w:type="dxa"/>
        <w:tblInd w:w="576" w:type="dxa"/>
        <w:shd w:val="clear" w:color="000000" w:fill="auto"/>
        <w:tblLayout w:type="fixed"/>
        <w:tblCellMar>
          <w:left w:w="30" w:type="dxa"/>
          <w:right w:w="30" w:type="dxa"/>
        </w:tblCellMar>
        <w:tblLook w:val="0000" w:firstRow="0" w:lastRow="0" w:firstColumn="0" w:lastColumn="0" w:noHBand="0" w:noVBand="0"/>
      </w:tblPr>
      <w:tblGrid>
        <w:gridCol w:w="3393"/>
        <w:gridCol w:w="651"/>
        <w:gridCol w:w="1050"/>
        <w:gridCol w:w="480"/>
        <w:gridCol w:w="938"/>
        <w:gridCol w:w="142"/>
        <w:gridCol w:w="450"/>
        <w:gridCol w:w="1251"/>
        <w:gridCol w:w="459"/>
      </w:tblGrid>
      <w:tr w:rsidR="001C6F66" w:rsidRPr="009B546D" w14:paraId="08DDFEF1" w14:textId="77777777" w:rsidTr="00EA2BB6">
        <w:trPr>
          <w:gridAfter w:val="1"/>
          <w:wAfter w:w="459" w:type="dxa"/>
          <w:trHeight w:val="542"/>
        </w:trPr>
        <w:tc>
          <w:tcPr>
            <w:tcW w:w="3393" w:type="dxa"/>
            <w:tcBorders>
              <w:top w:val="nil"/>
              <w:left w:val="nil"/>
              <w:bottom w:val="nil"/>
              <w:right w:val="nil"/>
            </w:tcBorders>
            <w:shd w:val="clear" w:color="000000" w:fill="auto"/>
            <w:vAlign w:val="bottom"/>
          </w:tcPr>
          <w:p w14:paraId="27C0E9F4" w14:textId="77777777" w:rsidR="001C6F66" w:rsidRPr="009B546D" w:rsidRDefault="001C6F66" w:rsidP="00F432B9">
            <w:pPr>
              <w:tabs>
                <w:tab w:val="left" w:pos="288"/>
              </w:tabs>
              <w:autoSpaceDE w:val="0"/>
              <w:autoSpaceDN w:val="0"/>
              <w:adjustRightInd w:val="0"/>
              <w:spacing w:after="0" w:line="240" w:lineRule="auto"/>
              <w:jc w:val="center"/>
              <w:rPr>
                <w:rFonts w:cstheme="minorHAnsi"/>
                <w:color w:val="000000"/>
              </w:rPr>
            </w:pPr>
            <w:bookmarkStart w:id="46" w:name="_rMPropertiesPlantEquipment"/>
          </w:p>
        </w:tc>
        <w:tc>
          <w:tcPr>
            <w:tcW w:w="1701" w:type="dxa"/>
            <w:gridSpan w:val="2"/>
            <w:tcBorders>
              <w:top w:val="nil"/>
              <w:left w:val="nil"/>
              <w:bottom w:val="nil"/>
              <w:right w:val="nil"/>
            </w:tcBorders>
            <w:shd w:val="clear" w:color="000000" w:fill="auto"/>
            <w:vAlign w:val="bottom"/>
          </w:tcPr>
          <w:p w14:paraId="2EDC02E5"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As at 17 April 2018</w:t>
            </w:r>
          </w:p>
        </w:tc>
        <w:tc>
          <w:tcPr>
            <w:tcW w:w="1560" w:type="dxa"/>
            <w:gridSpan w:val="3"/>
            <w:tcBorders>
              <w:top w:val="nil"/>
              <w:left w:val="nil"/>
              <w:bottom w:val="nil"/>
              <w:right w:val="nil"/>
            </w:tcBorders>
            <w:shd w:val="clear" w:color="000000" w:fill="auto"/>
            <w:vAlign w:val="bottom"/>
          </w:tcPr>
          <w:p w14:paraId="4967C915"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Additions</w:t>
            </w:r>
          </w:p>
        </w:tc>
        <w:tc>
          <w:tcPr>
            <w:tcW w:w="1701" w:type="dxa"/>
            <w:gridSpan w:val="2"/>
            <w:tcBorders>
              <w:top w:val="nil"/>
              <w:left w:val="nil"/>
              <w:bottom w:val="nil"/>
              <w:right w:val="nil"/>
            </w:tcBorders>
            <w:shd w:val="clear" w:color="000000" w:fill="auto"/>
            <w:vAlign w:val="bottom"/>
          </w:tcPr>
          <w:p w14:paraId="2D9A05D1"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As at 30 April 2019</w:t>
            </w:r>
          </w:p>
        </w:tc>
      </w:tr>
      <w:tr w:rsidR="001C6F66" w:rsidRPr="009B546D" w14:paraId="5D4C7ABE" w14:textId="77777777" w:rsidTr="00EA2BB6">
        <w:trPr>
          <w:gridAfter w:val="1"/>
          <w:wAfter w:w="459" w:type="dxa"/>
          <w:trHeight w:val="278"/>
        </w:trPr>
        <w:tc>
          <w:tcPr>
            <w:tcW w:w="3393" w:type="dxa"/>
            <w:tcBorders>
              <w:top w:val="nil"/>
              <w:left w:val="nil"/>
              <w:bottom w:val="nil"/>
              <w:right w:val="nil"/>
            </w:tcBorders>
            <w:shd w:val="clear" w:color="000000" w:fill="auto"/>
            <w:vAlign w:val="bottom"/>
          </w:tcPr>
          <w:p w14:paraId="478A1920" w14:textId="77777777" w:rsidR="001C6F66" w:rsidRPr="009B546D" w:rsidRDefault="001C6F66" w:rsidP="00F432B9">
            <w:pPr>
              <w:tabs>
                <w:tab w:val="left" w:pos="288"/>
              </w:tabs>
              <w:autoSpaceDE w:val="0"/>
              <w:autoSpaceDN w:val="0"/>
              <w:adjustRightInd w:val="0"/>
              <w:spacing w:after="0" w:line="240" w:lineRule="auto"/>
              <w:jc w:val="center"/>
              <w:rPr>
                <w:rFonts w:cstheme="minorHAnsi"/>
                <w:color w:val="000000"/>
              </w:rPr>
            </w:pPr>
          </w:p>
        </w:tc>
        <w:tc>
          <w:tcPr>
            <w:tcW w:w="1701" w:type="dxa"/>
            <w:gridSpan w:val="2"/>
            <w:tcBorders>
              <w:top w:val="nil"/>
              <w:left w:val="nil"/>
              <w:bottom w:val="nil"/>
              <w:right w:val="nil"/>
            </w:tcBorders>
            <w:shd w:val="clear" w:color="000000" w:fill="auto"/>
            <w:vAlign w:val="bottom"/>
          </w:tcPr>
          <w:p w14:paraId="17F2B599"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RM</w:t>
            </w:r>
          </w:p>
        </w:tc>
        <w:tc>
          <w:tcPr>
            <w:tcW w:w="1560" w:type="dxa"/>
            <w:gridSpan w:val="3"/>
            <w:tcBorders>
              <w:top w:val="nil"/>
              <w:left w:val="nil"/>
              <w:bottom w:val="nil"/>
              <w:right w:val="nil"/>
            </w:tcBorders>
            <w:shd w:val="clear" w:color="000000" w:fill="auto"/>
            <w:vAlign w:val="bottom"/>
          </w:tcPr>
          <w:p w14:paraId="552D614F"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RM</w:t>
            </w:r>
          </w:p>
        </w:tc>
        <w:tc>
          <w:tcPr>
            <w:tcW w:w="1701" w:type="dxa"/>
            <w:gridSpan w:val="2"/>
            <w:tcBorders>
              <w:top w:val="nil"/>
              <w:left w:val="nil"/>
              <w:bottom w:val="nil"/>
              <w:right w:val="nil"/>
            </w:tcBorders>
            <w:shd w:val="clear" w:color="000000" w:fill="auto"/>
            <w:vAlign w:val="bottom"/>
          </w:tcPr>
          <w:p w14:paraId="48FAEC6A"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RM</w:t>
            </w:r>
          </w:p>
        </w:tc>
      </w:tr>
      <w:tr w:rsidR="001C6F66" w:rsidRPr="009B546D" w14:paraId="57CF1867" w14:textId="77777777" w:rsidTr="00EA2BB6">
        <w:trPr>
          <w:gridAfter w:val="1"/>
          <w:wAfter w:w="459" w:type="dxa"/>
          <w:trHeight w:val="418"/>
        </w:trPr>
        <w:tc>
          <w:tcPr>
            <w:tcW w:w="3393" w:type="dxa"/>
            <w:tcBorders>
              <w:top w:val="nil"/>
              <w:left w:val="nil"/>
              <w:bottom w:val="nil"/>
              <w:right w:val="nil"/>
            </w:tcBorders>
            <w:shd w:val="clear" w:color="000000" w:fill="auto"/>
            <w:vAlign w:val="bottom"/>
          </w:tcPr>
          <w:p w14:paraId="5A0DBBDD" w14:textId="77777777" w:rsidR="001C6F66" w:rsidRPr="009B546D" w:rsidRDefault="001C6F66" w:rsidP="00F432B9">
            <w:pPr>
              <w:tabs>
                <w:tab w:val="left" w:pos="288"/>
              </w:tabs>
              <w:autoSpaceDE w:val="0"/>
              <w:autoSpaceDN w:val="0"/>
              <w:adjustRightInd w:val="0"/>
              <w:spacing w:after="0" w:line="240" w:lineRule="auto"/>
              <w:rPr>
                <w:rFonts w:cstheme="minorHAnsi"/>
                <w:b/>
                <w:bCs/>
                <w:color w:val="000000"/>
                <w:u w:val="single"/>
              </w:rPr>
            </w:pPr>
            <w:r w:rsidRPr="009B546D">
              <w:rPr>
                <w:rFonts w:cstheme="minorHAnsi"/>
                <w:b/>
                <w:bCs/>
                <w:color w:val="000000"/>
                <w:u w:val="single"/>
              </w:rPr>
              <w:t>Cost</w:t>
            </w:r>
          </w:p>
        </w:tc>
        <w:tc>
          <w:tcPr>
            <w:tcW w:w="1701" w:type="dxa"/>
            <w:gridSpan w:val="2"/>
            <w:tcBorders>
              <w:top w:val="nil"/>
              <w:left w:val="nil"/>
              <w:bottom w:val="nil"/>
              <w:right w:val="nil"/>
            </w:tcBorders>
            <w:shd w:val="clear" w:color="000000" w:fill="auto"/>
            <w:vAlign w:val="bottom"/>
          </w:tcPr>
          <w:p w14:paraId="5BECFC41"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560" w:type="dxa"/>
            <w:gridSpan w:val="3"/>
            <w:tcBorders>
              <w:top w:val="nil"/>
              <w:left w:val="nil"/>
              <w:bottom w:val="nil"/>
              <w:right w:val="nil"/>
            </w:tcBorders>
            <w:shd w:val="clear" w:color="000000" w:fill="auto"/>
            <w:vAlign w:val="bottom"/>
          </w:tcPr>
          <w:p w14:paraId="2D9623D4"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701" w:type="dxa"/>
            <w:gridSpan w:val="2"/>
            <w:tcBorders>
              <w:top w:val="nil"/>
              <w:left w:val="nil"/>
              <w:bottom w:val="nil"/>
              <w:right w:val="nil"/>
            </w:tcBorders>
            <w:shd w:val="clear" w:color="000000" w:fill="auto"/>
            <w:vAlign w:val="bottom"/>
          </w:tcPr>
          <w:p w14:paraId="73E94A2A"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r>
      <w:tr w:rsidR="001C6F66" w:rsidRPr="009B546D" w14:paraId="3EC1F146" w14:textId="77777777" w:rsidTr="00EA2BB6">
        <w:trPr>
          <w:gridAfter w:val="1"/>
          <w:wAfter w:w="459" w:type="dxa"/>
          <w:trHeight w:val="278"/>
        </w:trPr>
        <w:tc>
          <w:tcPr>
            <w:tcW w:w="3393" w:type="dxa"/>
            <w:tcBorders>
              <w:top w:val="nil"/>
              <w:left w:val="nil"/>
              <w:bottom w:val="nil"/>
              <w:right w:val="nil"/>
            </w:tcBorders>
            <w:shd w:val="clear" w:color="000000" w:fill="auto"/>
            <w:vAlign w:val="bottom"/>
          </w:tcPr>
          <w:p w14:paraId="3EE81E08"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Computers</w:t>
            </w:r>
          </w:p>
        </w:tc>
        <w:tc>
          <w:tcPr>
            <w:tcW w:w="1701" w:type="dxa"/>
            <w:gridSpan w:val="2"/>
            <w:tcBorders>
              <w:top w:val="nil"/>
              <w:left w:val="nil"/>
              <w:bottom w:val="nil"/>
              <w:right w:val="nil"/>
            </w:tcBorders>
            <w:shd w:val="clear" w:color="000000" w:fill="auto"/>
            <w:vAlign w:val="bottom"/>
          </w:tcPr>
          <w:p w14:paraId="69D4E0FC"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w:t>
            </w:r>
          </w:p>
        </w:tc>
        <w:tc>
          <w:tcPr>
            <w:tcW w:w="1560" w:type="dxa"/>
            <w:gridSpan w:val="3"/>
            <w:tcBorders>
              <w:top w:val="nil"/>
              <w:left w:val="nil"/>
              <w:bottom w:val="nil"/>
              <w:right w:val="nil"/>
            </w:tcBorders>
            <w:shd w:val="clear" w:color="000000" w:fill="auto"/>
            <w:vAlign w:val="bottom"/>
          </w:tcPr>
          <w:p w14:paraId="26C819B6"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56,508</w:t>
            </w:r>
          </w:p>
        </w:tc>
        <w:tc>
          <w:tcPr>
            <w:tcW w:w="1701" w:type="dxa"/>
            <w:gridSpan w:val="2"/>
            <w:tcBorders>
              <w:top w:val="nil"/>
              <w:left w:val="nil"/>
              <w:bottom w:val="nil"/>
              <w:right w:val="nil"/>
            </w:tcBorders>
            <w:shd w:val="clear" w:color="000000" w:fill="auto"/>
            <w:vAlign w:val="bottom"/>
          </w:tcPr>
          <w:p w14:paraId="658F1FC0"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56,508</w:t>
            </w:r>
          </w:p>
        </w:tc>
      </w:tr>
      <w:tr w:rsidR="001C6F66" w:rsidRPr="009B546D" w14:paraId="212ED876" w14:textId="77777777" w:rsidTr="00EA2BB6">
        <w:trPr>
          <w:gridAfter w:val="1"/>
          <w:wAfter w:w="459" w:type="dxa"/>
          <w:trHeight w:val="278"/>
        </w:trPr>
        <w:tc>
          <w:tcPr>
            <w:tcW w:w="3393" w:type="dxa"/>
            <w:tcBorders>
              <w:top w:val="nil"/>
              <w:left w:val="nil"/>
              <w:bottom w:val="nil"/>
              <w:right w:val="nil"/>
            </w:tcBorders>
            <w:shd w:val="clear" w:color="000000" w:fill="auto"/>
            <w:vAlign w:val="bottom"/>
          </w:tcPr>
          <w:p w14:paraId="3151F32E"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Furniture and fittings</w:t>
            </w:r>
          </w:p>
        </w:tc>
        <w:tc>
          <w:tcPr>
            <w:tcW w:w="1701" w:type="dxa"/>
            <w:gridSpan w:val="2"/>
            <w:tcBorders>
              <w:top w:val="nil"/>
              <w:left w:val="nil"/>
              <w:bottom w:val="nil"/>
              <w:right w:val="nil"/>
            </w:tcBorders>
            <w:shd w:val="clear" w:color="000000" w:fill="auto"/>
            <w:vAlign w:val="bottom"/>
          </w:tcPr>
          <w:p w14:paraId="2FEB0301"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w:t>
            </w:r>
          </w:p>
        </w:tc>
        <w:tc>
          <w:tcPr>
            <w:tcW w:w="1560" w:type="dxa"/>
            <w:gridSpan w:val="3"/>
            <w:tcBorders>
              <w:top w:val="nil"/>
              <w:left w:val="nil"/>
              <w:bottom w:val="nil"/>
              <w:right w:val="nil"/>
            </w:tcBorders>
            <w:shd w:val="clear" w:color="000000" w:fill="auto"/>
            <w:vAlign w:val="bottom"/>
          </w:tcPr>
          <w:p w14:paraId="65DF084A"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2,515</w:t>
            </w:r>
          </w:p>
        </w:tc>
        <w:tc>
          <w:tcPr>
            <w:tcW w:w="1701" w:type="dxa"/>
            <w:gridSpan w:val="2"/>
            <w:tcBorders>
              <w:top w:val="nil"/>
              <w:left w:val="nil"/>
              <w:bottom w:val="nil"/>
              <w:right w:val="nil"/>
            </w:tcBorders>
            <w:shd w:val="clear" w:color="000000" w:fill="auto"/>
            <w:vAlign w:val="bottom"/>
          </w:tcPr>
          <w:p w14:paraId="384DF14D"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2,515</w:t>
            </w:r>
          </w:p>
        </w:tc>
      </w:tr>
      <w:tr w:rsidR="001C6F66" w:rsidRPr="009B546D" w14:paraId="2236B4FA" w14:textId="77777777" w:rsidTr="00EA2BB6">
        <w:trPr>
          <w:gridAfter w:val="1"/>
          <w:wAfter w:w="459" w:type="dxa"/>
          <w:trHeight w:val="278"/>
        </w:trPr>
        <w:tc>
          <w:tcPr>
            <w:tcW w:w="3393" w:type="dxa"/>
            <w:tcBorders>
              <w:top w:val="nil"/>
              <w:left w:val="nil"/>
              <w:bottom w:val="nil"/>
              <w:right w:val="nil"/>
            </w:tcBorders>
            <w:shd w:val="clear" w:color="000000" w:fill="auto"/>
            <w:vAlign w:val="bottom"/>
          </w:tcPr>
          <w:p w14:paraId="1D32F745"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Office equipment</w:t>
            </w:r>
          </w:p>
        </w:tc>
        <w:tc>
          <w:tcPr>
            <w:tcW w:w="1701" w:type="dxa"/>
            <w:gridSpan w:val="2"/>
            <w:tcBorders>
              <w:top w:val="nil"/>
              <w:left w:val="nil"/>
              <w:bottom w:val="nil"/>
              <w:right w:val="nil"/>
            </w:tcBorders>
            <w:shd w:val="clear" w:color="000000" w:fill="auto"/>
            <w:vAlign w:val="bottom"/>
          </w:tcPr>
          <w:p w14:paraId="4744C1B8"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w:t>
            </w:r>
          </w:p>
        </w:tc>
        <w:tc>
          <w:tcPr>
            <w:tcW w:w="1560" w:type="dxa"/>
            <w:gridSpan w:val="3"/>
            <w:tcBorders>
              <w:top w:val="nil"/>
              <w:left w:val="nil"/>
              <w:bottom w:val="nil"/>
              <w:right w:val="nil"/>
            </w:tcBorders>
            <w:shd w:val="clear" w:color="000000" w:fill="auto"/>
            <w:vAlign w:val="bottom"/>
          </w:tcPr>
          <w:p w14:paraId="33C89DC4"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5,797</w:t>
            </w:r>
          </w:p>
        </w:tc>
        <w:tc>
          <w:tcPr>
            <w:tcW w:w="1701" w:type="dxa"/>
            <w:gridSpan w:val="2"/>
            <w:tcBorders>
              <w:top w:val="nil"/>
              <w:left w:val="nil"/>
              <w:bottom w:val="nil"/>
              <w:right w:val="nil"/>
            </w:tcBorders>
            <w:shd w:val="clear" w:color="000000" w:fill="auto"/>
            <w:vAlign w:val="bottom"/>
          </w:tcPr>
          <w:p w14:paraId="32592D96"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5,797</w:t>
            </w:r>
          </w:p>
        </w:tc>
      </w:tr>
      <w:tr w:rsidR="001C6F66" w:rsidRPr="009B546D" w14:paraId="6ECF40E4" w14:textId="77777777" w:rsidTr="00EA2BB6">
        <w:trPr>
          <w:gridAfter w:val="1"/>
          <w:wAfter w:w="459" w:type="dxa"/>
          <w:trHeight w:val="278"/>
        </w:trPr>
        <w:tc>
          <w:tcPr>
            <w:tcW w:w="3393" w:type="dxa"/>
            <w:tcBorders>
              <w:top w:val="nil"/>
              <w:left w:val="nil"/>
              <w:bottom w:val="nil"/>
              <w:right w:val="nil"/>
            </w:tcBorders>
            <w:shd w:val="clear" w:color="000000" w:fill="auto"/>
            <w:vAlign w:val="bottom"/>
          </w:tcPr>
          <w:p w14:paraId="27C99A5C"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Renovation</w:t>
            </w:r>
          </w:p>
        </w:tc>
        <w:tc>
          <w:tcPr>
            <w:tcW w:w="1701" w:type="dxa"/>
            <w:gridSpan w:val="2"/>
            <w:tcBorders>
              <w:top w:val="nil"/>
              <w:left w:val="nil"/>
              <w:bottom w:val="nil"/>
              <w:right w:val="nil"/>
            </w:tcBorders>
            <w:shd w:val="clear" w:color="000000" w:fill="auto"/>
            <w:vAlign w:val="bottom"/>
          </w:tcPr>
          <w:p w14:paraId="7C339675"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p>
        </w:tc>
        <w:tc>
          <w:tcPr>
            <w:tcW w:w="1560" w:type="dxa"/>
            <w:gridSpan w:val="3"/>
            <w:tcBorders>
              <w:top w:val="nil"/>
              <w:left w:val="nil"/>
              <w:bottom w:val="nil"/>
              <w:right w:val="nil"/>
            </w:tcBorders>
            <w:shd w:val="clear" w:color="000000" w:fill="auto"/>
            <w:vAlign w:val="bottom"/>
          </w:tcPr>
          <w:p w14:paraId="621FFAF1"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2,742</w:t>
            </w:r>
          </w:p>
        </w:tc>
        <w:tc>
          <w:tcPr>
            <w:tcW w:w="1701" w:type="dxa"/>
            <w:gridSpan w:val="2"/>
            <w:tcBorders>
              <w:top w:val="nil"/>
              <w:left w:val="nil"/>
              <w:bottom w:val="nil"/>
              <w:right w:val="nil"/>
            </w:tcBorders>
            <w:shd w:val="clear" w:color="000000" w:fill="auto"/>
            <w:vAlign w:val="bottom"/>
          </w:tcPr>
          <w:p w14:paraId="7FEAD3E0"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2,742</w:t>
            </w:r>
          </w:p>
        </w:tc>
      </w:tr>
      <w:tr w:rsidR="001C6F66" w:rsidRPr="009B546D" w14:paraId="1E3D0794" w14:textId="77777777" w:rsidTr="00EA2BB6">
        <w:trPr>
          <w:gridAfter w:val="1"/>
          <w:wAfter w:w="459" w:type="dxa"/>
          <w:trHeight w:val="372"/>
        </w:trPr>
        <w:tc>
          <w:tcPr>
            <w:tcW w:w="3393" w:type="dxa"/>
            <w:tcBorders>
              <w:top w:val="nil"/>
              <w:left w:val="nil"/>
              <w:bottom w:val="nil"/>
              <w:right w:val="nil"/>
            </w:tcBorders>
            <w:shd w:val="clear" w:color="000000" w:fill="auto"/>
            <w:vAlign w:val="bottom"/>
          </w:tcPr>
          <w:p w14:paraId="1FF9693C"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1701" w:type="dxa"/>
            <w:gridSpan w:val="2"/>
            <w:tcBorders>
              <w:top w:val="single" w:sz="6" w:space="0" w:color="auto"/>
              <w:left w:val="nil"/>
              <w:bottom w:val="double" w:sz="6" w:space="0" w:color="auto"/>
              <w:right w:val="nil"/>
            </w:tcBorders>
            <w:shd w:val="clear" w:color="000000" w:fill="auto"/>
            <w:vAlign w:val="bottom"/>
          </w:tcPr>
          <w:p w14:paraId="3E46E6C2"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w:t>
            </w:r>
          </w:p>
        </w:tc>
        <w:tc>
          <w:tcPr>
            <w:tcW w:w="1560" w:type="dxa"/>
            <w:gridSpan w:val="3"/>
            <w:tcBorders>
              <w:top w:val="single" w:sz="6" w:space="0" w:color="auto"/>
              <w:left w:val="nil"/>
              <w:bottom w:val="double" w:sz="6" w:space="0" w:color="auto"/>
              <w:right w:val="nil"/>
            </w:tcBorders>
            <w:shd w:val="clear" w:color="000000" w:fill="auto"/>
            <w:vAlign w:val="bottom"/>
          </w:tcPr>
          <w:p w14:paraId="410F70A6"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67,562</w:t>
            </w:r>
          </w:p>
        </w:tc>
        <w:tc>
          <w:tcPr>
            <w:tcW w:w="1701" w:type="dxa"/>
            <w:gridSpan w:val="2"/>
            <w:tcBorders>
              <w:top w:val="single" w:sz="6" w:space="0" w:color="auto"/>
              <w:left w:val="nil"/>
              <w:bottom w:val="double" w:sz="6" w:space="0" w:color="auto"/>
              <w:right w:val="nil"/>
            </w:tcBorders>
            <w:shd w:val="clear" w:color="000000" w:fill="auto"/>
            <w:vAlign w:val="bottom"/>
          </w:tcPr>
          <w:p w14:paraId="086177C9"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67,562</w:t>
            </w:r>
          </w:p>
        </w:tc>
      </w:tr>
      <w:tr w:rsidR="001C6F66" w:rsidRPr="009B546D" w14:paraId="458E11F8" w14:textId="77777777" w:rsidTr="00EA2BB6">
        <w:trPr>
          <w:gridAfter w:val="1"/>
          <w:wAfter w:w="459" w:type="dxa"/>
          <w:trHeight w:val="278"/>
        </w:trPr>
        <w:tc>
          <w:tcPr>
            <w:tcW w:w="3393" w:type="dxa"/>
            <w:tcBorders>
              <w:top w:val="nil"/>
              <w:left w:val="nil"/>
              <w:bottom w:val="nil"/>
              <w:right w:val="nil"/>
            </w:tcBorders>
            <w:shd w:val="clear" w:color="000000" w:fill="auto"/>
            <w:vAlign w:val="bottom"/>
          </w:tcPr>
          <w:p w14:paraId="26587D07"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1701" w:type="dxa"/>
            <w:gridSpan w:val="2"/>
            <w:tcBorders>
              <w:top w:val="nil"/>
              <w:left w:val="nil"/>
              <w:bottom w:val="nil"/>
              <w:right w:val="nil"/>
            </w:tcBorders>
            <w:shd w:val="clear" w:color="000000" w:fill="auto"/>
            <w:vAlign w:val="bottom"/>
          </w:tcPr>
          <w:p w14:paraId="2BC13B3A"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560" w:type="dxa"/>
            <w:gridSpan w:val="3"/>
            <w:tcBorders>
              <w:top w:val="nil"/>
              <w:left w:val="nil"/>
              <w:bottom w:val="nil"/>
              <w:right w:val="nil"/>
            </w:tcBorders>
            <w:shd w:val="clear" w:color="000000" w:fill="auto"/>
            <w:vAlign w:val="bottom"/>
          </w:tcPr>
          <w:p w14:paraId="2F09F710"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701" w:type="dxa"/>
            <w:gridSpan w:val="2"/>
            <w:tcBorders>
              <w:top w:val="nil"/>
              <w:left w:val="nil"/>
              <w:bottom w:val="nil"/>
              <w:right w:val="nil"/>
            </w:tcBorders>
            <w:shd w:val="clear" w:color="000000" w:fill="auto"/>
            <w:vAlign w:val="bottom"/>
          </w:tcPr>
          <w:p w14:paraId="2C57F63B"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r>
      <w:tr w:rsidR="001C6F66" w:rsidRPr="009B546D" w14:paraId="59535355" w14:textId="77777777" w:rsidTr="00EA2BB6">
        <w:trPr>
          <w:gridAfter w:val="1"/>
          <w:wAfter w:w="459" w:type="dxa"/>
          <w:trHeight w:val="542"/>
        </w:trPr>
        <w:tc>
          <w:tcPr>
            <w:tcW w:w="3393" w:type="dxa"/>
            <w:tcBorders>
              <w:top w:val="nil"/>
              <w:left w:val="nil"/>
              <w:bottom w:val="nil"/>
              <w:right w:val="nil"/>
            </w:tcBorders>
            <w:shd w:val="clear" w:color="000000" w:fill="auto"/>
            <w:vAlign w:val="bottom"/>
          </w:tcPr>
          <w:p w14:paraId="76543D71"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1701" w:type="dxa"/>
            <w:gridSpan w:val="2"/>
            <w:tcBorders>
              <w:top w:val="nil"/>
              <w:left w:val="nil"/>
              <w:bottom w:val="nil"/>
              <w:right w:val="nil"/>
            </w:tcBorders>
            <w:shd w:val="clear" w:color="000000" w:fill="auto"/>
            <w:vAlign w:val="bottom"/>
          </w:tcPr>
          <w:p w14:paraId="18C61CE7"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As at 17 April 2018</w:t>
            </w:r>
          </w:p>
        </w:tc>
        <w:tc>
          <w:tcPr>
            <w:tcW w:w="1560" w:type="dxa"/>
            <w:gridSpan w:val="3"/>
            <w:tcBorders>
              <w:top w:val="nil"/>
              <w:left w:val="nil"/>
              <w:bottom w:val="nil"/>
              <w:right w:val="nil"/>
            </w:tcBorders>
            <w:shd w:val="clear" w:color="000000" w:fill="auto"/>
            <w:vAlign w:val="bottom"/>
          </w:tcPr>
          <w:p w14:paraId="034F7F59"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Charges for the year</w:t>
            </w:r>
          </w:p>
        </w:tc>
        <w:tc>
          <w:tcPr>
            <w:tcW w:w="1701" w:type="dxa"/>
            <w:gridSpan w:val="2"/>
            <w:tcBorders>
              <w:top w:val="nil"/>
              <w:left w:val="nil"/>
              <w:bottom w:val="nil"/>
              <w:right w:val="nil"/>
            </w:tcBorders>
            <w:shd w:val="clear" w:color="000000" w:fill="auto"/>
            <w:vAlign w:val="bottom"/>
          </w:tcPr>
          <w:p w14:paraId="1BD51A01"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As at 30 April 2019</w:t>
            </w:r>
          </w:p>
        </w:tc>
      </w:tr>
      <w:tr w:rsidR="001C6F66" w:rsidRPr="009B546D" w14:paraId="192177FA" w14:textId="77777777" w:rsidTr="00EA2BB6">
        <w:trPr>
          <w:gridAfter w:val="1"/>
          <w:wAfter w:w="459" w:type="dxa"/>
          <w:trHeight w:val="278"/>
        </w:trPr>
        <w:tc>
          <w:tcPr>
            <w:tcW w:w="3393" w:type="dxa"/>
            <w:tcBorders>
              <w:top w:val="nil"/>
              <w:left w:val="nil"/>
              <w:bottom w:val="nil"/>
              <w:right w:val="nil"/>
            </w:tcBorders>
            <w:shd w:val="clear" w:color="000000" w:fill="auto"/>
            <w:vAlign w:val="bottom"/>
          </w:tcPr>
          <w:p w14:paraId="6CB0D2D8"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1701" w:type="dxa"/>
            <w:gridSpan w:val="2"/>
            <w:tcBorders>
              <w:top w:val="nil"/>
              <w:left w:val="nil"/>
              <w:bottom w:val="nil"/>
              <w:right w:val="nil"/>
            </w:tcBorders>
            <w:shd w:val="clear" w:color="000000" w:fill="auto"/>
            <w:vAlign w:val="bottom"/>
          </w:tcPr>
          <w:p w14:paraId="5695A90B"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RM</w:t>
            </w:r>
          </w:p>
        </w:tc>
        <w:tc>
          <w:tcPr>
            <w:tcW w:w="1560" w:type="dxa"/>
            <w:gridSpan w:val="3"/>
            <w:tcBorders>
              <w:top w:val="nil"/>
              <w:left w:val="nil"/>
              <w:bottom w:val="nil"/>
              <w:right w:val="nil"/>
            </w:tcBorders>
            <w:shd w:val="clear" w:color="000000" w:fill="auto"/>
            <w:vAlign w:val="bottom"/>
          </w:tcPr>
          <w:p w14:paraId="4682FF82"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RM</w:t>
            </w:r>
          </w:p>
        </w:tc>
        <w:tc>
          <w:tcPr>
            <w:tcW w:w="1701" w:type="dxa"/>
            <w:gridSpan w:val="2"/>
            <w:tcBorders>
              <w:top w:val="nil"/>
              <w:left w:val="nil"/>
              <w:bottom w:val="nil"/>
              <w:right w:val="nil"/>
            </w:tcBorders>
            <w:shd w:val="clear" w:color="000000" w:fill="auto"/>
            <w:vAlign w:val="bottom"/>
          </w:tcPr>
          <w:p w14:paraId="2A910960"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RM</w:t>
            </w:r>
          </w:p>
        </w:tc>
      </w:tr>
      <w:tr w:rsidR="001C6F66" w:rsidRPr="009B546D" w14:paraId="1A177597" w14:textId="77777777" w:rsidTr="00EA2BB6">
        <w:trPr>
          <w:gridAfter w:val="1"/>
          <w:wAfter w:w="459" w:type="dxa"/>
          <w:trHeight w:val="418"/>
        </w:trPr>
        <w:tc>
          <w:tcPr>
            <w:tcW w:w="3393" w:type="dxa"/>
            <w:tcBorders>
              <w:top w:val="nil"/>
              <w:left w:val="nil"/>
              <w:bottom w:val="nil"/>
              <w:right w:val="nil"/>
            </w:tcBorders>
            <w:shd w:val="clear" w:color="000000" w:fill="auto"/>
            <w:vAlign w:val="bottom"/>
          </w:tcPr>
          <w:p w14:paraId="34046BF7" w14:textId="77777777" w:rsidR="001C6F66" w:rsidRPr="009B546D" w:rsidRDefault="001C6F66" w:rsidP="00F432B9">
            <w:pPr>
              <w:tabs>
                <w:tab w:val="left" w:pos="288"/>
              </w:tabs>
              <w:autoSpaceDE w:val="0"/>
              <w:autoSpaceDN w:val="0"/>
              <w:adjustRightInd w:val="0"/>
              <w:spacing w:after="0" w:line="240" w:lineRule="auto"/>
              <w:rPr>
                <w:rFonts w:cstheme="minorHAnsi"/>
                <w:b/>
                <w:bCs/>
                <w:color w:val="000000"/>
                <w:u w:val="single"/>
              </w:rPr>
            </w:pPr>
            <w:r w:rsidRPr="009B546D">
              <w:rPr>
                <w:rFonts w:cstheme="minorHAnsi"/>
                <w:b/>
                <w:bCs/>
                <w:color w:val="000000"/>
                <w:u w:val="single"/>
              </w:rPr>
              <w:t>Accumulated Depreciation</w:t>
            </w:r>
          </w:p>
        </w:tc>
        <w:tc>
          <w:tcPr>
            <w:tcW w:w="1701" w:type="dxa"/>
            <w:gridSpan w:val="2"/>
            <w:tcBorders>
              <w:top w:val="nil"/>
              <w:left w:val="nil"/>
              <w:bottom w:val="nil"/>
              <w:right w:val="nil"/>
            </w:tcBorders>
            <w:shd w:val="clear" w:color="000000" w:fill="auto"/>
            <w:vAlign w:val="bottom"/>
          </w:tcPr>
          <w:p w14:paraId="28AEBAC6"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560" w:type="dxa"/>
            <w:gridSpan w:val="3"/>
            <w:tcBorders>
              <w:top w:val="nil"/>
              <w:left w:val="nil"/>
              <w:bottom w:val="nil"/>
              <w:right w:val="nil"/>
            </w:tcBorders>
            <w:shd w:val="clear" w:color="000000" w:fill="auto"/>
            <w:vAlign w:val="bottom"/>
          </w:tcPr>
          <w:p w14:paraId="524001D0"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701" w:type="dxa"/>
            <w:gridSpan w:val="2"/>
            <w:tcBorders>
              <w:top w:val="nil"/>
              <w:left w:val="nil"/>
              <w:bottom w:val="nil"/>
              <w:right w:val="nil"/>
            </w:tcBorders>
            <w:shd w:val="clear" w:color="000000" w:fill="auto"/>
            <w:vAlign w:val="bottom"/>
          </w:tcPr>
          <w:p w14:paraId="7C927821"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r>
      <w:tr w:rsidR="001C6F66" w:rsidRPr="009B546D" w14:paraId="67170118" w14:textId="77777777" w:rsidTr="00EA2BB6">
        <w:trPr>
          <w:gridAfter w:val="1"/>
          <w:wAfter w:w="459" w:type="dxa"/>
          <w:trHeight w:val="278"/>
        </w:trPr>
        <w:tc>
          <w:tcPr>
            <w:tcW w:w="3393" w:type="dxa"/>
            <w:tcBorders>
              <w:top w:val="nil"/>
              <w:left w:val="nil"/>
              <w:bottom w:val="nil"/>
              <w:right w:val="nil"/>
            </w:tcBorders>
            <w:shd w:val="clear" w:color="000000" w:fill="auto"/>
            <w:vAlign w:val="bottom"/>
          </w:tcPr>
          <w:p w14:paraId="1106CF0A"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Computers</w:t>
            </w:r>
          </w:p>
        </w:tc>
        <w:tc>
          <w:tcPr>
            <w:tcW w:w="1701" w:type="dxa"/>
            <w:gridSpan w:val="2"/>
            <w:tcBorders>
              <w:top w:val="nil"/>
              <w:left w:val="nil"/>
              <w:bottom w:val="nil"/>
              <w:right w:val="nil"/>
            </w:tcBorders>
            <w:shd w:val="clear" w:color="000000" w:fill="auto"/>
            <w:vAlign w:val="bottom"/>
          </w:tcPr>
          <w:p w14:paraId="4D417A6A"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w:t>
            </w:r>
          </w:p>
        </w:tc>
        <w:tc>
          <w:tcPr>
            <w:tcW w:w="1560" w:type="dxa"/>
            <w:gridSpan w:val="3"/>
            <w:tcBorders>
              <w:top w:val="nil"/>
              <w:left w:val="nil"/>
              <w:bottom w:val="nil"/>
              <w:right w:val="nil"/>
            </w:tcBorders>
            <w:shd w:val="clear" w:color="000000" w:fill="auto"/>
            <w:vAlign w:val="bottom"/>
          </w:tcPr>
          <w:p w14:paraId="64020ECB"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8,978</w:t>
            </w:r>
          </w:p>
        </w:tc>
        <w:tc>
          <w:tcPr>
            <w:tcW w:w="1701" w:type="dxa"/>
            <w:gridSpan w:val="2"/>
            <w:tcBorders>
              <w:top w:val="nil"/>
              <w:left w:val="nil"/>
              <w:bottom w:val="nil"/>
              <w:right w:val="nil"/>
            </w:tcBorders>
            <w:shd w:val="clear" w:color="000000" w:fill="auto"/>
            <w:vAlign w:val="bottom"/>
          </w:tcPr>
          <w:p w14:paraId="3DFE7D3A"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8,978</w:t>
            </w:r>
          </w:p>
        </w:tc>
      </w:tr>
      <w:tr w:rsidR="001C6F66" w:rsidRPr="009B546D" w14:paraId="4EAD4923" w14:textId="77777777" w:rsidTr="00EA2BB6">
        <w:trPr>
          <w:gridAfter w:val="1"/>
          <w:wAfter w:w="459" w:type="dxa"/>
          <w:trHeight w:val="278"/>
        </w:trPr>
        <w:tc>
          <w:tcPr>
            <w:tcW w:w="3393" w:type="dxa"/>
            <w:tcBorders>
              <w:top w:val="nil"/>
              <w:left w:val="nil"/>
              <w:bottom w:val="nil"/>
              <w:right w:val="nil"/>
            </w:tcBorders>
            <w:shd w:val="clear" w:color="000000" w:fill="auto"/>
            <w:vAlign w:val="bottom"/>
          </w:tcPr>
          <w:p w14:paraId="7891EC8D"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Furniture and fittings</w:t>
            </w:r>
          </w:p>
        </w:tc>
        <w:tc>
          <w:tcPr>
            <w:tcW w:w="1701" w:type="dxa"/>
            <w:gridSpan w:val="2"/>
            <w:tcBorders>
              <w:top w:val="nil"/>
              <w:left w:val="nil"/>
              <w:bottom w:val="nil"/>
              <w:right w:val="nil"/>
            </w:tcBorders>
            <w:shd w:val="clear" w:color="000000" w:fill="auto"/>
            <w:vAlign w:val="bottom"/>
          </w:tcPr>
          <w:p w14:paraId="112CE093"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w:t>
            </w:r>
          </w:p>
        </w:tc>
        <w:tc>
          <w:tcPr>
            <w:tcW w:w="1560" w:type="dxa"/>
            <w:gridSpan w:val="3"/>
            <w:tcBorders>
              <w:top w:val="nil"/>
              <w:left w:val="nil"/>
              <w:bottom w:val="nil"/>
              <w:right w:val="nil"/>
            </w:tcBorders>
            <w:shd w:val="clear" w:color="000000" w:fill="auto"/>
            <w:vAlign w:val="bottom"/>
          </w:tcPr>
          <w:p w14:paraId="01B02AEB"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252</w:t>
            </w:r>
          </w:p>
        </w:tc>
        <w:tc>
          <w:tcPr>
            <w:tcW w:w="1701" w:type="dxa"/>
            <w:gridSpan w:val="2"/>
            <w:tcBorders>
              <w:top w:val="nil"/>
              <w:left w:val="nil"/>
              <w:bottom w:val="nil"/>
              <w:right w:val="nil"/>
            </w:tcBorders>
            <w:shd w:val="clear" w:color="000000" w:fill="auto"/>
            <w:vAlign w:val="bottom"/>
          </w:tcPr>
          <w:p w14:paraId="5E6B1FBC"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252</w:t>
            </w:r>
          </w:p>
        </w:tc>
      </w:tr>
      <w:tr w:rsidR="001C6F66" w:rsidRPr="009B546D" w14:paraId="012AA4D8" w14:textId="77777777" w:rsidTr="00EA2BB6">
        <w:trPr>
          <w:gridAfter w:val="1"/>
          <w:wAfter w:w="459" w:type="dxa"/>
          <w:trHeight w:val="278"/>
        </w:trPr>
        <w:tc>
          <w:tcPr>
            <w:tcW w:w="3393" w:type="dxa"/>
            <w:tcBorders>
              <w:top w:val="nil"/>
              <w:left w:val="nil"/>
              <w:bottom w:val="nil"/>
              <w:right w:val="nil"/>
            </w:tcBorders>
            <w:shd w:val="clear" w:color="000000" w:fill="auto"/>
            <w:vAlign w:val="bottom"/>
          </w:tcPr>
          <w:p w14:paraId="68DBAC63"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Office equipment</w:t>
            </w:r>
          </w:p>
        </w:tc>
        <w:tc>
          <w:tcPr>
            <w:tcW w:w="1701" w:type="dxa"/>
            <w:gridSpan w:val="2"/>
            <w:tcBorders>
              <w:top w:val="nil"/>
              <w:left w:val="nil"/>
              <w:bottom w:val="nil"/>
              <w:right w:val="nil"/>
            </w:tcBorders>
            <w:shd w:val="clear" w:color="000000" w:fill="auto"/>
            <w:vAlign w:val="bottom"/>
          </w:tcPr>
          <w:p w14:paraId="4E7148A7"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w:t>
            </w:r>
          </w:p>
        </w:tc>
        <w:tc>
          <w:tcPr>
            <w:tcW w:w="1560" w:type="dxa"/>
            <w:gridSpan w:val="3"/>
            <w:tcBorders>
              <w:top w:val="nil"/>
              <w:left w:val="nil"/>
              <w:bottom w:val="nil"/>
              <w:right w:val="nil"/>
            </w:tcBorders>
            <w:shd w:val="clear" w:color="000000" w:fill="auto"/>
            <w:vAlign w:val="bottom"/>
          </w:tcPr>
          <w:p w14:paraId="6AFCFDB7"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580</w:t>
            </w:r>
          </w:p>
        </w:tc>
        <w:tc>
          <w:tcPr>
            <w:tcW w:w="1701" w:type="dxa"/>
            <w:gridSpan w:val="2"/>
            <w:tcBorders>
              <w:top w:val="nil"/>
              <w:left w:val="nil"/>
              <w:bottom w:val="nil"/>
              <w:right w:val="nil"/>
            </w:tcBorders>
            <w:shd w:val="clear" w:color="000000" w:fill="auto"/>
            <w:vAlign w:val="bottom"/>
          </w:tcPr>
          <w:p w14:paraId="069E4786"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580</w:t>
            </w:r>
          </w:p>
        </w:tc>
      </w:tr>
      <w:tr w:rsidR="001C6F66" w:rsidRPr="009B546D" w14:paraId="0962883B" w14:textId="77777777" w:rsidTr="00EA2BB6">
        <w:trPr>
          <w:gridAfter w:val="1"/>
          <w:wAfter w:w="459" w:type="dxa"/>
          <w:trHeight w:val="278"/>
        </w:trPr>
        <w:tc>
          <w:tcPr>
            <w:tcW w:w="3393" w:type="dxa"/>
            <w:tcBorders>
              <w:top w:val="nil"/>
              <w:left w:val="nil"/>
              <w:bottom w:val="nil"/>
              <w:right w:val="nil"/>
            </w:tcBorders>
            <w:shd w:val="clear" w:color="000000" w:fill="auto"/>
            <w:vAlign w:val="bottom"/>
          </w:tcPr>
          <w:p w14:paraId="5C0298AE"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Renovation</w:t>
            </w:r>
          </w:p>
        </w:tc>
        <w:tc>
          <w:tcPr>
            <w:tcW w:w="1701" w:type="dxa"/>
            <w:gridSpan w:val="2"/>
            <w:tcBorders>
              <w:top w:val="nil"/>
              <w:left w:val="nil"/>
              <w:bottom w:val="nil"/>
              <w:right w:val="nil"/>
            </w:tcBorders>
            <w:shd w:val="clear" w:color="000000" w:fill="auto"/>
            <w:vAlign w:val="bottom"/>
          </w:tcPr>
          <w:p w14:paraId="6AA83D7A"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w:t>
            </w:r>
          </w:p>
        </w:tc>
        <w:tc>
          <w:tcPr>
            <w:tcW w:w="1560" w:type="dxa"/>
            <w:gridSpan w:val="3"/>
            <w:tcBorders>
              <w:top w:val="nil"/>
              <w:left w:val="nil"/>
              <w:bottom w:val="nil"/>
              <w:right w:val="nil"/>
            </w:tcBorders>
            <w:shd w:val="clear" w:color="000000" w:fill="auto"/>
            <w:vAlign w:val="bottom"/>
          </w:tcPr>
          <w:p w14:paraId="534B56B3"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274</w:t>
            </w:r>
          </w:p>
        </w:tc>
        <w:tc>
          <w:tcPr>
            <w:tcW w:w="1701" w:type="dxa"/>
            <w:gridSpan w:val="2"/>
            <w:tcBorders>
              <w:top w:val="nil"/>
              <w:left w:val="nil"/>
              <w:bottom w:val="nil"/>
              <w:right w:val="nil"/>
            </w:tcBorders>
            <w:shd w:val="clear" w:color="000000" w:fill="auto"/>
            <w:vAlign w:val="bottom"/>
          </w:tcPr>
          <w:p w14:paraId="0C49E1A7"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274</w:t>
            </w:r>
          </w:p>
        </w:tc>
      </w:tr>
      <w:tr w:rsidR="001C6F66" w:rsidRPr="009B546D" w14:paraId="383D04EE" w14:textId="77777777" w:rsidTr="00EA2BB6">
        <w:trPr>
          <w:gridAfter w:val="1"/>
          <w:wAfter w:w="459" w:type="dxa"/>
          <w:trHeight w:val="372"/>
        </w:trPr>
        <w:tc>
          <w:tcPr>
            <w:tcW w:w="3393" w:type="dxa"/>
            <w:tcBorders>
              <w:top w:val="nil"/>
              <w:left w:val="nil"/>
              <w:bottom w:val="nil"/>
              <w:right w:val="nil"/>
            </w:tcBorders>
            <w:shd w:val="clear" w:color="000000" w:fill="auto"/>
            <w:vAlign w:val="bottom"/>
          </w:tcPr>
          <w:p w14:paraId="2410FAA1"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1701" w:type="dxa"/>
            <w:gridSpan w:val="2"/>
            <w:tcBorders>
              <w:top w:val="single" w:sz="6" w:space="0" w:color="auto"/>
              <w:left w:val="nil"/>
              <w:bottom w:val="double" w:sz="6" w:space="0" w:color="auto"/>
              <w:right w:val="nil"/>
            </w:tcBorders>
            <w:shd w:val="clear" w:color="000000" w:fill="auto"/>
            <w:vAlign w:val="bottom"/>
          </w:tcPr>
          <w:p w14:paraId="3A6BB8FF"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w:t>
            </w:r>
          </w:p>
        </w:tc>
        <w:tc>
          <w:tcPr>
            <w:tcW w:w="1560" w:type="dxa"/>
            <w:gridSpan w:val="3"/>
            <w:tcBorders>
              <w:top w:val="single" w:sz="6" w:space="0" w:color="auto"/>
              <w:left w:val="nil"/>
              <w:bottom w:val="double" w:sz="6" w:space="0" w:color="auto"/>
              <w:right w:val="nil"/>
            </w:tcBorders>
            <w:shd w:val="clear" w:color="000000" w:fill="auto"/>
            <w:vAlign w:val="bottom"/>
          </w:tcPr>
          <w:p w14:paraId="51A4E58E"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10,084</w:t>
            </w:r>
          </w:p>
        </w:tc>
        <w:tc>
          <w:tcPr>
            <w:tcW w:w="1701" w:type="dxa"/>
            <w:gridSpan w:val="2"/>
            <w:tcBorders>
              <w:top w:val="single" w:sz="6" w:space="0" w:color="auto"/>
              <w:left w:val="nil"/>
              <w:bottom w:val="double" w:sz="6" w:space="0" w:color="auto"/>
              <w:right w:val="nil"/>
            </w:tcBorders>
            <w:shd w:val="clear" w:color="000000" w:fill="auto"/>
            <w:vAlign w:val="bottom"/>
          </w:tcPr>
          <w:p w14:paraId="3E074709"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10,084</w:t>
            </w:r>
          </w:p>
        </w:tc>
      </w:tr>
      <w:tr w:rsidR="001C6F66" w:rsidRPr="009B546D" w14:paraId="47D18D6A" w14:textId="77777777" w:rsidTr="00EA2BB6">
        <w:trPr>
          <w:trHeight w:val="278"/>
        </w:trPr>
        <w:tc>
          <w:tcPr>
            <w:tcW w:w="4044" w:type="dxa"/>
            <w:gridSpan w:val="2"/>
            <w:tcBorders>
              <w:top w:val="nil"/>
              <w:left w:val="nil"/>
              <w:bottom w:val="nil"/>
              <w:right w:val="nil"/>
            </w:tcBorders>
            <w:shd w:val="clear" w:color="000000" w:fill="auto"/>
            <w:vAlign w:val="bottom"/>
          </w:tcPr>
          <w:p w14:paraId="17F2DE14"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1530" w:type="dxa"/>
            <w:gridSpan w:val="2"/>
            <w:tcBorders>
              <w:top w:val="nil"/>
              <w:left w:val="nil"/>
              <w:bottom w:val="nil"/>
              <w:right w:val="nil"/>
            </w:tcBorders>
            <w:shd w:val="clear" w:color="000000" w:fill="auto"/>
            <w:vAlign w:val="bottom"/>
          </w:tcPr>
          <w:p w14:paraId="5B3E60E8"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530" w:type="dxa"/>
            <w:gridSpan w:val="3"/>
            <w:tcBorders>
              <w:top w:val="nil"/>
              <w:left w:val="nil"/>
              <w:bottom w:val="nil"/>
              <w:right w:val="nil"/>
            </w:tcBorders>
            <w:shd w:val="clear" w:color="000000" w:fill="auto"/>
            <w:vAlign w:val="bottom"/>
          </w:tcPr>
          <w:p w14:paraId="0318949A"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710" w:type="dxa"/>
            <w:gridSpan w:val="2"/>
            <w:tcBorders>
              <w:top w:val="nil"/>
              <w:left w:val="nil"/>
              <w:bottom w:val="nil"/>
              <w:right w:val="nil"/>
            </w:tcBorders>
            <w:shd w:val="clear" w:color="000000" w:fill="auto"/>
            <w:vAlign w:val="bottom"/>
          </w:tcPr>
          <w:p w14:paraId="61099622"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r>
      <w:tr w:rsidR="001C6F66" w:rsidRPr="009B546D" w14:paraId="199F022A" w14:textId="77777777" w:rsidTr="00EA2BB6">
        <w:trPr>
          <w:gridAfter w:val="1"/>
          <w:wAfter w:w="459" w:type="dxa"/>
          <w:trHeight w:val="557"/>
        </w:trPr>
        <w:tc>
          <w:tcPr>
            <w:tcW w:w="4044" w:type="dxa"/>
            <w:gridSpan w:val="2"/>
            <w:tcBorders>
              <w:top w:val="nil"/>
              <w:left w:val="nil"/>
              <w:bottom w:val="nil"/>
              <w:right w:val="nil"/>
            </w:tcBorders>
            <w:shd w:val="clear" w:color="000000" w:fill="auto"/>
            <w:vAlign w:val="bottom"/>
          </w:tcPr>
          <w:p w14:paraId="4D2AFE0A"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1530" w:type="dxa"/>
            <w:gridSpan w:val="2"/>
            <w:tcBorders>
              <w:top w:val="nil"/>
              <w:left w:val="nil"/>
              <w:bottom w:val="nil"/>
              <w:right w:val="nil"/>
            </w:tcBorders>
            <w:shd w:val="clear" w:color="000000" w:fill="auto"/>
            <w:vAlign w:val="bottom"/>
          </w:tcPr>
          <w:p w14:paraId="05609A02" w14:textId="77777777" w:rsidR="001C6F66" w:rsidRPr="009B546D" w:rsidRDefault="001C6F66" w:rsidP="00F432B9">
            <w:pPr>
              <w:tabs>
                <w:tab w:val="left" w:pos="288"/>
              </w:tabs>
              <w:autoSpaceDE w:val="0"/>
              <w:autoSpaceDN w:val="0"/>
              <w:adjustRightInd w:val="0"/>
              <w:spacing w:after="0" w:line="240" w:lineRule="auto"/>
              <w:jc w:val="center"/>
              <w:rPr>
                <w:rFonts w:cstheme="minorHAnsi"/>
                <w:b/>
                <w:bCs/>
                <w:color w:val="000000"/>
              </w:rPr>
            </w:pPr>
          </w:p>
        </w:tc>
        <w:tc>
          <w:tcPr>
            <w:tcW w:w="938" w:type="dxa"/>
            <w:tcBorders>
              <w:top w:val="nil"/>
              <w:left w:val="nil"/>
              <w:bottom w:val="nil"/>
              <w:right w:val="nil"/>
            </w:tcBorders>
            <w:shd w:val="clear" w:color="000000" w:fill="auto"/>
            <w:vAlign w:val="bottom"/>
          </w:tcPr>
          <w:p w14:paraId="6600E011" w14:textId="77777777" w:rsidR="001C6F66" w:rsidRPr="009B546D" w:rsidRDefault="001C6F66" w:rsidP="00F432B9">
            <w:pPr>
              <w:tabs>
                <w:tab w:val="left" w:pos="288"/>
              </w:tabs>
              <w:autoSpaceDE w:val="0"/>
              <w:autoSpaceDN w:val="0"/>
              <w:adjustRightInd w:val="0"/>
              <w:spacing w:after="0" w:line="240" w:lineRule="auto"/>
              <w:jc w:val="center"/>
              <w:rPr>
                <w:rFonts w:cstheme="minorHAnsi"/>
                <w:b/>
                <w:bCs/>
                <w:color w:val="000000"/>
              </w:rPr>
            </w:pPr>
          </w:p>
        </w:tc>
        <w:tc>
          <w:tcPr>
            <w:tcW w:w="1843" w:type="dxa"/>
            <w:gridSpan w:val="3"/>
            <w:tcBorders>
              <w:top w:val="nil"/>
              <w:left w:val="nil"/>
              <w:bottom w:val="nil"/>
              <w:right w:val="nil"/>
            </w:tcBorders>
            <w:shd w:val="clear" w:color="000000" w:fill="auto"/>
            <w:vAlign w:val="bottom"/>
          </w:tcPr>
          <w:p w14:paraId="4AA0E5DC"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As at 30 April 2019</w:t>
            </w:r>
          </w:p>
        </w:tc>
      </w:tr>
      <w:tr w:rsidR="001C6F66" w:rsidRPr="009B546D" w14:paraId="7BF0A047" w14:textId="77777777" w:rsidTr="00EA2BB6">
        <w:trPr>
          <w:gridAfter w:val="1"/>
          <w:wAfter w:w="459" w:type="dxa"/>
          <w:trHeight w:val="278"/>
        </w:trPr>
        <w:tc>
          <w:tcPr>
            <w:tcW w:w="4044" w:type="dxa"/>
            <w:gridSpan w:val="2"/>
            <w:tcBorders>
              <w:top w:val="nil"/>
              <w:left w:val="nil"/>
              <w:bottom w:val="nil"/>
              <w:right w:val="nil"/>
            </w:tcBorders>
            <w:shd w:val="clear" w:color="000000" w:fill="auto"/>
            <w:vAlign w:val="bottom"/>
          </w:tcPr>
          <w:p w14:paraId="0422C58D"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1530" w:type="dxa"/>
            <w:gridSpan w:val="2"/>
            <w:tcBorders>
              <w:top w:val="nil"/>
              <w:left w:val="nil"/>
              <w:bottom w:val="nil"/>
              <w:right w:val="nil"/>
            </w:tcBorders>
            <w:shd w:val="clear" w:color="000000" w:fill="auto"/>
            <w:vAlign w:val="bottom"/>
          </w:tcPr>
          <w:p w14:paraId="45015FDB" w14:textId="77777777" w:rsidR="001C6F66" w:rsidRPr="009B546D" w:rsidRDefault="001C6F66" w:rsidP="00F432B9">
            <w:pPr>
              <w:tabs>
                <w:tab w:val="left" w:pos="288"/>
              </w:tabs>
              <w:autoSpaceDE w:val="0"/>
              <w:autoSpaceDN w:val="0"/>
              <w:adjustRightInd w:val="0"/>
              <w:spacing w:after="0" w:line="240" w:lineRule="auto"/>
              <w:jc w:val="center"/>
              <w:rPr>
                <w:rFonts w:cstheme="minorHAnsi"/>
                <w:b/>
                <w:bCs/>
                <w:color w:val="000000"/>
              </w:rPr>
            </w:pPr>
          </w:p>
        </w:tc>
        <w:tc>
          <w:tcPr>
            <w:tcW w:w="938" w:type="dxa"/>
            <w:tcBorders>
              <w:top w:val="nil"/>
              <w:left w:val="nil"/>
              <w:bottom w:val="nil"/>
              <w:right w:val="nil"/>
            </w:tcBorders>
            <w:shd w:val="clear" w:color="000000" w:fill="auto"/>
            <w:vAlign w:val="bottom"/>
          </w:tcPr>
          <w:p w14:paraId="60C71FC9" w14:textId="77777777" w:rsidR="001C6F66" w:rsidRPr="009B546D" w:rsidRDefault="001C6F66" w:rsidP="00F432B9">
            <w:pPr>
              <w:tabs>
                <w:tab w:val="left" w:pos="288"/>
              </w:tabs>
              <w:autoSpaceDE w:val="0"/>
              <w:autoSpaceDN w:val="0"/>
              <w:adjustRightInd w:val="0"/>
              <w:spacing w:after="0" w:line="240" w:lineRule="auto"/>
              <w:jc w:val="center"/>
              <w:rPr>
                <w:rFonts w:cstheme="minorHAnsi"/>
                <w:b/>
                <w:bCs/>
                <w:color w:val="000000"/>
              </w:rPr>
            </w:pPr>
          </w:p>
        </w:tc>
        <w:tc>
          <w:tcPr>
            <w:tcW w:w="1843" w:type="dxa"/>
            <w:gridSpan w:val="3"/>
            <w:tcBorders>
              <w:top w:val="nil"/>
              <w:left w:val="nil"/>
              <w:bottom w:val="nil"/>
              <w:right w:val="nil"/>
            </w:tcBorders>
            <w:shd w:val="clear" w:color="000000" w:fill="auto"/>
            <w:vAlign w:val="bottom"/>
          </w:tcPr>
          <w:p w14:paraId="521B49F2"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RM</w:t>
            </w:r>
          </w:p>
        </w:tc>
      </w:tr>
      <w:tr w:rsidR="001C6F66" w:rsidRPr="009B546D" w14:paraId="20F40DF9" w14:textId="77777777" w:rsidTr="00EA2BB6">
        <w:trPr>
          <w:gridAfter w:val="1"/>
          <w:wAfter w:w="459" w:type="dxa"/>
          <w:trHeight w:val="418"/>
        </w:trPr>
        <w:tc>
          <w:tcPr>
            <w:tcW w:w="4044" w:type="dxa"/>
            <w:gridSpan w:val="2"/>
            <w:tcBorders>
              <w:top w:val="nil"/>
              <w:left w:val="nil"/>
              <w:bottom w:val="nil"/>
              <w:right w:val="nil"/>
            </w:tcBorders>
            <w:shd w:val="clear" w:color="000000" w:fill="auto"/>
            <w:vAlign w:val="bottom"/>
          </w:tcPr>
          <w:p w14:paraId="5941BC0D" w14:textId="77777777" w:rsidR="001C6F66" w:rsidRPr="009B546D" w:rsidRDefault="001C6F66" w:rsidP="00F432B9">
            <w:pPr>
              <w:tabs>
                <w:tab w:val="left" w:pos="288"/>
              </w:tabs>
              <w:autoSpaceDE w:val="0"/>
              <w:autoSpaceDN w:val="0"/>
              <w:adjustRightInd w:val="0"/>
              <w:spacing w:after="0" w:line="240" w:lineRule="auto"/>
              <w:rPr>
                <w:rFonts w:cstheme="minorHAnsi"/>
                <w:b/>
                <w:bCs/>
                <w:color w:val="000000"/>
                <w:u w:val="single"/>
              </w:rPr>
            </w:pPr>
            <w:r w:rsidRPr="009B546D">
              <w:rPr>
                <w:rFonts w:cstheme="minorHAnsi"/>
                <w:b/>
                <w:bCs/>
                <w:color w:val="000000"/>
                <w:u w:val="single"/>
              </w:rPr>
              <w:t>Carrying Amounts</w:t>
            </w:r>
          </w:p>
        </w:tc>
        <w:tc>
          <w:tcPr>
            <w:tcW w:w="1530" w:type="dxa"/>
            <w:gridSpan w:val="2"/>
            <w:tcBorders>
              <w:top w:val="nil"/>
              <w:left w:val="nil"/>
              <w:bottom w:val="nil"/>
              <w:right w:val="nil"/>
            </w:tcBorders>
            <w:shd w:val="clear" w:color="000000" w:fill="auto"/>
            <w:vAlign w:val="bottom"/>
          </w:tcPr>
          <w:p w14:paraId="49D82D17"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938" w:type="dxa"/>
            <w:tcBorders>
              <w:top w:val="nil"/>
              <w:left w:val="nil"/>
              <w:bottom w:val="nil"/>
              <w:right w:val="nil"/>
            </w:tcBorders>
            <w:shd w:val="clear" w:color="000000" w:fill="auto"/>
            <w:vAlign w:val="bottom"/>
          </w:tcPr>
          <w:p w14:paraId="0546BA8E"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843" w:type="dxa"/>
            <w:gridSpan w:val="3"/>
            <w:tcBorders>
              <w:top w:val="nil"/>
              <w:left w:val="nil"/>
              <w:bottom w:val="nil"/>
              <w:right w:val="nil"/>
            </w:tcBorders>
            <w:shd w:val="clear" w:color="000000" w:fill="auto"/>
            <w:vAlign w:val="bottom"/>
          </w:tcPr>
          <w:p w14:paraId="056F7BFB"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r>
      <w:tr w:rsidR="001C6F66" w:rsidRPr="009B546D" w14:paraId="4129AB98" w14:textId="77777777" w:rsidTr="00EA2BB6">
        <w:trPr>
          <w:gridAfter w:val="1"/>
          <w:wAfter w:w="459" w:type="dxa"/>
          <w:trHeight w:val="278"/>
        </w:trPr>
        <w:tc>
          <w:tcPr>
            <w:tcW w:w="4044" w:type="dxa"/>
            <w:gridSpan w:val="2"/>
            <w:tcBorders>
              <w:top w:val="nil"/>
              <w:left w:val="nil"/>
              <w:bottom w:val="nil"/>
              <w:right w:val="nil"/>
            </w:tcBorders>
            <w:shd w:val="clear" w:color="000000" w:fill="auto"/>
            <w:vAlign w:val="bottom"/>
          </w:tcPr>
          <w:p w14:paraId="4DC8CF5D"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 xml:space="preserve">Computers </w:t>
            </w:r>
          </w:p>
        </w:tc>
        <w:tc>
          <w:tcPr>
            <w:tcW w:w="1530" w:type="dxa"/>
            <w:gridSpan w:val="2"/>
            <w:tcBorders>
              <w:top w:val="nil"/>
              <w:left w:val="nil"/>
              <w:bottom w:val="nil"/>
              <w:right w:val="nil"/>
            </w:tcBorders>
            <w:shd w:val="clear" w:color="000000" w:fill="auto"/>
            <w:vAlign w:val="bottom"/>
          </w:tcPr>
          <w:p w14:paraId="2BC80EAF"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938" w:type="dxa"/>
            <w:tcBorders>
              <w:top w:val="nil"/>
              <w:left w:val="nil"/>
              <w:bottom w:val="nil"/>
              <w:right w:val="nil"/>
            </w:tcBorders>
            <w:shd w:val="clear" w:color="000000" w:fill="auto"/>
            <w:vAlign w:val="bottom"/>
          </w:tcPr>
          <w:p w14:paraId="34E818A1"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843" w:type="dxa"/>
            <w:gridSpan w:val="3"/>
            <w:tcBorders>
              <w:top w:val="nil"/>
              <w:left w:val="nil"/>
              <w:bottom w:val="nil"/>
              <w:right w:val="nil"/>
            </w:tcBorders>
            <w:shd w:val="clear" w:color="000000" w:fill="auto"/>
            <w:vAlign w:val="bottom"/>
          </w:tcPr>
          <w:p w14:paraId="4705B626"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47,530</w:t>
            </w:r>
          </w:p>
        </w:tc>
      </w:tr>
      <w:tr w:rsidR="001C6F66" w:rsidRPr="009B546D" w14:paraId="45526437" w14:textId="77777777" w:rsidTr="00EA2BB6">
        <w:trPr>
          <w:gridAfter w:val="1"/>
          <w:wAfter w:w="459" w:type="dxa"/>
          <w:trHeight w:val="278"/>
        </w:trPr>
        <w:tc>
          <w:tcPr>
            <w:tcW w:w="4044" w:type="dxa"/>
            <w:gridSpan w:val="2"/>
            <w:tcBorders>
              <w:top w:val="nil"/>
              <w:left w:val="nil"/>
              <w:bottom w:val="nil"/>
              <w:right w:val="nil"/>
            </w:tcBorders>
            <w:shd w:val="clear" w:color="000000" w:fill="auto"/>
            <w:vAlign w:val="bottom"/>
          </w:tcPr>
          <w:p w14:paraId="76A8AD3F"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Furniture and fittings</w:t>
            </w:r>
          </w:p>
        </w:tc>
        <w:tc>
          <w:tcPr>
            <w:tcW w:w="1530" w:type="dxa"/>
            <w:gridSpan w:val="2"/>
            <w:tcBorders>
              <w:top w:val="nil"/>
              <w:left w:val="nil"/>
              <w:bottom w:val="nil"/>
              <w:right w:val="nil"/>
            </w:tcBorders>
            <w:shd w:val="clear" w:color="000000" w:fill="auto"/>
            <w:vAlign w:val="bottom"/>
          </w:tcPr>
          <w:p w14:paraId="400B5195"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938" w:type="dxa"/>
            <w:tcBorders>
              <w:top w:val="nil"/>
              <w:left w:val="nil"/>
              <w:bottom w:val="nil"/>
              <w:right w:val="nil"/>
            </w:tcBorders>
            <w:shd w:val="clear" w:color="000000" w:fill="auto"/>
            <w:vAlign w:val="bottom"/>
          </w:tcPr>
          <w:p w14:paraId="0D45992C"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843" w:type="dxa"/>
            <w:gridSpan w:val="3"/>
            <w:tcBorders>
              <w:top w:val="nil"/>
              <w:left w:val="nil"/>
              <w:bottom w:val="nil"/>
              <w:right w:val="nil"/>
            </w:tcBorders>
            <w:shd w:val="clear" w:color="000000" w:fill="auto"/>
            <w:vAlign w:val="bottom"/>
          </w:tcPr>
          <w:p w14:paraId="4211F0DF"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2,263</w:t>
            </w:r>
          </w:p>
        </w:tc>
      </w:tr>
      <w:tr w:rsidR="001C6F66" w:rsidRPr="009B546D" w14:paraId="1605F557" w14:textId="77777777" w:rsidTr="00EA2BB6">
        <w:trPr>
          <w:gridAfter w:val="1"/>
          <w:wAfter w:w="459" w:type="dxa"/>
          <w:trHeight w:val="278"/>
        </w:trPr>
        <w:tc>
          <w:tcPr>
            <w:tcW w:w="4044" w:type="dxa"/>
            <w:gridSpan w:val="2"/>
            <w:tcBorders>
              <w:top w:val="nil"/>
              <w:left w:val="nil"/>
              <w:bottom w:val="nil"/>
              <w:right w:val="nil"/>
            </w:tcBorders>
            <w:shd w:val="clear" w:color="000000" w:fill="auto"/>
            <w:vAlign w:val="bottom"/>
          </w:tcPr>
          <w:p w14:paraId="04DB7D95"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Office equipment</w:t>
            </w:r>
          </w:p>
        </w:tc>
        <w:tc>
          <w:tcPr>
            <w:tcW w:w="1530" w:type="dxa"/>
            <w:gridSpan w:val="2"/>
            <w:tcBorders>
              <w:top w:val="nil"/>
              <w:left w:val="nil"/>
              <w:bottom w:val="nil"/>
              <w:right w:val="nil"/>
            </w:tcBorders>
            <w:shd w:val="clear" w:color="000000" w:fill="auto"/>
            <w:vAlign w:val="bottom"/>
          </w:tcPr>
          <w:p w14:paraId="736D6A4F"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938" w:type="dxa"/>
            <w:tcBorders>
              <w:top w:val="nil"/>
              <w:left w:val="nil"/>
              <w:bottom w:val="nil"/>
              <w:right w:val="nil"/>
            </w:tcBorders>
            <w:shd w:val="clear" w:color="000000" w:fill="auto"/>
            <w:vAlign w:val="bottom"/>
          </w:tcPr>
          <w:p w14:paraId="479446D8"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843" w:type="dxa"/>
            <w:gridSpan w:val="3"/>
            <w:tcBorders>
              <w:top w:val="nil"/>
              <w:left w:val="nil"/>
              <w:bottom w:val="nil"/>
              <w:right w:val="nil"/>
            </w:tcBorders>
            <w:shd w:val="clear" w:color="000000" w:fill="auto"/>
            <w:vAlign w:val="bottom"/>
          </w:tcPr>
          <w:p w14:paraId="1E6EA6E9"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5,217</w:t>
            </w:r>
          </w:p>
        </w:tc>
      </w:tr>
      <w:tr w:rsidR="001C6F66" w:rsidRPr="009B546D" w14:paraId="3F727732" w14:textId="77777777" w:rsidTr="00EA2BB6">
        <w:trPr>
          <w:gridAfter w:val="1"/>
          <w:wAfter w:w="459" w:type="dxa"/>
          <w:trHeight w:val="278"/>
        </w:trPr>
        <w:tc>
          <w:tcPr>
            <w:tcW w:w="4044" w:type="dxa"/>
            <w:gridSpan w:val="2"/>
            <w:tcBorders>
              <w:top w:val="nil"/>
              <w:left w:val="nil"/>
              <w:bottom w:val="nil"/>
              <w:right w:val="nil"/>
            </w:tcBorders>
            <w:shd w:val="clear" w:color="000000" w:fill="auto"/>
            <w:vAlign w:val="bottom"/>
          </w:tcPr>
          <w:p w14:paraId="7DA1C306"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Renovation</w:t>
            </w:r>
          </w:p>
        </w:tc>
        <w:tc>
          <w:tcPr>
            <w:tcW w:w="1530" w:type="dxa"/>
            <w:gridSpan w:val="2"/>
            <w:tcBorders>
              <w:top w:val="nil"/>
              <w:left w:val="nil"/>
              <w:bottom w:val="nil"/>
              <w:right w:val="nil"/>
            </w:tcBorders>
            <w:shd w:val="clear" w:color="000000" w:fill="auto"/>
            <w:vAlign w:val="bottom"/>
          </w:tcPr>
          <w:p w14:paraId="41C3B4C4"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938" w:type="dxa"/>
            <w:tcBorders>
              <w:top w:val="nil"/>
              <w:left w:val="nil"/>
              <w:bottom w:val="nil"/>
              <w:right w:val="nil"/>
            </w:tcBorders>
            <w:shd w:val="clear" w:color="000000" w:fill="auto"/>
            <w:vAlign w:val="bottom"/>
          </w:tcPr>
          <w:p w14:paraId="0BFA9926"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843" w:type="dxa"/>
            <w:gridSpan w:val="3"/>
            <w:tcBorders>
              <w:top w:val="nil"/>
              <w:left w:val="nil"/>
              <w:bottom w:val="nil"/>
              <w:right w:val="nil"/>
            </w:tcBorders>
            <w:shd w:val="clear" w:color="000000" w:fill="auto"/>
            <w:vAlign w:val="bottom"/>
          </w:tcPr>
          <w:p w14:paraId="27D20765"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2,468</w:t>
            </w:r>
          </w:p>
        </w:tc>
      </w:tr>
      <w:tr w:rsidR="001C6F66" w:rsidRPr="009B546D" w14:paraId="3546544F" w14:textId="77777777" w:rsidTr="00EA2BB6">
        <w:trPr>
          <w:gridAfter w:val="1"/>
          <w:wAfter w:w="459" w:type="dxa"/>
          <w:trHeight w:val="372"/>
        </w:trPr>
        <w:tc>
          <w:tcPr>
            <w:tcW w:w="4044" w:type="dxa"/>
            <w:gridSpan w:val="2"/>
            <w:tcBorders>
              <w:top w:val="nil"/>
              <w:left w:val="nil"/>
              <w:bottom w:val="nil"/>
              <w:right w:val="nil"/>
            </w:tcBorders>
            <w:shd w:val="clear" w:color="000000" w:fill="auto"/>
            <w:vAlign w:val="bottom"/>
          </w:tcPr>
          <w:p w14:paraId="25539A46"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1530" w:type="dxa"/>
            <w:gridSpan w:val="2"/>
            <w:tcBorders>
              <w:top w:val="nil"/>
              <w:left w:val="nil"/>
              <w:bottom w:val="nil"/>
              <w:right w:val="nil"/>
            </w:tcBorders>
            <w:shd w:val="clear" w:color="000000" w:fill="auto"/>
            <w:vAlign w:val="bottom"/>
          </w:tcPr>
          <w:p w14:paraId="1352327E" w14:textId="77777777" w:rsidR="001C6F66" w:rsidRPr="009B546D" w:rsidRDefault="001C6F66" w:rsidP="00F432B9">
            <w:pPr>
              <w:autoSpaceDE w:val="0"/>
              <w:autoSpaceDN w:val="0"/>
              <w:adjustRightInd w:val="0"/>
              <w:spacing w:after="0" w:line="240" w:lineRule="auto"/>
              <w:jc w:val="right"/>
              <w:rPr>
                <w:rFonts w:cstheme="minorHAnsi"/>
                <w:color w:val="000000"/>
              </w:rPr>
            </w:pPr>
          </w:p>
        </w:tc>
        <w:tc>
          <w:tcPr>
            <w:tcW w:w="938" w:type="dxa"/>
            <w:tcBorders>
              <w:top w:val="nil"/>
              <w:left w:val="nil"/>
              <w:bottom w:val="nil"/>
              <w:right w:val="nil"/>
            </w:tcBorders>
            <w:shd w:val="clear" w:color="000000" w:fill="auto"/>
            <w:vAlign w:val="bottom"/>
          </w:tcPr>
          <w:p w14:paraId="5367D50D" w14:textId="77777777" w:rsidR="001C6F66" w:rsidRPr="009B546D" w:rsidRDefault="001C6F66" w:rsidP="00F432B9">
            <w:pPr>
              <w:autoSpaceDE w:val="0"/>
              <w:autoSpaceDN w:val="0"/>
              <w:adjustRightInd w:val="0"/>
              <w:spacing w:after="0" w:line="240" w:lineRule="auto"/>
              <w:jc w:val="right"/>
              <w:rPr>
                <w:rFonts w:cstheme="minorHAnsi"/>
                <w:color w:val="000000"/>
              </w:rPr>
            </w:pPr>
          </w:p>
        </w:tc>
        <w:tc>
          <w:tcPr>
            <w:tcW w:w="1843" w:type="dxa"/>
            <w:gridSpan w:val="3"/>
            <w:tcBorders>
              <w:top w:val="single" w:sz="6" w:space="0" w:color="auto"/>
              <w:left w:val="nil"/>
              <w:bottom w:val="double" w:sz="6" w:space="0" w:color="auto"/>
              <w:right w:val="nil"/>
            </w:tcBorders>
            <w:shd w:val="clear" w:color="000000" w:fill="auto"/>
            <w:vAlign w:val="bottom"/>
          </w:tcPr>
          <w:p w14:paraId="5165464A" w14:textId="77777777" w:rsidR="001C6F66" w:rsidRPr="009B546D" w:rsidRDefault="001C6F66" w:rsidP="00F432B9">
            <w:pPr>
              <w:autoSpaceDE w:val="0"/>
              <w:autoSpaceDN w:val="0"/>
              <w:adjustRightInd w:val="0"/>
              <w:spacing w:after="0" w:line="240" w:lineRule="auto"/>
              <w:ind w:right="72"/>
              <w:jc w:val="right"/>
              <w:rPr>
                <w:rFonts w:cstheme="minorHAnsi"/>
                <w:color w:val="000000"/>
              </w:rPr>
            </w:pPr>
            <w:r w:rsidRPr="009B546D">
              <w:rPr>
                <w:rFonts w:cstheme="minorHAnsi"/>
                <w:color w:val="000000"/>
              </w:rPr>
              <w:t>57,478</w:t>
            </w:r>
          </w:p>
        </w:tc>
      </w:tr>
      <w:bookmarkEnd w:id="46"/>
    </w:tbl>
    <w:p w14:paraId="661D22DA" w14:textId="77777777" w:rsidR="001C6F66" w:rsidRPr="009B546D" w:rsidRDefault="001C6F66" w:rsidP="00F432B9">
      <w:pPr>
        <w:spacing w:after="0" w:line="240" w:lineRule="auto"/>
        <w:jc w:val="center"/>
        <w:rPr>
          <w:rFonts w:cstheme="minorHAnsi"/>
          <w:sz w:val="28"/>
          <w:szCs w:val="28"/>
        </w:rPr>
      </w:pPr>
      <w:r w:rsidRPr="009B546D">
        <w:rPr>
          <w:rFonts w:cstheme="minorHAnsi"/>
          <w:b/>
          <w:caps/>
        </w:rPr>
        <w:br w:type="page"/>
      </w:r>
    </w:p>
    <w:p w14:paraId="06CF0254" w14:textId="77777777" w:rsidR="001C6F66" w:rsidRPr="009B546D" w:rsidRDefault="001C6F66" w:rsidP="00F432B9">
      <w:pPr>
        <w:spacing w:line="240" w:lineRule="auto"/>
        <w:rPr>
          <w:rFonts w:cstheme="minorHAnsi"/>
          <w:b/>
          <w:caps/>
        </w:rPr>
      </w:pPr>
      <w:r w:rsidRPr="009B546D">
        <w:rPr>
          <w:rFonts w:cstheme="minorHAnsi"/>
          <w:b/>
          <w:caps/>
        </w:rPr>
        <w:lastRenderedPageBreak/>
        <w:t>n</w:t>
      </w:r>
      <w:r w:rsidRPr="009B546D">
        <w:rPr>
          <w:rFonts w:cstheme="minorHAnsi"/>
          <w:b/>
        </w:rPr>
        <w:t>otes to the financial information</w:t>
      </w:r>
    </w:p>
    <w:p w14:paraId="4E991107" w14:textId="77777777" w:rsidR="001C6F66" w:rsidRPr="009B546D" w:rsidRDefault="001C6F66" w:rsidP="00F432B9">
      <w:pPr>
        <w:spacing w:line="240" w:lineRule="auto"/>
        <w:rPr>
          <w:rFonts w:cstheme="minorHAnsi"/>
          <w:b/>
          <w:caps/>
        </w:rPr>
      </w:pPr>
      <w:r w:rsidRPr="009B546D">
        <w:rPr>
          <w:rFonts w:cstheme="minorHAnsi"/>
          <w:b/>
          <w:caps/>
        </w:rPr>
        <w:t>F</w:t>
      </w:r>
      <w:r w:rsidRPr="009B546D">
        <w:rPr>
          <w:rFonts w:cstheme="minorHAnsi"/>
          <w:b/>
        </w:rPr>
        <w:t xml:space="preserve">or the </w:t>
      </w:r>
      <w:r w:rsidRPr="009B546D">
        <w:rPr>
          <w:rFonts w:cstheme="minorHAnsi"/>
          <w:b/>
          <w:caps/>
        </w:rPr>
        <w:fldChar w:fldCharType="begin"/>
      </w:r>
      <w:r w:rsidRPr="009B546D">
        <w:rPr>
          <w:rFonts w:cstheme="minorHAnsi"/>
          <w:b/>
          <w:caps/>
        </w:rPr>
        <w:instrText xml:space="preserve"> DOCPROPERTY  "Fin year/period (for cover page)"\* Caps \* MERGEFORMAT </w:instrText>
      </w:r>
      <w:r w:rsidRPr="009B546D">
        <w:rPr>
          <w:rFonts w:cstheme="minorHAnsi"/>
          <w:b/>
          <w:caps/>
        </w:rPr>
        <w:fldChar w:fldCharType="separate"/>
      </w:r>
      <w:r w:rsidRPr="009B546D">
        <w:rPr>
          <w:rFonts w:cstheme="minorHAnsi"/>
          <w:b/>
        </w:rPr>
        <w:t>financial period ended from 17 April 2018 (date of incorporation) to 30 April 2019</w:t>
      </w:r>
      <w:r w:rsidRPr="009B546D">
        <w:rPr>
          <w:rFonts w:cstheme="minorHAnsi"/>
          <w:b/>
          <w:caps/>
        </w:rPr>
        <w:fldChar w:fldCharType="end"/>
      </w:r>
      <w:r w:rsidRPr="00384557">
        <w:rPr>
          <w:rFonts w:cstheme="minorHAnsi"/>
          <w:b/>
          <w:caps/>
        </w:rPr>
        <w:t xml:space="preserve"> (</w:t>
      </w:r>
      <w:r w:rsidRPr="009B546D">
        <w:rPr>
          <w:rFonts w:cstheme="minorHAnsi"/>
          <w:b/>
          <w:i/>
        </w:rPr>
        <w:t>continued)</w:t>
      </w:r>
    </w:p>
    <w:p w14:paraId="612F2271" w14:textId="77777777" w:rsidR="001C6F66" w:rsidRPr="009B546D" w:rsidRDefault="001C6F66" w:rsidP="00F432B9">
      <w:pPr>
        <w:pBdr>
          <w:bottom w:val="single" w:sz="6" w:space="1" w:color="auto"/>
        </w:pBdr>
        <w:spacing w:line="240" w:lineRule="auto"/>
        <w:jc w:val="right"/>
        <w:rPr>
          <w:rFonts w:cstheme="minorHAnsi"/>
        </w:rPr>
      </w:pPr>
    </w:p>
    <w:p w14:paraId="68492E47" w14:textId="77777777" w:rsidR="001C6F66" w:rsidRPr="009B546D" w:rsidRDefault="001C6F66" w:rsidP="00F432B9">
      <w:pPr>
        <w:spacing w:line="240" w:lineRule="auto"/>
        <w:rPr>
          <w:rFonts w:cstheme="minorHAnsi"/>
        </w:rPr>
      </w:pPr>
    </w:p>
    <w:p w14:paraId="5A8142D7" w14:textId="77777777" w:rsidR="001C6F66" w:rsidRPr="009B546D" w:rsidRDefault="001C6F66" w:rsidP="00496B89">
      <w:pPr>
        <w:pStyle w:val="ListParagraph"/>
        <w:widowControl/>
        <w:numPr>
          <w:ilvl w:val="0"/>
          <w:numId w:val="35"/>
        </w:numPr>
        <w:spacing w:after="220"/>
        <w:rPr>
          <w:rFonts w:asciiTheme="minorHAnsi" w:hAnsiTheme="minorHAnsi" w:cstheme="minorHAnsi"/>
          <w:b/>
          <w:caps/>
          <w:sz w:val="20"/>
        </w:rPr>
      </w:pPr>
      <w:r w:rsidRPr="009B546D">
        <w:rPr>
          <w:rFonts w:asciiTheme="minorHAnsi" w:hAnsiTheme="minorHAnsi" w:cstheme="minorHAnsi"/>
          <w:b/>
          <w:caps/>
          <w:sz w:val="20"/>
        </w:rPr>
        <w:t>INTANGIBLE ASSETS</w:t>
      </w:r>
    </w:p>
    <w:tbl>
      <w:tblPr>
        <w:tblW w:w="8496" w:type="dxa"/>
        <w:tblInd w:w="576" w:type="dxa"/>
        <w:shd w:val="clear" w:color="000000" w:fill="auto"/>
        <w:tblLayout w:type="fixed"/>
        <w:tblCellMar>
          <w:left w:w="30" w:type="dxa"/>
          <w:right w:w="30" w:type="dxa"/>
        </w:tblCellMar>
        <w:tblLook w:val="0000" w:firstRow="0" w:lastRow="0" w:firstColumn="0" w:lastColumn="0" w:noHBand="0" w:noVBand="0"/>
      </w:tblPr>
      <w:tblGrid>
        <w:gridCol w:w="3535"/>
        <w:gridCol w:w="509"/>
        <w:gridCol w:w="1192"/>
        <w:gridCol w:w="338"/>
        <w:gridCol w:w="1221"/>
        <w:gridCol w:w="309"/>
        <w:gridCol w:w="1392"/>
      </w:tblGrid>
      <w:tr w:rsidR="001C6F66" w:rsidRPr="009B546D" w14:paraId="2C16C7FD" w14:textId="77777777" w:rsidTr="00EA2BB6">
        <w:trPr>
          <w:trHeight w:val="542"/>
        </w:trPr>
        <w:tc>
          <w:tcPr>
            <w:tcW w:w="3535" w:type="dxa"/>
            <w:tcBorders>
              <w:top w:val="nil"/>
              <w:left w:val="nil"/>
              <w:bottom w:val="nil"/>
              <w:right w:val="nil"/>
            </w:tcBorders>
            <w:shd w:val="clear" w:color="000000" w:fill="auto"/>
            <w:vAlign w:val="bottom"/>
          </w:tcPr>
          <w:p w14:paraId="2BEE2546" w14:textId="77777777" w:rsidR="001C6F66" w:rsidRPr="009B546D" w:rsidRDefault="001C6F66" w:rsidP="00F432B9">
            <w:pPr>
              <w:tabs>
                <w:tab w:val="left" w:pos="288"/>
              </w:tabs>
              <w:autoSpaceDE w:val="0"/>
              <w:autoSpaceDN w:val="0"/>
              <w:adjustRightInd w:val="0"/>
              <w:spacing w:line="240" w:lineRule="auto"/>
              <w:jc w:val="center"/>
              <w:rPr>
                <w:rFonts w:cstheme="minorHAnsi"/>
                <w:color w:val="000000"/>
              </w:rPr>
            </w:pPr>
          </w:p>
        </w:tc>
        <w:tc>
          <w:tcPr>
            <w:tcW w:w="1701" w:type="dxa"/>
            <w:gridSpan w:val="2"/>
            <w:tcBorders>
              <w:top w:val="nil"/>
              <w:left w:val="nil"/>
              <w:bottom w:val="nil"/>
              <w:right w:val="nil"/>
            </w:tcBorders>
            <w:shd w:val="clear" w:color="000000" w:fill="auto"/>
            <w:vAlign w:val="bottom"/>
          </w:tcPr>
          <w:p w14:paraId="6A18A8DF"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rPr>
            </w:pPr>
            <w:r w:rsidRPr="009B546D">
              <w:rPr>
                <w:rFonts w:cstheme="minorHAnsi"/>
                <w:b/>
                <w:bCs/>
                <w:color w:val="000000"/>
              </w:rPr>
              <w:t>As at 17 April 2018</w:t>
            </w:r>
          </w:p>
        </w:tc>
        <w:tc>
          <w:tcPr>
            <w:tcW w:w="1559" w:type="dxa"/>
            <w:gridSpan w:val="2"/>
            <w:tcBorders>
              <w:top w:val="nil"/>
              <w:left w:val="nil"/>
              <w:bottom w:val="nil"/>
              <w:right w:val="nil"/>
            </w:tcBorders>
            <w:shd w:val="clear" w:color="000000" w:fill="auto"/>
            <w:vAlign w:val="bottom"/>
          </w:tcPr>
          <w:p w14:paraId="4F1366ED"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rPr>
            </w:pPr>
            <w:r w:rsidRPr="009B546D">
              <w:rPr>
                <w:rFonts w:cstheme="minorHAnsi"/>
                <w:b/>
                <w:bCs/>
                <w:color w:val="000000"/>
              </w:rPr>
              <w:t>Additions</w:t>
            </w:r>
          </w:p>
        </w:tc>
        <w:tc>
          <w:tcPr>
            <w:tcW w:w="1701" w:type="dxa"/>
            <w:gridSpan w:val="2"/>
            <w:tcBorders>
              <w:top w:val="nil"/>
              <w:left w:val="nil"/>
              <w:bottom w:val="nil"/>
              <w:right w:val="nil"/>
            </w:tcBorders>
            <w:shd w:val="clear" w:color="000000" w:fill="auto"/>
            <w:vAlign w:val="bottom"/>
          </w:tcPr>
          <w:p w14:paraId="36606BDD"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rPr>
            </w:pPr>
            <w:r w:rsidRPr="009B546D">
              <w:rPr>
                <w:rFonts w:cstheme="minorHAnsi"/>
                <w:b/>
                <w:bCs/>
                <w:color w:val="000000"/>
              </w:rPr>
              <w:t>As at 30 April 2019</w:t>
            </w:r>
          </w:p>
        </w:tc>
      </w:tr>
      <w:tr w:rsidR="001C6F66" w:rsidRPr="009B546D" w14:paraId="2D467E9D" w14:textId="77777777" w:rsidTr="00EA2BB6">
        <w:trPr>
          <w:trHeight w:val="278"/>
        </w:trPr>
        <w:tc>
          <w:tcPr>
            <w:tcW w:w="3535" w:type="dxa"/>
            <w:tcBorders>
              <w:top w:val="nil"/>
              <w:left w:val="nil"/>
              <w:bottom w:val="nil"/>
              <w:right w:val="nil"/>
            </w:tcBorders>
            <w:shd w:val="clear" w:color="000000" w:fill="auto"/>
            <w:vAlign w:val="bottom"/>
          </w:tcPr>
          <w:p w14:paraId="0103126D" w14:textId="77777777" w:rsidR="001C6F66" w:rsidRPr="009B546D" w:rsidRDefault="001C6F66" w:rsidP="00F432B9">
            <w:pPr>
              <w:tabs>
                <w:tab w:val="left" w:pos="288"/>
              </w:tabs>
              <w:autoSpaceDE w:val="0"/>
              <w:autoSpaceDN w:val="0"/>
              <w:adjustRightInd w:val="0"/>
              <w:spacing w:line="240" w:lineRule="auto"/>
              <w:jc w:val="center"/>
              <w:rPr>
                <w:rFonts w:cstheme="minorHAnsi"/>
                <w:color w:val="000000"/>
              </w:rPr>
            </w:pPr>
          </w:p>
        </w:tc>
        <w:tc>
          <w:tcPr>
            <w:tcW w:w="1701" w:type="dxa"/>
            <w:gridSpan w:val="2"/>
            <w:tcBorders>
              <w:top w:val="nil"/>
              <w:left w:val="nil"/>
              <w:bottom w:val="nil"/>
              <w:right w:val="nil"/>
            </w:tcBorders>
            <w:shd w:val="clear" w:color="000000" w:fill="auto"/>
            <w:vAlign w:val="bottom"/>
          </w:tcPr>
          <w:p w14:paraId="6DE68715"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rPr>
            </w:pPr>
            <w:r w:rsidRPr="009B546D">
              <w:rPr>
                <w:rFonts w:cstheme="minorHAnsi"/>
                <w:b/>
                <w:bCs/>
                <w:color w:val="000000"/>
              </w:rPr>
              <w:t>RM</w:t>
            </w:r>
          </w:p>
        </w:tc>
        <w:tc>
          <w:tcPr>
            <w:tcW w:w="1559" w:type="dxa"/>
            <w:gridSpan w:val="2"/>
            <w:tcBorders>
              <w:top w:val="nil"/>
              <w:left w:val="nil"/>
              <w:bottom w:val="nil"/>
              <w:right w:val="nil"/>
            </w:tcBorders>
            <w:shd w:val="clear" w:color="000000" w:fill="auto"/>
            <w:vAlign w:val="bottom"/>
          </w:tcPr>
          <w:p w14:paraId="3FD92645"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rPr>
            </w:pPr>
            <w:r w:rsidRPr="009B546D">
              <w:rPr>
                <w:rFonts w:cstheme="minorHAnsi"/>
                <w:b/>
                <w:bCs/>
                <w:color w:val="000000"/>
              </w:rPr>
              <w:t>RM</w:t>
            </w:r>
          </w:p>
        </w:tc>
        <w:tc>
          <w:tcPr>
            <w:tcW w:w="1701" w:type="dxa"/>
            <w:gridSpan w:val="2"/>
            <w:tcBorders>
              <w:top w:val="nil"/>
              <w:left w:val="nil"/>
              <w:bottom w:val="nil"/>
              <w:right w:val="nil"/>
            </w:tcBorders>
            <w:shd w:val="clear" w:color="000000" w:fill="auto"/>
            <w:vAlign w:val="bottom"/>
          </w:tcPr>
          <w:p w14:paraId="089DEAD4"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rPr>
            </w:pPr>
            <w:r w:rsidRPr="009B546D">
              <w:rPr>
                <w:rFonts w:cstheme="minorHAnsi"/>
                <w:b/>
                <w:bCs/>
                <w:color w:val="000000"/>
              </w:rPr>
              <w:t>RM</w:t>
            </w:r>
          </w:p>
        </w:tc>
      </w:tr>
      <w:tr w:rsidR="001C6F66" w:rsidRPr="009B546D" w14:paraId="572F2360" w14:textId="77777777" w:rsidTr="00EA2BB6">
        <w:trPr>
          <w:trHeight w:val="418"/>
        </w:trPr>
        <w:tc>
          <w:tcPr>
            <w:tcW w:w="3535" w:type="dxa"/>
            <w:tcBorders>
              <w:top w:val="nil"/>
              <w:left w:val="nil"/>
              <w:bottom w:val="nil"/>
              <w:right w:val="nil"/>
            </w:tcBorders>
            <w:shd w:val="clear" w:color="000000" w:fill="auto"/>
            <w:vAlign w:val="bottom"/>
          </w:tcPr>
          <w:p w14:paraId="04741E56" w14:textId="77777777" w:rsidR="001C6F66" w:rsidRPr="009B546D" w:rsidRDefault="001C6F66" w:rsidP="00F432B9">
            <w:pPr>
              <w:tabs>
                <w:tab w:val="left" w:pos="288"/>
              </w:tabs>
              <w:autoSpaceDE w:val="0"/>
              <w:autoSpaceDN w:val="0"/>
              <w:adjustRightInd w:val="0"/>
              <w:spacing w:line="240" w:lineRule="auto"/>
              <w:rPr>
                <w:rFonts w:cstheme="minorHAnsi"/>
                <w:b/>
                <w:bCs/>
                <w:color w:val="000000"/>
                <w:u w:val="single"/>
              </w:rPr>
            </w:pPr>
            <w:r w:rsidRPr="009B546D">
              <w:rPr>
                <w:rFonts w:cstheme="minorHAnsi"/>
                <w:b/>
                <w:bCs/>
                <w:color w:val="000000"/>
                <w:u w:val="single"/>
              </w:rPr>
              <w:t>Cost</w:t>
            </w:r>
          </w:p>
        </w:tc>
        <w:tc>
          <w:tcPr>
            <w:tcW w:w="1701" w:type="dxa"/>
            <w:gridSpan w:val="2"/>
            <w:tcBorders>
              <w:top w:val="nil"/>
              <w:left w:val="nil"/>
              <w:bottom w:val="nil"/>
              <w:right w:val="nil"/>
            </w:tcBorders>
            <w:shd w:val="clear" w:color="000000" w:fill="auto"/>
            <w:vAlign w:val="bottom"/>
          </w:tcPr>
          <w:p w14:paraId="75BC7FC9"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rPr>
            </w:pPr>
          </w:p>
        </w:tc>
        <w:tc>
          <w:tcPr>
            <w:tcW w:w="1559" w:type="dxa"/>
            <w:gridSpan w:val="2"/>
            <w:tcBorders>
              <w:top w:val="nil"/>
              <w:left w:val="nil"/>
              <w:bottom w:val="nil"/>
              <w:right w:val="nil"/>
            </w:tcBorders>
            <w:shd w:val="clear" w:color="000000" w:fill="auto"/>
            <w:vAlign w:val="bottom"/>
          </w:tcPr>
          <w:p w14:paraId="5B7F4B36"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rPr>
            </w:pPr>
          </w:p>
        </w:tc>
        <w:tc>
          <w:tcPr>
            <w:tcW w:w="1701" w:type="dxa"/>
            <w:gridSpan w:val="2"/>
            <w:tcBorders>
              <w:top w:val="nil"/>
              <w:left w:val="nil"/>
              <w:bottom w:val="nil"/>
              <w:right w:val="nil"/>
            </w:tcBorders>
            <w:shd w:val="clear" w:color="000000" w:fill="auto"/>
            <w:vAlign w:val="bottom"/>
          </w:tcPr>
          <w:p w14:paraId="3D7546EF"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rPr>
            </w:pPr>
          </w:p>
        </w:tc>
      </w:tr>
      <w:tr w:rsidR="001C6F66" w:rsidRPr="009B546D" w14:paraId="08BE0229" w14:textId="77777777" w:rsidTr="00EA2BB6">
        <w:trPr>
          <w:trHeight w:val="278"/>
        </w:trPr>
        <w:tc>
          <w:tcPr>
            <w:tcW w:w="3535" w:type="dxa"/>
            <w:tcBorders>
              <w:top w:val="nil"/>
              <w:left w:val="nil"/>
              <w:bottom w:val="nil"/>
              <w:right w:val="nil"/>
            </w:tcBorders>
            <w:shd w:val="clear" w:color="000000" w:fill="auto"/>
            <w:vAlign w:val="bottom"/>
          </w:tcPr>
          <w:p w14:paraId="466D10F0" w14:textId="77777777" w:rsidR="001C6F66" w:rsidRPr="009B546D" w:rsidRDefault="001C6F66" w:rsidP="00F432B9">
            <w:pPr>
              <w:tabs>
                <w:tab w:val="left" w:pos="288"/>
              </w:tabs>
              <w:autoSpaceDE w:val="0"/>
              <w:autoSpaceDN w:val="0"/>
              <w:adjustRightInd w:val="0"/>
              <w:spacing w:line="240" w:lineRule="auto"/>
              <w:rPr>
                <w:rFonts w:cstheme="minorHAnsi"/>
                <w:color w:val="000000"/>
              </w:rPr>
            </w:pPr>
            <w:r w:rsidRPr="009B546D">
              <w:rPr>
                <w:rFonts w:cstheme="minorHAnsi"/>
                <w:color w:val="000000"/>
              </w:rPr>
              <w:t>Software</w:t>
            </w:r>
          </w:p>
        </w:tc>
        <w:tc>
          <w:tcPr>
            <w:tcW w:w="1701" w:type="dxa"/>
            <w:gridSpan w:val="2"/>
            <w:tcBorders>
              <w:top w:val="nil"/>
              <w:left w:val="nil"/>
              <w:bottom w:val="nil"/>
              <w:right w:val="nil"/>
            </w:tcBorders>
            <w:shd w:val="clear" w:color="000000" w:fill="auto"/>
            <w:vAlign w:val="bottom"/>
          </w:tcPr>
          <w:p w14:paraId="612F92B7"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r w:rsidRPr="009B546D">
              <w:rPr>
                <w:rFonts w:cstheme="minorHAnsi"/>
                <w:color w:val="000000"/>
              </w:rPr>
              <w:t>-</w:t>
            </w:r>
          </w:p>
        </w:tc>
        <w:tc>
          <w:tcPr>
            <w:tcW w:w="1559" w:type="dxa"/>
            <w:gridSpan w:val="2"/>
            <w:tcBorders>
              <w:top w:val="nil"/>
              <w:left w:val="nil"/>
              <w:bottom w:val="nil"/>
              <w:right w:val="nil"/>
            </w:tcBorders>
            <w:shd w:val="clear" w:color="000000" w:fill="auto"/>
            <w:vAlign w:val="bottom"/>
          </w:tcPr>
          <w:p w14:paraId="791C53EA"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r w:rsidRPr="009B546D">
              <w:rPr>
                <w:rFonts w:cstheme="minorHAnsi"/>
                <w:color w:val="000000"/>
              </w:rPr>
              <w:t>325,853</w:t>
            </w:r>
          </w:p>
        </w:tc>
        <w:tc>
          <w:tcPr>
            <w:tcW w:w="1701" w:type="dxa"/>
            <w:gridSpan w:val="2"/>
            <w:tcBorders>
              <w:top w:val="nil"/>
              <w:left w:val="nil"/>
              <w:bottom w:val="nil"/>
              <w:right w:val="nil"/>
            </w:tcBorders>
            <w:shd w:val="clear" w:color="000000" w:fill="auto"/>
            <w:vAlign w:val="bottom"/>
          </w:tcPr>
          <w:p w14:paraId="4ECC2541"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r w:rsidRPr="009B546D">
              <w:rPr>
                <w:rFonts w:cstheme="minorHAnsi"/>
                <w:color w:val="000000"/>
              </w:rPr>
              <w:t>325,853</w:t>
            </w:r>
          </w:p>
        </w:tc>
      </w:tr>
      <w:tr w:rsidR="001C6F66" w:rsidRPr="009B546D" w14:paraId="630F6E25" w14:textId="77777777" w:rsidTr="00EA2BB6">
        <w:trPr>
          <w:trHeight w:val="372"/>
        </w:trPr>
        <w:tc>
          <w:tcPr>
            <w:tcW w:w="3535" w:type="dxa"/>
            <w:tcBorders>
              <w:top w:val="nil"/>
              <w:left w:val="nil"/>
              <w:bottom w:val="nil"/>
              <w:right w:val="nil"/>
            </w:tcBorders>
            <w:shd w:val="clear" w:color="000000" w:fill="auto"/>
            <w:vAlign w:val="bottom"/>
          </w:tcPr>
          <w:p w14:paraId="7C65A6AC" w14:textId="77777777" w:rsidR="001C6F66" w:rsidRPr="009B546D" w:rsidRDefault="001C6F66" w:rsidP="00F432B9">
            <w:pPr>
              <w:tabs>
                <w:tab w:val="left" w:pos="288"/>
              </w:tabs>
              <w:autoSpaceDE w:val="0"/>
              <w:autoSpaceDN w:val="0"/>
              <w:adjustRightInd w:val="0"/>
              <w:spacing w:line="240" w:lineRule="auto"/>
              <w:rPr>
                <w:rFonts w:cstheme="minorHAnsi"/>
                <w:color w:val="000000"/>
              </w:rPr>
            </w:pPr>
          </w:p>
        </w:tc>
        <w:tc>
          <w:tcPr>
            <w:tcW w:w="1701" w:type="dxa"/>
            <w:gridSpan w:val="2"/>
            <w:tcBorders>
              <w:top w:val="single" w:sz="6" w:space="0" w:color="auto"/>
              <w:left w:val="nil"/>
              <w:bottom w:val="double" w:sz="6" w:space="0" w:color="auto"/>
              <w:right w:val="nil"/>
            </w:tcBorders>
            <w:shd w:val="clear" w:color="000000" w:fill="auto"/>
            <w:vAlign w:val="bottom"/>
          </w:tcPr>
          <w:p w14:paraId="62B81522"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r w:rsidRPr="009B546D">
              <w:rPr>
                <w:rFonts w:cstheme="minorHAnsi"/>
                <w:color w:val="000000"/>
              </w:rPr>
              <w:t>-</w:t>
            </w:r>
          </w:p>
        </w:tc>
        <w:tc>
          <w:tcPr>
            <w:tcW w:w="1559" w:type="dxa"/>
            <w:gridSpan w:val="2"/>
            <w:tcBorders>
              <w:top w:val="single" w:sz="6" w:space="0" w:color="auto"/>
              <w:left w:val="nil"/>
              <w:bottom w:val="double" w:sz="6" w:space="0" w:color="auto"/>
              <w:right w:val="nil"/>
            </w:tcBorders>
            <w:shd w:val="clear" w:color="000000" w:fill="auto"/>
            <w:vAlign w:val="bottom"/>
          </w:tcPr>
          <w:p w14:paraId="4B0FB4E8"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r w:rsidRPr="009B546D">
              <w:rPr>
                <w:rFonts w:cstheme="minorHAnsi"/>
                <w:color w:val="000000"/>
              </w:rPr>
              <w:t>325,853</w:t>
            </w:r>
          </w:p>
        </w:tc>
        <w:tc>
          <w:tcPr>
            <w:tcW w:w="1701" w:type="dxa"/>
            <w:gridSpan w:val="2"/>
            <w:tcBorders>
              <w:top w:val="single" w:sz="6" w:space="0" w:color="auto"/>
              <w:left w:val="nil"/>
              <w:bottom w:val="double" w:sz="6" w:space="0" w:color="auto"/>
              <w:right w:val="nil"/>
            </w:tcBorders>
            <w:shd w:val="clear" w:color="000000" w:fill="auto"/>
            <w:vAlign w:val="bottom"/>
          </w:tcPr>
          <w:p w14:paraId="349C1647"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r w:rsidRPr="009B546D">
              <w:rPr>
                <w:rFonts w:cstheme="minorHAnsi"/>
                <w:color w:val="000000"/>
              </w:rPr>
              <w:t>325,853</w:t>
            </w:r>
          </w:p>
        </w:tc>
      </w:tr>
      <w:tr w:rsidR="001C6F66" w:rsidRPr="009B546D" w14:paraId="33B156D3" w14:textId="77777777" w:rsidTr="00EA2BB6">
        <w:trPr>
          <w:trHeight w:val="278"/>
        </w:trPr>
        <w:tc>
          <w:tcPr>
            <w:tcW w:w="3535" w:type="dxa"/>
            <w:tcBorders>
              <w:top w:val="nil"/>
              <w:left w:val="nil"/>
              <w:bottom w:val="nil"/>
              <w:right w:val="nil"/>
            </w:tcBorders>
            <w:shd w:val="clear" w:color="000000" w:fill="auto"/>
            <w:vAlign w:val="bottom"/>
          </w:tcPr>
          <w:p w14:paraId="62015ECD" w14:textId="77777777" w:rsidR="001C6F66" w:rsidRPr="009B546D" w:rsidRDefault="001C6F66" w:rsidP="00F432B9">
            <w:pPr>
              <w:tabs>
                <w:tab w:val="left" w:pos="288"/>
              </w:tabs>
              <w:autoSpaceDE w:val="0"/>
              <w:autoSpaceDN w:val="0"/>
              <w:adjustRightInd w:val="0"/>
              <w:spacing w:line="240" w:lineRule="auto"/>
              <w:rPr>
                <w:rFonts w:cstheme="minorHAnsi"/>
                <w:color w:val="000000"/>
              </w:rPr>
            </w:pPr>
          </w:p>
        </w:tc>
        <w:tc>
          <w:tcPr>
            <w:tcW w:w="1701" w:type="dxa"/>
            <w:gridSpan w:val="2"/>
            <w:tcBorders>
              <w:top w:val="nil"/>
              <w:left w:val="nil"/>
              <w:bottom w:val="nil"/>
              <w:right w:val="nil"/>
            </w:tcBorders>
            <w:shd w:val="clear" w:color="000000" w:fill="auto"/>
            <w:vAlign w:val="bottom"/>
          </w:tcPr>
          <w:p w14:paraId="699EC4BF" w14:textId="77777777" w:rsidR="001C6F66" w:rsidRPr="009B546D" w:rsidRDefault="001C6F66" w:rsidP="00F432B9">
            <w:pPr>
              <w:tabs>
                <w:tab w:val="left" w:pos="288"/>
              </w:tabs>
              <w:autoSpaceDE w:val="0"/>
              <w:autoSpaceDN w:val="0"/>
              <w:adjustRightInd w:val="0"/>
              <w:spacing w:line="240" w:lineRule="auto"/>
              <w:jc w:val="center"/>
              <w:rPr>
                <w:rFonts w:cstheme="minorHAnsi"/>
                <w:color w:val="000000"/>
              </w:rPr>
            </w:pPr>
          </w:p>
        </w:tc>
        <w:tc>
          <w:tcPr>
            <w:tcW w:w="1559" w:type="dxa"/>
            <w:gridSpan w:val="2"/>
            <w:tcBorders>
              <w:top w:val="nil"/>
              <w:left w:val="nil"/>
              <w:bottom w:val="nil"/>
              <w:right w:val="nil"/>
            </w:tcBorders>
            <w:shd w:val="clear" w:color="000000" w:fill="auto"/>
            <w:vAlign w:val="bottom"/>
          </w:tcPr>
          <w:p w14:paraId="0AEED145" w14:textId="77777777" w:rsidR="001C6F66" w:rsidRPr="009B546D" w:rsidRDefault="001C6F66" w:rsidP="00F432B9">
            <w:pPr>
              <w:tabs>
                <w:tab w:val="left" w:pos="288"/>
              </w:tabs>
              <w:autoSpaceDE w:val="0"/>
              <w:autoSpaceDN w:val="0"/>
              <w:adjustRightInd w:val="0"/>
              <w:spacing w:line="240" w:lineRule="auto"/>
              <w:jc w:val="center"/>
              <w:rPr>
                <w:rFonts w:cstheme="minorHAnsi"/>
                <w:color w:val="000000"/>
              </w:rPr>
            </w:pPr>
          </w:p>
        </w:tc>
        <w:tc>
          <w:tcPr>
            <w:tcW w:w="1701" w:type="dxa"/>
            <w:gridSpan w:val="2"/>
            <w:tcBorders>
              <w:top w:val="nil"/>
              <w:left w:val="nil"/>
              <w:bottom w:val="nil"/>
              <w:right w:val="nil"/>
            </w:tcBorders>
            <w:shd w:val="clear" w:color="000000" w:fill="auto"/>
            <w:vAlign w:val="bottom"/>
          </w:tcPr>
          <w:p w14:paraId="06DEFD8A" w14:textId="77777777" w:rsidR="001C6F66" w:rsidRPr="009B546D" w:rsidRDefault="001C6F66" w:rsidP="00F432B9">
            <w:pPr>
              <w:tabs>
                <w:tab w:val="left" w:pos="288"/>
              </w:tabs>
              <w:autoSpaceDE w:val="0"/>
              <w:autoSpaceDN w:val="0"/>
              <w:adjustRightInd w:val="0"/>
              <w:spacing w:line="240" w:lineRule="auto"/>
              <w:jc w:val="center"/>
              <w:rPr>
                <w:rFonts w:cstheme="minorHAnsi"/>
                <w:color w:val="000000"/>
              </w:rPr>
            </w:pPr>
          </w:p>
        </w:tc>
      </w:tr>
      <w:tr w:rsidR="001C6F66" w:rsidRPr="009B546D" w14:paraId="566D312D" w14:textId="77777777" w:rsidTr="00EA2BB6">
        <w:trPr>
          <w:trHeight w:val="542"/>
        </w:trPr>
        <w:tc>
          <w:tcPr>
            <w:tcW w:w="3535" w:type="dxa"/>
            <w:tcBorders>
              <w:top w:val="nil"/>
              <w:left w:val="nil"/>
              <w:bottom w:val="nil"/>
              <w:right w:val="nil"/>
            </w:tcBorders>
            <w:shd w:val="clear" w:color="000000" w:fill="auto"/>
            <w:vAlign w:val="bottom"/>
          </w:tcPr>
          <w:p w14:paraId="355C9F44" w14:textId="77777777" w:rsidR="001C6F66" w:rsidRPr="009B546D" w:rsidRDefault="001C6F66" w:rsidP="00F432B9">
            <w:pPr>
              <w:tabs>
                <w:tab w:val="left" w:pos="288"/>
              </w:tabs>
              <w:autoSpaceDE w:val="0"/>
              <w:autoSpaceDN w:val="0"/>
              <w:adjustRightInd w:val="0"/>
              <w:spacing w:line="240" w:lineRule="auto"/>
              <w:rPr>
                <w:rFonts w:cstheme="minorHAnsi"/>
                <w:color w:val="000000"/>
              </w:rPr>
            </w:pPr>
          </w:p>
        </w:tc>
        <w:tc>
          <w:tcPr>
            <w:tcW w:w="1701" w:type="dxa"/>
            <w:gridSpan w:val="2"/>
            <w:tcBorders>
              <w:top w:val="nil"/>
              <w:left w:val="nil"/>
              <w:bottom w:val="nil"/>
              <w:right w:val="nil"/>
            </w:tcBorders>
            <w:shd w:val="clear" w:color="000000" w:fill="auto"/>
            <w:vAlign w:val="bottom"/>
          </w:tcPr>
          <w:p w14:paraId="3D56B989"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rPr>
            </w:pPr>
            <w:r w:rsidRPr="009B546D">
              <w:rPr>
                <w:rFonts w:cstheme="minorHAnsi"/>
                <w:b/>
                <w:bCs/>
                <w:color w:val="000000"/>
              </w:rPr>
              <w:t>As at 17 April 2018</w:t>
            </w:r>
          </w:p>
        </w:tc>
        <w:tc>
          <w:tcPr>
            <w:tcW w:w="1559" w:type="dxa"/>
            <w:gridSpan w:val="2"/>
            <w:tcBorders>
              <w:top w:val="nil"/>
              <w:left w:val="nil"/>
              <w:bottom w:val="nil"/>
              <w:right w:val="nil"/>
            </w:tcBorders>
            <w:shd w:val="clear" w:color="000000" w:fill="auto"/>
            <w:vAlign w:val="bottom"/>
          </w:tcPr>
          <w:p w14:paraId="4318A1B3"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rPr>
            </w:pPr>
            <w:r w:rsidRPr="009B546D">
              <w:rPr>
                <w:rFonts w:cstheme="minorHAnsi"/>
                <w:b/>
                <w:bCs/>
                <w:color w:val="000000"/>
              </w:rPr>
              <w:t>Charges for the year</w:t>
            </w:r>
          </w:p>
        </w:tc>
        <w:tc>
          <w:tcPr>
            <w:tcW w:w="1701" w:type="dxa"/>
            <w:gridSpan w:val="2"/>
            <w:tcBorders>
              <w:top w:val="nil"/>
              <w:left w:val="nil"/>
              <w:bottom w:val="nil"/>
              <w:right w:val="nil"/>
            </w:tcBorders>
            <w:shd w:val="clear" w:color="000000" w:fill="auto"/>
            <w:vAlign w:val="bottom"/>
          </w:tcPr>
          <w:p w14:paraId="23001D35"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rPr>
            </w:pPr>
            <w:r w:rsidRPr="009B546D">
              <w:rPr>
                <w:rFonts w:cstheme="minorHAnsi"/>
                <w:b/>
                <w:bCs/>
                <w:color w:val="000000"/>
              </w:rPr>
              <w:t>As at 30 April 2019</w:t>
            </w:r>
          </w:p>
        </w:tc>
      </w:tr>
      <w:tr w:rsidR="001C6F66" w:rsidRPr="009B546D" w14:paraId="207EA4D3" w14:textId="77777777" w:rsidTr="00EA2BB6">
        <w:trPr>
          <w:trHeight w:val="278"/>
        </w:trPr>
        <w:tc>
          <w:tcPr>
            <w:tcW w:w="3535" w:type="dxa"/>
            <w:tcBorders>
              <w:top w:val="nil"/>
              <w:left w:val="nil"/>
              <w:bottom w:val="nil"/>
              <w:right w:val="nil"/>
            </w:tcBorders>
            <w:shd w:val="clear" w:color="000000" w:fill="auto"/>
            <w:vAlign w:val="bottom"/>
          </w:tcPr>
          <w:p w14:paraId="36046AA8" w14:textId="77777777" w:rsidR="001C6F66" w:rsidRPr="009B546D" w:rsidRDefault="001C6F66" w:rsidP="00F432B9">
            <w:pPr>
              <w:tabs>
                <w:tab w:val="left" w:pos="288"/>
              </w:tabs>
              <w:autoSpaceDE w:val="0"/>
              <w:autoSpaceDN w:val="0"/>
              <w:adjustRightInd w:val="0"/>
              <w:spacing w:line="240" w:lineRule="auto"/>
              <w:rPr>
                <w:rFonts w:cstheme="minorHAnsi"/>
                <w:color w:val="000000"/>
              </w:rPr>
            </w:pPr>
          </w:p>
        </w:tc>
        <w:tc>
          <w:tcPr>
            <w:tcW w:w="1701" w:type="dxa"/>
            <w:gridSpan w:val="2"/>
            <w:tcBorders>
              <w:top w:val="nil"/>
              <w:left w:val="nil"/>
              <w:bottom w:val="nil"/>
              <w:right w:val="nil"/>
            </w:tcBorders>
            <w:shd w:val="clear" w:color="000000" w:fill="auto"/>
            <w:vAlign w:val="bottom"/>
          </w:tcPr>
          <w:p w14:paraId="627C8AAB"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rPr>
            </w:pPr>
            <w:r w:rsidRPr="009B546D">
              <w:rPr>
                <w:rFonts w:cstheme="minorHAnsi"/>
                <w:b/>
                <w:bCs/>
                <w:color w:val="000000"/>
              </w:rPr>
              <w:t>RM</w:t>
            </w:r>
          </w:p>
        </w:tc>
        <w:tc>
          <w:tcPr>
            <w:tcW w:w="1559" w:type="dxa"/>
            <w:gridSpan w:val="2"/>
            <w:tcBorders>
              <w:top w:val="nil"/>
              <w:left w:val="nil"/>
              <w:bottom w:val="nil"/>
              <w:right w:val="nil"/>
            </w:tcBorders>
            <w:shd w:val="clear" w:color="000000" w:fill="auto"/>
            <w:vAlign w:val="bottom"/>
          </w:tcPr>
          <w:p w14:paraId="5EE0A194"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rPr>
            </w:pPr>
            <w:r w:rsidRPr="009B546D">
              <w:rPr>
                <w:rFonts w:cstheme="minorHAnsi"/>
                <w:b/>
                <w:bCs/>
                <w:color w:val="000000"/>
              </w:rPr>
              <w:t>RM</w:t>
            </w:r>
          </w:p>
        </w:tc>
        <w:tc>
          <w:tcPr>
            <w:tcW w:w="1701" w:type="dxa"/>
            <w:gridSpan w:val="2"/>
            <w:tcBorders>
              <w:top w:val="nil"/>
              <w:left w:val="nil"/>
              <w:bottom w:val="nil"/>
              <w:right w:val="nil"/>
            </w:tcBorders>
            <w:shd w:val="clear" w:color="000000" w:fill="auto"/>
            <w:vAlign w:val="bottom"/>
          </w:tcPr>
          <w:p w14:paraId="6AA39456"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rPr>
            </w:pPr>
            <w:r w:rsidRPr="009B546D">
              <w:rPr>
                <w:rFonts w:cstheme="minorHAnsi"/>
                <w:b/>
                <w:bCs/>
                <w:color w:val="000000"/>
              </w:rPr>
              <w:t>RM</w:t>
            </w:r>
          </w:p>
        </w:tc>
      </w:tr>
      <w:tr w:rsidR="001C6F66" w:rsidRPr="009B546D" w14:paraId="51186BB0" w14:textId="77777777" w:rsidTr="00EA2BB6">
        <w:trPr>
          <w:trHeight w:val="418"/>
        </w:trPr>
        <w:tc>
          <w:tcPr>
            <w:tcW w:w="3535" w:type="dxa"/>
            <w:tcBorders>
              <w:top w:val="nil"/>
              <w:left w:val="nil"/>
              <w:bottom w:val="nil"/>
              <w:right w:val="nil"/>
            </w:tcBorders>
            <w:shd w:val="clear" w:color="000000" w:fill="auto"/>
            <w:vAlign w:val="bottom"/>
          </w:tcPr>
          <w:p w14:paraId="3585F69D" w14:textId="77777777" w:rsidR="001C6F66" w:rsidRPr="009B546D" w:rsidRDefault="001C6F66" w:rsidP="00F432B9">
            <w:pPr>
              <w:tabs>
                <w:tab w:val="left" w:pos="288"/>
              </w:tabs>
              <w:autoSpaceDE w:val="0"/>
              <w:autoSpaceDN w:val="0"/>
              <w:adjustRightInd w:val="0"/>
              <w:spacing w:line="240" w:lineRule="auto"/>
              <w:rPr>
                <w:rFonts w:cstheme="minorHAnsi"/>
                <w:b/>
                <w:bCs/>
                <w:color w:val="000000"/>
                <w:u w:val="single"/>
              </w:rPr>
            </w:pPr>
            <w:r w:rsidRPr="009B546D">
              <w:rPr>
                <w:rFonts w:cstheme="minorHAnsi"/>
                <w:b/>
                <w:bCs/>
                <w:color w:val="000000"/>
                <w:u w:val="single"/>
              </w:rPr>
              <w:t>Accumulated Depreciation</w:t>
            </w:r>
          </w:p>
        </w:tc>
        <w:tc>
          <w:tcPr>
            <w:tcW w:w="1701" w:type="dxa"/>
            <w:gridSpan w:val="2"/>
            <w:tcBorders>
              <w:top w:val="nil"/>
              <w:left w:val="nil"/>
              <w:bottom w:val="nil"/>
              <w:right w:val="nil"/>
            </w:tcBorders>
            <w:shd w:val="clear" w:color="000000" w:fill="auto"/>
            <w:vAlign w:val="bottom"/>
          </w:tcPr>
          <w:p w14:paraId="6F52B535"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rPr>
            </w:pPr>
          </w:p>
        </w:tc>
        <w:tc>
          <w:tcPr>
            <w:tcW w:w="1559" w:type="dxa"/>
            <w:gridSpan w:val="2"/>
            <w:tcBorders>
              <w:top w:val="nil"/>
              <w:left w:val="nil"/>
              <w:bottom w:val="nil"/>
              <w:right w:val="nil"/>
            </w:tcBorders>
            <w:shd w:val="clear" w:color="000000" w:fill="auto"/>
            <w:vAlign w:val="bottom"/>
          </w:tcPr>
          <w:p w14:paraId="52FE99BB"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rPr>
            </w:pPr>
          </w:p>
        </w:tc>
        <w:tc>
          <w:tcPr>
            <w:tcW w:w="1701" w:type="dxa"/>
            <w:gridSpan w:val="2"/>
            <w:tcBorders>
              <w:top w:val="nil"/>
              <w:left w:val="nil"/>
              <w:bottom w:val="nil"/>
              <w:right w:val="nil"/>
            </w:tcBorders>
            <w:shd w:val="clear" w:color="000000" w:fill="auto"/>
            <w:vAlign w:val="bottom"/>
          </w:tcPr>
          <w:p w14:paraId="0C5C6EEF"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rPr>
            </w:pPr>
          </w:p>
        </w:tc>
      </w:tr>
      <w:tr w:rsidR="001C6F66" w:rsidRPr="009B546D" w14:paraId="7246C388" w14:textId="77777777" w:rsidTr="00EA2BB6">
        <w:trPr>
          <w:trHeight w:val="278"/>
        </w:trPr>
        <w:tc>
          <w:tcPr>
            <w:tcW w:w="3535" w:type="dxa"/>
            <w:tcBorders>
              <w:top w:val="nil"/>
              <w:left w:val="nil"/>
              <w:bottom w:val="nil"/>
              <w:right w:val="nil"/>
            </w:tcBorders>
            <w:shd w:val="clear" w:color="000000" w:fill="auto"/>
            <w:vAlign w:val="bottom"/>
          </w:tcPr>
          <w:p w14:paraId="30E826DD" w14:textId="77777777" w:rsidR="001C6F66" w:rsidRPr="009B546D" w:rsidRDefault="001C6F66" w:rsidP="00F432B9">
            <w:pPr>
              <w:tabs>
                <w:tab w:val="left" w:pos="288"/>
              </w:tabs>
              <w:autoSpaceDE w:val="0"/>
              <w:autoSpaceDN w:val="0"/>
              <w:adjustRightInd w:val="0"/>
              <w:spacing w:line="240" w:lineRule="auto"/>
              <w:rPr>
                <w:rFonts w:cstheme="minorHAnsi"/>
                <w:color w:val="000000"/>
              </w:rPr>
            </w:pPr>
            <w:r w:rsidRPr="009B546D">
              <w:rPr>
                <w:rFonts w:cstheme="minorHAnsi"/>
                <w:color w:val="000000"/>
              </w:rPr>
              <w:t>Software</w:t>
            </w:r>
          </w:p>
        </w:tc>
        <w:tc>
          <w:tcPr>
            <w:tcW w:w="1701" w:type="dxa"/>
            <w:gridSpan w:val="2"/>
            <w:tcBorders>
              <w:top w:val="nil"/>
              <w:left w:val="nil"/>
              <w:bottom w:val="nil"/>
              <w:right w:val="nil"/>
            </w:tcBorders>
            <w:shd w:val="clear" w:color="000000" w:fill="auto"/>
            <w:vAlign w:val="bottom"/>
          </w:tcPr>
          <w:p w14:paraId="5527C3A7"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r w:rsidRPr="009B546D">
              <w:rPr>
                <w:rFonts w:cstheme="minorHAnsi"/>
                <w:color w:val="000000"/>
              </w:rPr>
              <w:t>-</w:t>
            </w:r>
          </w:p>
        </w:tc>
        <w:tc>
          <w:tcPr>
            <w:tcW w:w="1559" w:type="dxa"/>
            <w:gridSpan w:val="2"/>
            <w:tcBorders>
              <w:top w:val="nil"/>
              <w:left w:val="nil"/>
              <w:bottom w:val="nil"/>
              <w:right w:val="nil"/>
            </w:tcBorders>
            <w:shd w:val="clear" w:color="000000" w:fill="auto"/>
            <w:vAlign w:val="bottom"/>
          </w:tcPr>
          <w:p w14:paraId="7189AF90"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r w:rsidRPr="009B546D">
              <w:rPr>
                <w:rFonts w:cstheme="minorHAnsi"/>
                <w:color w:val="000000"/>
              </w:rPr>
              <w:t>65,171</w:t>
            </w:r>
          </w:p>
        </w:tc>
        <w:tc>
          <w:tcPr>
            <w:tcW w:w="1701" w:type="dxa"/>
            <w:gridSpan w:val="2"/>
            <w:tcBorders>
              <w:top w:val="nil"/>
              <w:left w:val="nil"/>
              <w:bottom w:val="nil"/>
              <w:right w:val="nil"/>
            </w:tcBorders>
            <w:shd w:val="clear" w:color="000000" w:fill="auto"/>
            <w:vAlign w:val="bottom"/>
          </w:tcPr>
          <w:p w14:paraId="4A21159B"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r w:rsidRPr="009B546D">
              <w:rPr>
                <w:rFonts w:cstheme="minorHAnsi"/>
                <w:color w:val="000000"/>
              </w:rPr>
              <w:t>65,171</w:t>
            </w:r>
          </w:p>
        </w:tc>
      </w:tr>
      <w:tr w:rsidR="001C6F66" w:rsidRPr="009B546D" w14:paraId="2EF85FA1" w14:textId="77777777" w:rsidTr="00EA2BB6">
        <w:trPr>
          <w:trHeight w:val="372"/>
        </w:trPr>
        <w:tc>
          <w:tcPr>
            <w:tcW w:w="3535" w:type="dxa"/>
            <w:tcBorders>
              <w:top w:val="nil"/>
              <w:left w:val="nil"/>
              <w:bottom w:val="nil"/>
              <w:right w:val="nil"/>
            </w:tcBorders>
            <w:shd w:val="clear" w:color="000000" w:fill="auto"/>
            <w:vAlign w:val="bottom"/>
          </w:tcPr>
          <w:p w14:paraId="1FC82BA6" w14:textId="77777777" w:rsidR="001C6F66" w:rsidRPr="009B546D" w:rsidRDefault="001C6F66" w:rsidP="00F432B9">
            <w:pPr>
              <w:tabs>
                <w:tab w:val="left" w:pos="288"/>
              </w:tabs>
              <w:autoSpaceDE w:val="0"/>
              <w:autoSpaceDN w:val="0"/>
              <w:adjustRightInd w:val="0"/>
              <w:spacing w:line="240" w:lineRule="auto"/>
              <w:rPr>
                <w:rFonts w:cstheme="minorHAnsi"/>
                <w:color w:val="000000"/>
              </w:rPr>
            </w:pPr>
          </w:p>
        </w:tc>
        <w:tc>
          <w:tcPr>
            <w:tcW w:w="1701" w:type="dxa"/>
            <w:gridSpan w:val="2"/>
            <w:tcBorders>
              <w:top w:val="single" w:sz="6" w:space="0" w:color="auto"/>
              <w:left w:val="nil"/>
              <w:bottom w:val="double" w:sz="6" w:space="0" w:color="auto"/>
              <w:right w:val="nil"/>
            </w:tcBorders>
            <w:shd w:val="clear" w:color="000000" w:fill="auto"/>
            <w:vAlign w:val="bottom"/>
          </w:tcPr>
          <w:p w14:paraId="5D3F40DE"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r w:rsidRPr="009B546D">
              <w:rPr>
                <w:rFonts w:cstheme="minorHAnsi"/>
                <w:color w:val="000000"/>
              </w:rPr>
              <w:t>-</w:t>
            </w:r>
          </w:p>
        </w:tc>
        <w:tc>
          <w:tcPr>
            <w:tcW w:w="1559" w:type="dxa"/>
            <w:gridSpan w:val="2"/>
            <w:tcBorders>
              <w:top w:val="single" w:sz="6" w:space="0" w:color="auto"/>
              <w:left w:val="nil"/>
              <w:bottom w:val="double" w:sz="6" w:space="0" w:color="auto"/>
              <w:right w:val="nil"/>
            </w:tcBorders>
            <w:shd w:val="clear" w:color="000000" w:fill="auto"/>
            <w:vAlign w:val="bottom"/>
          </w:tcPr>
          <w:p w14:paraId="5EA85C03"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r w:rsidRPr="009B546D">
              <w:rPr>
                <w:rFonts w:cstheme="minorHAnsi"/>
                <w:color w:val="000000"/>
              </w:rPr>
              <w:t>65,171</w:t>
            </w:r>
          </w:p>
        </w:tc>
        <w:tc>
          <w:tcPr>
            <w:tcW w:w="1701" w:type="dxa"/>
            <w:gridSpan w:val="2"/>
            <w:tcBorders>
              <w:top w:val="single" w:sz="6" w:space="0" w:color="auto"/>
              <w:left w:val="nil"/>
              <w:bottom w:val="double" w:sz="6" w:space="0" w:color="auto"/>
              <w:right w:val="nil"/>
            </w:tcBorders>
            <w:shd w:val="clear" w:color="000000" w:fill="auto"/>
            <w:vAlign w:val="bottom"/>
          </w:tcPr>
          <w:p w14:paraId="7BDED759"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r w:rsidRPr="009B546D">
              <w:rPr>
                <w:rFonts w:cstheme="minorHAnsi"/>
                <w:color w:val="000000"/>
              </w:rPr>
              <w:t>65,171</w:t>
            </w:r>
          </w:p>
        </w:tc>
      </w:tr>
      <w:tr w:rsidR="001C6F66" w:rsidRPr="009B546D" w14:paraId="29633633" w14:textId="77777777" w:rsidTr="00EA2BB6">
        <w:trPr>
          <w:trHeight w:val="278"/>
        </w:trPr>
        <w:tc>
          <w:tcPr>
            <w:tcW w:w="4044" w:type="dxa"/>
            <w:gridSpan w:val="2"/>
            <w:tcBorders>
              <w:top w:val="nil"/>
              <w:left w:val="nil"/>
              <w:bottom w:val="nil"/>
              <w:right w:val="nil"/>
            </w:tcBorders>
            <w:shd w:val="clear" w:color="000000" w:fill="auto"/>
            <w:vAlign w:val="bottom"/>
          </w:tcPr>
          <w:p w14:paraId="0979655B" w14:textId="77777777" w:rsidR="001C6F66" w:rsidRPr="009B546D" w:rsidRDefault="001C6F66" w:rsidP="00F432B9">
            <w:pPr>
              <w:tabs>
                <w:tab w:val="left" w:pos="288"/>
              </w:tabs>
              <w:autoSpaceDE w:val="0"/>
              <w:autoSpaceDN w:val="0"/>
              <w:adjustRightInd w:val="0"/>
              <w:spacing w:line="240" w:lineRule="auto"/>
              <w:rPr>
                <w:rFonts w:cstheme="minorHAnsi"/>
                <w:color w:val="000000"/>
              </w:rPr>
            </w:pPr>
          </w:p>
        </w:tc>
        <w:tc>
          <w:tcPr>
            <w:tcW w:w="1530" w:type="dxa"/>
            <w:gridSpan w:val="2"/>
            <w:tcBorders>
              <w:top w:val="nil"/>
              <w:left w:val="nil"/>
              <w:bottom w:val="nil"/>
              <w:right w:val="nil"/>
            </w:tcBorders>
            <w:shd w:val="clear" w:color="000000" w:fill="auto"/>
            <w:vAlign w:val="bottom"/>
          </w:tcPr>
          <w:p w14:paraId="1131FA93"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rPr>
            </w:pPr>
          </w:p>
        </w:tc>
        <w:tc>
          <w:tcPr>
            <w:tcW w:w="1530" w:type="dxa"/>
            <w:gridSpan w:val="2"/>
            <w:tcBorders>
              <w:top w:val="nil"/>
              <w:left w:val="nil"/>
              <w:bottom w:val="nil"/>
              <w:right w:val="nil"/>
            </w:tcBorders>
            <w:shd w:val="clear" w:color="000000" w:fill="auto"/>
            <w:vAlign w:val="bottom"/>
          </w:tcPr>
          <w:p w14:paraId="45669AD1"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rPr>
            </w:pPr>
          </w:p>
        </w:tc>
        <w:tc>
          <w:tcPr>
            <w:tcW w:w="1392" w:type="dxa"/>
            <w:tcBorders>
              <w:top w:val="nil"/>
              <w:left w:val="nil"/>
              <w:bottom w:val="nil"/>
              <w:right w:val="nil"/>
            </w:tcBorders>
            <w:shd w:val="clear" w:color="000000" w:fill="auto"/>
            <w:vAlign w:val="bottom"/>
          </w:tcPr>
          <w:p w14:paraId="0C4E0D5C"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rPr>
            </w:pPr>
          </w:p>
        </w:tc>
      </w:tr>
      <w:tr w:rsidR="001C6F66" w:rsidRPr="009B546D" w14:paraId="33B6DA06" w14:textId="77777777" w:rsidTr="00EA2BB6">
        <w:trPr>
          <w:trHeight w:val="557"/>
        </w:trPr>
        <w:tc>
          <w:tcPr>
            <w:tcW w:w="4044" w:type="dxa"/>
            <w:gridSpan w:val="2"/>
            <w:tcBorders>
              <w:top w:val="nil"/>
              <w:left w:val="nil"/>
              <w:bottom w:val="nil"/>
              <w:right w:val="nil"/>
            </w:tcBorders>
            <w:shd w:val="clear" w:color="000000" w:fill="auto"/>
            <w:vAlign w:val="bottom"/>
          </w:tcPr>
          <w:p w14:paraId="5E2309B5" w14:textId="77777777" w:rsidR="001C6F66" w:rsidRPr="009B546D" w:rsidRDefault="001C6F66" w:rsidP="00F432B9">
            <w:pPr>
              <w:tabs>
                <w:tab w:val="left" w:pos="288"/>
              </w:tabs>
              <w:autoSpaceDE w:val="0"/>
              <w:autoSpaceDN w:val="0"/>
              <w:adjustRightInd w:val="0"/>
              <w:spacing w:line="240" w:lineRule="auto"/>
              <w:rPr>
                <w:rFonts w:cstheme="minorHAnsi"/>
                <w:color w:val="000000"/>
              </w:rPr>
            </w:pPr>
          </w:p>
        </w:tc>
        <w:tc>
          <w:tcPr>
            <w:tcW w:w="1530" w:type="dxa"/>
            <w:gridSpan w:val="2"/>
            <w:tcBorders>
              <w:top w:val="nil"/>
              <w:left w:val="nil"/>
              <w:bottom w:val="nil"/>
              <w:right w:val="nil"/>
            </w:tcBorders>
            <w:shd w:val="clear" w:color="000000" w:fill="auto"/>
            <w:vAlign w:val="bottom"/>
          </w:tcPr>
          <w:p w14:paraId="01385407" w14:textId="77777777" w:rsidR="001C6F66" w:rsidRPr="009B546D" w:rsidRDefault="001C6F66" w:rsidP="00F432B9">
            <w:pPr>
              <w:tabs>
                <w:tab w:val="left" w:pos="288"/>
              </w:tabs>
              <w:autoSpaceDE w:val="0"/>
              <w:autoSpaceDN w:val="0"/>
              <w:adjustRightInd w:val="0"/>
              <w:spacing w:line="240" w:lineRule="auto"/>
              <w:jc w:val="center"/>
              <w:rPr>
                <w:rFonts w:cstheme="minorHAnsi"/>
                <w:b/>
                <w:bCs/>
                <w:color w:val="000000"/>
              </w:rPr>
            </w:pPr>
          </w:p>
        </w:tc>
        <w:tc>
          <w:tcPr>
            <w:tcW w:w="1530" w:type="dxa"/>
            <w:gridSpan w:val="2"/>
            <w:tcBorders>
              <w:top w:val="nil"/>
              <w:left w:val="nil"/>
              <w:bottom w:val="nil"/>
              <w:right w:val="nil"/>
            </w:tcBorders>
            <w:shd w:val="clear" w:color="000000" w:fill="auto"/>
            <w:vAlign w:val="bottom"/>
          </w:tcPr>
          <w:p w14:paraId="68FC39E7" w14:textId="77777777" w:rsidR="001C6F66" w:rsidRPr="009B546D" w:rsidRDefault="001C6F66" w:rsidP="00F432B9">
            <w:pPr>
              <w:tabs>
                <w:tab w:val="left" w:pos="288"/>
              </w:tabs>
              <w:autoSpaceDE w:val="0"/>
              <w:autoSpaceDN w:val="0"/>
              <w:adjustRightInd w:val="0"/>
              <w:spacing w:line="240" w:lineRule="auto"/>
              <w:jc w:val="center"/>
              <w:rPr>
                <w:rFonts w:cstheme="minorHAnsi"/>
                <w:b/>
                <w:bCs/>
                <w:color w:val="000000"/>
              </w:rPr>
            </w:pPr>
          </w:p>
        </w:tc>
        <w:tc>
          <w:tcPr>
            <w:tcW w:w="1392" w:type="dxa"/>
            <w:tcBorders>
              <w:top w:val="nil"/>
              <w:left w:val="nil"/>
              <w:bottom w:val="nil"/>
              <w:right w:val="nil"/>
            </w:tcBorders>
            <w:shd w:val="clear" w:color="000000" w:fill="auto"/>
            <w:vAlign w:val="bottom"/>
          </w:tcPr>
          <w:p w14:paraId="2F4636F3"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rPr>
            </w:pPr>
            <w:r w:rsidRPr="009B546D">
              <w:rPr>
                <w:rFonts w:cstheme="minorHAnsi"/>
                <w:b/>
                <w:bCs/>
                <w:color w:val="000000"/>
              </w:rPr>
              <w:t>As at 30 April 2019</w:t>
            </w:r>
          </w:p>
        </w:tc>
      </w:tr>
      <w:tr w:rsidR="001C6F66" w:rsidRPr="009B546D" w14:paraId="4EF918E2" w14:textId="77777777" w:rsidTr="00EA2BB6">
        <w:trPr>
          <w:trHeight w:val="278"/>
        </w:trPr>
        <w:tc>
          <w:tcPr>
            <w:tcW w:w="4044" w:type="dxa"/>
            <w:gridSpan w:val="2"/>
            <w:tcBorders>
              <w:top w:val="nil"/>
              <w:left w:val="nil"/>
              <w:bottom w:val="nil"/>
              <w:right w:val="nil"/>
            </w:tcBorders>
            <w:shd w:val="clear" w:color="000000" w:fill="auto"/>
            <w:vAlign w:val="bottom"/>
          </w:tcPr>
          <w:p w14:paraId="08D6F88B" w14:textId="77777777" w:rsidR="001C6F66" w:rsidRPr="009B546D" w:rsidRDefault="001C6F66" w:rsidP="00F432B9">
            <w:pPr>
              <w:tabs>
                <w:tab w:val="left" w:pos="288"/>
              </w:tabs>
              <w:autoSpaceDE w:val="0"/>
              <w:autoSpaceDN w:val="0"/>
              <w:adjustRightInd w:val="0"/>
              <w:spacing w:line="240" w:lineRule="auto"/>
              <w:rPr>
                <w:rFonts w:cstheme="minorHAnsi"/>
                <w:color w:val="000000"/>
              </w:rPr>
            </w:pPr>
          </w:p>
        </w:tc>
        <w:tc>
          <w:tcPr>
            <w:tcW w:w="1530" w:type="dxa"/>
            <w:gridSpan w:val="2"/>
            <w:tcBorders>
              <w:top w:val="nil"/>
              <w:left w:val="nil"/>
              <w:bottom w:val="nil"/>
              <w:right w:val="nil"/>
            </w:tcBorders>
            <w:shd w:val="clear" w:color="000000" w:fill="auto"/>
            <w:vAlign w:val="bottom"/>
          </w:tcPr>
          <w:p w14:paraId="3A09903D" w14:textId="77777777" w:rsidR="001C6F66" w:rsidRPr="009B546D" w:rsidRDefault="001C6F66" w:rsidP="00F432B9">
            <w:pPr>
              <w:tabs>
                <w:tab w:val="left" w:pos="288"/>
              </w:tabs>
              <w:autoSpaceDE w:val="0"/>
              <w:autoSpaceDN w:val="0"/>
              <w:adjustRightInd w:val="0"/>
              <w:spacing w:line="240" w:lineRule="auto"/>
              <w:jc w:val="center"/>
              <w:rPr>
                <w:rFonts w:cstheme="minorHAnsi"/>
                <w:b/>
                <w:bCs/>
                <w:color w:val="000000"/>
              </w:rPr>
            </w:pPr>
          </w:p>
        </w:tc>
        <w:tc>
          <w:tcPr>
            <w:tcW w:w="1530" w:type="dxa"/>
            <w:gridSpan w:val="2"/>
            <w:tcBorders>
              <w:top w:val="nil"/>
              <w:left w:val="nil"/>
              <w:bottom w:val="nil"/>
              <w:right w:val="nil"/>
            </w:tcBorders>
            <w:shd w:val="clear" w:color="000000" w:fill="auto"/>
            <w:vAlign w:val="bottom"/>
          </w:tcPr>
          <w:p w14:paraId="1BEF404A" w14:textId="77777777" w:rsidR="001C6F66" w:rsidRPr="009B546D" w:rsidRDefault="001C6F66" w:rsidP="00F432B9">
            <w:pPr>
              <w:tabs>
                <w:tab w:val="left" w:pos="288"/>
              </w:tabs>
              <w:autoSpaceDE w:val="0"/>
              <w:autoSpaceDN w:val="0"/>
              <w:adjustRightInd w:val="0"/>
              <w:spacing w:line="240" w:lineRule="auto"/>
              <w:jc w:val="center"/>
              <w:rPr>
                <w:rFonts w:cstheme="minorHAnsi"/>
                <w:b/>
                <w:bCs/>
                <w:color w:val="000000"/>
              </w:rPr>
            </w:pPr>
          </w:p>
        </w:tc>
        <w:tc>
          <w:tcPr>
            <w:tcW w:w="1392" w:type="dxa"/>
            <w:tcBorders>
              <w:top w:val="nil"/>
              <w:left w:val="nil"/>
              <w:bottom w:val="nil"/>
              <w:right w:val="nil"/>
            </w:tcBorders>
            <w:shd w:val="clear" w:color="000000" w:fill="auto"/>
            <w:vAlign w:val="bottom"/>
          </w:tcPr>
          <w:p w14:paraId="44821F57"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b/>
                <w:bCs/>
                <w:color w:val="000000"/>
              </w:rPr>
            </w:pPr>
            <w:r w:rsidRPr="009B546D">
              <w:rPr>
                <w:rFonts w:cstheme="minorHAnsi"/>
                <w:b/>
                <w:bCs/>
                <w:color w:val="000000"/>
              </w:rPr>
              <w:t>RM</w:t>
            </w:r>
          </w:p>
        </w:tc>
      </w:tr>
      <w:tr w:rsidR="001C6F66" w:rsidRPr="009B546D" w14:paraId="556EF67A" w14:textId="77777777" w:rsidTr="00EA2BB6">
        <w:trPr>
          <w:trHeight w:val="418"/>
        </w:trPr>
        <w:tc>
          <w:tcPr>
            <w:tcW w:w="4044" w:type="dxa"/>
            <w:gridSpan w:val="2"/>
            <w:tcBorders>
              <w:top w:val="nil"/>
              <w:left w:val="nil"/>
              <w:bottom w:val="nil"/>
              <w:right w:val="nil"/>
            </w:tcBorders>
            <w:shd w:val="clear" w:color="000000" w:fill="auto"/>
            <w:vAlign w:val="bottom"/>
          </w:tcPr>
          <w:p w14:paraId="453C6C7E" w14:textId="77777777" w:rsidR="001C6F66" w:rsidRPr="009B546D" w:rsidRDefault="001C6F66" w:rsidP="00F432B9">
            <w:pPr>
              <w:tabs>
                <w:tab w:val="left" w:pos="288"/>
              </w:tabs>
              <w:autoSpaceDE w:val="0"/>
              <w:autoSpaceDN w:val="0"/>
              <w:adjustRightInd w:val="0"/>
              <w:spacing w:line="240" w:lineRule="auto"/>
              <w:rPr>
                <w:rFonts w:cstheme="minorHAnsi"/>
                <w:b/>
                <w:bCs/>
                <w:color w:val="000000"/>
                <w:u w:val="single"/>
              </w:rPr>
            </w:pPr>
            <w:r w:rsidRPr="009B546D">
              <w:rPr>
                <w:rFonts w:cstheme="minorHAnsi"/>
                <w:b/>
                <w:bCs/>
                <w:color w:val="000000"/>
                <w:u w:val="single"/>
              </w:rPr>
              <w:t>Carrying Amounts</w:t>
            </w:r>
          </w:p>
        </w:tc>
        <w:tc>
          <w:tcPr>
            <w:tcW w:w="1530" w:type="dxa"/>
            <w:gridSpan w:val="2"/>
            <w:tcBorders>
              <w:top w:val="nil"/>
              <w:left w:val="nil"/>
              <w:bottom w:val="nil"/>
              <w:right w:val="nil"/>
            </w:tcBorders>
            <w:shd w:val="clear" w:color="000000" w:fill="auto"/>
            <w:vAlign w:val="bottom"/>
          </w:tcPr>
          <w:p w14:paraId="3A1B082C"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rPr>
            </w:pPr>
          </w:p>
        </w:tc>
        <w:tc>
          <w:tcPr>
            <w:tcW w:w="1530" w:type="dxa"/>
            <w:gridSpan w:val="2"/>
            <w:tcBorders>
              <w:top w:val="nil"/>
              <w:left w:val="nil"/>
              <w:bottom w:val="nil"/>
              <w:right w:val="nil"/>
            </w:tcBorders>
            <w:shd w:val="clear" w:color="000000" w:fill="auto"/>
            <w:vAlign w:val="bottom"/>
          </w:tcPr>
          <w:p w14:paraId="3A155720"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rPr>
            </w:pPr>
          </w:p>
        </w:tc>
        <w:tc>
          <w:tcPr>
            <w:tcW w:w="1392" w:type="dxa"/>
            <w:tcBorders>
              <w:top w:val="nil"/>
              <w:left w:val="nil"/>
              <w:bottom w:val="nil"/>
              <w:right w:val="nil"/>
            </w:tcBorders>
            <w:shd w:val="clear" w:color="000000" w:fill="auto"/>
            <w:vAlign w:val="bottom"/>
          </w:tcPr>
          <w:p w14:paraId="5FBC49FA"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rPr>
            </w:pPr>
          </w:p>
        </w:tc>
      </w:tr>
      <w:tr w:rsidR="001C6F66" w:rsidRPr="009B546D" w14:paraId="5AB4577B" w14:textId="77777777" w:rsidTr="00EA2BB6">
        <w:trPr>
          <w:trHeight w:val="278"/>
        </w:trPr>
        <w:tc>
          <w:tcPr>
            <w:tcW w:w="4044" w:type="dxa"/>
            <w:gridSpan w:val="2"/>
            <w:tcBorders>
              <w:top w:val="nil"/>
              <w:left w:val="nil"/>
              <w:bottom w:val="nil"/>
              <w:right w:val="nil"/>
            </w:tcBorders>
            <w:shd w:val="clear" w:color="000000" w:fill="auto"/>
            <w:vAlign w:val="bottom"/>
          </w:tcPr>
          <w:p w14:paraId="1CF28D6D" w14:textId="77777777" w:rsidR="001C6F66" w:rsidRPr="009B546D" w:rsidRDefault="001C6F66" w:rsidP="00F432B9">
            <w:pPr>
              <w:tabs>
                <w:tab w:val="left" w:pos="288"/>
              </w:tabs>
              <w:autoSpaceDE w:val="0"/>
              <w:autoSpaceDN w:val="0"/>
              <w:adjustRightInd w:val="0"/>
              <w:spacing w:line="240" w:lineRule="auto"/>
              <w:rPr>
                <w:rFonts w:cstheme="minorHAnsi"/>
                <w:color w:val="000000"/>
              </w:rPr>
            </w:pPr>
            <w:r w:rsidRPr="009B546D">
              <w:rPr>
                <w:rFonts w:cstheme="minorHAnsi"/>
                <w:color w:val="000000"/>
              </w:rPr>
              <w:t>Software</w:t>
            </w:r>
          </w:p>
        </w:tc>
        <w:tc>
          <w:tcPr>
            <w:tcW w:w="1530" w:type="dxa"/>
            <w:gridSpan w:val="2"/>
            <w:tcBorders>
              <w:top w:val="nil"/>
              <w:left w:val="nil"/>
              <w:bottom w:val="nil"/>
              <w:right w:val="nil"/>
            </w:tcBorders>
            <w:shd w:val="clear" w:color="000000" w:fill="auto"/>
            <w:vAlign w:val="bottom"/>
          </w:tcPr>
          <w:p w14:paraId="20283FAE"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rPr>
            </w:pPr>
          </w:p>
        </w:tc>
        <w:tc>
          <w:tcPr>
            <w:tcW w:w="1530" w:type="dxa"/>
            <w:gridSpan w:val="2"/>
            <w:tcBorders>
              <w:top w:val="nil"/>
              <w:left w:val="nil"/>
              <w:bottom w:val="nil"/>
              <w:right w:val="nil"/>
            </w:tcBorders>
            <w:shd w:val="clear" w:color="000000" w:fill="auto"/>
            <w:vAlign w:val="bottom"/>
          </w:tcPr>
          <w:p w14:paraId="431FA8B6" w14:textId="77777777" w:rsidR="001C6F66" w:rsidRPr="009B546D" w:rsidRDefault="001C6F66" w:rsidP="00F432B9">
            <w:pPr>
              <w:tabs>
                <w:tab w:val="left" w:pos="288"/>
              </w:tabs>
              <w:autoSpaceDE w:val="0"/>
              <w:autoSpaceDN w:val="0"/>
              <w:adjustRightInd w:val="0"/>
              <w:spacing w:line="240" w:lineRule="auto"/>
              <w:jc w:val="right"/>
              <w:rPr>
                <w:rFonts w:cstheme="minorHAnsi"/>
                <w:color w:val="000000"/>
              </w:rPr>
            </w:pPr>
          </w:p>
        </w:tc>
        <w:tc>
          <w:tcPr>
            <w:tcW w:w="1392" w:type="dxa"/>
            <w:tcBorders>
              <w:top w:val="nil"/>
              <w:left w:val="nil"/>
              <w:bottom w:val="nil"/>
              <w:right w:val="nil"/>
            </w:tcBorders>
            <w:shd w:val="clear" w:color="000000" w:fill="auto"/>
            <w:vAlign w:val="bottom"/>
          </w:tcPr>
          <w:p w14:paraId="3098384B"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r w:rsidRPr="009B546D">
              <w:rPr>
                <w:rFonts w:cstheme="minorHAnsi"/>
                <w:color w:val="000000"/>
              </w:rPr>
              <w:t>260,682</w:t>
            </w:r>
          </w:p>
        </w:tc>
      </w:tr>
      <w:tr w:rsidR="001C6F66" w:rsidRPr="009B546D" w14:paraId="591AA0D7" w14:textId="77777777" w:rsidTr="00EA2BB6">
        <w:trPr>
          <w:trHeight w:val="372"/>
        </w:trPr>
        <w:tc>
          <w:tcPr>
            <w:tcW w:w="4044" w:type="dxa"/>
            <w:gridSpan w:val="2"/>
            <w:tcBorders>
              <w:top w:val="nil"/>
              <w:left w:val="nil"/>
              <w:bottom w:val="nil"/>
              <w:right w:val="nil"/>
            </w:tcBorders>
            <w:shd w:val="clear" w:color="000000" w:fill="auto"/>
            <w:vAlign w:val="bottom"/>
          </w:tcPr>
          <w:p w14:paraId="538CF967" w14:textId="77777777" w:rsidR="001C6F66" w:rsidRPr="009B546D" w:rsidRDefault="001C6F66" w:rsidP="00F432B9">
            <w:pPr>
              <w:tabs>
                <w:tab w:val="left" w:pos="288"/>
              </w:tabs>
              <w:autoSpaceDE w:val="0"/>
              <w:autoSpaceDN w:val="0"/>
              <w:adjustRightInd w:val="0"/>
              <w:spacing w:line="240" w:lineRule="auto"/>
              <w:rPr>
                <w:rFonts w:cstheme="minorHAnsi"/>
                <w:color w:val="000000"/>
              </w:rPr>
            </w:pPr>
          </w:p>
        </w:tc>
        <w:tc>
          <w:tcPr>
            <w:tcW w:w="1530" w:type="dxa"/>
            <w:gridSpan w:val="2"/>
            <w:tcBorders>
              <w:top w:val="nil"/>
              <w:left w:val="nil"/>
              <w:bottom w:val="nil"/>
              <w:right w:val="nil"/>
            </w:tcBorders>
            <w:shd w:val="clear" w:color="000000" w:fill="auto"/>
            <w:vAlign w:val="bottom"/>
          </w:tcPr>
          <w:p w14:paraId="6248B796" w14:textId="77777777" w:rsidR="001C6F66" w:rsidRPr="009B546D" w:rsidRDefault="001C6F66" w:rsidP="00F432B9">
            <w:pPr>
              <w:autoSpaceDE w:val="0"/>
              <w:autoSpaceDN w:val="0"/>
              <w:adjustRightInd w:val="0"/>
              <w:spacing w:line="240" w:lineRule="auto"/>
              <w:jc w:val="right"/>
              <w:rPr>
                <w:rFonts w:cstheme="minorHAnsi"/>
                <w:color w:val="000000"/>
              </w:rPr>
            </w:pPr>
          </w:p>
        </w:tc>
        <w:tc>
          <w:tcPr>
            <w:tcW w:w="1530" w:type="dxa"/>
            <w:gridSpan w:val="2"/>
            <w:tcBorders>
              <w:top w:val="nil"/>
              <w:left w:val="nil"/>
              <w:bottom w:val="nil"/>
              <w:right w:val="nil"/>
            </w:tcBorders>
            <w:shd w:val="clear" w:color="000000" w:fill="auto"/>
            <w:vAlign w:val="bottom"/>
          </w:tcPr>
          <w:p w14:paraId="1AB7E729" w14:textId="77777777" w:rsidR="001C6F66" w:rsidRPr="009B546D" w:rsidRDefault="001C6F66" w:rsidP="00F432B9">
            <w:pPr>
              <w:autoSpaceDE w:val="0"/>
              <w:autoSpaceDN w:val="0"/>
              <w:adjustRightInd w:val="0"/>
              <w:spacing w:line="240" w:lineRule="auto"/>
              <w:jc w:val="right"/>
              <w:rPr>
                <w:rFonts w:cstheme="minorHAnsi"/>
                <w:color w:val="000000"/>
              </w:rPr>
            </w:pPr>
          </w:p>
        </w:tc>
        <w:tc>
          <w:tcPr>
            <w:tcW w:w="1392" w:type="dxa"/>
            <w:tcBorders>
              <w:top w:val="single" w:sz="6" w:space="0" w:color="auto"/>
              <w:left w:val="nil"/>
              <w:bottom w:val="double" w:sz="6" w:space="0" w:color="auto"/>
              <w:right w:val="nil"/>
            </w:tcBorders>
            <w:shd w:val="clear" w:color="000000" w:fill="auto"/>
            <w:vAlign w:val="bottom"/>
          </w:tcPr>
          <w:p w14:paraId="1C2BD86D" w14:textId="77777777" w:rsidR="001C6F66" w:rsidRPr="009B546D" w:rsidRDefault="001C6F66" w:rsidP="00F432B9">
            <w:pPr>
              <w:autoSpaceDE w:val="0"/>
              <w:autoSpaceDN w:val="0"/>
              <w:adjustRightInd w:val="0"/>
              <w:spacing w:line="240" w:lineRule="auto"/>
              <w:ind w:right="72"/>
              <w:jc w:val="right"/>
              <w:rPr>
                <w:rFonts w:cstheme="minorHAnsi"/>
                <w:color w:val="000000"/>
              </w:rPr>
            </w:pPr>
            <w:r w:rsidRPr="009B546D">
              <w:rPr>
                <w:rFonts w:cstheme="minorHAnsi"/>
                <w:color w:val="000000"/>
              </w:rPr>
              <w:t>260,682</w:t>
            </w:r>
          </w:p>
        </w:tc>
      </w:tr>
    </w:tbl>
    <w:p w14:paraId="6D9950BD" w14:textId="77777777" w:rsidR="001C6F66" w:rsidRPr="009B546D" w:rsidRDefault="001C6F66" w:rsidP="00F432B9">
      <w:pPr>
        <w:keepNext/>
        <w:keepLines/>
        <w:spacing w:line="240" w:lineRule="auto"/>
        <w:rPr>
          <w:rFonts w:cstheme="minorHAnsi"/>
          <w:b/>
          <w:caps/>
        </w:rPr>
      </w:pPr>
    </w:p>
    <w:p w14:paraId="2DBB4D6F" w14:textId="77777777" w:rsidR="001C6F66" w:rsidRPr="009B546D" w:rsidRDefault="001C6F66" w:rsidP="00F432B9">
      <w:pPr>
        <w:spacing w:line="240" w:lineRule="auto"/>
        <w:jc w:val="center"/>
        <w:rPr>
          <w:rFonts w:cstheme="minorHAnsi"/>
          <w:sz w:val="28"/>
          <w:szCs w:val="28"/>
        </w:rPr>
      </w:pPr>
      <w:r w:rsidRPr="009B546D">
        <w:rPr>
          <w:rFonts w:cstheme="minorHAnsi"/>
          <w:b/>
          <w:caps/>
        </w:rPr>
        <w:br w:type="page"/>
      </w:r>
    </w:p>
    <w:p w14:paraId="05966F06" w14:textId="77777777" w:rsidR="001C6F66" w:rsidRPr="009B546D" w:rsidRDefault="001C6F66" w:rsidP="00F432B9">
      <w:pPr>
        <w:spacing w:line="240" w:lineRule="auto"/>
        <w:rPr>
          <w:rFonts w:cstheme="minorHAnsi"/>
          <w:b/>
          <w:caps/>
        </w:rPr>
      </w:pPr>
      <w:r w:rsidRPr="009B546D">
        <w:rPr>
          <w:rFonts w:cstheme="minorHAnsi"/>
          <w:b/>
          <w:caps/>
        </w:rPr>
        <w:lastRenderedPageBreak/>
        <w:t>n</w:t>
      </w:r>
      <w:r w:rsidRPr="009B546D">
        <w:rPr>
          <w:rFonts w:cstheme="minorHAnsi"/>
          <w:b/>
        </w:rPr>
        <w:t>otes to the financial information</w:t>
      </w:r>
    </w:p>
    <w:p w14:paraId="772DE888" w14:textId="77777777" w:rsidR="001C6F66" w:rsidRPr="009B546D" w:rsidRDefault="001C6F66" w:rsidP="00F432B9">
      <w:pPr>
        <w:spacing w:line="240" w:lineRule="auto"/>
        <w:rPr>
          <w:rFonts w:cstheme="minorHAnsi"/>
          <w:b/>
          <w:caps/>
        </w:rPr>
      </w:pPr>
      <w:r w:rsidRPr="009B546D">
        <w:rPr>
          <w:rFonts w:cstheme="minorHAnsi"/>
          <w:b/>
          <w:caps/>
        </w:rPr>
        <w:t>F</w:t>
      </w:r>
      <w:r w:rsidRPr="009B546D">
        <w:rPr>
          <w:rFonts w:cstheme="minorHAnsi"/>
          <w:b/>
        </w:rPr>
        <w:t xml:space="preserve">or the </w:t>
      </w:r>
      <w:r w:rsidRPr="009B546D">
        <w:rPr>
          <w:rFonts w:cstheme="minorHAnsi"/>
          <w:b/>
          <w:caps/>
        </w:rPr>
        <w:fldChar w:fldCharType="begin"/>
      </w:r>
      <w:r w:rsidRPr="009B546D">
        <w:rPr>
          <w:rFonts w:cstheme="minorHAnsi"/>
          <w:b/>
          <w:caps/>
        </w:rPr>
        <w:instrText xml:space="preserve"> DOCPROPERTY  "Fin year/period (for cover page)"\* Caps \* MERGEFORMAT </w:instrText>
      </w:r>
      <w:r w:rsidRPr="009B546D">
        <w:rPr>
          <w:rFonts w:cstheme="minorHAnsi"/>
          <w:b/>
          <w:caps/>
        </w:rPr>
        <w:fldChar w:fldCharType="separate"/>
      </w:r>
      <w:r w:rsidRPr="009B546D">
        <w:rPr>
          <w:rFonts w:cstheme="minorHAnsi"/>
          <w:b/>
        </w:rPr>
        <w:t>financial period ended from 17 April 2018 (date of incorporation) to 30 April 2019</w:t>
      </w:r>
      <w:r w:rsidRPr="009B546D">
        <w:rPr>
          <w:rFonts w:cstheme="minorHAnsi"/>
          <w:b/>
          <w:caps/>
        </w:rPr>
        <w:fldChar w:fldCharType="end"/>
      </w:r>
      <w:r w:rsidRPr="00384557">
        <w:rPr>
          <w:rFonts w:cstheme="minorHAnsi"/>
          <w:b/>
          <w:caps/>
        </w:rPr>
        <w:t xml:space="preserve"> (</w:t>
      </w:r>
      <w:r w:rsidRPr="009B546D">
        <w:rPr>
          <w:rFonts w:cstheme="minorHAnsi"/>
          <w:b/>
          <w:i/>
        </w:rPr>
        <w:t>continued)</w:t>
      </w:r>
    </w:p>
    <w:p w14:paraId="373EA1D1" w14:textId="77777777" w:rsidR="001C6F66" w:rsidRPr="009B546D" w:rsidRDefault="001C6F66" w:rsidP="00F432B9">
      <w:pPr>
        <w:pBdr>
          <w:bottom w:val="single" w:sz="6" w:space="1" w:color="auto"/>
        </w:pBdr>
        <w:spacing w:line="240" w:lineRule="auto"/>
        <w:jc w:val="right"/>
        <w:rPr>
          <w:rFonts w:cstheme="minorHAnsi"/>
        </w:rPr>
      </w:pPr>
    </w:p>
    <w:p w14:paraId="440BBF9A" w14:textId="77777777" w:rsidR="001C6F66" w:rsidRPr="009B546D" w:rsidRDefault="001C6F66" w:rsidP="00496B89">
      <w:pPr>
        <w:pStyle w:val="ListParagraph"/>
        <w:widowControl/>
        <w:numPr>
          <w:ilvl w:val="0"/>
          <w:numId w:val="35"/>
        </w:numPr>
        <w:spacing w:after="220"/>
        <w:rPr>
          <w:rFonts w:asciiTheme="minorHAnsi" w:hAnsiTheme="minorHAnsi" w:cstheme="minorHAnsi"/>
          <w:b/>
          <w:caps/>
          <w:sz w:val="20"/>
        </w:rPr>
      </w:pPr>
      <w:r w:rsidRPr="009B546D">
        <w:rPr>
          <w:rFonts w:asciiTheme="minorHAnsi" w:hAnsiTheme="minorHAnsi" w:cstheme="minorHAnsi"/>
          <w:b/>
          <w:caps/>
          <w:sz w:val="20"/>
        </w:rPr>
        <w:t xml:space="preserve">Trade AND OTHER receivables </w:t>
      </w:r>
    </w:p>
    <w:p w14:paraId="6B1CEA02" w14:textId="77777777" w:rsidR="001E14F3" w:rsidRPr="009B546D" w:rsidRDefault="001E14F3" w:rsidP="00F432B9">
      <w:pPr>
        <w:pStyle w:val="ListParagraph"/>
        <w:spacing w:after="220"/>
        <w:ind w:left="576"/>
        <w:rPr>
          <w:rFonts w:asciiTheme="minorHAnsi" w:hAnsiTheme="minorHAnsi" w:cstheme="minorHAnsi"/>
          <w:color w:val="0D0D0D" w:themeColor="text1" w:themeTint="F2"/>
        </w:rPr>
      </w:pPr>
      <w:r w:rsidRPr="009B546D">
        <w:rPr>
          <w:rFonts w:asciiTheme="minorHAnsi" w:hAnsiTheme="minorHAnsi" w:cstheme="minorHAnsi"/>
          <w:color w:val="0D0D0D" w:themeColor="text1" w:themeTint="F2"/>
        </w:rPr>
        <w:t>Alchemist’s normal trade credit terms range is 180 days, although during the period two customers settled in advance of these terms. Other credit terms are assessed and approved on case to case basis.</w:t>
      </w:r>
    </w:p>
    <w:tbl>
      <w:tblPr>
        <w:tblW w:w="8496" w:type="dxa"/>
        <w:tblInd w:w="576" w:type="dxa"/>
        <w:tblLayout w:type="fixed"/>
        <w:tblLook w:val="04A0" w:firstRow="1" w:lastRow="0" w:firstColumn="1" w:lastColumn="0" w:noHBand="0" w:noVBand="1"/>
      </w:tblPr>
      <w:tblGrid>
        <w:gridCol w:w="4482"/>
        <w:gridCol w:w="913"/>
        <w:gridCol w:w="527"/>
        <w:gridCol w:w="1350"/>
        <w:gridCol w:w="270"/>
        <w:gridCol w:w="954"/>
      </w:tblGrid>
      <w:tr w:rsidR="001C6F66" w:rsidRPr="009B546D" w14:paraId="0614ED82" w14:textId="77777777" w:rsidTr="00EA2BB6">
        <w:trPr>
          <w:trHeight w:val="278"/>
        </w:trPr>
        <w:tc>
          <w:tcPr>
            <w:tcW w:w="4482" w:type="dxa"/>
            <w:vAlign w:val="bottom"/>
          </w:tcPr>
          <w:p w14:paraId="64351CA0"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913" w:type="dxa"/>
            <w:vAlign w:val="bottom"/>
            <w:hideMark/>
          </w:tcPr>
          <w:p w14:paraId="6498074E" w14:textId="77777777" w:rsidR="001C6F66" w:rsidRPr="009B546D" w:rsidRDefault="001C6F66" w:rsidP="00EA2BB6">
            <w:pPr>
              <w:tabs>
                <w:tab w:val="left" w:pos="288"/>
              </w:tabs>
              <w:autoSpaceDE w:val="0"/>
              <w:autoSpaceDN w:val="0"/>
              <w:adjustRightInd w:val="0"/>
              <w:spacing w:after="0" w:line="240" w:lineRule="auto"/>
              <w:ind w:right="72"/>
              <w:jc w:val="center"/>
              <w:rPr>
                <w:rFonts w:cstheme="minorHAnsi"/>
                <w:b/>
                <w:bCs/>
                <w:color w:val="000000"/>
                <w:lang w:val="en-MY"/>
              </w:rPr>
            </w:pPr>
            <w:r w:rsidRPr="009B546D">
              <w:rPr>
                <w:rFonts w:cstheme="minorHAnsi"/>
                <w:b/>
                <w:bCs/>
                <w:color w:val="000000"/>
                <w:lang w:val="en-MY"/>
              </w:rPr>
              <w:t xml:space="preserve"> </w:t>
            </w:r>
          </w:p>
        </w:tc>
        <w:tc>
          <w:tcPr>
            <w:tcW w:w="527" w:type="dxa"/>
            <w:vAlign w:val="bottom"/>
          </w:tcPr>
          <w:p w14:paraId="375D2BBB"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1350" w:type="dxa"/>
            <w:vAlign w:val="bottom"/>
          </w:tcPr>
          <w:p w14:paraId="0C636A19" w14:textId="77777777" w:rsidR="001C6F66" w:rsidRPr="009B546D" w:rsidRDefault="001C6F66" w:rsidP="00EA2BB6">
            <w:pPr>
              <w:tabs>
                <w:tab w:val="left" w:pos="288"/>
              </w:tabs>
              <w:autoSpaceDE w:val="0"/>
              <w:autoSpaceDN w:val="0"/>
              <w:adjustRightInd w:val="0"/>
              <w:spacing w:after="0" w:line="240" w:lineRule="auto"/>
              <w:ind w:right="72"/>
              <w:jc w:val="center"/>
              <w:rPr>
                <w:rFonts w:cstheme="minorHAnsi"/>
                <w:b/>
                <w:bCs/>
                <w:color w:val="000000"/>
                <w:lang w:val="en-MY"/>
              </w:rPr>
            </w:pPr>
          </w:p>
        </w:tc>
        <w:tc>
          <w:tcPr>
            <w:tcW w:w="270" w:type="dxa"/>
            <w:vAlign w:val="bottom"/>
          </w:tcPr>
          <w:p w14:paraId="5CE9E74B" w14:textId="77777777" w:rsidR="001C6F66" w:rsidRPr="009B546D" w:rsidRDefault="001C6F66" w:rsidP="00EA2BB6">
            <w:pPr>
              <w:tabs>
                <w:tab w:val="left" w:pos="288"/>
              </w:tabs>
              <w:autoSpaceDE w:val="0"/>
              <w:autoSpaceDN w:val="0"/>
              <w:adjustRightInd w:val="0"/>
              <w:spacing w:after="0" w:line="240" w:lineRule="auto"/>
              <w:jc w:val="center"/>
              <w:rPr>
                <w:rFonts w:cstheme="minorHAnsi"/>
                <w:b/>
                <w:bCs/>
                <w:color w:val="000000"/>
                <w:lang w:val="en-MY"/>
              </w:rPr>
            </w:pPr>
          </w:p>
        </w:tc>
        <w:tc>
          <w:tcPr>
            <w:tcW w:w="954" w:type="dxa"/>
            <w:vAlign w:val="bottom"/>
            <w:hideMark/>
          </w:tcPr>
          <w:p w14:paraId="145B1A84"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b/>
                <w:bCs/>
                <w:color w:val="000000"/>
                <w:lang w:val="en-MY"/>
              </w:rPr>
            </w:pPr>
            <w:r w:rsidRPr="009B546D">
              <w:rPr>
                <w:rFonts w:cstheme="minorHAnsi"/>
                <w:b/>
                <w:bCs/>
                <w:color w:val="000000"/>
                <w:lang w:val="en-MY"/>
              </w:rPr>
              <w:t>2019</w:t>
            </w:r>
          </w:p>
        </w:tc>
      </w:tr>
      <w:tr w:rsidR="001C6F66" w:rsidRPr="009B546D" w14:paraId="7C3DF516" w14:textId="77777777" w:rsidTr="00EA2BB6">
        <w:trPr>
          <w:trHeight w:val="278"/>
        </w:trPr>
        <w:tc>
          <w:tcPr>
            <w:tcW w:w="4482" w:type="dxa"/>
            <w:vAlign w:val="bottom"/>
          </w:tcPr>
          <w:p w14:paraId="6BE84680"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913" w:type="dxa"/>
            <w:vAlign w:val="bottom"/>
          </w:tcPr>
          <w:p w14:paraId="48E59822" w14:textId="77777777" w:rsidR="001C6F66" w:rsidRPr="009B546D" w:rsidRDefault="001C6F66" w:rsidP="00EA2BB6">
            <w:pPr>
              <w:tabs>
                <w:tab w:val="left" w:pos="288"/>
              </w:tabs>
              <w:autoSpaceDE w:val="0"/>
              <w:autoSpaceDN w:val="0"/>
              <w:adjustRightInd w:val="0"/>
              <w:spacing w:after="0" w:line="240" w:lineRule="auto"/>
              <w:ind w:right="72"/>
              <w:jc w:val="center"/>
              <w:rPr>
                <w:rFonts w:cstheme="minorHAnsi"/>
                <w:b/>
                <w:bCs/>
                <w:color w:val="000000"/>
                <w:lang w:val="en-MY"/>
              </w:rPr>
            </w:pPr>
          </w:p>
        </w:tc>
        <w:tc>
          <w:tcPr>
            <w:tcW w:w="527" w:type="dxa"/>
            <w:vAlign w:val="bottom"/>
          </w:tcPr>
          <w:p w14:paraId="2B0A1F1A"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1350" w:type="dxa"/>
            <w:vAlign w:val="bottom"/>
          </w:tcPr>
          <w:p w14:paraId="3E57FE9D" w14:textId="77777777" w:rsidR="001C6F66" w:rsidRPr="009B546D" w:rsidRDefault="001C6F66" w:rsidP="00EA2BB6">
            <w:pPr>
              <w:tabs>
                <w:tab w:val="left" w:pos="288"/>
              </w:tabs>
              <w:autoSpaceDE w:val="0"/>
              <w:autoSpaceDN w:val="0"/>
              <w:adjustRightInd w:val="0"/>
              <w:spacing w:after="0" w:line="240" w:lineRule="auto"/>
              <w:ind w:right="72"/>
              <w:jc w:val="center"/>
              <w:rPr>
                <w:rFonts w:cstheme="minorHAnsi"/>
                <w:b/>
                <w:bCs/>
                <w:color w:val="000000"/>
                <w:lang w:val="en-MY"/>
              </w:rPr>
            </w:pPr>
          </w:p>
        </w:tc>
        <w:tc>
          <w:tcPr>
            <w:tcW w:w="270" w:type="dxa"/>
            <w:vAlign w:val="bottom"/>
          </w:tcPr>
          <w:p w14:paraId="50CFA287" w14:textId="77777777" w:rsidR="001C6F66" w:rsidRPr="009B546D" w:rsidRDefault="001C6F66" w:rsidP="00EA2BB6">
            <w:pPr>
              <w:tabs>
                <w:tab w:val="left" w:pos="288"/>
              </w:tabs>
              <w:autoSpaceDE w:val="0"/>
              <w:autoSpaceDN w:val="0"/>
              <w:adjustRightInd w:val="0"/>
              <w:spacing w:after="0" w:line="240" w:lineRule="auto"/>
              <w:jc w:val="center"/>
              <w:rPr>
                <w:rFonts w:cstheme="minorHAnsi"/>
                <w:b/>
                <w:bCs/>
                <w:color w:val="000000"/>
                <w:lang w:val="en-MY"/>
              </w:rPr>
            </w:pPr>
          </w:p>
        </w:tc>
        <w:tc>
          <w:tcPr>
            <w:tcW w:w="954" w:type="dxa"/>
            <w:vAlign w:val="bottom"/>
            <w:hideMark/>
          </w:tcPr>
          <w:p w14:paraId="489AF88C"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b/>
                <w:bCs/>
                <w:color w:val="000000"/>
                <w:lang w:val="en-MY"/>
              </w:rPr>
            </w:pPr>
            <w:r w:rsidRPr="009B546D">
              <w:rPr>
                <w:rFonts w:cstheme="minorHAnsi"/>
                <w:b/>
                <w:bCs/>
                <w:color w:val="000000"/>
                <w:lang w:val="en-MY"/>
              </w:rPr>
              <w:t>RM</w:t>
            </w:r>
          </w:p>
        </w:tc>
      </w:tr>
      <w:tr w:rsidR="001C6F66" w:rsidRPr="009B546D" w14:paraId="1D2AE99B" w14:textId="77777777" w:rsidTr="00EA2BB6">
        <w:trPr>
          <w:trHeight w:val="278"/>
        </w:trPr>
        <w:tc>
          <w:tcPr>
            <w:tcW w:w="4482" w:type="dxa"/>
            <w:vAlign w:val="bottom"/>
          </w:tcPr>
          <w:p w14:paraId="6FF05236"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913" w:type="dxa"/>
            <w:vAlign w:val="bottom"/>
          </w:tcPr>
          <w:p w14:paraId="718EE051"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527" w:type="dxa"/>
            <w:vAlign w:val="bottom"/>
          </w:tcPr>
          <w:p w14:paraId="114089A0"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1350" w:type="dxa"/>
            <w:vAlign w:val="bottom"/>
          </w:tcPr>
          <w:p w14:paraId="73EC7EE3"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270" w:type="dxa"/>
            <w:vAlign w:val="bottom"/>
          </w:tcPr>
          <w:p w14:paraId="52CCBA68"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954" w:type="dxa"/>
            <w:vAlign w:val="bottom"/>
          </w:tcPr>
          <w:p w14:paraId="13181002"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lang w:val="en-MY"/>
              </w:rPr>
            </w:pPr>
          </w:p>
        </w:tc>
      </w:tr>
      <w:tr w:rsidR="001C6F66" w:rsidRPr="009B546D" w14:paraId="48782A79" w14:textId="77777777" w:rsidTr="00EA2BB6">
        <w:trPr>
          <w:trHeight w:val="278"/>
        </w:trPr>
        <w:tc>
          <w:tcPr>
            <w:tcW w:w="4482" w:type="dxa"/>
            <w:vAlign w:val="bottom"/>
            <w:hideMark/>
          </w:tcPr>
          <w:p w14:paraId="1250A0B9"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r w:rsidRPr="009B546D">
              <w:rPr>
                <w:rFonts w:cstheme="minorHAnsi"/>
                <w:color w:val="000000"/>
                <w:lang w:val="en-MY"/>
              </w:rPr>
              <w:t xml:space="preserve">Trade receivables </w:t>
            </w:r>
          </w:p>
        </w:tc>
        <w:tc>
          <w:tcPr>
            <w:tcW w:w="913" w:type="dxa"/>
            <w:vAlign w:val="bottom"/>
          </w:tcPr>
          <w:p w14:paraId="3A32A2A3"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527" w:type="dxa"/>
            <w:vAlign w:val="bottom"/>
          </w:tcPr>
          <w:p w14:paraId="4396215B"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1350" w:type="dxa"/>
            <w:vAlign w:val="bottom"/>
          </w:tcPr>
          <w:p w14:paraId="718A673D"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270" w:type="dxa"/>
            <w:vAlign w:val="bottom"/>
          </w:tcPr>
          <w:p w14:paraId="65A77E6D"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954" w:type="dxa"/>
            <w:vAlign w:val="bottom"/>
          </w:tcPr>
          <w:p w14:paraId="65AA11C2" w14:textId="649CFF93" w:rsidR="001C6F66" w:rsidRPr="009B546D" w:rsidRDefault="00D45B5A" w:rsidP="00EA2BB6">
            <w:pPr>
              <w:tabs>
                <w:tab w:val="left" w:pos="288"/>
              </w:tabs>
              <w:autoSpaceDE w:val="0"/>
              <w:autoSpaceDN w:val="0"/>
              <w:adjustRightInd w:val="0"/>
              <w:spacing w:after="0" w:line="240" w:lineRule="auto"/>
              <w:ind w:right="72"/>
              <w:jc w:val="right"/>
              <w:rPr>
                <w:rFonts w:cstheme="minorHAnsi"/>
                <w:color w:val="000000"/>
                <w:lang w:val="en-MY"/>
              </w:rPr>
            </w:pPr>
            <w:r w:rsidRPr="009B546D">
              <w:rPr>
                <w:rFonts w:cstheme="minorHAnsi"/>
                <w:color w:val="000000"/>
                <w:lang w:val="en-MY"/>
              </w:rPr>
              <w:t>555,000</w:t>
            </w:r>
          </w:p>
        </w:tc>
      </w:tr>
      <w:tr w:rsidR="001C6F66" w:rsidRPr="009B546D" w14:paraId="2222CF50" w14:textId="77777777" w:rsidTr="00EA2BB6">
        <w:trPr>
          <w:trHeight w:val="278"/>
        </w:trPr>
        <w:tc>
          <w:tcPr>
            <w:tcW w:w="4482" w:type="dxa"/>
            <w:vAlign w:val="bottom"/>
            <w:hideMark/>
          </w:tcPr>
          <w:p w14:paraId="45024C7B"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r w:rsidRPr="009B546D">
              <w:rPr>
                <w:rFonts w:cstheme="minorHAnsi"/>
                <w:color w:val="000000"/>
                <w:lang w:val="en-MY"/>
              </w:rPr>
              <w:t>Rental deposits</w:t>
            </w:r>
          </w:p>
        </w:tc>
        <w:tc>
          <w:tcPr>
            <w:tcW w:w="913" w:type="dxa"/>
            <w:vAlign w:val="bottom"/>
          </w:tcPr>
          <w:p w14:paraId="043CF370"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527" w:type="dxa"/>
            <w:vAlign w:val="bottom"/>
          </w:tcPr>
          <w:p w14:paraId="3153C09E"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1350" w:type="dxa"/>
            <w:vAlign w:val="bottom"/>
          </w:tcPr>
          <w:p w14:paraId="75113853"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270" w:type="dxa"/>
            <w:vAlign w:val="bottom"/>
          </w:tcPr>
          <w:p w14:paraId="30AABA92"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954" w:type="dxa"/>
            <w:vAlign w:val="bottom"/>
          </w:tcPr>
          <w:p w14:paraId="20C4349B"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lang w:val="en-MY"/>
              </w:rPr>
            </w:pPr>
            <w:r w:rsidRPr="009B546D">
              <w:rPr>
                <w:rFonts w:cstheme="minorHAnsi"/>
                <w:color w:val="000000"/>
                <w:lang w:val="en-MY"/>
              </w:rPr>
              <w:t>15,000</w:t>
            </w:r>
          </w:p>
        </w:tc>
      </w:tr>
      <w:tr w:rsidR="001C6F66" w:rsidRPr="009B546D" w14:paraId="4E031F6E" w14:textId="77777777" w:rsidTr="00EA2BB6">
        <w:trPr>
          <w:trHeight w:val="278"/>
        </w:trPr>
        <w:tc>
          <w:tcPr>
            <w:tcW w:w="4482" w:type="dxa"/>
            <w:vAlign w:val="bottom"/>
          </w:tcPr>
          <w:p w14:paraId="2C7801F6"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r w:rsidRPr="009B546D">
              <w:rPr>
                <w:rFonts w:cstheme="minorHAnsi"/>
                <w:color w:val="000000"/>
                <w:lang w:val="en-MY"/>
              </w:rPr>
              <w:t>Prepayments</w:t>
            </w:r>
          </w:p>
        </w:tc>
        <w:tc>
          <w:tcPr>
            <w:tcW w:w="913" w:type="dxa"/>
            <w:vAlign w:val="bottom"/>
          </w:tcPr>
          <w:p w14:paraId="12F0024D"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527" w:type="dxa"/>
            <w:vAlign w:val="bottom"/>
          </w:tcPr>
          <w:p w14:paraId="1C9505D6"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1350" w:type="dxa"/>
            <w:vAlign w:val="bottom"/>
          </w:tcPr>
          <w:p w14:paraId="1C0DAF9F"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270" w:type="dxa"/>
            <w:vAlign w:val="bottom"/>
          </w:tcPr>
          <w:p w14:paraId="5417282C"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954" w:type="dxa"/>
            <w:vAlign w:val="bottom"/>
          </w:tcPr>
          <w:p w14:paraId="176D0FC8"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lang w:val="en-MY"/>
              </w:rPr>
            </w:pPr>
            <w:r w:rsidRPr="009B546D">
              <w:rPr>
                <w:rFonts w:cstheme="minorHAnsi"/>
                <w:color w:val="000000"/>
                <w:lang w:val="en-MY"/>
              </w:rPr>
              <w:t>1,500</w:t>
            </w:r>
          </w:p>
        </w:tc>
      </w:tr>
      <w:tr w:rsidR="001C6F66" w:rsidRPr="009B546D" w14:paraId="247CE953" w14:textId="77777777" w:rsidTr="00EA2BB6">
        <w:trPr>
          <w:trHeight w:val="210"/>
        </w:trPr>
        <w:tc>
          <w:tcPr>
            <w:tcW w:w="4482" w:type="dxa"/>
            <w:vAlign w:val="bottom"/>
          </w:tcPr>
          <w:p w14:paraId="68D9AC81"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913" w:type="dxa"/>
            <w:vAlign w:val="bottom"/>
          </w:tcPr>
          <w:p w14:paraId="01BBC023"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527" w:type="dxa"/>
            <w:vAlign w:val="bottom"/>
          </w:tcPr>
          <w:p w14:paraId="1AC6A814"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1350" w:type="dxa"/>
            <w:tcBorders>
              <w:left w:val="nil"/>
              <w:right w:val="nil"/>
            </w:tcBorders>
            <w:vAlign w:val="bottom"/>
          </w:tcPr>
          <w:p w14:paraId="522AC4EF"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270" w:type="dxa"/>
            <w:vAlign w:val="bottom"/>
          </w:tcPr>
          <w:p w14:paraId="4DD1E21C"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954" w:type="dxa"/>
            <w:tcBorders>
              <w:top w:val="single" w:sz="6" w:space="0" w:color="auto"/>
              <w:left w:val="nil"/>
              <w:bottom w:val="double" w:sz="6" w:space="0" w:color="auto"/>
              <w:right w:val="nil"/>
            </w:tcBorders>
            <w:vAlign w:val="bottom"/>
          </w:tcPr>
          <w:p w14:paraId="07DC2B7C" w14:textId="2F2E91B4" w:rsidR="001C6F66" w:rsidRPr="009B546D" w:rsidRDefault="00606E04" w:rsidP="00EA2BB6">
            <w:pPr>
              <w:tabs>
                <w:tab w:val="left" w:pos="288"/>
              </w:tabs>
              <w:autoSpaceDE w:val="0"/>
              <w:autoSpaceDN w:val="0"/>
              <w:adjustRightInd w:val="0"/>
              <w:spacing w:after="0" w:line="240" w:lineRule="auto"/>
              <w:ind w:right="72"/>
              <w:jc w:val="right"/>
              <w:rPr>
                <w:rFonts w:cstheme="minorHAnsi"/>
                <w:color w:val="000000"/>
                <w:lang w:val="en-MY"/>
              </w:rPr>
            </w:pPr>
            <w:r>
              <w:rPr>
                <w:rFonts w:cstheme="minorHAnsi"/>
                <w:color w:val="000000"/>
                <w:lang w:val="en-MY"/>
              </w:rPr>
              <w:t>16</w:t>
            </w:r>
            <w:r w:rsidR="001C6F66" w:rsidRPr="009B546D">
              <w:rPr>
                <w:rFonts w:cstheme="minorHAnsi"/>
                <w:color w:val="000000"/>
                <w:lang w:val="en-MY"/>
              </w:rPr>
              <w:t>,500</w:t>
            </w:r>
          </w:p>
        </w:tc>
      </w:tr>
    </w:tbl>
    <w:p w14:paraId="64683075" w14:textId="77777777" w:rsidR="001C6F66" w:rsidRPr="009B546D" w:rsidRDefault="001C6F66" w:rsidP="00496B89">
      <w:pPr>
        <w:pStyle w:val="ListParagraph"/>
        <w:widowControl/>
        <w:numPr>
          <w:ilvl w:val="0"/>
          <w:numId w:val="35"/>
        </w:numPr>
        <w:spacing w:after="220"/>
        <w:rPr>
          <w:rFonts w:asciiTheme="minorHAnsi" w:hAnsiTheme="minorHAnsi" w:cstheme="minorHAnsi"/>
          <w:b/>
          <w:caps/>
          <w:sz w:val="20"/>
        </w:rPr>
      </w:pPr>
      <w:r w:rsidRPr="009B546D">
        <w:rPr>
          <w:rFonts w:asciiTheme="minorHAnsi" w:hAnsiTheme="minorHAnsi" w:cstheme="minorHAnsi"/>
          <w:b/>
          <w:caps/>
          <w:sz w:val="20"/>
        </w:rPr>
        <w:t>Cash and CASH EQUIVALENTS</w:t>
      </w:r>
    </w:p>
    <w:p w14:paraId="0C17F616" w14:textId="77777777" w:rsidR="001C6F66" w:rsidRPr="009B546D" w:rsidRDefault="001C6F66" w:rsidP="00F432B9">
      <w:pPr>
        <w:spacing w:after="220" w:line="240" w:lineRule="auto"/>
        <w:ind w:left="576"/>
        <w:rPr>
          <w:rFonts w:cstheme="minorHAnsi"/>
        </w:rPr>
      </w:pPr>
      <w:r w:rsidRPr="009B546D">
        <w:rPr>
          <w:rFonts w:cstheme="minorHAnsi"/>
        </w:rPr>
        <w:t xml:space="preserve">The currency profile of Alchemist’s cash and bank balances are as follows: </w:t>
      </w:r>
    </w:p>
    <w:tbl>
      <w:tblPr>
        <w:tblW w:w="8496" w:type="dxa"/>
        <w:tblInd w:w="576" w:type="dxa"/>
        <w:tblLayout w:type="fixed"/>
        <w:tblLook w:val="04A0" w:firstRow="1" w:lastRow="0" w:firstColumn="1" w:lastColumn="0" w:noHBand="0" w:noVBand="1"/>
      </w:tblPr>
      <w:tblGrid>
        <w:gridCol w:w="4482"/>
        <w:gridCol w:w="913"/>
        <w:gridCol w:w="527"/>
        <w:gridCol w:w="1350"/>
        <w:gridCol w:w="270"/>
        <w:gridCol w:w="954"/>
      </w:tblGrid>
      <w:tr w:rsidR="001C6F66" w:rsidRPr="009B546D" w14:paraId="5202CAF2" w14:textId="77777777" w:rsidTr="00EA2BB6">
        <w:trPr>
          <w:trHeight w:val="278"/>
        </w:trPr>
        <w:tc>
          <w:tcPr>
            <w:tcW w:w="4482" w:type="dxa"/>
            <w:vAlign w:val="bottom"/>
          </w:tcPr>
          <w:p w14:paraId="0E486DF5"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913" w:type="dxa"/>
            <w:vAlign w:val="bottom"/>
            <w:hideMark/>
          </w:tcPr>
          <w:p w14:paraId="0BAEF9D1" w14:textId="77777777" w:rsidR="001C6F66" w:rsidRPr="009B546D" w:rsidRDefault="001C6F66" w:rsidP="00EA2BB6">
            <w:pPr>
              <w:tabs>
                <w:tab w:val="left" w:pos="288"/>
              </w:tabs>
              <w:autoSpaceDE w:val="0"/>
              <w:autoSpaceDN w:val="0"/>
              <w:adjustRightInd w:val="0"/>
              <w:spacing w:after="0" w:line="240" w:lineRule="auto"/>
              <w:ind w:right="72"/>
              <w:jc w:val="center"/>
              <w:rPr>
                <w:rFonts w:cstheme="minorHAnsi"/>
                <w:b/>
                <w:bCs/>
                <w:color w:val="000000"/>
                <w:lang w:val="en-MY"/>
              </w:rPr>
            </w:pPr>
            <w:r w:rsidRPr="009B546D">
              <w:rPr>
                <w:rFonts w:cstheme="minorHAnsi"/>
                <w:b/>
                <w:bCs/>
                <w:color w:val="000000"/>
                <w:lang w:val="en-MY"/>
              </w:rPr>
              <w:t xml:space="preserve"> </w:t>
            </w:r>
          </w:p>
        </w:tc>
        <w:tc>
          <w:tcPr>
            <w:tcW w:w="527" w:type="dxa"/>
            <w:vAlign w:val="bottom"/>
          </w:tcPr>
          <w:p w14:paraId="52B2880A"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1350" w:type="dxa"/>
            <w:vAlign w:val="bottom"/>
          </w:tcPr>
          <w:p w14:paraId="2619BB8E" w14:textId="77777777" w:rsidR="001C6F66" w:rsidRPr="009B546D" w:rsidRDefault="001C6F66" w:rsidP="00EA2BB6">
            <w:pPr>
              <w:tabs>
                <w:tab w:val="left" w:pos="288"/>
              </w:tabs>
              <w:autoSpaceDE w:val="0"/>
              <w:autoSpaceDN w:val="0"/>
              <w:adjustRightInd w:val="0"/>
              <w:spacing w:after="0" w:line="240" w:lineRule="auto"/>
              <w:ind w:right="72"/>
              <w:jc w:val="center"/>
              <w:rPr>
                <w:rFonts w:cstheme="minorHAnsi"/>
                <w:b/>
                <w:bCs/>
                <w:color w:val="000000"/>
                <w:lang w:val="en-MY"/>
              </w:rPr>
            </w:pPr>
          </w:p>
        </w:tc>
        <w:tc>
          <w:tcPr>
            <w:tcW w:w="270" w:type="dxa"/>
            <w:vAlign w:val="bottom"/>
          </w:tcPr>
          <w:p w14:paraId="443CFAD8" w14:textId="77777777" w:rsidR="001C6F66" w:rsidRPr="009B546D" w:rsidRDefault="001C6F66" w:rsidP="00EA2BB6">
            <w:pPr>
              <w:tabs>
                <w:tab w:val="left" w:pos="288"/>
              </w:tabs>
              <w:autoSpaceDE w:val="0"/>
              <w:autoSpaceDN w:val="0"/>
              <w:adjustRightInd w:val="0"/>
              <w:spacing w:after="0" w:line="240" w:lineRule="auto"/>
              <w:jc w:val="center"/>
              <w:rPr>
                <w:rFonts w:cstheme="minorHAnsi"/>
                <w:b/>
                <w:bCs/>
                <w:color w:val="000000"/>
                <w:lang w:val="en-MY"/>
              </w:rPr>
            </w:pPr>
          </w:p>
        </w:tc>
        <w:tc>
          <w:tcPr>
            <w:tcW w:w="954" w:type="dxa"/>
            <w:vAlign w:val="bottom"/>
            <w:hideMark/>
          </w:tcPr>
          <w:p w14:paraId="72701C83"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b/>
                <w:bCs/>
                <w:color w:val="000000"/>
                <w:lang w:val="en-MY"/>
              </w:rPr>
            </w:pPr>
            <w:r w:rsidRPr="009B546D">
              <w:rPr>
                <w:rFonts w:cstheme="minorHAnsi"/>
                <w:b/>
                <w:bCs/>
                <w:color w:val="000000"/>
                <w:lang w:val="en-MY"/>
              </w:rPr>
              <w:t>2019</w:t>
            </w:r>
          </w:p>
        </w:tc>
      </w:tr>
      <w:tr w:rsidR="001C6F66" w:rsidRPr="009B546D" w14:paraId="343A1957" w14:textId="77777777" w:rsidTr="00EA2BB6">
        <w:trPr>
          <w:trHeight w:val="278"/>
        </w:trPr>
        <w:tc>
          <w:tcPr>
            <w:tcW w:w="4482" w:type="dxa"/>
            <w:vAlign w:val="bottom"/>
          </w:tcPr>
          <w:p w14:paraId="50307B68"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913" w:type="dxa"/>
            <w:vAlign w:val="bottom"/>
          </w:tcPr>
          <w:p w14:paraId="6EFB2849" w14:textId="77777777" w:rsidR="001C6F66" w:rsidRPr="009B546D" w:rsidRDefault="001C6F66" w:rsidP="00EA2BB6">
            <w:pPr>
              <w:tabs>
                <w:tab w:val="left" w:pos="288"/>
              </w:tabs>
              <w:autoSpaceDE w:val="0"/>
              <w:autoSpaceDN w:val="0"/>
              <w:adjustRightInd w:val="0"/>
              <w:spacing w:after="0" w:line="240" w:lineRule="auto"/>
              <w:ind w:right="72"/>
              <w:jc w:val="center"/>
              <w:rPr>
                <w:rFonts w:cstheme="minorHAnsi"/>
                <w:b/>
                <w:bCs/>
                <w:color w:val="000000"/>
                <w:lang w:val="en-MY"/>
              </w:rPr>
            </w:pPr>
          </w:p>
        </w:tc>
        <w:tc>
          <w:tcPr>
            <w:tcW w:w="527" w:type="dxa"/>
            <w:vAlign w:val="bottom"/>
          </w:tcPr>
          <w:p w14:paraId="34455AC0"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1350" w:type="dxa"/>
            <w:vAlign w:val="bottom"/>
          </w:tcPr>
          <w:p w14:paraId="63B756AF" w14:textId="77777777" w:rsidR="001C6F66" w:rsidRPr="009B546D" w:rsidRDefault="001C6F66" w:rsidP="00EA2BB6">
            <w:pPr>
              <w:tabs>
                <w:tab w:val="left" w:pos="288"/>
              </w:tabs>
              <w:autoSpaceDE w:val="0"/>
              <w:autoSpaceDN w:val="0"/>
              <w:adjustRightInd w:val="0"/>
              <w:spacing w:after="0" w:line="240" w:lineRule="auto"/>
              <w:ind w:right="72"/>
              <w:jc w:val="center"/>
              <w:rPr>
                <w:rFonts w:cstheme="minorHAnsi"/>
                <w:b/>
                <w:bCs/>
                <w:color w:val="000000"/>
                <w:lang w:val="en-MY"/>
              </w:rPr>
            </w:pPr>
          </w:p>
        </w:tc>
        <w:tc>
          <w:tcPr>
            <w:tcW w:w="270" w:type="dxa"/>
            <w:vAlign w:val="bottom"/>
          </w:tcPr>
          <w:p w14:paraId="0B8556BD" w14:textId="77777777" w:rsidR="001C6F66" w:rsidRPr="009B546D" w:rsidRDefault="001C6F66" w:rsidP="00EA2BB6">
            <w:pPr>
              <w:tabs>
                <w:tab w:val="left" w:pos="288"/>
              </w:tabs>
              <w:autoSpaceDE w:val="0"/>
              <w:autoSpaceDN w:val="0"/>
              <w:adjustRightInd w:val="0"/>
              <w:spacing w:after="0" w:line="240" w:lineRule="auto"/>
              <w:jc w:val="center"/>
              <w:rPr>
                <w:rFonts w:cstheme="minorHAnsi"/>
                <w:b/>
                <w:bCs/>
                <w:color w:val="000000"/>
                <w:lang w:val="en-MY"/>
              </w:rPr>
            </w:pPr>
          </w:p>
        </w:tc>
        <w:tc>
          <w:tcPr>
            <w:tcW w:w="954" w:type="dxa"/>
            <w:vAlign w:val="bottom"/>
            <w:hideMark/>
          </w:tcPr>
          <w:p w14:paraId="155D3800"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b/>
                <w:bCs/>
                <w:color w:val="000000"/>
                <w:lang w:val="en-MY"/>
              </w:rPr>
            </w:pPr>
            <w:r w:rsidRPr="009B546D">
              <w:rPr>
                <w:rFonts w:cstheme="minorHAnsi"/>
                <w:b/>
                <w:bCs/>
                <w:color w:val="000000"/>
                <w:lang w:val="en-MY"/>
              </w:rPr>
              <w:t>RM</w:t>
            </w:r>
          </w:p>
        </w:tc>
      </w:tr>
      <w:tr w:rsidR="001C6F66" w:rsidRPr="009B546D" w14:paraId="1191BB57" w14:textId="77777777" w:rsidTr="00EA2BB6">
        <w:trPr>
          <w:trHeight w:val="278"/>
        </w:trPr>
        <w:tc>
          <w:tcPr>
            <w:tcW w:w="4482" w:type="dxa"/>
            <w:vAlign w:val="bottom"/>
          </w:tcPr>
          <w:p w14:paraId="33EAE111"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913" w:type="dxa"/>
            <w:vAlign w:val="bottom"/>
          </w:tcPr>
          <w:p w14:paraId="54C9276F"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527" w:type="dxa"/>
            <w:vAlign w:val="bottom"/>
          </w:tcPr>
          <w:p w14:paraId="43FABA7F"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1350" w:type="dxa"/>
            <w:vAlign w:val="bottom"/>
          </w:tcPr>
          <w:p w14:paraId="04D16691"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270" w:type="dxa"/>
            <w:vAlign w:val="bottom"/>
          </w:tcPr>
          <w:p w14:paraId="705886A4"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954" w:type="dxa"/>
            <w:vAlign w:val="bottom"/>
          </w:tcPr>
          <w:p w14:paraId="0F3223BD"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lang w:val="en-MY"/>
              </w:rPr>
            </w:pPr>
          </w:p>
        </w:tc>
      </w:tr>
      <w:tr w:rsidR="001C6F66" w:rsidRPr="009B546D" w14:paraId="675007DD" w14:textId="77777777" w:rsidTr="00EA2BB6">
        <w:trPr>
          <w:trHeight w:val="278"/>
        </w:trPr>
        <w:tc>
          <w:tcPr>
            <w:tcW w:w="4482" w:type="dxa"/>
            <w:vAlign w:val="bottom"/>
            <w:hideMark/>
          </w:tcPr>
          <w:p w14:paraId="1ECCBC7E"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r w:rsidRPr="009B546D">
              <w:rPr>
                <w:rFonts w:cstheme="minorHAnsi"/>
                <w:color w:val="000000"/>
                <w:lang w:val="en-MY"/>
              </w:rPr>
              <w:t xml:space="preserve">Ringgit Malaysia </w:t>
            </w:r>
          </w:p>
        </w:tc>
        <w:tc>
          <w:tcPr>
            <w:tcW w:w="913" w:type="dxa"/>
            <w:vAlign w:val="bottom"/>
          </w:tcPr>
          <w:p w14:paraId="2F67F6FB"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527" w:type="dxa"/>
            <w:vAlign w:val="bottom"/>
          </w:tcPr>
          <w:p w14:paraId="427AC06B"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1350" w:type="dxa"/>
            <w:vAlign w:val="bottom"/>
          </w:tcPr>
          <w:p w14:paraId="7A349C6A"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lang w:val="en-MY"/>
              </w:rPr>
            </w:pPr>
          </w:p>
        </w:tc>
        <w:tc>
          <w:tcPr>
            <w:tcW w:w="270" w:type="dxa"/>
            <w:vAlign w:val="bottom"/>
          </w:tcPr>
          <w:p w14:paraId="4F617CA7"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954" w:type="dxa"/>
            <w:vAlign w:val="bottom"/>
          </w:tcPr>
          <w:p w14:paraId="69F7ED1B"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r w:rsidRPr="009B546D">
              <w:rPr>
                <w:rFonts w:cstheme="minorHAnsi"/>
                <w:color w:val="000000"/>
                <w:lang w:val="en-MY"/>
              </w:rPr>
              <w:t>324,601</w:t>
            </w:r>
          </w:p>
        </w:tc>
      </w:tr>
      <w:tr w:rsidR="001C6F66" w:rsidRPr="009B546D" w14:paraId="7C9D6090" w14:textId="77777777" w:rsidTr="00EA2BB6">
        <w:trPr>
          <w:trHeight w:val="278"/>
        </w:trPr>
        <w:tc>
          <w:tcPr>
            <w:tcW w:w="4482" w:type="dxa"/>
            <w:vAlign w:val="bottom"/>
            <w:hideMark/>
          </w:tcPr>
          <w:p w14:paraId="044A8813"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r w:rsidRPr="009B546D">
              <w:rPr>
                <w:rFonts w:cstheme="minorHAnsi"/>
                <w:color w:val="000000"/>
                <w:lang w:val="en-MY"/>
              </w:rPr>
              <w:t>US Dollar</w:t>
            </w:r>
          </w:p>
        </w:tc>
        <w:tc>
          <w:tcPr>
            <w:tcW w:w="913" w:type="dxa"/>
            <w:vAlign w:val="bottom"/>
          </w:tcPr>
          <w:p w14:paraId="3A52EBC3"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527" w:type="dxa"/>
            <w:vAlign w:val="bottom"/>
          </w:tcPr>
          <w:p w14:paraId="1A2B6DC9"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1350" w:type="dxa"/>
            <w:vAlign w:val="bottom"/>
          </w:tcPr>
          <w:p w14:paraId="0F1F789C"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lang w:val="en-MY"/>
              </w:rPr>
            </w:pPr>
          </w:p>
        </w:tc>
        <w:tc>
          <w:tcPr>
            <w:tcW w:w="270" w:type="dxa"/>
            <w:vAlign w:val="bottom"/>
          </w:tcPr>
          <w:p w14:paraId="4562C22D"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954" w:type="dxa"/>
            <w:vAlign w:val="bottom"/>
          </w:tcPr>
          <w:p w14:paraId="78C01974"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r w:rsidRPr="009B546D">
              <w:rPr>
                <w:rFonts w:cstheme="minorHAnsi"/>
                <w:color w:val="000000"/>
                <w:lang w:val="en-MY"/>
              </w:rPr>
              <w:t>3,962</w:t>
            </w:r>
          </w:p>
        </w:tc>
      </w:tr>
      <w:tr w:rsidR="001C6F66" w:rsidRPr="009B546D" w14:paraId="0F8CCA11" w14:textId="77777777" w:rsidTr="00EA2BB6">
        <w:trPr>
          <w:trHeight w:val="278"/>
        </w:trPr>
        <w:tc>
          <w:tcPr>
            <w:tcW w:w="4482" w:type="dxa"/>
            <w:vAlign w:val="bottom"/>
          </w:tcPr>
          <w:p w14:paraId="3C8E6408"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913" w:type="dxa"/>
            <w:vAlign w:val="bottom"/>
          </w:tcPr>
          <w:p w14:paraId="3DA05A27"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527" w:type="dxa"/>
            <w:vAlign w:val="bottom"/>
          </w:tcPr>
          <w:p w14:paraId="4BAF5C70"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1350" w:type="dxa"/>
            <w:tcBorders>
              <w:left w:val="nil"/>
              <w:right w:val="nil"/>
            </w:tcBorders>
            <w:vAlign w:val="bottom"/>
          </w:tcPr>
          <w:p w14:paraId="217A1F76"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lang w:val="en-MY"/>
              </w:rPr>
            </w:pPr>
          </w:p>
        </w:tc>
        <w:tc>
          <w:tcPr>
            <w:tcW w:w="270" w:type="dxa"/>
            <w:vAlign w:val="bottom"/>
          </w:tcPr>
          <w:p w14:paraId="6515C57C"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lang w:val="en-MY"/>
              </w:rPr>
            </w:pPr>
          </w:p>
        </w:tc>
        <w:tc>
          <w:tcPr>
            <w:tcW w:w="954" w:type="dxa"/>
            <w:tcBorders>
              <w:top w:val="single" w:sz="6" w:space="0" w:color="auto"/>
              <w:left w:val="nil"/>
              <w:bottom w:val="double" w:sz="6" w:space="0" w:color="auto"/>
              <w:right w:val="nil"/>
            </w:tcBorders>
            <w:vAlign w:val="bottom"/>
          </w:tcPr>
          <w:p w14:paraId="0F461B2A"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r w:rsidRPr="009B546D">
              <w:rPr>
                <w:rFonts w:cstheme="minorHAnsi"/>
                <w:color w:val="000000"/>
                <w:lang w:val="en-MY"/>
              </w:rPr>
              <w:t>328,563</w:t>
            </w:r>
          </w:p>
        </w:tc>
      </w:tr>
    </w:tbl>
    <w:p w14:paraId="0F0F9CD8" w14:textId="77777777" w:rsidR="001C6F66" w:rsidRPr="009B546D" w:rsidRDefault="001C6F66" w:rsidP="00496B89">
      <w:pPr>
        <w:keepNext/>
        <w:keepLines/>
        <w:numPr>
          <w:ilvl w:val="0"/>
          <w:numId w:val="35"/>
        </w:numPr>
        <w:spacing w:after="0" w:line="240" w:lineRule="auto"/>
        <w:rPr>
          <w:rFonts w:cstheme="minorHAnsi"/>
          <w:b/>
          <w:caps/>
        </w:rPr>
      </w:pPr>
      <w:r w:rsidRPr="009B546D">
        <w:rPr>
          <w:rFonts w:cstheme="minorHAnsi"/>
          <w:b/>
          <w:caps/>
        </w:rPr>
        <w:t>SHARE CAPITAL</w:t>
      </w:r>
    </w:p>
    <w:p w14:paraId="6500C656" w14:textId="77777777" w:rsidR="001C6F66" w:rsidRPr="009B546D" w:rsidRDefault="001C6F66" w:rsidP="00F432B9">
      <w:pPr>
        <w:keepNext/>
        <w:keepLines/>
        <w:spacing w:line="240" w:lineRule="auto"/>
        <w:ind w:left="576"/>
        <w:rPr>
          <w:rFonts w:cstheme="minorHAnsi"/>
          <w:b/>
          <w:caps/>
        </w:rPr>
      </w:pPr>
    </w:p>
    <w:tbl>
      <w:tblPr>
        <w:tblW w:w="8858" w:type="dxa"/>
        <w:tblInd w:w="576" w:type="dxa"/>
        <w:shd w:val="clear" w:color="FFFF99" w:fill="auto"/>
        <w:tblLayout w:type="fixed"/>
        <w:tblLook w:val="0000" w:firstRow="0" w:lastRow="0" w:firstColumn="0" w:lastColumn="0" w:noHBand="0" w:noVBand="0"/>
      </w:tblPr>
      <w:tblGrid>
        <w:gridCol w:w="2602"/>
        <w:gridCol w:w="1387"/>
        <w:gridCol w:w="236"/>
        <w:gridCol w:w="1387"/>
        <w:gridCol w:w="236"/>
        <w:gridCol w:w="1231"/>
        <w:gridCol w:w="392"/>
        <w:gridCol w:w="1025"/>
        <w:gridCol w:w="362"/>
      </w:tblGrid>
      <w:tr w:rsidR="001C6F66" w:rsidRPr="009B546D" w14:paraId="23C2CB91" w14:textId="77777777" w:rsidTr="00EA2BB6">
        <w:trPr>
          <w:trHeight w:val="278"/>
        </w:trPr>
        <w:tc>
          <w:tcPr>
            <w:tcW w:w="2602" w:type="dxa"/>
            <w:tcBorders>
              <w:top w:val="nil"/>
              <w:left w:val="nil"/>
              <w:bottom w:val="nil"/>
              <w:right w:val="nil"/>
            </w:tcBorders>
            <w:shd w:val="clear" w:color="FFFF99" w:fill="auto"/>
            <w:vAlign w:val="bottom"/>
          </w:tcPr>
          <w:p w14:paraId="69C5B019" w14:textId="77777777" w:rsidR="001C6F66" w:rsidRPr="009B546D" w:rsidRDefault="001C6F66" w:rsidP="00EA2BB6">
            <w:pPr>
              <w:tabs>
                <w:tab w:val="left" w:pos="288"/>
              </w:tabs>
              <w:autoSpaceDE w:val="0"/>
              <w:autoSpaceDN w:val="0"/>
              <w:adjustRightInd w:val="0"/>
              <w:spacing w:after="0" w:line="240" w:lineRule="auto"/>
              <w:jc w:val="right"/>
              <w:rPr>
                <w:rFonts w:cstheme="minorHAnsi"/>
                <w:b/>
                <w:bCs/>
                <w:color w:val="000000"/>
                <w:u w:val="single"/>
                <w:lang w:val="en-MY"/>
              </w:rPr>
            </w:pPr>
          </w:p>
        </w:tc>
        <w:tc>
          <w:tcPr>
            <w:tcW w:w="3010" w:type="dxa"/>
            <w:gridSpan w:val="3"/>
            <w:tcBorders>
              <w:top w:val="nil"/>
              <w:left w:val="nil"/>
              <w:right w:val="nil"/>
            </w:tcBorders>
            <w:shd w:val="clear" w:color="FFFF99" w:fill="auto"/>
            <w:vAlign w:val="bottom"/>
          </w:tcPr>
          <w:p w14:paraId="6001ADA2" w14:textId="77777777" w:rsidR="001C6F66" w:rsidRPr="009B546D" w:rsidRDefault="001C6F66" w:rsidP="00EA2BB6">
            <w:pPr>
              <w:tabs>
                <w:tab w:val="left" w:pos="288"/>
              </w:tabs>
              <w:autoSpaceDE w:val="0"/>
              <w:autoSpaceDN w:val="0"/>
              <w:adjustRightInd w:val="0"/>
              <w:spacing w:after="0" w:line="240" w:lineRule="auto"/>
              <w:ind w:right="72"/>
              <w:jc w:val="center"/>
              <w:rPr>
                <w:rFonts w:cstheme="minorHAnsi"/>
                <w:b/>
                <w:bCs/>
                <w:color w:val="000000"/>
                <w:lang w:val="en-MY"/>
              </w:rPr>
            </w:pPr>
          </w:p>
        </w:tc>
        <w:tc>
          <w:tcPr>
            <w:tcW w:w="236" w:type="dxa"/>
            <w:tcBorders>
              <w:top w:val="nil"/>
              <w:left w:val="nil"/>
              <w:bottom w:val="nil"/>
              <w:right w:val="nil"/>
            </w:tcBorders>
            <w:shd w:val="clear" w:color="FFFF99" w:fill="auto"/>
            <w:vAlign w:val="bottom"/>
          </w:tcPr>
          <w:p w14:paraId="3B6F180A"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3010" w:type="dxa"/>
            <w:gridSpan w:val="4"/>
            <w:tcBorders>
              <w:top w:val="nil"/>
              <w:left w:val="nil"/>
              <w:bottom w:val="nil"/>
              <w:right w:val="nil"/>
            </w:tcBorders>
            <w:shd w:val="clear" w:color="FFFF99" w:fill="auto"/>
            <w:vAlign w:val="bottom"/>
          </w:tcPr>
          <w:p w14:paraId="2FF9F899" w14:textId="77777777" w:rsidR="001C6F66" w:rsidRPr="009B546D" w:rsidRDefault="001C6F66" w:rsidP="00EA2BB6">
            <w:pPr>
              <w:tabs>
                <w:tab w:val="left" w:pos="288"/>
              </w:tabs>
              <w:autoSpaceDE w:val="0"/>
              <w:autoSpaceDN w:val="0"/>
              <w:adjustRightInd w:val="0"/>
              <w:spacing w:after="0" w:line="240" w:lineRule="auto"/>
              <w:jc w:val="center"/>
              <w:rPr>
                <w:rFonts w:cstheme="minorHAnsi"/>
                <w:b/>
                <w:bCs/>
                <w:color w:val="000000"/>
                <w:lang w:val="en-MY"/>
              </w:rPr>
            </w:pPr>
            <w:r w:rsidRPr="009B546D">
              <w:rPr>
                <w:rFonts w:cstheme="minorHAnsi"/>
                <w:b/>
                <w:bCs/>
                <w:color w:val="000000"/>
                <w:lang w:val="en-MY"/>
              </w:rPr>
              <w:t>Number of shares</w:t>
            </w:r>
          </w:p>
        </w:tc>
      </w:tr>
      <w:tr w:rsidR="001C6F66" w:rsidRPr="009B546D" w14:paraId="31F66877" w14:textId="77777777" w:rsidTr="00EA2BB6">
        <w:trPr>
          <w:gridAfter w:val="1"/>
          <w:wAfter w:w="362" w:type="dxa"/>
          <w:trHeight w:val="278"/>
        </w:trPr>
        <w:tc>
          <w:tcPr>
            <w:tcW w:w="2602" w:type="dxa"/>
            <w:tcBorders>
              <w:top w:val="nil"/>
              <w:left w:val="nil"/>
              <w:bottom w:val="nil"/>
              <w:right w:val="nil"/>
            </w:tcBorders>
            <w:shd w:val="clear" w:color="FFFF99" w:fill="auto"/>
            <w:vAlign w:val="bottom"/>
          </w:tcPr>
          <w:p w14:paraId="0308462E"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1387" w:type="dxa"/>
            <w:tcBorders>
              <w:top w:val="nil"/>
              <w:left w:val="nil"/>
              <w:bottom w:val="nil"/>
              <w:right w:val="nil"/>
            </w:tcBorders>
            <w:shd w:val="clear" w:color="FFFF99" w:fill="auto"/>
            <w:vAlign w:val="bottom"/>
          </w:tcPr>
          <w:p w14:paraId="6F7917A4" w14:textId="77777777" w:rsidR="001C6F66" w:rsidRPr="009B546D" w:rsidRDefault="001C6F66" w:rsidP="00EA2BB6">
            <w:pPr>
              <w:tabs>
                <w:tab w:val="left" w:pos="288"/>
              </w:tabs>
              <w:autoSpaceDE w:val="0"/>
              <w:autoSpaceDN w:val="0"/>
              <w:adjustRightInd w:val="0"/>
              <w:spacing w:after="0" w:line="240" w:lineRule="auto"/>
              <w:ind w:right="72"/>
              <w:jc w:val="center"/>
              <w:rPr>
                <w:rFonts w:cstheme="minorHAnsi"/>
                <w:b/>
                <w:bCs/>
                <w:color w:val="000000"/>
                <w:lang w:val="en-MY"/>
              </w:rPr>
            </w:pPr>
          </w:p>
        </w:tc>
        <w:tc>
          <w:tcPr>
            <w:tcW w:w="236" w:type="dxa"/>
            <w:tcBorders>
              <w:top w:val="nil"/>
              <w:left w:val="nil"/>
              <w:bottom w:val="nil"/>
              <w:right w:val="nil"/>
            </w:tcBorders>
            <w:shd w:val="clear" w:color="FFFF99" w:fill="auto"/>
            <w:vAlign w:val="bottom"/>
          </w:tcPr>
          <w:p w14:paraId="138CF2FB" w14:textId="77777777" w:rsidR="001C6F66" w:rsidRPr="009B546D" w:rsidRDefault="001C6F66" w:rsidP="00EA2BB6">
            <w:pPr>
              <w:tabs>
                <w:tab w:val="left" w:pos="288"/>
              </w:tabs>
              <w:autoSpaceDE w:val="0"/>
              <w:autoSpaceDN w:val="0"/>
              <w:adjustRightInd w:val="0"/>
              <w:spacing w:after="0" w:line="240" w:lineRule="auto"/>
              <w:jc w:val="center"/>
              <w:rPr>
                <w:rFonts w:cstheme="minorHAnsi"/>
                <w:b/>
                <w:bCs/>
                <w:color w:val="000000"/>
                <w:lang w:val="en-MY"/>
              </w:rPr>
            </w:pPr>
          </w:p>
        </w:tc>
        <w:tc>
          <w:tcPr>
            <w:tcW w:w="1387" w:type="dxa"/>
            <w:tcBorders>
              <w:top w:val="nil"/>
              <w:left w:val="nil"/>
              <w:bottom w:val="nil"/>
              <w:right w:val="nil"/>
            </w:tcBorders>
            <w:shd w:val="clear" w:color="FFFF99" w:fill="auto"/>
            <w:vAlign w:val="bottom"/>
          </w:tcPr>
          <w:p w14:paraId="21525017" w14:textId="77777777" w:rsidR="001C6F66" w:rsidRPr="009B546D" w:rsidRDefault="001C6F66" w:rsidP="00EA2BB6">
            <w:pPr>
              <w:tabs>
                <w:tab w:val="left" w:pos="288"/>
              </w:tabs>
              <w:autoSpaceDE w:val="0"/>
              <w:autoSpaceDN w:val="0"/>
              <w:adjustRightInd w:val="0"/>
              <w:spacing w:after="0" w:line="240" w:lineRule="auto"/>
              <w:ind w:right="72"/>
              <w:jc w:val="center"/>
              <w:rPr>
                <w:rFonts w:cstheme="minorHAnsi"/>
                <w:b/>
                <w:bCs/>
                <w:color w:val="000000"/>
                <w:lang w:val="en-MY"/>
              </w:rPr>
            </w:pPr>
          </w:p>
        </w:tc>
        <w:tc>
          <w:tcPr>
            <w:tcW w:w="236" w:type="dxa"/>
            <w:tcBorders>
              <w:top w:val="nil"/>
              <w:left w:val="nil"/>
              <w:bottom w:val="nil"/>
              <w:right w:val="nil"/>
            </w:tcBorders>
            <w:shd w:val="clear" w:color="FFFF99" w:fill="auto"/>
            <w:vAlign w:val="bottom"/>
          </w:tcPr>
          <w:p w14:paraId="6DD75214" w14:textId="77777777" w:rsidR="001C6F66" w:rsidRPr="009B546D" w:rsidRDefault="001C6F66" w:rsidP="00EA2BB6">
            <w:pPr>
              <w:tabs>
                <w:tab w:val="left" w:pos="288"/>
              </w:tabs>
              <w:autoSpaceDE w:val="0"/>
              <w:autoSpaceDN w:val="0"/>
              <w:adjustRightInd w:val="0"/>
              <w:spacing w:after="0" w:line="240" w:lineRule="auto"/>
              <w:jc w:val="center"/>
              <w:rPr>
                <w:rFonts w:cstheme="minorHAnsi"/>
                <w:b/>
                <w:bCs/>
                <w:color w:val="000000"/>
                <w:lang w:val="en-MY"/>
              </w:rPr>
            </w:pPr>
          </w:p>
        </w:tc>
        <w:tc>
          <w:tcPr>
            <w:tcW w:w="1231" w:type="dxa"/>
            <w:tcBorders>
              <w:top w:val="nil"/>
              <w:left w:val="nil"/>
              <w:bottom w:val="nil"/>
              <w:right w:val="nil"/>
            </w:tcBorders>
            <w:shd w:val="clear" w:color="FFFF99" w:fill="auto"/>
            <w:vAlign w:val="bottom"/>
          </w:tcPr>
          <w:p w14:paraId="7874AD4B"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b/>
                <w:bCs/>
                <w:color w:val="000000"/>
                <w:lang w:val="en-MY"/>
              </w:rPr>
            </w:pPr>
            <w:r w:rsidRPr="009B546D">
              <w:rPr>
                <w:rFonts w:cstheme="minorHAnsi"/>
                <w:b/>
                <w:bCs/>
                <w:color w:val="000000"/>
                <w:lang w:val="en-MY"/>
              </w:rPr>
              <w:t>2019</w:t>
            </w:r>
          </w:p>
        </w:tc>
        <w:tc>
          <w:tcPr>
            <w:tcW w:w="392" w:type="dxa"/>
            <w:tcBorders>
              <w:top w:val="nil"/>
              <w:left w:val="nil"/>
              <w:bottom w:val="nil"/>
              <w:right w:val="nil"/>
            </w:tcBorders>
            <w:shd w:val="clear" w:color="FFFF99" w:fill="auto"/>
            <w:vAlign w:val="bottom"/>
          </w:tcPr>
          <w:p w14:paraId="2F2902F8" w14:textId="77777777" w:rsidR="001C6F66" w:rsidRPr="009B546D" w:rsidRDefault="001C6F66" w:rsidP="00EA2BB6">
            <w:pPr>
              <w:tabs>
                <w:tab w:val="left" w:pos="288"/>
              </w:tabs>
              <w:autoSpaceDE w:val="0"/>
              <w:autoSpaceDN w:val="0"/>
              <w:adjustRightInd w:val="0"/>
              <w:spacing w:after="0" w:line="240" w:lineRule="auto"/>
              <w:jc w:val="right"/>
              <w:rPr>
                <w:rFonts w:cstheme="minorHAnsi"/>
                <w:b/>
                <w:bCs/>
                <w:color w:val="000000"/>
                <w:lang w:val="en-MY"/>
              </w:rPr>
            </w:pPr>
          </w:p>
        </w:tc>
        <w:tc>
          <w:tcPr>
            <w:tcW w:w="1025" w:type="dxa"/>
            <w:tcBorders>
              <w:top w:val="nil"/>
              <w:left w:val="nil"/>
              <w:bottom w:val="nil"/>
              <w:right w:val="nil"/>
            </w:tcBorders>
            <w:shd w:val="clear" w:color="FFFF99" w:fill="auto"/>
            <w:vAlign w:val="bottom"/>
          </w:tcPr>
          <w:p w14:paraId="5363AD26"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b/>
                <w:bCs/>
                <w:color w:val="000000"/>
                <w:lang w:val="en-MY"/>
              </w:rPr>
            </w:pPr>
            <w:r w:rsidRPr="009B546D">
              <w:rPr>
                <w:rFonts w:cstheme="minorHAnsi"/>
                <w:b/>
                <w:bCs/>
                <w:color w:val="000000"/>
                <w:lang w:val="en-MY"/>
              </w:rPr>
              <w:t>2019</w:t>
            </w:r>
          </w:p>
        </w:tc>
      </w:tr>
      <w:tr w:rsidR="001C6F66" w:rsidRPr="009B546D" w14:paraId="0FD02D7E" w14:textId="77777777" w:rsidTr="00EA2BB6">
        <w:trPr>
          <w:gridAfter w:val="1"/>
          <w:wAfter w:w="362" w:type="dxa"/>
          <w:trHeight w:val="278"/>
        </w:trPr>
        <w:tc>
          <w:tcPr>
            <w:tcW w:w="2602" w:type="dxa"/>
            <w:tcBorders>
              <w:top w:val="nil"/>
              <w:left w:val="nil"/>
              <w:bottom w:val="nil"/>
              <w:right w:val="nil"/>
            </w:tcBorders>
            <w:shd w:val="clear" w:color="FFFF99" w:fill="auto"/>
            <w:vAlign w:val="bottom"/>
          </w:tcPr>
          <w:p w14:paraId="55127904"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p>
        </w:tc>
        <w:tc>
          <w:tcPr>
            <w:tcW w:w="1387" w:type="dxa"/>
            <w:tcBorders>
              <w:top w:val="nil"/>
              <w:left w:val="nil"/>
              <w:bottom w:val="nil"/>
              <w:right w:val="nil"/>
            </w:tcBorders>
            <w:shd w:val="clear" w:color="FFFF99" w:fill="auto"/>
            <w:vAlign w:val="bottom"/>
          </w:tcPr>
          <w:p w14:paraId="40B97BD9" w14:textId="77777777" w:rsidR="001C6F66" w:rsidRPr="009B546D" w:rsidRDefault="001C6F66" w:rsidP="00EA2BB6">
            <w:pPr>
              <w:tabs>
                <w:tab w:val="left" w:pos="288"/>
              </w:tabs>
              <w:autoSpaceDE w:val="0"/>
              <w:autoSpaceDN w:val="0"/>
              <w:adjustRightInd w:val="0"/>
              <w:spacing w:after="0" w:line="240" w:lineRule="auto"/>
              <w:ind w:right="72"/>
              <w:jc w:val="center"/>
              <w:rPr>
                <w:rFonts w:cstheme="minorHAnsi"/>
                <w:b/>
                <w:bCs/>
                <w:color w:val="000000"/>
                <w:lang w:val="en-MY"/>
              </w:rPr>
            </w:pPr>
          </w:p>
        </w:tc>
        <w:tc>
          <w:tcPr>
            <w:tcW w:w="236" w:type="dxa"/>
            <w:tcBorders>
              <w:top w:val="nil"/>
              <w:left w:val="nil"/>
              <w:bottom w:val="nil"/>
              <w:right w:val="nil"/>
            </w:tcBorders>
            <w:shd w:val="clear" w:color="FFFF99" w:fill="auto"/>
            <w:vAlign w:val="bottom"/>
          </w:tcPr>
          <w:p w14:paraId="26D1152A" w14:textId="77777777" w:rsidR="001C6F66" w:rsidRPr="009B546D" w:rsidRDefault="001C6F66" w:rsidP="00EA2BB6">
            <w:pPr>
              <w:tabs>
                <w:tab w:val="left" w:pos="288"/>
              </w:tabs>
              <w:autoSpaceDE w:val="0"/>
              <w:autoSpaceDN w:val="0"/>
              <w:adjustRightInd w:val="0"/>
              <w:spacing w:after="0" w:line="240" w:lineRule="auto"/>
              <w:jc w:val="center"/>
              <w:rPr>
                <w:rFonts w:cstheme="minorHAnsi"/>
                <w:b/>
                <w:bCs/>
                <w:color w:val="000000"/>
                <w:lang w:val="en-MY"/>
              </w:rPr>
            </w:pPr>
          </w:p>
        </w:tc>
        <w:tc>
          <w:tcPr>
            <w:tcW w:w="1387" w:type="dxa"/>
            <w:tcBorders>
              <w:top w:val="nil"/>
              <w:left w:val="nil"/>
              <w:bottom w:val="nil"/>
              <w:right w:val="nil"/>
            </w:tcBorders>
            <w:shd w:val="clear" w:color="FFFF99" w:fill="auto"/>
            <w:vAlign w:val="bottom"/>
          </w:tcPr>
          <w:p w14:paraId="3E25C439" w14:textId="77777777" w:rsidR="001C6F66" w:rsidRPr="009B546D" w:rsidRDefault="001C6F66" w:rsidP="00EA2BB6">
            <w:pPr>
              <w:tabs>
                <w:tab w:val="left" w:pos="288"/>
              </w:tabs>
              <w:autoSpaceDE w:val="0"/>
              <w:autoSpaceDN w:val="0"/>
              <w:adjustRightInd w:val="0"/>
              <w:spacing w:after="0" w:line="240" w:lineRule="auto"/>
              <w:ind w:right="72"/>
              <w:jc w:val="center"/>
              <w:rPr>
                <w:rFonts w:cstheme="minorHAnsi"/>
                <w:b/>
                <w:bCs/>
                <w:color w:val="000000"/>
                <w:lang w:val="en-MY"/>
              </w:rPr>
            </w:pPr>
          </w:p>
        </w:tc>
        <w:tc>
          <w:tcPr>
            <w:tcW w:w="236" w:type="dxa"/>
            <w:tcBorders>
              <w:top w:val="nil"/>
              <w:left w:val="nil"/>
              <w:bottom w:val="nil"/>
              <w:right w:val="nil"/>
            </w:tcBorders>
            <w:shd w:val="clear" w:color="FFFF99" w:fill="auto"/>
            <w:vAlign w:val="bottom"/>
          </w:tcPr>
          <w:p w14:paraId="49E5A1FD"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1231" w:type="dxa"/>
            <w:tcBorders>
              <w:top w:val="nil"/>
              <w:left w:val="nil"/>
              <w:bottom w:val="nil"/>
              <w:right w:val="nil"/>
            </w:tcBorders>
            <w:shd w:val="clear" w:color="FFFF99" w:fill="auto"/>
            <w:vAlign w:val="bottom"/>
          </w:tcPr>
          <w:p w14:paraId="0984343D"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b/>
                <w:bCs/>
                <w:color w:val="000000"/>
                <w:lang w:val="en-MY"/>
              </w:rPr>
            </w:pPr>
            <w:r w:rsidRPr="009B546D">
              <w:rPr>
                <w:rFonts w:cstheme="minorHAnsi"/>
                <w:b/>
                <w:bCs/>
                <w:color w:val="000000"/>
                <w:lang w:val="en-MY"/>
              </w:rPr>
              <w:t>Unit</w:t>
            </w:r>
          </w:p>
        </w:tc>
        <w:tc>
          <w:tcPr>
            <w:tcW w:w="392" w:type="dxa"/>
            <w:tcBorders>
              <w:top w:val="nil"/>
              <w:left w:val="nil"/>
              <w:bottom w:val="nil"/>
              <w:right w:val="nil"/>
            </w:tcBorders>
            <w:shd w:val="clear" w:color="FFFF99" w:fill="auto"/>
            <w:vAlign w:val="bottom"/>
          </w:tcPr>
          <w:p w14:paraId="2FD4CD05"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1025" w:type="dxa"/>
            <w:tcBorders>
              <w:top w:val="nil"/>
              <w:left w:val="nil"/>
              <w:bottom w:val="nil"/>
              <w:right w:val="nil"/>
            </w:tcBorders>
            <w:shd w:val="clear" w:color="FFFF99" w:fill="auto"/>
            <w:vAlign w:val="bottom"/>
          </w:tcPr>
          <w:p w14:paraId="11CA0FE3"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b/>
                <w:bCs/>
                <w:color w:val="000000"/>
                <w:lang w:val="en-MY"/>
              </w:rPr>
            </w:pPr>
            <w:r w:rsidRPr="009B546D">
              <w:rPr>
                <w:rFonts w:cstheme="minorHAnsi"/>
                <w:b/>
                <w:bCs/>
                <w:color w:val="000000"/>
                <w:lang w:val="en-MY"/>
              </w:rPr>
              <w:t>RM</w:t>
            </w:r>
          </w:p>
        </w:tc>
      </w:tr>
      <w:tr w:rsidR="001C6F66" w:rsidRPr="009B546D" w14:paraId="798E8C96" w14:textId="77777777" w:rsidTr="00EA2BB6">
        <w:trPr>
          <w:gridAfter w:val="1"/>
          <w:wAfter w:w="362" w:type="dxa"/>
          <w:trHeight w:val="278"/>
        </w:trPr>
        <w:tc>
          <w:tcPr>
            <w:tcW w:w="2602" w:type="dxa"/>
            <w:tcBorders>
              <w:top w:val="nil"/>
              <w:left w:val="nil"/>
              <w:bottom w:val="nil"/>
              <w:right w:val="nil"/>
            </w:tcBorders>
            <w:shd w:val="clear" w:color="FFFF99" w:fill="auto"/>
            <w:vAlign w:val="bottom"/>
          </w:tcPr>
          <w:p w14:paraId="406DECD3" w14:textId="77777777" w:rsidR="001C6F66" w:rsidRPr="009B546D" w:rsidRDefault="001C6F66" w:rsidP="00EA2BB6">
            <w:pPr>
              <w:tabs>
                <w:tab w:val="left" w:pos="288"/>
              </w:tabs>
              <w:autoSpaceDE w:val="0"/>
              <w:autoSpaceDN w:val="0"/>
              <w:adjustRightInd w:val="0"/>
              <w:spacing w:after="0" w:line="240" w:lineRule="auto"/>
              <w:rPr>
                <w:rFonts w:cstheme="minorHAnsi"/>
                <w:b/>
                <w:bCs/>
                <w:color w:val="000000"/>
                <w:lang w:val="en-MY"/>
              </w:rPr>
            </w:pPr>
            <w:r w:rsidRPr="009B546D">
              <w:rPr>
                <w:rFonts w:cstheme="minorHAnsi"/>
                <w:b/>
                <w:bCs/>
                <w:color w:val="000000"/>
                <w:lang w:val="en-MY"/>
              </w:rPr>
              <w:t>Issued and fully paid:</w:t>
            </w:r>
          </w:p>
        </w:tc>
        <w:tc>
          <w:tcPr>
            <w:tcW w:w="1387" w:type="dxa"/>
            <w:tcBorders>
              <w:top w:val="nil"/>
              <w:left w:val="nil"/>
              <w:bottom w:val="nil"/>
              <w:right w:val="nil"/>
            </w:tcBorders>
            <w:shd w:val="clear" w:color="FFFF99" w:fill="auto"/>
            <w:vAlign w:val="bottom"/>
          </w:tcPr>
          <w:p w14:paraId="54234161"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236" w:type="dxa"/>
            <w:tcBorders>
              <w:top w:val="nil"/>
              <w:left w:val="nil"/>
              <w:bottom w:val="nil"/>
              <w:right w:val="nil"/>
            </w:tcBorders>
            <w:shd w:val="clear" w:color="FFFF99" w:fill="auto"/>
            <w:vAlign w:val="bottom"/>
          </w:tcPr>
          <w:p w14:paraId="67900133"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1387" w:type="dxa"/>
            <w:tcBorders>
              <w:top w:val="nil"/>
              <w:left w:val="nil"/>
              <w:bottom w:val="nil"/>
              <w:right w:val="nil"/>
            </w:tcBorders>
            <w:shd w:val="clear" w:color="FFFF99" w:fill="auto"/>
            <w:vAlign w:val="bottom"/>
          </w:tcPr>
          <w:p w14:paraId="1A8AEF00"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236" w:type="dxa"/>
            <w:tcBorders>
              <w:top w:val="nil"/>
              <w:left w:val="nil"/>
              <w:bottom w:val="nil"/>
              <w:right w:val="nil"/>
            </w:tcBorders>
            <w:shd w:val="clear" w:color="FFFF99" w:fill="auto"/>
            <w:vAlign w:val="bottom"/>
          </w:tcPr>
          <w:p w14:paraId="5EFF94EF"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1231" w:type="dxa"/>
            <w:tcBorders>
              <w:top w:val="nil"/>
              <w:left w:val="nil"/>
              <w:right w:val="nil"/>
            </w:tcBorders>
            <w:shd w:val="clear" w:color="FFFF99" w:fill="auto"/>
            <w:vAlign w:val="bottom"/>
          </w:tcPr>
          <w:p w14:paraId="0E018F09"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392" w:type="dxa"/>
            <w:tcBorders>
              <w:top w:val="nil"/>
              <w:left w:val="nil"/>
              <w:bottom w:val="nil"/>
              <w:right w:val="nil"/>
            </w:tcBorders>
            <w:shd w:val="clear" w:color="FFFF99" w:fill="auto"/>
            <w:vAlign w:val="bottom"/>
          </w:tcPr>
          <w:p w14:paraId="6CD9098F"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1025" w:type="dxa"/>
            <w:tcBorders>
              <w:top w:val="nil"/>
              <w:left w:val="nil"/>
              <w:right w:val="nil"/>
            </w:tcBorders>
            <w:shd w:val="clear" w:color="FFFF99" w:fill="auto"/>
            <w:vAlign w:val="bottom"/>
          </w:tcPr>
          <w:p w14:paraId="5D50A31E"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r>
      <w:tr w:rsidR="001C6F66" w:rsidRPr="009B546D" w14:paraId="7A9E6B6A" w14:textId="77777777" w:rsidTr="00EA2BB6">
        <w:trPr>
          <w:gridAfter w:val="1"/>
          <w:wAfter w:w="362" w:type="dxa"/>
          <w:trHeight w:val="278"/>
        </w:trPr>
        <w:tc>
          <w:tcPr>
            <w:tcW w:w="5612" w:type="dxa"/>
            <w:gridSpan w:val="4"/>
            <w:tcBorders>
              <w:top w:val="nil"/>
              <w:left w:val="nil"/>
              <w:bottom w:val="nil"/>
              <w:right w:val="nil"/>
            </w:tcBorders>
            <w:shd w:val="clear" w:color="FFFF99" w:fill="auto"/>
            <w:vAlign w:val="bottom"/>
          </w:tcPr>
          <w:p w14:paraId="6CB45CC3"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r w:rsidRPr="009B546D">
              <w:rPr>
                <w:rFonts w:cstheme="minorHAnsi"/>
                <w:color w:val="000000"/>
                <w:lang w:val="en-MY"/>
              </w:rPr>
              <w:t>As at date of incorporation/end of financial period</w:t>
            </w:r>
          </w:p>
        </w:tc>
        <w:tc>
          <w:tcPr>
            <w:tcW w:w="236" w:type="dxa"/>
            <w:tcBorders>
              <w:top w:val="nil"/>
              <w:left w:val="nil"/>
              <w:bottom w:val="nil"/>
              <w:right w:val="nil"/>
            </w:tcBorders>
            <w:shd w:val="clear" w:color="FFFF99" w:fill="auto"/>
            <w:vAlign w:val="bottom"/>
          </w:tcPr>
          <w:p w14:paraId="5E5791DC"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1231" w:type="dxa"/>
            <w:tcBorders>
              <w:top w:val="nil"/>
              <w:left w:val="nil"/>
              <w:bottom w:val="double" w:sz="6" w:space="0" w:color="auto"/>
              <w:right w:val="nil"/>
            </w:tcBorders>
            <w:shd w:val="clear" w:color="FFFF99" w:fill="auto"/>
            <w:vAlign w:val="bottom"/>
          </w:tcPr>
          <w:p w14:paraId="608389D9"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r w:rsidRPr="009B546D">
              <w:rPr>
                <w:rFonts w:cstheme="minorHAnsi"/>
                <w:color w:val="000000"/>
                <w:lang w:val="en-MY"/>
              </w:rPr>
              <w:t>100</w:t>
            </w:r>
          </w:p>
        </w:tc>
        <w:tc>
          <w:tcPr>
            <w:tcW w:w="392" w:type="dxa"/>
            <w:tcBorders>
              <w:top w:val="nil"/>
              <w:left w:val="nil"/>
              <w:bottom w:val="nil"/>
              <w:right w:val="nil"/>
            </w:tcBorders>
            <w:shd w:val="clear" w:color="FFFF99" w:fill="auto"/>
            <w:vAlign w:val="bottom"/>
          </w:tcPr>
          <w:p w14:paraId="314C3D5F"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p>
        </w:tc>
        <w:tc>
          <w:tcPr>
            <w:tcW w:w="1025" w:type="dxa"/>
            <w:tcBorders>
              <w:top w:val="nil"/>
              <w:left w:val="nil"/>
              <w:bottom w:val="double" w:sz="6" w:space="0" w:color="auto"/>
              <w:right w:val="nil"/>
            </w:tcBorders>
            <w:shd w:val="clear" w:color="FFFF99" w:fill="auto"/>
            <w:vAlign w:val="bottom"/>
          </w:tcPr>
          <w:p w14:paraId="54DB42CC" w14:textId="77777777" w:rsidR="001C6F66" w:rsidRPr="009B546D" w:rsidRDefault="001C6F66" w:rsidP="00EA2BB6">
            <w:pPr>
              <w:tabs>
                <w:tab w:val="left" w:pos="288"/>
              </w:tabs>
              <w:autoSpaceDE w:val="0"/>
              <w:autoSpaceDN w:val="0"/>
              <w:adjustRightInd w:val="0"/>
              <w:spacing w:after="0" w:line="240" w:lineRule="auto"/>
              <w:jc w:val="right"/>
              <w:rPr>
                <w:rFonts w:cstheme="minorHAnsi"/>
                <w:color w:val="000000"/>
                <w:lang w:val="en-MY"/>
              </w:rPr>
            </w:pPr>
            <w:r w:rsidRPr="009B546D">
              <w:rPr>
                <w:rFonts w:cstheme="minorHAnsi"/>
                <w:color w:val="000000"/>
                <w:lang w:val="en-MY"/>
              </w:rPr>
              <w:t>100</w:t>
            </w:r>
          </w:p>
        </w:tc>
      </w:tr>
    </w:tbl>
    <w:p w14:paraId="0058D096" w14:textId="77777777" w:rsidR="00D02A5A" w:rsidRDefault="001C6F66" w:rsidP="00EA2BB6">
      <w:pPr>
        <w:spacing w:before="240" w:after="0" w:line="240" w:lineRule="auto"/>
        <w:ind w:left="576"/>
        <w:rPr>
          <w:rFonts w:cstheme="minorHAnsi"/>
        </w:rPr>
      </w:pPr>
      <w:r w:rsidRPr="009B546D">
        <w:rPr>
          <w:rFonts w:cstheme="minorHAnsi"/>
        </w:rPr>
        <w:t>Alchemist was incorporated on 17 April 2018 with an issued and paid up ordinary share capital of RM1 comprising 100 ordinary shares at RM1 each.</w:t>
      </w:r>
    </w:p>
    <w:p w14:paraId="7673F8F4" w14:textId="77777777" w:rsidR="00D02A5A" w:rsidRPr="009B546D" w:rsidRDefault="00D02A5A" w:rsidP="00D02A5A">
      <w:pPr>
        <w:keepNext/>
        <w:keepLines/>
        <w:numPr>
          <w:ilvl w:val="0"/>
          <w:numId w:val="35"/>
        </w:numPr>
        <w:spacing w:after="0" w:line="240" w:lineRule="auto"/>
        <w:rPr>
          <w:rFonts w:cstheme="minorHAnsi"/>
          <w:b/>
          <w:caps/>
        </w:rPr>
      </w:pPr>
      <w:r w:rsidRPr="00D02A5A">
        <w:rPr>
          <w:rFonts w:cstheme="minorHAnsi"/>
          <w:b/>
          <w:caps/>
        </w:rPr>
        <w:t>TR</w:t>
      </w:r>
      <w:r>
        <w:rPr>
          <w:rFonts w:cstheme="minorHAnsi"/>
          <w:b/>
          <w:caps/>
        </w:rPr>
        <w:t>ADE AND OTHER PAYABLES</w:t>
      </w:r>
    </w:p>
    <w:p w14:paraId="5A229AC1" w14:textId="77777777" w:rsidR="00D02A5A" w:rsidRPr="009B546D" w:rsidRDefault="00D02A5A" w:rsidP="00D02A5A">
      <w:pPr>
        <w:keepNext/>
        <w:keepLines/>
        <w:spacing w:after="0" w:line="240" w:lineRule="auto"/>
        <w:ind w:left="576"/>
        <w:rPr>
          <w:rFonts w:cstheme="minorHAnsi"/>
          <w:b/>
          <w:caps/>
        </w:rPr>
      </w:pPr>
    </w:p>
    <w:tbl>
      <w:tblPr>
        <w:tblW w:w="8496" w:type="dxa"/>
        <w:tblInd w:w="576" w:type="dxa"/>
        <w:tblLayout w:type="fixed"/>
        <w:tblLook w:val="04A0" w:firstRow="1" w:lastRow="0" w:firstColumn="1" w:lastColumn="0" w:noHBand="0" w:noVBand="1"/>
      </w:tblPr>
      <w:tblGrid>
        <w:gridCol w:w="4482"/>
        <w:gridCol w:w="913"/>
        <w:gridCol w:w="527"/>
        <w:gridCol w:w="1350"/>
        <w:gridCol w:w="239"/>
        <w:gridCol w:w="985"/>
      </w:tblGrid>
      <w:tr w:rsidR="00D02A5A" w:rsidRPr="009B546D" w14:paraId="3A42F441" w14:textId="77777777" w:rsidTr="00EA2BB6">
        <w:trPr>
          <w:trHeight w:val="278"/>
        </w:trPr>
        <w:tc>
          <w:tcPr>
            <w:tcW w:w="4482" w:type="dxa"/>
            <w:vAlign w:val="bottom"/>
          </w:tcPr>
          <w:p w14:paraId="7C97D087" w14:textId="77777777" w:rsidR="00D02A5A" w:rsidRPr="009B546D" w:rsidRDefault="00D02A5A" w:rsidP="004A12EB">
            <w:pPr>
              <w:tabs>
                <w:tab w:val="left" w:pos="288"/>
              </w:tabs>
              <w:autoSpaceDE w:val="0"/>
              <w:autoSpaceDN w:val="0"/>
              <w:adjustRightInd w:val="0"/>
              <w:spacing w:after="0" w:line="240" w:lineRule="auto"/>
              <w:rPr>
                <w:rFonts w:cstheme="minorHAnsi"/>
                <w:color w:val="000000"/>
                <w:lang w:val="en-MY"/>
              </w:rPr>
            </w:pPr>
          </w:p>
        </w:tc>
        <w:tc>
          <w:tcPr>
            <w:tcW w:w="913" w:type="dxa"/>
            <w:vAlign w:val="bottom"/>
            <w:hideMark/>
          </w:tcPr>
          <w:p w14:paraId="6727B2E4" w14:textId="77777777" w:rsidR="00D02A5A" w:rsidRPr="009B546D" w:rsidRDefault="00D02A5A" w:rsidP="004A12EB">
            <w:pPr>
              <w:tabs>
                <w:tab w:val="left" w:pos="288"/>
              </w:tabs>
              <w:autoSpaceDE w:val="0"/>
              <w:autoSpaceDN w:val="0"/>
              <w:adjustRightInd w:val="0"/>
              <w:spacing w:after="0" w:line="240" w:lineRule="auto"/>
              <w:ind w:right="72"/>
              <w:jc w:val="center"/>
              <w:rPr>
                <w:rFonts w:cstheme="minorHAnsi"/>
                <w:b/>
                <w:bCs/>
                <w:color w:val="000000"/>
                <w:lang w:val="en-MY"/>
              </w:rPr>
            </w:pPr>
            <w:r w:rsidRPr="009B546D">
              <w:rPr>
                <w:rFonts w:cstheme="minorHAnsi"/>
                <w:b/>
                <w:bCs/>
                <w:color w:val="000000"/>
                <w:lang w:val="en-MY"/>
              </w:rPr>
              <w:t xml:space="preserve"> </w:t>
            </w:r>
          </w:p>
        </w:tc>
        <w:tc>
          <w:tcPr>
            <w:tcW w:w="527" w:type="dxa"/>
            <w:vAlign w:val="bottom"/>
          </w:tcPr>
          <w:p w14:paraId="7906CBBC" w14:textId="77777777" w:rsidR="00D02A5A" w:rsidRPr="009B546D" w:rsidRDefault="00D02A5A" w:rsidP="004A12EB">
            <w:pPr>
              <w:tabs>
                <w:tab w:val="left" w:pos="288"/>
              </w:tabs>
              <w:autoSpaceDE w:val="0"/>
              <w:autoSpaceDN w:val="0"/>
              <w:adjustRightInd w:val="0"/>
              <w:spacing w:after="0" w:line="240" w:lineRule="auto"/>
              <w:rPr>
                <w:rFonts w:cstheme="minorHAnsi"/>
                <w:color w:val="000000"/>
                <w:lang w:val="en-MY"/>
              </w:rPr>
            </w:pPr>
          </w:p>
        </w:tc>
        <w:tc>
          <w:tcPr>
            <w:tcW w:w="1350" w:type="dxa"/>
            <w:vAlign w:val="bottom"/>
          </w:tcPr>
          <w:p w14:paraId="14C2F59E" w14:textId="77777777" w:rsidR="00D02A5A" w:rsidRPr="009B546D" w:rsidRDefault="00D02A5A" w:rsidP="004A12EB">
            <w:pPr>
              <w:tabs>
                <w:tab w:val="left" w:pos="288"/>
              </w:tabs>
              <w:autoSpaceDE w:val="0"/>
              <w:autoSpaceDN w:val="0"/>
              <w:adjustRightInd w:val="0"/>
              <w:spacing w:after="0" w:line="240" w:lineRule="auto"/>
              <w:ind w:right="72"/>
              <w:jc w:val="center"/>
              <w:rPr>
                <w:rFonts w:cstheme="minorHAnsi"/>
                <w:b/>
                <w:bCs/>
                <w:color w:val="000000"/>
                <w:lang w:val="en-MY"/>
              </w:rPr>
            </w:pPr>
          </w:p>
        </w:tc>
        <w:tc>
          <w:tcPr>
            <w:tcW w:w="239" w:type="dxa"/>
            <w:vAlign w:val="bottom"/>
          </w:tcPr>
          <w:p w14:paraId="16556DDE" w14:textId="77777777" w:rsidR="00D02A5A" w:rsidRPr="009B546D" w:rsidRDefault="00D02A5A" w:rsidP="004A12EB">
            <w:pPr>
              <w:tabs>
                <w:tab w:val="left" w:pos="288"/>
              </w:tabs>
              <w:autoSpaceDE w:val="0"/>
              <w:autoSpaceDN w:val="0"/>
              <w:adjustRightInd w:val="0"/>
              <w:spacing w:after="0" w:line="240" w:lineRule="auto"/>
              <w:jc w:val="center"/>
              <w:rPr>
                <w:rFonts w:cstheme="minorHAnsi"/>
                <w:b/>
                <w:bCs/>
                <w:color w:val="000000"/>
                <w:lang w:val="en-MY"/>
              </w:rPr>
            </w:pPr>
          </w:p>
        </w:tc>
        <w:tc>
          <w:tcPr>
            <w:tcW w:w="985" w:type="dxa"/>
            <w:vAlign w:val="bottom"/>
            <w:hideMark/>
          </w:tcPr>
          <w:p w14:paraId="66648B5A" w14:textId="77777777" w:rsidR="00D02A5A" w:rsidRPr="009B546D" w:rsidRDefault="00D02A5A" w:rsidP="004A12EB">
            <w:pPr>
              <w:tabs>
                <w:tab w:val="left" w:pos="288"/>
              </w:tabs>
              <w:autoSpaceDE w:val="0"/>
              <w:autoSpaceDN w:val="0"/>
              <w:adjustRightInd w:val="0"/>
              <w:spacing w:after="0" w:line="240" w:lineRule="auto"/>
              <w:ind w:right="72"/>
              <w:jc w:val="right"/>
              <w:rPr>
                <w:rFonts w:cstheme="minorHAnsi"/>
                <w:b/>
                <w:bCs/>
                <w:color w:val="000000"/>
                <w:lang w:val="en-MY"/>
              </w:rPr>
            </w:pPr>
            <w:r w:rsidRPr="009B546D">
              <w:rPr>
                <w:rFonts w:cstheme="minorHAnsi"/>
                <w:b/>
                <w:bCs/>
                <w:color w:val="000000"/>
                <w:lang w:val="en-MY"/>
              </w:rPr>
              <w:t>2019</w:t>
            </w:r>
          </w:p>
        </w:tc>
      </w:tr>
      <w:tr w:rsidR="00D02A5A" w:rsidRPr="009B546D" w14:paraId="2DEBF8C1" w14:textId="77777777" w:rsidTr="00EA2BB6">
        <w:trPr>
          <w:trHeight w:val="239"/>
        </w:trPr>
        <w:tc>
          <w:tcPr>
            <w:tcW w:w="4482" w:type="dxa"/>
            <w:vAlign w:val="bottom"/>
          </w:tcPr>
          <w:p w14:paraId="35A1456B" w14:textId="77777777" w:rsidR="00D02A5A" w:rsidRPr="009B546D" w:rsidRDefault="00D02A5A" w:rsidP="004A12EB">
            <w:pPr>
              <w:tabs>
                <w:tab w:val="left" w:pos="288"/>
              </w:tabs>
              <w:autoSpaceDE w:val="0"/>
              <w:autoSpaceDN w:val="0"/>
              <w:adjustRightInd w:val="0"/>
              <w:spacing w:after="0" w:line="240" w:lineRule="auto"/>
              <w:rPr>
                <w:rFonts w:cstheme="minorHAnsi"/>
                <w:color w:val="000000"/>
                <w:lang w:val="en-MY"/>
              </w:rPr>
            </w:pPr>
          </w:p>
        </w:tc>
        <w:tc>
          <w:tcPr>
            <w:tcW w:w="913" w:type="dxa"/>
            <w:vAlign w:val="bottom"/>
          </w:tcPr>
          <w:p w14:paraId="06F0F19E" w14:textId="77777777" w:rsidR="00D02A5A" w:rsidRPr="009B546D" w:rsidRDefault="00D02A5A" w:rsidP="004A12EB">
            <w:pPr>
              <w:tabs>
                <w:tab w:val="left" w:pos="288"/>
              </w:tabs>
              <w:autoSpaceDE w:val="0"/>
              <w:autoSpaceDN w:val="0"/>
              <w:adjustRightInd w:val="0"/>
              <w:spacing w:after="0" w:line="240" w:lineRule="auto"/>
              <w:ind w:right="72"/>
              <w:jc w:val="center"/>
              <w:rPr>
                <w:rFonts w:cstheme="minorHAnsi"/>
                <w:b/>
                <w:bCs/>
                <w:color w:val="000000"/>
                <w:lang w:val="en-MY"/>
              </w:rPr>
            </w:pPr>
          </w:p>
        </w:tc>
        <w:tc>
          <w:tcPr>
            <w:tcW w:w="527" w:type="dxa"/>
            <w:vAlign w:val="bottom"/>
          </w:tcPr>
          <w:p w14:paraId="6471E269" w14:textId="77777777" w:rsidR="00D02A5A" w:rsidRPr="009B546D" w:rsidRDefault="00D02A5A" w:rsidP="004A12EB">
            <w:pPr>
              <w:tabs>
                <w:tab w:val="left" w:pos="288"/>
              </w:tabs>
              <w:autoSpaceDE w:val="0"/>
              <w:autoSpaceDN w:val="0"/>
              <w:adjustRightInd w:val="0"/>
              <w:spacing w:after="0" w:line="240" w:lineRule="auto"/>
              <w:rPr>
                <w:rFonts w:cstheme="minorHAnsi"/>
                <w:color w:val="000000"/>
                <w:lang w:val="en-MY"/>
              </w:rPr>
            </w:pPr>
          </w:p>
        </w:tc>
        <w:tc>
          <w:tcPr>
            <w:tcW w:w="1350" w:type="dxa"/>
            <w:vAlign w:val="bottom"/>
          </w:tcPr>
          <w:p w14:paraId="0007AFD7" w14:textId="77777777" w:rsidR="00D02A5A" w:rsidRPr="009B546D" w:rsidRDefault="00D02A5A" w:rsidP="004A12EB">
            <w:pPr>
              <w:tabs>
                <w:tab w:val="left" w:pos="288"/>
              </w:tabs>
              <w:autoSpaceDE w:val="0"/>
              <w:autoSpaceDN w:val="0"/>
              <w:adjustRightInd w:val="0"/>
              <w:spacing w:after="0" w:line="240" w:lineRule="auto"/>
              <w:ind w:right="72"/>
              <w:jc w:val="center"/>
              <w:rPr>
                <w:rFonts w:cstheme="minorHAnsi"/>
                <w:b/>
                <w:bCs/>
                <w:color w:val="000000"/>
                <w:lang w:val="en-MY"/>
              </w:rPr>
            </w:pPr>
          </w:p>
        </w:tc>
        <w:tc>
          <w:tcPr>
            <w:tcW w:w="239" w:type="dxa"/>
            <w:vAlign w:val="bottom"/>
          </w:tcPr>
          <w:p w14:paraId="41F1687A" w14:textId="77777777" w:rsidR="00D02A5A" w:rsidRPr="009B546D" w:rsidRDefault="00D02A5A" w:rsidP="004A12EB">
            <w:pPr>
              <w:tabs>
                <w:tab w:val="left" w:pos="288"/>
              </w:tabs>
              <w:autoSpaceDE w:val="0"/>
              <w:autoSpaceDN w:val="0"/>
              <w:adjustRightInd w:val="0"/>
              <w:spacing w:after="0" w:line="240" w:lineRule="auto"/>
              <w:jc w:val="center"/>
              <w:rPr>
                <w:rFonts w:cstheme="minorHAnsi"/>
                <w:b/>
                <w:bCs/>
                <w:color w:val="000000"/>
                <w:lang w:val="en-MY"/>
              </w:rPr>
            </w:pPr>
          </w:p>
        </w:tc>
        <w:tc>
          <w:tcPr>
            <w:tcW w:w="985" w:type="dxa"/>
            <w:vAlign w:val="bottom"/>
            <w:hideMark/>
          </w:tcPr>
          <w:p w14:paraId="6541F1F4" w14:textId="77777777" w:rsidR="00D02A5A" w:rsidRPr="009B546D" w:rsidRDefault="00D02A5A" w:rsidP="004A12EB">
            <w:pPr>
              <w:tabs>
                <w:tab w:val="left" w:pos="288"/>
              </w:tabs>
              <w:autoSpaceDE w:val="0"/>
              <w:autoSpaceDN w:val="0"/>
              <w:adjustRightInd w:val="0"/>
              <w:spacing w:after="0" w:line="240" w:lineRule="auto"/>
              <w:ind w:right="72"/>
              <w:jc w:val="right"/>
              <w:rPr>
                <w:rFonts w:cstheme="minorHAnsi"/>
                <w:b/>
                <w:bCs/>
                <w:color w:val="000000"/>
                <w:lang w:val="en-MY"/>
              </w:rPr>
            </w:pPr>
            <w:r w:rsidRPr="009B546D">
              <w:rPr>
                <w:rFonts w:cstheme="minorHAnsi"/>
                <w:b/>
                <w:bCs/>
                <w:color w:val="000000"/>
                <w:lang w:val="en-MY"/>
              </w:rPr>
              <w:t>RM</w:t>
            </w:r>
          </w:p>
        </w:tc>
      </w:tr>
      <w:tr w:rsidR="00D02A5A" w:rsidRPr="009B546D" w14:paraId="5F813B64" w14:textId="77777777" w:rsidTr="00EA2BB6">
        <w:trPr>
          <w:trHeight w:val="80"/>
        </w:trPr>
        <w:tc>
          <w:tcPr>
            <w:tcW w:w="4482" w:type="dxa"/>
            <w:vAlign w:val="bottom"/>
          </w:tcPr>
          <w:p w14:paraId="50B2D928" w14:textId="77777777" w:rsidR="00D02A5A" w:rsidRPr="009B546D" w:rsidRDefault="00D02A5A" w:rsidP="004A12EB">
            <w:pPr>
              <w:tabs>
                <w:tab w:val="left" w:pos="288"/>
              </w:tabs>
              <w:autoSpaceDE w:val="0"/>
              <w:autoSpaceDN w:val="0"/>
              <w:adjustRightInd w:val="0"/>
              <w:spacing w:after="0" w:line="240" w:lineRule="auto"/>
              <w:rPr>
                <w:rFonts w:cstheme="minorHAnsi"/>
                <w:color w:val="000000"/>
              </w:rPr>
            </w:pPr>
            <w:r w:rsidRPr="009B546D">
              <w:rPr>
                <w:rFonts w:cstheme="minorHAnsi"/>
                <w:color w:val="000000"/>
              </w:rPr>
              <w:t>Amount due to shareholders (a)</w:t>
            </w:r>
          </w:p>
        </w:tc>
        <w:tc>
          <w:tcPr>
            <w:tcW w:w="913" w:type="dxa"/>
            <w:vAlign w:val="bottom"/>
          </w:tcPr>
          <w:p w14:paraId="7841B396" w14:textId="77777777" w:rsidR="00D02A5A" w:rsidRPr="009B546D" w:rsidRDefault="00D02A5A" w:rsidP="004A12EB">
            <w:pPr>
              <w:tabs>
                <w:tab w:val="left" w:pos="288"/>
              </w:tabs>
              <w:autoSpaceDE w:val="0"/>
              <w:autoSpaceDN w:val="0"/>
              <w:adjustRightInd w:val="0"/>
              <w:spacing w:after="0" w:line="240" w:lineRule="auto"/>
              <w:jc w:val="right"/>
              <w:rPr>
                <w:rFonts w:cstheme="minorHAnsi"/>
                <w:color w:val="000000"/>
                <w:lang w:val="en-MY"/>
              </w:rPr>
            </w:pPr>
          </w:p>
        </w:tc>
        <w:tc>
          <w:tcPr>
            <w:tcW w:w="527" w:type="dxa"/>
            <w:vAlign w:val="bottom"/>
          </w:tcPr>
          <w:p w14:paraId="0B937C74" w14:textId="77777777" w:rsidR="00D02A5A" w:rsidRPr="009B546D" w:rsidRDefault="00D02A5A" w:rsidP="004A12EB">
            <w:pPr>
              <w:tabs>
                <w:tab w:val="left" w:pos="288"/>
              </w:tabs>
              <w:autoSpaceDE w:val="0"/>
              <w:autoSpaceDN w:val="0"/>
              <w:adjustRightInd w:val="0"/>
              <w:spacing w:after="0" w:line="240" w:lineRule="auto"/>
              <w:rPr>
                <w:rFonts w:cstheme="minorHAnsi"/>
                <w:color w:val="000000"/>
                <w:lang w:val="en-MY"/>
              </w:rPr>
            </w:pPr>
          </w:p>
        </w:tc>
        <w:tc>
          <w:tcPr>
            <w:tcW w:w="1350" w:type="dxa"/>
            <w:vAlign w:val="bottom"/>
          </w:tcPr>
          <w:p w14:paraId="341A2477" w14:textId="77777777" w:rsidR="00D02A5A" w:rsidRPr="009B546D" w:rsidRDefault="00D02A5A" w:rsidP="004A12EB">
            <w:pPr>
              <w:tabs>
                <w:tab w:val="left" w:pos="288"/>
              </w:tabs>
              <w:autoSpaceDE w:val="0"/>
              <w:autoSpaceDN w:val="0"/>
              <w:adjustRightInd w:val="0"/>
              <w:spacing w:after="0" w:line="240" w:lineRule="auto"/>
              <w:jc w:val="right"/>
              <w:rPr>
                <w:rFonts w:cstheme="minorHAnsi"/>
                <w:color w:val="000000"/>
                <w:lang w:val="en-MY"/>
              </w:rPr>
            </w:pPr>
          </w:p>
        </w:tc>
        <w:tc>
          <w:tcPr>
            <w:tcW w:w="239" w:type="dxa"/>
            <w:vAlign w:val="bottom"/>
          </w:tcPr>
          <w:p w14:paraId="69F5B727" w14:textId="77777777" w:rsidR="00D02A5A" w:rsidRPr="009B546D" w:rsidRDefault="00D02A5A" w:rsidP="004A12EB">
            <w:pPr>
              <w:tabs>
                <w:tab w:val="left" w:pos="288"/>
              </w:tabs>
              <w:autoSpaceDE w:val="0"/>
              <w:autoSpaceDN w:val="0"/>
              <w:adjustRightInd w:val="0"/>
              <w:spacing w:after="0" w:line="240" w:lineRule="auto"/>
              <w:jc w:val="right"/>
              <w:rPr>
                <w:rFonts w:cstheme="minorHAnsi"/>
                <w:color w:val="000000"/>
                <w:lang w:val="en-MY"/>
              </w:rPr>
            </w:pPr>
          </w:p>
        </w:tc>
        <w:tc>
          <w:tcPr>
            <w:tcW w:w="985" w:type="dxa"/>
            <w:vAlign w:val="bottom"/>
          </w:tcPr>
          <w:p w14:paraId="12804FC7" w14:textId="77777777" w:rsidR="00D02A5A" w:rsidRPr="009B546D" w:rsidRDefault="00D02A5A" w:rsidP="004A12EB">
            <w:pPr>
              <w:tabs>
                <w:tab w:val="left" w:pos="288"/>
              </w:tabs>
              <w:autoSpaceDE w:val="0"/>
              <w:autoSpaceDN w:val="0"/>
              <w:adjustRightInd w:val="0"/>
              <w:spacing w:after="0" w:line="240" w:lineRule="auto"/>
              <w:jc w:val="right"/>
              <w:rPr>
                <w:rFonts w:cstheme="minorHAnsi"/>
                <w:color w:val="000000"/>
                <w:lang w:val="en-MY"/>
              </w:rPr>
            </w:pPr>
            <w:r w:rsidRPr="009B546D">
              <w:rPr>
                <w:rFonts w:cstheme="minorHAnsi"/>
                <w:color w:val="000000"/>
                <w:lang w:val="en-MY"/>
              </w:rPr>
              <w:t>18,900</w:t>
            </w:r>
          </w:p>
        </w:tc>
      </w:tr>
      <w:tr w:rsidR="00D02A5A" w:rsidRPr="009B546D" w14:paraId="61F012E5" w14:textId="77777777" w:rsidTr="00EA2BB6">
        <w:trPr>
          <w:trHeight w:val="80"/>
        </w:trPr>
        <w:tc>
          <w:tcPr>
            <w:tcW w:w="4482" w:type="dxa"/>
            <w:vAlign w:val="bottom"/>
          </w:tcPr>
          <w:p w14:paraId="7BD04AB5" w14:textId="77777777" w:rsidR="00D02A5A" w:rsidRPr="009B546D" w:rsidRDefault="00D02A5A" w:rsidP="004A12EB">
            <w:pPr>
              <w:tabs>
                <w:tab w:val="left" w:pos="288"/>
              </w:tabs>
              <w:autoSpaceDE w:val="0"/>
              <w:autoSpaceDN w:val="0"/>
              <w:adjustRightInd w:val="0"/>
              <w:spacing w:after="0" w:line="240" w:lineRule="auto"/>
              <w:rPr>
                <w:rFonts w:cstheme="minorHAnsi"/>
                <w:color w:val="000000"/>
              </w:rPr>
            </w:pPr>
            <w:r w:rsidRPr="009B546D">
              <w:rPr>
                <w:rFonts w:cstheme="minorHAnsi"/>
                <w:color w:val="000000"/>
              </w:rPr>
              <w:t>Amount due to directors (b)</w:t>
            </w:r>
          </w:p>
        </w:tc>
        <w:tc>
          <w:tcPr>
            <w:tcW w:w="913" w:type="dxa"/>
            <w:vAlign w:val="bottom"/>
          </w:tcPr>
          <w:p w14:paraId="00CF0ABA" w14:textId="77777777" w:rsidR="00D02A5A" w:rsidRPr="009B546D" w:rsidRDefault="00D02A5A" w:rsidP="004A12EB">
            <w:pPr>
              <w:tabs>
                <w:tab w:val="left" w:pos="288"/>
              </w:tabs>
              <w:autoSpaceDE w:val="0"/>
              <w:autoSpaceDN w:val="0"/>
              <w:adjustRightInd w:val="0"/>
              <w:spacing w:after="0" w:line="240" w:lineRule="auto"/>
              <w:jc w:val="right"/>
              <w:rPr>
                <w:rFonts w:cstheme="minorHAnsi"/>
                <w:color w:val="000000"/>
                <w:lang w:val="en-MY"/>
              </w:rPr>
            </w:pPr>
          </w:p>
        </w:tc>
        <w:tc>
          <w:tcPr>
            <w:tcW w:w="527" w:type="dxa"/>
            <w:vAlign w:val="bottom"/>
          </w:tcPr>
          <w:p w14:paraId="21DB368C" w14:textId="77777777" w:rsidR="00D02A5A" w:rsidRPr="009B546D" w:rsidRDefault="00D02A5A" w:rsidP="004A12EB">
            <w:pPr>
              <w:tabs>
                <w:tab w:val="left" w:pos="288"/>
              </w:tabs>
              <w:autoSpaceDE w:val="0"/>
              <w:autoSpaceDN w:val="0"/>
              <w:adjustRightInd w:val="0"/>
              <w:spacing w:after="0" w:line="240" w:lineRule="auto"/>
              <w:rPr>
                <w:rFonts w:cstheme="minorHAnsi"/>
                <w:color w:val="000000"/>
                <w:lang w:val="en-MY"/>
              </w:rPr>
            </w:pPr>
          </w:p>
        </w:tc>
        <w:tc>
          <w:tcPr>
            <w:tcW w:w="1350" w:type="dxa"/>
            <w:vAlign w:val="bottom"/>
          </w:tcPr>
          <w:p w14:paraId="71C85C71" w14:textId="77777777" w:rsidR="00D02A5A" w:rsidRPr="009B546D" w:rsidRDefault="00D02A5A" w:rsidP="004A12EB">
            <w:pPr>
              <w:tabs>
                <w:tab w:val="left" w:pos="288"/>
              </w:tabs>
              <w:autoSpaceDE w:val="0"/>
              <w:autoSpaceDN w:val="0"/>
              <w:adjustRightInd w:val="0"/>
              <w:spacing w:after="0" w:line="240" w:lineRule="auto"/>
              <w:jc w:val="right"/>
              <w:rPr>
                <w:rFonts w:cstheme="minorHAnsi"/>
                <w:color w:val="000000"/>
                <w:lang w:val="en-MY"/>
              </w:rPr>
            </w:pPr>
          </w:p>
        </w:tc>
        <w:tc>
          <w:tcPr>
            <w:tcW w:w="239" w:type="dxa"/>
            <w:vAlign w:val="bottom"/>
          </w:tcPr>
          <w:p w14:paraId="2E8F609D" w14:textId="77777777" w:rsidR="00D02A5A" w:rsidRPr="009B546D" w:rsidRDefault="00D02A5A" w:rsidP="004A12EB">
            <w:pPr>
              <w:tabs>
                <w:tab w:val="left" w:pos="288"/>
              </w:tabs>
              <w:autoSpaceDE w:val="0"/>
              <w:autoSpaceDN w:val="0"/>
              <w:adjustRightInd w:val="0"/>
              <w:spacing w:after="0" w:line="240" w:lineRule="auto"/>
              <w:jc w:val="right"/>
              <w:rPr>
                <w:rFonts w:cstheme="minorHAnsi"/>
                <w:color w:val="000000"/>
                <w:lang w:val="en-MY"/>
              </w:rPr>
            </w:pPr>
          </w:p>
        </w:tc>
        <w:tc>
          <w:tcPr>
            <w:tcW w:w="985" w:type="dxa"/>
            <w:vAlign w:val="bottom"/>
          </w:tcPr>
          <w:p w14:paraId="4D7A2526" w14:textId="77777777" w:rsidR="00D02A5A" w:rsidRPr="009B546D" w:rsidRDefault="00D02A5A" w:rsidP="004A12EB">
            <w:pPr>
              <w:tabs>
                <w:tab w:val="left" w:pos="288"/>
              </w:tabs>
              <w:autoSpaceDE w:val="0"/>
              <w:autoSpaceDN w:val="0"/>
              <w:adjustRightInd w:val="0"/>
              <w:spacing w:after="0" w:line="240" w:lineRule="auto"/>
              <w:jc w:val="right"/>
              <w:rPr>
                <w:rFonts w:cstheme="minorHAnsi"/>
                <w:color w:val="000000"/>
                <w:lang w:val="en-MY"/>
              </w:rPr>
            </w:pPr>
            <w:r w:rsidRPr="009B546D">
              <w:rPr>
                <w:rFonts w:cstheme="minorHAnsi"/>
                <w:color w:val="000000"/>
                <w:lang w:val="en-MY"/>
              </w:rPr>
              <w:t>24,000</w:t>
            </w:r>
          </w:p>
        </w:tc>
      </w:tr>
      <w:tr w:rsidR="00D02A5A" w:rsidRPr="009B546D" w14:paraId="4646701A" w14:textId="77777777" w:rsidTr="00EA2BB6">
        <w:trPr>
          <w:trHeight w:val="278"/>
        </w:trPr>
        <w:tc>
          <w:tcPr>
            <w:tcW w:w="4482" w:type="dxa"/>
            <w:vAlign w:val="bottom"/>
          </w:tcPr>
          <w:p w14:paraId="5211D134" w14:textId="77777777" w:rsidR="00D02A5A" w:rsidRPr="009B546D" w:rsidRDefault="00D02A5A" w:rsidP="004A12EB">
            <w:pPr>
              <w:tabs>
                <w:tab w:val="left" w:pos="288"/>
              </w:tabs>
              <w:autoSpaceDE w:val="0"/>
              <w:autoSpaceDN w:val="0"/>
              <w:adjustRightInd w:val="0"/>
              <w:spacing w:after="0" w:line="240" w:lineRule="auto"/>
              <w:rPr>
                <w:rFonts w:cstheme="minorHAnsi"/>
                <w:color w:val="0D0D0D" w:themeColor="text1" w:themeTint="F2"/>
              </w:rPr>
            </w:pPr>
            <w:r w:rsidRPr="009B546D">
              <w:rPr>
                <w:rFonts w:cstheme="minorHAnsi"/>
                <w:color w:val="0D0D0D" w:themeColor="text1" w:themeTint="F2"/>
              </w:rPr>
              <w:t xml:space="preserve">Accruals </w:t>
            </w:r>
          </w:p>
        </w:tc>
        <w:tc>
          <w:tcPr>
            <w:tcW w:w="913" w:type="dxa"/>
            <w:vAlign w:val="bottom"/>
          </w:tcPr>
          <w:p w14:paraId="109394F4" w14:textId="77777777" w:rsidR="00D02A5A" w:rsidRPr="009B546D" w:rsidRDefault="00D02A5A" w:rsidP="004A12EB">
            <w:pPr>
              <w:tabs>
                <w:tab w:val="left" w:pos="288"/>
              </w:tabs>
              <w:autoSpaceDE w:val="0"/>
              <w:autoSpaceDN w:val="0"/>
              <w:adjustRightInd w:val="0"/>
              <w:spacing w:after="0" w:line="240" w:lineRule="auto"/>
              <w:ind w:right="72"/>
              <w:jc w:val="right"/>
              <w:rPr>
                <w:rFonts w:cstheme="minorHAnsi"/>
                <w:color w:val="0D0D0D" w:themeColor="text1" w:themeTint="F2"/>
                <w:lang w:val="en-MY"/>
              </w:rPr>
            </w:pPr>
          </w:p>
        </w:tc>
        <w:tc>
          <w:tcPr>
            <w:tcW w:w="527" w:type="dxa"/>
            <w:vAlign w:val="bottom"/>
          </w:tcPr>
          <w:p w14:paraId="08C61F0C" w14:textId="77777777" w:rsidR="00D02A5A" w:rsidRPr="009B546D" w:rsidRDefault="00D02A5A" w:rsidP="004A12EB">
            <w:pPr>
              <w:tabs>
                <w:tab w:val="left" w:pos="288"/>
              </w:tabs>
              <w:autoSpaceDE w:val="0"/>
              <w:autoSpaceDN w:val="0"/>
              <w:adjustRightInd w:val="0"/>
              <w:spacing w:after="0" w:line="240" w:lineRule="auto"/>
              <w:rPr>
                <w:rFonts w:cstheme="minorHAnsi"/>
                <w:color w:val="0D0D0D" w:themeColor="text1" w:themeTint="F2"/>
                <w:lang w:val="en-MY"/>
              </w:rPr>
            </w:pPr>
          </w:p>
        </w:tc>
        <w:tc>
          <w:tcPr>
            <w:tcW w:w="1350" w:type="dxa"/>
            <w:vAlign w:val="bottom"/>
          </w:tcPr>
          <w:p w14:paraId="33A1D0FF" w14:textId="77777777" w:rsidR="00D02A5A" w:rsidRPr="009B546D" w:rsidRDefault="00D02A5A" w:rsidP="004A12EB">
            <w:pPr>
              <w:tabs>
                <w:tab w:val="left" w:pos="288"/>
              </w:tabs>
              <w:autoSpaceDE w:val="0"/>
              <w:autoSpaceDN w:val="0"/>
              <w:adjustRightInd w:val="0"/>
              <w:spacing w:after="0" w:line="240" w:lineRule="auto"/>
              <w:ind w:right="72"/>
              <w:jc w:val="right"/>
              <w:rPr>
                <w:rFonts w:cstheme="minorHAnsi"/>
                <w:color w:val="0D0D0D" w:themeColor="text1" w:themeTint="F2"/>
                <w:lang w:val="en-MY"/>
              </w:rPr>
            </w:pPr>
          </w:p>
        </w:tc>
        <w:tc>
          <w:tcPr>
            <w:tcW w:w="239" w:type="dxa"/>
            <w:vAlign w:val="bottom"/>
          </w:tcPr>
          <w:p w14:paraId="61DBA4F8" w14:textId="77777777" w:rsidR="00D02A5A" w:rsidRPr="009B546D" w:rsidRDefault="00D02A5A" w:rsidP="004A12EB">
            <w:pPr>
              <w:tabs>
                <w:tab w:val="left" w:pos="288"/>
              </w:tabs>
              <w:autoSpaceDE w:val="0"/>
              <w:autoSpaceDN w:val="0"/>
              <w:adjustRightInd w:val="0"/>
              <w:spacing w:after="0" w:line="240" w:lineRule="auto"/>
              <w:ind w:right="72"/>
              <w:jc w:val="right"/>
              <w:rPr>
                <w:rFonts w:cstheme="minorHAnsi"/>
                <w:color w:val="0D0D0D" w:themeColor="text1" w:themeTint="F2"/>
                <w:lang w:val="en-MY"/>
              </w:rPr>
            </w:pPr>
          </w:p>
        </w:tc>
        <w:tc>
          <w:tcPr>
            <w:tcW w:w="985" w:type="dxa"/>
            <w:vAlign w:val="bottom"/>
          </w:tcPr>
          <w:p w14:paraId="4254B23C" w14:textId="77777777" w:rsidR="00D02A5A" w:rsidRPr="009B546D" w:rsidRDefault="00D02A5A" w:rsidP="004A12EB">
            <w:pPr>
              <w:tabs>
                <w:tab w:val="left" w:pos="288"/>
              </w:tabs>
              <w:autoSpaceDE w:val="0"/>
              <w:autoSpaceDN w:val="0"/>
              <w:adjustRightInd w:val="0"/>
              <w:spacing w:after="0" w:line="240" w:lineRule="auto"/>
              <w:jc w:val="right"/>
              <w:rPr>
                <w:rFonts w:cstheme="minorHAnsi"/>
                <w:color w:val="0D0D0D" w:themeColor="text1" w:themeTint="F2"/>
                <w:lang w:val="en-MY"/>
              </w:rPr>
            </w:pPr>
            <w:r w:rsidRPr="009B546D">
              <w:rPr>
                <w:rFonts w:cstheme="minorHAnsi"/>
                <w:color w:val="0D0D0D" w:themeColor="text1" w:themeTint="F2"/>
                <w:lang w:val="en-MY"/>
              </w:rPr>
              <w:t>41,172</w:t>
            </w:r>
          </w:p>
        </w:tc>
      </w:tr>
      <w:tr w:rsidR="00D02A5A" w:rsidRPr="009B546D" w14:paraId="2FE60CC6" w14:textId="77777777" w:rsidTr="00EA2BB6">
        <w:trPr>
          <w:trHeight w:val="309"/>
        </w:trPr>
        <w:tc>
          <w:tcPr>
            <w:tcW w:w="4482" w:type="dxa"/>
            <w:vAlign w:val="bottom"/>
          </w:tcPr>
          <w:p w14:paraId="17477A27" w14:textId="77777777" w:rsidR="00D02A5A" w:rsidRPr="009B546D" w:rsidRDefault="00D02A5A" w:rsidP="004A12EB">
            <w:pPr>
              <w:tabs>
                <w:tab w:val="left" w:pos="288"/>
              </w:tabs>
              <w:autoSpaceDE w:val="0"/>
              <w:autoSpaceDN w:val="0"/>
              <w:adjustRightInd w:val="0"/>
              <w:spacing w:after="0" w:line="240" w:lineRule="auto"/>
              <w:rPr>
                <w:rFonts w:cstheme="minorHAnsi"/>
                <w:color w:val="0D0D0D" w:themeColor="text1" w:themeTint="F2"/>
                <w:lang w:val="en-MY"/>
              </w:rPr>
            </w:pPr>
          </w:p>
        </w:tc>
        <w:tc>
          <w:tcPr>
            <w:tcW w:w="913" w:type="dxa"/>
            <w:vAlign w:val="bottom"/>
          </w:tcPr>
          <w:p w14:paraId="2C25E271" w14:textId="77777777" w:rsidR="00D02A5A" w:rsidRPr="009B546D" w:rsidRDefault="00D02A5A" w:rsidP="004A12EB">
            <w:pPr>
              <w:tabs>
                <w:tab w:val="left" w:pos="288"/>
              </w:tabs>
              <w:autoSpaceDE w:val="0"/>
              <w:autoSpaceDN w:val="0"/>
              <w:adjustRightInd w:val="0"/>
              <w:spacing w:after="0" w:line="240" w:lineRule="auto"/>
              <w:ind w:right="72"/>
              <w:jc w:val="right"/>
              <w:rPr>
                <w:rFonts w:cstheme="minorHAnsi"/>
                <w:color w:val="0D0D0D" w:themeColor="text1" w:themeTint="F2"/>
                <w:lang w:val="en-MY"/>
              </w:rPr>
            </w:pPr>
          </w:p>
        </w:tc>
        <w:tc>
          <w:tcPr>
            <w:tcW w:w="527" w:type="dxa"/>
            <w:vAlign w:val="bottom"/>
          </w:tcPr>
          <w:p w14:paraId="446CCC56" w14:textId="77777777" w:rsidR="00D02A5A" w:rsidRPr="009B546D" w:rsidRDefault="00D02A5A" w:rsidP="004A12EB">
            <w:pPr>
              <w:tabs>
                <w:tab w:val="left" w:pos="288"/>
              </w:tabs>
              <w:autoSpaceDE w:val="0"/>
              <w:autoSpaceDN w:val="0"/>
              <w:adjustRightInd w:val="0"/>
              <w:spacing w:after="0" w:line="240" w:lineRule="auto"/>
              <w:rPr>
                <w:rFonts w:cstheme="minorHAnsi"/>
                <w:color w:val="0D0D0D" w:themeColor="text1" w:themeTint="F2"/>
                <w:lang w:val="en-MY"/>
              </w:rPr>
            </w:pPr>
          </w:p>
        </w:tc>
        <w:tc>
          <w:tcPr>
            <w:tcW w:w="1350" w:type="dxa"/>
            <w:tcBorders>
              <w:left w:val="nil"/>
              <w:right w:val="nil"/>
            </w:tcBorders>
            <w:vAlign w:val="bottom"/>
          </w:tcPr>
          <w:p w14:paraId="1CE7DD6E" w14:textId="77777777" w:rsidR="00D02A5A" w:rsidRPr="009B546D" w:rsidRDefault="00D02A5A" w:rsidP="004A12EB">
            <w:pPr>
              <w:tabs>
                <w:tab w:val="left" w:pos="288"/>
              </w:tabs>
              <w:autoSpaceDE w:val="0"/>
              <w:autoSpaceDN w:val="0"/>
              <w:adjustRightInd w:val="0"/>
              <w:spacing w:after="0" w:line="240" w:lineRule="auto"/>
              <w:ind w:right="72"/>
              <w:jc w:val="right"/>
              <w:rPr>
                <w:rFonts w:cstheme="minorHAnsi"/>
                <w:color w:val="0D0D0D" w:themeColor="text1" w:themeTint="F2"/>
                <w:lang w:val="en-MY"/>
              </w:rPr>
            </w:pPr>
          </w:p>
        </w:tc>
        <w:tc>
          <w:tcPr>
            <w:tcW w:w="239" w:type="dxa"/>
            <w:vAlign w:val="bottom"/>
          </w:tcPr>
          <w:p w14:paraId="062684CE" w14:textId="77777777" w:rsidR="00D02A5A" w:rsidRPr="009B546D" w:rsidRDefault="00D02A5A" w:rsidP="004A12EB">
            <w:pPr>
              <w:tabs>
                <w:tab w:val="left" w:pos="288"/>
              </w:tabs>
              <w:autoSpaceDE w:val="0"/>
              <w:autoSpaceDN w:val="0"/>
              <w:adjustRightInd w:val="0"/>
              <w:spacing w:after="0" w:line="240" w:lineRule="auto"/>
              <w:ind w:right="72"/>
              <w:jc w:val="right"/>
              <w:rPr>
                <w:rFonts w:cstheme="minorHAnsi"/>
                <w:color w:val="0D0D0D" w:themeColor="text1" w:themeTint="F2"/>
                <w:lang w:val="en-MY"/>
              </w:rPr>
            </w:pPr>
          </w:p>
        </w:tc>
        <w:tc>
          <w:tcPr>
            <w:tcW w:w="985" w:type="dxa"/>
            <w:tcBorders>
              <w:top w:val="single" w:sz="6" w:space="0" w:color="auto"/>
              <w:left w:val="nil"/>
              <w:bottom w:val="double" w:sz="6" w:space="0" w:color="auto"/>
              <w:right w:val="nil"/>
            </w:tcBorders>
            <w:vAlign w:val="bottom"/>
          </w:tcPr>
          <w:p w14:paraId="0EC17D06" w14:textId="77777777" w:rsidR="00D02A5A" w:rsidRPr="009B546D" w:rsidRDefault="00D02A5A" w:rsidP="004A12EB">
            <w:pPr>
              <w:tabs>
                <w:tab w:val="left" w:pos="288"/>
              </w:tabs>
              <w:autoSpaceDE w:val="0"/>
              <w:autoSpaceDN w:val="0"/>
              <w:adjustRightInd w:val="0"/>
              <w:spacing w:after="0" w:line="240" w:lineRule="auto"/>
              <w:jc w:val="right"/>
              <w:rPr>
                <w:rFonts w:cstheme="minorHAnsi"/>
                <w:color w:val="0D0D0D" w:themeColor="text1" w:themeTint="F2"/>
                <w:lang w:val="en-MY"/>
              </w:rPr>
            </w:pPr>
            <w:r>
              <w:rPr>
                <w:rFonts w:cstheme="minorHAnsi"/>
                <w:color w:val="0D0D0D" w:themeColor="text1" w:themeTint="F2"/>
                <w:lang w:val="en-MY"/>
              </w:rPr>
              <w:t>109,071</w:t>
            </w:r>
          </w:p>
        </w:tc>
      </w:tr>
    </w:tbl>
    <w:p w14:paraId="2784C73F" w14:textId="77777777" w:rsidR="00D02A5A" w:rsidRPr="009B546D" w:rsidRDefault="00D02A5A" w:rsidP="00D02A5A">
      <w:pPr>
        <w:keepNext/>
        <w:keepLines/>
        <w:spacing w:after="0" w:line="240" w:lineRule="auto"/>
        <w:ind w:left="576"/>
        <w:rPr>
          <w:rFonts w:cstheme="minorHAnsi"/>
          <w:b/>
          <w:caps/>
          <w:color w:val="0D0D0D" w:themeColor="text1" w:themeTint="F2"/>
        </w:rPr>
      </w:pPr>
    </w:p>
    <w:p w14:paraId="2BDC8205" w14:textId="77777777" w:rsidR="00D02A5A" w:rsidRPr="009B546D" w:rsidRDefault="00D02A5A" w:rsidP="00D02A5A">
      <w:pPr>
        <w:numPr>
          <w:ilvl w:val="3"/>
          <w:numId w:val="35"/>
        </w:numPr>
        <w:spacing w:after="0" w:line="240" w:lineRule="auto"/>
        <w:rPr>
          <w:rFonts w:cstheme="minorHAnsi"/>
          <w:color w:val="0D0D0D" w:themeColor="text1" w:themeTint="F2"/>
        </w:rPr>
      </w:pPr>
      <w:r w:rsidRPr="009B546D">
        <w:rPr>
          <w:rFonts w:cstheme="minorHAnsi"/>
          <w:color w:val="0D0D0D" w:themeColor="text1" w:themeTint="F2"/>
        </w:rPr>
        <w:t>Amount due to shareholders is unsecured, interest-free and repayable on demand.</w:t>
      </w:r>
    </w:p>
    <w:p w14:paraId="4574D441" w14:textId="77777777" w:rsidR="00D02A5A" w:rsidRPr="009B546D" w:rsidRDefault="00D02A5A" w:rsidP="00D02A5A">
      <w:pPr>
        <w:numPr>
          <w:ilvl w:val="3"/>
          <w:numId w:val="35"/>
        </w:numPr>
        <w:spacing w:after="0" w:line="240" w:lineRule="auto"/>
        <w:rPr>
          <w:rFonts w:cstheme="minorHAnsi"/>
          <w:color w:val="0D0D0D" w:themeColor="text1" w:themeTint="F2"/>
        </w:rPr>
      </w:pPr>
      <w:r w:rsidRPr="009B546D">
        <w:rPr>
          <w:rFonts w:cstheme="minorHAnsi"/>
          <w:color w:val="0D0D0D" w:themeColor="text1" w:themeTint="F2"/>
        </w:rPr>
        <w:t xml:space="preserve">Amount due to directors are unsecured, interest-free and repayable on demand. </w:t>
      </w:r>
    </w:p>
    <w:p w14:paraId="2DFFA4AB" w14:textId="77777777" w:rsidR="00D02A5A" w:rsidRPr="00D02A5A" w:rsidRDefault="00D02A5A" w:rsidP="00D02A5A">
      <w:pPr>
        <w:numPr>
          <w:ilvl w:val="3"/>
          <w:numId w:val="35"/>
        </w:numPr>
        <w:spacing w:after="0" w:line="240" w:lineRule="auto"/>
        <w:rPr>
          <w:rFonts w:cstheme="minorHAnsi"/>
        </w:rPr>
      </w:pPr>
      <w:r w:rsidRPr="009B546D">
        <w:rPr>
          <w:rFonts w:cstheme="minorHAnsi"/>
          <w:bCs/>
          <w:color w:val="0D0D0D" w:themeColor="text1" w:themeTint="F2"/>
        </w:rPr>
        <w:t>Deferred income relates to a single messaging app sale that was billed in advance, but performance of the contract obligation had not been fulfilled by the period end</w:t>
      </w:r>
      <w:r w:rsidRPr="009B546D">
        <w:rPr>
          <w:rFonts w:cstheme="minorHAnsi"/>
          <w:b/>
          <w:color w:val="0D0D0D" w:themeColor="text1" w:themeTint="F2"/>
        </w:rPr>
        <w:t>.</w:t>
      </w:r>
    </w:p>
    <w:p w14:paraId="4ED831C2" w14:textId="6AEB3AC5" w:rsidR="001C6F66" w:rsidRPr="009B546D" w:rsidRDefault="001C6F66" w:rsidP="00EA2BB6">
      <w:pPr>
        <w:spacing w:before="240" w:line="240" w:lineRule="auto"/>
        <w:rPr>
          <w:rFonts w:cstheme="minorHAnsi"/>
        </w:rPr>
      </w:pPr>
      <w:r w:rsidRPr="009B546D">
        <w:rPr>
          <w:rFonts w:cstheme="minorHAnsi"/>
          <w:b/>
          <w:caps/>
        </w:rPr>
        <w:br w:type="page"/>
      </w:r>
    </w:p>
    <w:p w14:paraId="56F9D005" w14:textId="77777777" w:rsidR="001C6F66" w:rsidRPr="009B546D" w:rsidRDefault="001C6F66" w:rsidP="00F432B9">
      <w:pPr>
        <w:spacing w:line="240" w:lineRule="auto"/>
        <w:rPr>
          <w:rFonts w:cstheme="minorHAnsi"/>
          <w:b/>
          <w:caps/>
        </w:rPr>
      </w:pPr>
      <w:r w:rsidRPr="009B546D">
        <w:rPr>
          <w:rFonts w:cstheme="minorHAnsi"/>
          <w:b/>
          <w:caps/>
        </w:rPr>
        <w:lastRenderedPageBreak/>
        <w:t>n</w:t>
      </w:r>
      <w:r w:rsidRPr="009B546D">
        <w:rPr>
          <w:rFonts w:cstheme="minorHAnsi"/>
          <w:b/>
        </w:rPr>
        <w:t>otes to the financial information</w:t>
      </w:r>
    </w:p>
    <w:p w14:paraId="48AE22E9" w14:textId="77777777" w:rsidR="001C6F66" w:rsidRPr="009B546D" w:rsidRDefault="001C6F66" w:rsidP="00F432B9">
      <w:pPr>
        <w:spacing w:line="240" w:lineRule="auto"/>
        <w:rPr>
          <w:rFonts w:cstheme="minorHAnsi"/>
          <w:b/>
          <w:caps/>
        </w:rPr>
      </w:pPr>
      <w:r w:rsidRPr="009B546D">
        <w:rPr>
          <w:rFonts w:cstheme="minorHAnsi"/>
          <w:b/>
          <w:caps/>
        </w:rPr>
        <w:t>F</w:t>
      </w:r>
      <w:r w:rsidRPr="009B546D">
        <w:rPr>
          <w:rFonts w:cstheme="minorHAnsi"/>
          <w:b/>
        </w:rPr>
        <w:t xml:space="preserve">or the </w:t>
      </w:r>
      <w:r w:rsidRPr="009B546D">
        <w:rPr>
          <w:rFonts w:cstheme="minorHAnsi"/>
          <w:b/>
          <w:caps/>
        </w:rPr>
        <w:fldChar w:fldCharType="begin"/>
      </w:r>
      <w:r w:rsidRPr="009B546D">
        <w:rPr>
          <w:rFonts w:cstheme="minorHAnsi"/>
          <w:b/>
          <w:caps/>
        </w:rPr>
        <w:instrText xml:space="preserve"> DOCPROPERTY  "Fin year/period (for cover page)"\* Caps \* MERGEFORMAT </w:instrText>
      </w:r>
      <w:r w:rsidRPr="009B546D">
        <w:rPr>
          <w:rFonts w:cstheme="minorHAnsi"/>
          <w:b/>
          <w:caps/>
        </w:rPr>
        <w:fldChar w:fldCharType="separate"/>
      </w:r>
      <w:r w:rsidRPr="009B546D">
        <w:rPr>
          <w:rFonts w:cstheme="minorHAnsi"/>
          <w:b/>
        </w:rPr>
        <w:t>financial period ended from 17 April 2018 (date of incorporation) to 30 April 2019</w:t>
      </w:r>
      <w:r w:rsidRPr="009B546D">
        <w:rPr>
          <w:rFonts w:cstheme="minorHAnsi"/>
          <w:b/>
          <w:caps/>
        </w:rPr>
        <w:fldChar w:fldCharType="end"/>
      </w:r>
      <w:r w:rsidRPr="00384557">
        <w:rPr>
          <w:rFonts w:cstheme="minorHAnsi"/>
          <w:b/>
          <w:caps/>
        </w:rPr>
        <w:t xml:space="preserve"> (</w:t>
      </w:r>
      <w:r w:rsidRPr="009B546D">
        <w:rPr>
          <w:rFonts w:cstheme="minorHAnsi"/>
          <w:b/>
          <w:i/>
        </w:rPr>
        <w:t>continued)</w:t>
      </w:r>
    </w:p>
    <w:p w14:paraId="5B7E2F57" w14:textId="77777777" w:rsidR="001C6F66" w:rsidRPr="009B546D" w:rsidRDefault="001C6F66" w:rsidP="00F432B9">
      <w:pPr>
        <w:pBdr>
          <w:bottom w:val="single" w:sz="6" w:space="1" w:color="auto"/>
        </w:pBdr>
        <w:spacing w:line="240" w:lineRule="auto"/>
        <w:jc w:val="right"/>
        <w:rPr>
          <w:rFonts w:cstheme="minorHAnsi"/>
        </w:rPr>
      </w:pPr>
    </w:p>
    <w:p w14:paraId="1656D7B2" w14:textId="77777777" w:rsidR="001C6F66" w:rsidRPr="009B546D" w:rsidRDefault="001C6F66" w:rsidP="00496B89">
      <w:pPr>
        <w:keepNext/>
        <w:keepLines/>
        <w:numPr>
          <w:ilvl w:val="0"/>
          <w:numId w:val="35"/>
        </w:numPr>
        <w:spacing w:before="180" w:after="0" w:line="240" w:lineRule="auto"/>
        <w:rPr>
          <w:rFonts w:cstheme="minorHAnsi"/>
          <w:b/>
          <w:caps/>
        </w:rPr>
      </w:pPr>
      <w:r w:rsidRPr="009B546D">
        <w:rPr>
          <w:rFonts w:cstheme="minorHAnsi"/>
          <w:b/>
          <w:caps/>
        </w:rPr>
        <w:t>Revenue</w:t>
      </w:r>
    </w:p>
    <w:tbl>
      <w:tblPr>
        <w:tblW w:w="8656" w:type="dxa"/>
        <w:tblInd w:w="558" w:type="dxa"/>
        <w:tblLayout w:type="fixed"/>
        <w:tblLook w:val="04A0" w:firstRow="1" w:lastRow="0" w:firstColumn="1" w:lastColumn="0" w:noHBand="0" w:noVBand="1"/>
      </w:tblPr>
      <w:tblGrid>
        <w:gridCol w:w="5600"/>
        <w:gridCol w:w="250"/>
        <w:gridCol w:w="1105"/>
        <w:gridCol w:w="1701"/>
      </w:tblGrid>
      <w:tr w:rsidR="001C6F66" w:rsidRPr="009B546D" w14:paraId="38C6238B" w14:textId="77777777" w:rsidTr="00EA2BB6">
        <w:trPr>
          <w:trHeight w:val="278"/>
          <w:tblHeader/>
        </w:trPr>
        <w:tc>
          <w:tcPr>
            <w:tcW w:w="5600" w:type="dxa"/>
            <w:vAlign w:val="bottom"/>
          </w:tcPr>
          <w:p w14:paraId="1C9D90F2" w14:textId="77777777" w:rsidR="001C6F66" w:rsidRPr="009B546D" w:rsidRDefault="001C6F66" w:rsidP="00F432B9">
            <w:pPr>
              <w:tabs>
                <w:tab w:val="left" w:pos="288"/>
              </w:tabs>
              <w:autoSpaceDE w:val="0"/>
              <w:autoSpaceDN w:val="0"/>
              <w:adjustRightInd w:val="0"/>
              <w:spacing w:after="0" w:line="240" w:lineRule="auto"/>
              <w:rPr>
                <w:rFonts w:cstheme="minorHAnsi"/>
                <w:color w:val="000000"/>
                <w:lang w:val="en-MY"/>
              </w:rPr>
            </w:pPr>
            <w:bookmarkStart w:id="47" w:name="_rcNoteRevenue"/>
          </w:p>
        </w:tc>
        <w:tc>
          <w:tcPr>
            <w:tcW w:w="250" w:type="dxa"/>
            <w:vAlign w:val="bottom"/>
          </w:tcPr>
          <w:p w14:paraId="63CE601D"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b/>
                <w:bCs/>
                <w:color w:val="000000"/>
              </w:rPr>
            </w:pPr>
          </w:p>
        </w:tc>
        <w:tc>
          <w:tcPr>
            <w:tcW w:w="1105" w:type="dxa"/>
            <w:vAlign w:val="bottom"/>
          </w:tcPr>
          <w:p w14:paraId="7F4A2E52" w14:textId="77777777" w:rsidR="001C6F66" w:rsidRPr="009B546D" w:rsidRDefault="001C6F66" w:rsidP="00F432B9">
            <w:pPr>
              <w:tabs>
                <w:tab w:val="left" w:pos="288"/>
              </w:tabs>
              <w:autoSpaceDE w:val="0"/>
              <w:autoSpaceDN w:val="0"/>
              <w:adjustRightInd w:val="0"/>
              <w:spacing w:after="0" w:line="240" w:lineRule="auto"/>
              <w:jc w:val="center"/>
              <w:rPr>
                <w:rFonts w:cstheme="minorHAnsi"/>
                <w:b/>
                <w:bCs/>
                <w:color w:val="000000"/>
                <w:lang w:val="en-MY"/>
              </w:rPr>
            </w:pPr>
          </w:p>
        </w:tc>
        <w:tc>
          <w:tcPr>
            <w:tcW w:w="1701" w:type="dxa"/>
            <w:vAlign w:val="bottom"/>
            <w:hideMark/>
          </w:tcPr>
          <w:p w14:paraId="5BDFEE4F"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Period from 17 April 2018 to 30 April 2019</w:t>
            </w:r>
          </w:p>
        </w:tc>
      </w:tr>
      <w:tr w:rsidR="001C6F66" w:rsidRPr="009B546D" w14:paraId="5CEC8694" w14:textId="77777777" w:rsidTr="00EA2BB6">
        <w:trPr>
          <w:trHeight w:val="278"/>
          <w:tblHeader/>
        </w:trPr>
        <w:tc>
          <w:tcPr>
            <w:tcW w:w="5600" w:type="dxa"/>
            <w:vAlign w:val="bottom"/>
          </w:tcPr>
          <w:p w14:paraId="244E52FB" w14:textId="77777777" w:rsidR="001C6F66" w:rsidRPr="009B546D" w:rsidRDefault="001C6F66" w:rsidP="00F432B9">
            <w:pPr>
              <w:tabs>
                <w:tab w:val="left" w:pos="288"/>
              </w:tabs>
              <w:autoSpaceDE w:val="0"/>
              <w:autoSpaceDN w:val="0"/>
              <w:adjustRightInd w:val="0"/>
              <w:spacing w:after="0" w:line="240" w:lineRule="auto"/>
              <w:rPr>
                <w:rFonts w:cstheme="minorHAnsi"/>
                <w:color w:val="000000"/>
                <w:lang w:val="en-MY"/>
              </w:rPr>
            </w:pPr>
          </w:p>
        </w:tc>
        <w:tc>
          <w:tcPr>
            <w:tcW w:w="250" w:type="dxa"/>
            <w:vAlign w:val="bottom"/>
          </w:tcPr>
          <w:p w14:paraId="6BD22599"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b/>
                <w:bCs/>
                <w:color w:val="000000"/>
                <w:lang w:val="en-MY"/>
              </w:rPr>
            </w:pPr>
          </w:p>
        </w:tc>
        <w:tc>
          <w:tcPr>
            <w:tcW w:w="1105" w:type="dxa"/>
            <w:vAlign w:val="bottom"/>
          </w:tcPr>
          <w:p w14:paraId="77F9442F" w14:textId="77777777" w:rsidR="001C6F66" w:rsidRPr="009B546D" w:rsidRDefault="001C6F66" w:rsidP="00F432B9">
            <w:pPr>
              <w:tabs>
                <w:tab w:val="left" w:pos="288"/>
              </w:tabs>
              <w:autoSpaceDE w:val="0"/>
              <w:autoSpaceDN w:val="0"/>
              <w:adjustRightInd w:val="0"/>
              <w:spacing w:after="0" w:line="240" w:lineRule="auto"/>
              <w:jc w:val="center"/>
              <w:rPr>
                <w:rFonts w:cstheme="minorHAnsi"/>
                <w:b/>
                <w:bCs/>
                <w:color w:val="000000"/>
                <w:lang w:val="en-MY"/>
              </w:rPr>
            </w:pPr>
          </w:p>
        </w:tc>
        <w:tc>
          <w:tcPr>
            <w:tcW w:w="1701" w:type="dxa"/>
            <w:vAlign w:val="bottom"/>
            <w:hideMark/>
          </w:tcPr>
          <w:p w14:paraId="30B9A49A"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lang w:val="en-MY"/>
              </w:rPr>
            </w:pPr>
            <w:r w:rsidRPr="009B546D">
              <w:rPr>
                <w:rFonts w:cstheme="minorHAnsi"/>
                <w:b/>
                <w:bCs/>
                <w:color w:val="000000"/>
                <w:lang w:val="en-MY"/>
              </w:rPr>
              <w:t>RM</w:t>
            </w:r>
          </w:p>
        </w:tc>
      </w:tr>
      <w:tr w:rsidR="001C6F66" w:rsidRPr="009B546D" w14:paraId="5B14DBFD" w14:textId="77777777" w:rsidTr="00EA2BB6">
        <w:trPr>
          <w:trHeight w:val="198"/>
          <w:tblHeader/>
        </w:trPr>
        <w:tc>
          <w:tcPr>
            <w:tcW w:w="5600" w:type="dxa"/>
            <w:vAlign w:val="bottom"/>
          </w:tcPr>
          <w:p w14:paraId="78F3C569" w14:textId="77777777" w:rsidR="001C6F66" w:rsidRPr="009B546D" w:rsidRDefault="001C6F66" w:rsidP="00F432B9">
            <w:pPr>
              <w:tabs>
                <w:tab w:val="left" w:pos="288"/>
              </w:tabs>
              <w:autoSpaceDE w:val="0"/>
              <w:autoSpaceDN w:val="0"/>
              <w:adjustRightInd w:val="0"/>
              <w:spacing w:after="0" w:line="240" w:lineRule="auto"/>
              <w:rPr>
                <w:rFonts w:cstheme="minorHAnsi"/>
                <w:b/>
                <w:bCs/>
                <w:color w:val="000000"/>
                <w:lang w:val="en-MY"/>
              </w:rPr>
            </w:pPr>
          </w:p>
        </w:tc>
        <w:tc>
          <w:tcPr>
            <w:tcW w:w="250" w:type="dxa"/>
            <w:vAlign w:val="bottom"/>
          </w:tcPr>
          <w:p w14:paraId="3AE951B1"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lang w:val="en-MY"/>
              </w:rPr>
            </w:pPr>
          </w:p>
        </w:tc>
        <w:tc>
          <w:tcPr>
            <w:tcW w:w="1105" w:type="dxa"/>
            <w:vAlign w:val="bottom"/>
          </w:tcPr>
          <w:p w14:paraId="23EFD994"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lang w:val="en-MY"/>
              </w:rPr>
            </w:pPr>
          </w:p>
        </w:tc>
        <w:tc>
          <w:tcPr>
            <w:tcW w:w="1701" w:type="dxa"/>
            <w:vAlign w:val="bottom"/>
          </w:tcPr>
          <w:p w14:paraId="437ADA48"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lang w:val="en-MY"/>
              </w:rPr>
            </w:pPr>
          </w:p>
        </w:tc>
      </w:tr>
      <w:tr w:rsidR="001C6F66" w:rsidRPr="009B546D" w14:paraId="4F143E98" w14:textId="77777777" w:rsidTr="00EA2BB6">
        <w:trPr>
          <w:trHeight w:val="278"/>
        </w:trPr>
        <w:tc>
          <w:tcPr>
            <w:tcW w:w="5600" w:type="dxa"/>
            <w:vAlign w:val="bottom"/>
            <w:hideMark/>
          </w:tcPr>
          <w:p w14:paraId="4A485EF6" w14:textId="706E2D20" w:rsidR="001C6F66" w:rsidRPr="009B546D" w:rsidRDefault="001C6F66" w:rsidP="00F432B9">
            <w:pPr>
              <w:tabs>
                <w:tab w:val="left" w:pos="288"/>
              </w:tabs>
              <w:autoSpaceDE w:val="0"/>
              <w:autoSpaceDN w:val="0"/>
              <w:adjustRightInd w:val="0"/>
              <w:spacing w:after="0" w:line="240" w:lineRule="auto"/>
              <w:rPr>
                <w:rFonts w:cstheme="minorHAnsi"/>
                <w:color w:val="000000"/>
                <w:lang w:val="en-MY"/>
              </w:rPr>
            </w:pPr>
            <w:r w:rsidRPr="009B546D">
              <w:rPr>
                <w:rFonts w:cstheme="minorHAnsi"/>
                <w:color w:val="000000"/>
              </w:rPr>
              <w:t xml:space="preserve">Sale of tailored </w:t>
            </w:r>
            <w:r w:rsidR="005E6088" w:rsidRPr="009B546D">
              <w:rPr>
                <w:rFonts w:cstheme="minorHAnsi"/>
                <w:color w:val="000000"/>
              </w:rPr>
              <w:t>messaging</w:t>
            </w:r>
            <w:r w:rsidRPr="009B546D">
              <w:rPr>
                <w:rFonts w:cstheme="minorHAnsi"/>
                <w:color w:val="000000"/>
              </w:rPr>
              <w:t xml:space="preserve"> apps</w:t>
            </w:r>
          </w:p>
        </w:tc>
        <w:tc>
          <w:tcPr>
            <w:tcW w:w="250" w:type="dxa"/>
            <w:tcBorders>
              <w:top w:val="nil"/>
              <w:left w:val="nil"/>
              <w:bottom w:val="nil"/>
              <w:right w:val="nil"/>
            </w:tcBorders>
            <w:vAlign w:val="bottom"/>
          </w:tcPr>
          <w:p w14:paraId="556FEC57"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color w:val="000000"/>
              </w:rPr>
            </w:pPr>
          </w:p>
        </w:tc>
        <w:tc>
          <w:tcPr>
            <w:tcW w:w="1105" w:type="dxa"/>
            <w:vAlign w:val="bottom"/>
          </w:tcPr>
          <w:p w14:paraId="41CAB1CD"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lang w:val="en-MY"/>
              </w:rPr>
            </w:pPr>
          </w:p>
        </w:tc>
        <w:tc>
          <w:tcPr>
            <w:tcW w:w="1701" w:type="dxa"/>
            <w:tcBorders>
              <w:top w:val="nil"/>
              <w:left w:val="nil"/>
              <w:bottom w:val="double" w:sz="6" w:space="0" w:color="auto"/>
              <w:right w:val="nil"/>
            </w:tcBorders>
            <w:vAlign w:val="bottom"/>
            <w:hideMark/>
          </w:tcPr>
          <w:p w14:paraId="1813EA67"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lang w:val="en-MY"/>
              </w:rPr>
            </w:pPr>
            <w:r w:rsidRPr="009B546D">
              <w:rPr>
                <w:rFonts w:cstheme="minorHAnsi"/>
                <w:color w:val="000000"/>
                <w:lang w:val="en-MY"/>
              </w:rPr>
              <w:t>1,110,000</w:t>
            </w:r>
          </w:p>
        </w:tc>
      </w:tr>
      <w:bookmarkEnd w:id="47"/>
    </w:tbl>
    <w:p w14:paraId="744C5327" w14:textId="77777777" w:rsidR="00866528" w:rsidRPr="009B546D" w:rsidRDefault="00866528" w:rsidP="00F432B9">
      <w:pPr>
        <w:keepNext/>
        <w:keepLines/>
        <w:spacing w:after="0" w:line="240" w:lineRule="auto"/>
        <w:ind w:left="576"/>
        <w:rPr>
          <w:rFonts w:cstheme="minorHAnsi"/>
          <w:bCs/>
          <w:color w:val="0D0D0D" w:themeColor="text1" w:themeTint="F2"/>
          <w:lang w:val="en-MY"/>
        </w:rPr>
      </w:pPr>
    </w:p>
    <w:p w14:paraId="455B7600" w14:textId="77777777" w:rsidR="00D04030" w:rsidRPr="009B546D" w:rsidRDefault="00D04030" w:rsidP="00D04030">
      <w:pPr>
        <w:keepNext/>
        <w:keepLines/>
        <w:spacing w:after="0" w:line="240" w:lineRule="auto"/>
        <w:rPr>
          <w:rFonts w:cstheme="minorHAnsi"/>
          <w:bCs/>
          <w:color w:val="0D0D0D" w:themeColor="text1" w:themeTint="F2"/>
          <w:lang w:val="en-MY"/>
        </w:rPr>
      </w:pPr>
    </w:p>
    <w:tbl>
      <w:tblPr>
        <w:tblW w:w="8656" w:type="dxa"/>
        <w:tblInd w:w="558" w:type="dxa"/>
        <w:tblLayout w:type="fixed"/>
        <w:tblLook w:val="04A0" w:firstRow="1" w:lastRow="0" w:firstColumn="1" w:lastColumn="0" w:noHBand="0" w:noVBand="1"/>
      </w:tblPr>
      <w:tblGrid>
        <w:gridCol w:w="5600"/>
        <w:gridCol w:w="250"/>
        <w:gridCol w:w="963"/>
        <w:gridCol w:w="1843"/>
      </w:tblGrid>
      <w:tr w:rsidR="00D04030" w:rsidRPr="009B546D" w14:paraId="05B6AE23" w14:textId="77777777" w:rsidTr="00EA2BB6">
        <w:trPr>
          <w:trHeight w:val="278"/>
          <w:tblHeader/>
        </w:trPr>
        <w:tc>
          <w:tcPr>
            <w:tcW w:w="5600" w:type="dxa"/>
            <w:vAlign w:val="bottom"/>
          </w:tcPr>
          <w:p w14:paraId="60CAC70C" w14:textId="77777777" w:rsidR="00D04030" w:rsidRPr="009B546D" w:rsidRDefault="00D04030" w:rsidP="004A12EB">
            <w:pPr>
              <w:tabs>
                <w:tab w:val="left" w:pos="288"/>
              </w:tabs>
              <w:autoSpaceDE w:val="0"/>
              <w:autoSpaceDN w:val="0"/>
              <w:adjustRightInd w:val="0"/>
              <w:spacing w:after="0" w:line="240" w:lineRule="auto"/>
              <w:rPr>
                <w:rFonts w:cstheme="minorHAnsi"/>
                <w:bCs/>
                <w:color w:val="0D0D0D" w:themeColor="text1" w:themeTint="F2"/>
                <w:lang w:val="en-MY"/>
              </w:rPr>
            </w:pPr>
            <w:bookmarkStart w:id="48" w:name="_Hlk35454156"/>
          </w:p>
        </w:tc>
        <w:tc>
          <w:tcPr>
            <w:tcW w:w="250" w:type="dxa"/>
            <w:vAlign w:val="bottom"/>
          </w:tcPr>
          <w:p w14:paraId="5E430A86" w14:textId="77777777" w:rsidR="00D04030" w:rsidRPr="009B546D" w:rsidRDefault="00D04030" w:rsidP="004A12EB">
            <w:pPr>
              <w:tabs>
                <w:tab w:val="left" w:pos="288"/>
              </w:tabs>
              <w:autoSpaceDE w:val="0"/>
              <w:autoSpaceDN w:val="0"/>
              <w:adjustRightInd w:val="0"/>
              <w:spacing w:after="0" w:line="240" w:lineRule="auto"/>
              <w:ind w:right="72"/>
              <w:jc w:val="center"/>
              <w:rPr>
                <w:rFonts w:cstheme="minorHAnsi"/>
                <w:bCs/>
                <w:color w:val="0D0D0D" w:themeColor="text1" w:themeTint="F2"/>
              </w:rPr>
            </w:pPr>
          </w:p>
        </w:tc>
        <w:tc>
          <w:tcPr>
            <w:tcW w:w="963" w:type="dxa"/>
            <w:vAlign w:val="bottom"/>
          </w:tcPr>
          <w:p w14:paraId="4CF7977D" w14:textId="77777777" w:rsidR="00D04030" w:rsidRPr="009B546D" w:rsidRDefault="00D04030" w:rsidP="004A12EB">
            <w:pPr>
              <w:tabs>
                <w:tab w:val="left" w:pos="288"/>
              </w:tabs>
              <w:autoSpaceDE w:val="0"/>
              <w:autoSpaceDN w:val="0"/>
              <w:adjustRightInd w:val="0"/>
              <w:spacing w:after="0" w:line="240" w:lineRule="auto"/>
              <w:jc w:val="center"/>
              <w:rPr>
                <w:rFonts w:cstheme="minorHAnsi"/>
                <w:bCs/>
                <w:color w:val="0D0D0D" w:themeColor="text1" w:themeTint="F2"/>
                <w:lang w:val="en-MY"/>
              </w:rPr>
            </w:pPr>
          </w:p>
        </w:tc>
        <w:tc>
          <w:tcPr>
            <w:tcW w:w="1843" w:type="dxa"/>
            <w:vAlign w:val="bottom"/>
            <w:hideMark/>
          </w:tcPr>
          <w:p w14:paraId="517B63F6" w14:textId="77777777" w:rsidR="00D04030" w:rsidRPr="004A12EB" w:rsidRDefault="00D04030" w:rsidP="004A12EB">
            <w:pPr>
              <w:tabs>
                <w:tab w:val="left" w:pos="288"/>
              </w:tabs>
              <w:autoSpaceDE w:val="0"/>
              <w:autoSpaceDN w:val="0"/>
              <w:adjustRightInd w:val="0"/>
              <w:spacing w:after="0" w:line="240" w:lineRule="auto"/>
              <w:ind w:right="72"/>
              <w:jc w:val="right"/>
              <w:rPr>
                <w:rFonts w:cstheme="minorHAnsi"/>
                <w:b/>
                <w:bCs/>
                <w:color w:val="0D0D0D" w:themeColor="text1" w:themeTint="F2"/>
              </w:rPr>
            </w:pPr>
            <w:r w:rsidRPr="004A12EB">
              <w:rPr>
                <w:rFonts w:cstheme="minorHAnsi"/>
                <w:b/>
                <w:bCs/>
                <w:color w:val="0D0D0D" w:themeColor="text1" w:themeTint="F2"/>
              </w:rPr>
              <w:t>2019</w:t>
            </w:r>
          </w:p>
        </w:tc>
      </w:tr>
      <w:tr w:rsidR="00D04030" w:rsidRPr="009B546D" w14:paraId="6409E52A" w14:textId="77777777" w:rsidTr="00EA2BB6">
        <w:trPr>
          <w:trHeight w:val="278"/>
          <w:tblHeader/>
        </w:trPr>
        <w:tc>
          <w:tcPr>
            <w:tcW w:w="5600" w:type="dxa"/>
            <w:vAlign w:val="bottom"/>
          </w:tcPr>
          <w:p w14:paraId="4C43190E" w14:textId="77777777" w:rsidR="00D04030" w:rsidRPr="009B546D" w:rsidRDefault="00D04030" w:rsidP="004A12EB">
            <w:pPr>
              <w:tabs>
                <w:tab w:val="left" w:pos="288"/>
              </w:tabs>
              <w:autoSpaceDE w:val="0"/>
              <w:autoSpaceDN w:val="0"/>
              <w:adjustRightInd w:val="0"/>
              <w:spacing w:after="0" w:line="240" w:lineRule="auto"/>
              <w:rPr>
                <w:rFonts w:cstheme="minorHAnsi"/>
                <w:bCs/>
                <w:color w:val="0D0D0D" w:themeColor="text1" w:themeTint="F2"/>
                <w:lang w:val="en-MY"/>
              </w:rPr>
            </w:pPr>
            <w:r>
              <w:rPr>
                <w:rFonts w:cstheme="minorHAnsi"/>
                <w:bCs/>
                <w:color w:val="0D0D0D" w:themeColor="text1" w:themeTint="F2"/>
                <w:lang w:val="en-MY"/>
              </w:rPr>
              <w:t>Geographical analysis of revenue</w:t>
            </w:r>
          </w:p>
        </w:tc>
        <w:tc>
          <w:tcPr>
            <w:tcW w:w="250" w:type="dxa"/>
            <w:vAlign w:val="bottom"/>
          </w:tcPr>
          <w:p w14:paraId="45250B99" w14:textId="77777777" w:rsidR="00D04030" w:rsidRPr="009B546D" w:rsidRDefault="00D04030" w:rsidP="004A12EB">
            <w:pPr>
              <w:tabs>
                <w:tab w:val="left" w:pos="288"/>
              </w:tabs>
              <w:autoSpaceDE w:val="0"/>
              <w:autoSpaceDN w:val="0"/>
              <w:adjustRightInd w:val="0"/>
              <w:spacing w:after="0" w:line="240" w:lineRule="auto"/>
              <w:ind w:right="72"/>
              <w:jc w:val="center"/>
              <w:rPr>
                <w:rFonts w:cstheme="minorHAnsi"/>
                <w:bCs/>
                <w:color w:val="0D0D0D" w:themeColor="text1" w:themeTint="F2"/>
                <w:lang w:val="en-MY"/>
              </w:rPr>
            </w:pPr>
          </w:p>
        </w:tc>
        <w:tc>
          <w:tcPr>
            <w:tcW w:w="963" w:type="dxa"/>
            <w:vAlign w:val="bottom"/>
          </w:tcPr>
          <w:p w14:paraId="393ABA6F" w14:textId="77777777" w:rsidR="00D04030" w:rsidRPr="009B546D" w:rsidRDefault="00D04030" w:rsidP="004A12EB">
            <w:pPr>
              <w:tabs>
                <w:tab w:val="left" w:pos="288"/>
              </w:tabs>
              <w:autoSpaceDE w:val="0"/>
              <w:autoSpaceDN w:val="0"/>
              <w:adjustRightInd w:val="0"/>
              <w:spacing w:after="0" w:line="240" w:lineRule="auto"/>
              <w:jc w:val="center"/>
              <w:rPr>
                <w:rFonts w:cstheme="minorHAnsi"/>
                <w:bCs/>
                <w:color w:val="0D0D0D" w:themeColor="text1" w:themeTint="F2"/>
                <w:lang w:val="en-MY"/>
              </w:rPr>
            </w:pPr>
          </w:p>
        </w:tc>
        <w:tc>
          <w:tcPr>
            <w:tcW w:w="1843" w:type="dxa"/>
            <w:vAlign w:val="bottom"/>
            <w:hideMark/>
          </w:tcPr>
          <w:p w14:paraId="1D0F039A" w14:textId="77777777" w:rsidR="00D04030" w:rsidRPr="004A12EB" w:rsidRDefault="00D04030" w:rsidP="004A12EB">
            <w:pPr>
              <w:tabs>
                <w:tab w:val="left" w:pos="288"/>
              </w:tabs>
              <w:autoSpaceDE w:val="0"/>
              <w:autoSpaceDN w:val="0"/>
              <w:adjustRightInd w:val="0"/>
              <w:spacing w:after="0" w:line="240" w:lineRule="auto"/>
              <w:ind w:right="72"/>
              <w:jc w:val="right"/>
              <w:rPr>
                <w:rFonts w:cstheme="minorHAnsi"/>
                <w:b/>
                <w:bCs/>
                <w:color w:val="0D0D0D" w:themeColor="text1" w:themeTint="F2"/>
                <w:lang w:val="en-MY"/>
              </w:rPr>
            </w:pPr>
            <w:r w:rsidRPr="004A12EB">
              <w:rPr>
                <w:rFonts w:cstheme="minorHAnsi"/>
                <w:b/>
                <w:bCs/>
                <w:color w:val="0D0D0D" w:themeColor="text1" w:themeTint="F2"/>
                <w:lang w:val="en-MY"/>
              </w:rPr>
              <w:t>RM</w:t>
            </w:r>
          </w:p>
        </w:tc>
      </w:tr>
      <w:tr w:rsidR="00D04030" w:rsidRPr="009B546D" w14:paraId="4737744F" w14:textId="77777777" w:rsidTr="00EA2BB6">
        <w:trPr>
          <w:trHeight w:val="198"/>
          <w:tblHeader/>
        </w:trPr>
        <w:tc>
          <w:tcPr>
            <w:tcW w:w="5600" w:type="dxa"/>
            <w:vAlign w:val="bottom"/>
          </w:tcPr>
          <w:p w14:paraId="6AA95B44" w14:textId="77777777" w:rsidR="00D04030" w:rsidRPr="009B546D" w:rsidRDefault="00D04030" w:rsidP="004A12EB">
            <w:pPr>
              <w:tabs>
                <w:tab w:val="left" w:pos="288"/>
              </w:tabs>
              <w:autoSpaceDE w:val="0"/>
              <w:autoSpaceDN w:val="0"/>
              <w:adjustRightInd w:val="0"/>
              <w:spacing w:after="0" w:line="240" w:lineRule="auto"/>
              <w:rPr>
                <w:rFonts w:cstheme="minorHAnsi"/>
                <w:bCs/>
                <w:color w:val="0D0D0D" w:themeColor="text1" w:themeTint="F2"/>
                <w:lang w:val="en-MY"/>
              </w:rPr>
            </w:pPr>
          </w:p>
        </w:tc>
        <w:tc>
          <w:tcPr>
            <w:tcW w:w="250" w:type="dxa"/>
            <w:vAlign w:val="bottom"/>
          </w:tcPr>
          <w:p w14:paraId="7E1F25D4" w14:textId="77777777" w:rsidR="00D04030" w:rsidRPr="009B546D" w:rsidRDefault="00D04030" w:rsidP="004A12EB">
            <w:pPr>
              <w:tabs>
                <w:tab w:val="left" w:pos="288"/>
              </w:tabs>
              <w:autoSpaceDE w:val="0"/>
              <w:autoSpaceDN w:val="0"/>
              <w:adjustRightInd w:val="0"/>
              <w:spacing w:after="0" w:line="240" w:lineRule="auto"/>
              <w:jc w:val="right"/>
              <w:rPr>
                <w:rFonts w:cstheme="minorHAnsi"/>
                <w:bCs/>
                <w:color w:val="0D0D0D" w:themeColor="text1" w:themeTint="F2"/>
                <w:lang w:val="en-MY"/>
              </w:rPr>
            </w:pPr>
          </w:p>
        </w:tc>
        <w:tc>
          <w:tcPr>
            <w:tcW w:w="963" w:type="dxa"/>
            <w:vAlign w:val="bottom"/>
          </w:tcPr>
          <w:p w14:paraId="0BFB25F6" w14:textId="77777777" w:rsidR="00D04030" w:rsidRPr="009B546D" w:rsidRDefault="00D04030" w:rsidP="004A12EB">
            <w:pPr>
              <w:tabs>
                <w:tab w:val="left" w:pos="288"/>
              </w:tabs>
              <w:autoSpaceDE w:val="0"/>
              <w:autoSpaceDN w:val="0"/>
              <w:adjustRightInd w:val="0"/>
              <w:spacing w:after="0" w:line="240" w:lineRule="auto"/>
              <w:jc w:val="right"/>
              <w:rPr>
                <w:rFonts w:cstheme="minorHAnsi"/>
                <w:bCs/>
                <w:color w:val="0D0D0D" w:themeColor="text1" w:themeTint="F2"/>
                <w:lang w:val="en-MY"/>
              </w:rPr>
            </w:pPr>
          </w:p>
        </w:tc>
        <w:tc>
          <w:tcPr>
            <w:tcW w:w="1843" w:type="dxa"/>
            <w:vAlign w:val="bottom"/>
          </w:tcPr>
          <w:p w14:paraId="3CEC103B" w14:textId="77777777" w:rsidR="00D04030" w:rsidRPr="009B546D" w:rsidRDefault="00D04030" w:rsidP="004A12EB">
            <w:pPr>
              <w:tabs>
                <w:tab w:val="left" w:pos="288"/>
              </w:tabs>
              <w:autoSpaceDE w:val="0"/>
              <w:autoSpaceDN w:val="0"/>
              <w:adjustRightInd w:val="0"/>
              <w:spacing w:after="0" w:line="240" w:lineRule="auto"/>
              <w:jc w:val="right"/>
              <w:rPr>
                <w:rFonts w:cstheme="minorHAnsi"/>
                <w:bCs/>
                <w:color w:val="0D0D0D" w:themeColor="text1" w:themeTint="F2"/>
                <w:lang w:val="en-MY"/>
              </w:rPr>
            </w:pPr>
          </w:p>
        </w:tc>
      </w:tr>
      <w:tr w:rsidR="00D04030" w:rsidRPr="009B546D" w14:paraId="4526D3FF" w14:textId="77777777" w:rsidTr="00EA2BB6">
        <w:trPr>
          <w:trHeight w:val="278"/>
        </w:trPr>
        <w:tc>
          <w:tcPr>
            <w:tcW w:w="5600" w:type="dxa"/>
            <w:vAlign w:val="bottom"/>
          </w:tcPr>
          <w:p w14:paraId="3575E27A" w14:textId="77777777" w:rsidR="00D04030" w:rsidRPr="009B546D" w:rsidRDefault="00D04030" w:rsidP="004A12EB">
            <w:pPr>
              <w:tabs>
                <w:tab w:val="left" w:pos="288"/>
              </w:tabs>
              <w:autoSpaceDE w:val="0"/>
              <w:autoSpaceDN w:val="0"/>
              <w:adjustRightInd w:val="0"/>
              <w:spacing w:after="0" w:line="240" w:lineRule="auto"/>
              <w:rPr>
                <w:rFonts w:cstheme="minorHAnsi"/>
                <w:bCs/>
                <w:color w:val="0D0D0D" w:themeColor="text1" w:themeTint="F2"/>
              </w:rPr>
            </w:pPr>
            <w:r>
              <w:rPr>
                <w:rFonts w:cstheme="minorHAnsi"/>
                <w:bCs/>
                <w:color w:val="0D0D0D" w:themeColor="text1" w:themeTint="F2"/>
              </w:rPr>
              <w:t>Malaysia</w:t>
            </w:r>
          </w:p>
        </w:tc>
        <w:tc>
          <w:tcPr>
            <w:tcW w:w="250" w:type="dxa"/>
            <w:tcBorders>
              <w:top w:val="nil"/>
              <w:left w:val="nil"/>
              <w:bottom w:val="nil"/>
              <w:right w:val="nil"/>
            </w:tcBorders>
            <w:vAlign w:val="bottom"/>
          </w:tcPr>
          <w:p w14:paraId="067E2BC1" w14:textId="77777777" w:rsidR="00D04030" w:rsidRPr="009B546D" w:rsidRDefault="00D04030" w:rsidP="004A12EB">
            <w:pPr>
              <w:tabs>
                <w:tab w:val="left" w:pos="288"/>
              </w:tabs>
              <w:autoSpaceDE w:val="0"/>
              <w:autoSpaceDN w:val="0"/>
              <w:adjustRightInd w:val="0"/>
              <w:spacing w:after="0" w:line="240" w:lineRule="auto"/>
              <w:ind w:right="72"/>
              <w:jc w:val="center"/>
              <w:rPr>
                <w:rFonts w:cstheme="minorHAnsi"/>
                <w:bCs/>
                <w:color w:val="0D0D0D" w:themeColor="text1" w:themeTint="F2"/>
              </w:rPr>
            </w:pPr>
          </w:p>
        </w:tc>
        <w:tc>
          <w:tcPr>
            <w:tcW w:w="963" w:type="dxa"/>
            <w:vAlign w:val="bottom"/>
          </w:tcPr>
          <w:p w14:paraId="31613EE4" w14:textId="77777777" w:rsidR="00D04030" w:rsidRPr="009B546D" w:rsidRDefault="00D04030" w:rsidP="004A12EB">
            <w:pPr>
              <w:tabs>
                <w:tab w:val="left" w:pos="288"/>
              </w:tabs>
              <w:autoSpaceDE w:val="0"/>
              <w:autoSpaceDN w:val="0"/>
              <w:adjustRightInd w:val="0"/>
              <w:spacing w:after="0" w:line="240" w:lineRule="auto"/>
              <w:jc w:val="right"/>
              <w:rPr>
                <w:rFonts w:cstheme="minorHAnsi"/>
                <w:bCs/>
                <w:color w:val="0D0D0D" w:themeColor="text1" w:themeTint="F2"/>
                <w:lang w:val="en-MY"/>
              </w:rPr>
            </w:pPr>
          </w:p>
        </w:tc>
        <w:tc>
          <w:tcPr>
            <w:tcW w:w="1843" w:type="dxa"/>
            <w:tcBorders>
              <w:top w:val="nil"/>
              <w:left w:val="nil"/>
              <w:right w:val="nil"/>
            </w:tcBorders>
            <w:vAlign w:val="bottom"/>
          </w:tcPr>
          <w:p w14:paraId="7AB67802" w14:textId="77777777" w:rsidR="00D04030" w:rsidRPr="009B546D" w:rsidRDefault="00D04030" w:rsidP="004A12EB">
            <w:pPr>
              <w:tabs>
                <w:tab w:val="left" w:pos="288"/>
              </w:tabs>
              <w:autoSpaceDE w:val="0"/>
              <w:autoSpaceDN w:val="0"/>
              <w:adjustRightInd w:val="0"/>
              <w:spacing w:after="0" w:line="240" w:lineRule="auto"/>
              <w:ind w:right="72"/>
              <w:jc w:val="right"/>
              <w:rPr>
                <w:rFonts w:cstheme="minorHAnsi"/>
                <w:bCs/>
                <w:color w:val="0D0D0D" w:themeColor="text1" w:themeTint="F2"/>
                <w:lang w:val="en-MY"/>
              </w:rPr>
            </w:pPr>
            <w:r>
              <w:rPr>
                <w:rFonts w:cstheme="minorHAnsi"/>
                <w:bCs/>
                <w:color w:val="0D0D0D" w:themeColor="text1" w:themeTint="F2"/>
                <w:lang w:val="en-MY"/>
              </w:rPr>
              <w:t>555,000</w:t>
            </w:r>
          </w:p>
        </w:tc>
      </w:tr>
      <w:tr w:rsidR="00D04030" w:rsidRPr="009B546D" w14:paraId="169D53CD" w14:textId="77777777" w:rsidTr="00EA2BB6">
        <w:trPr>
          <w:trHeight w:val="278"/>
        </w:trPr>
        <w:tc>
          <w:tcPr>
            <w:tcW w:w="5600" w:type="dxa"/>
            <w:vAlign w:val="bottom"/>
          </w:tcPr>
          <w:p w14:paraId="7D9FAD6F" w14:textId="77777777" w:rsidR="00D04030" w:rsidRPr="009B546D" w:rsidRDefault="00D04030" w:rsidP="004A12EB">
            <w:pPr>
              <w:tabs>
                <w:tab w:val="left" w:pos="288"/>
              </w:tabs>
              <w:autoSpaceDE w:val="0"/>
              <w:autoSpaceDN w:val="0"/>
              <w:adjustRightInd w:val="0"/>
              <w:spacing w:after="0" w:line="240" w:lineRule="auto"/>
              <w:rPr>
                <w:rFonts w:cstheme="minorHAnsi"/>
                <w:bCs/>
                <w:color w:val="0D0D0D" w:themeColor="text1" w:themeTint="F2"/>
              </w:rPr>
            </w:pPr>
            <w:r>
              <w:rPr>
                <w:rFonts w:cstheme="minorHAnsi"/>
                <w:bCs/>
                <w:color w:val="0D0D0D" w:themeColor="text1" w:themeTint="F2"/>
              </w:rPr>
              <w:t>Indonesia</w:t>
            </w:r>
          </w:p>
        </w:tc>
        <w:tc>
          <w:tcPr>
            <w:tcW w:w="250" w:type="dxa"/>
            <w:tcBorders>
              <w:top w:val="nil"/>
              <w:left w:val="nil"/>
              <w:bottom w:val="nil"/>
              <w:right w:val="nil"/>
            </w:tcBorders>
            <w:vAlign w:val="bottom"/>
          </w:tcPr>
          <w:p w14:paraId="71CD6652" w14:textId="77777777" w:rsidR="00D04030" w:rsidRPr="009B546D" w:rsidRDefault="00D04030" w:rsidP="004A12EB">
            <w:pPr>
              <w:tabs>
                <w:tab w:val="left" w:pos="288"/>
              </w:tabs>
              <w:autoSpaceDE w:val="0"/>
              <w:autoSpaceDN w:val="0"/>
              <w:adjustRightInd w:val="0"/>
              <w:spacing w:after="0" w:line="240" w:lineRule="auto"/>
              <w:ind w:right="72"/>
              <w:jc w:val="center"/>
              <w:rPr>
                <w:rFonts w:cstheme="minorHAnsi"/>
                <w:bCs/>
                <w:color w:val="0D0D0D" w:themeColor="text1" w:themeTint="F2"/>
              </w:rPr>
            </w:pPr>
          </w:p>
        </w:tc>
        <w:tc>
          <w:tcPr>
            <w:tcW w:w="963" w:type="dxa"/>
            <w:vAlign w:val="bottom"/>
          </w:tcPr>
          <w:p w14:paraId="6FDB4050" w14:textId="77777777" w:rsidR="00D04030" w:rsidRPr="009B546D" w:rsidRDefault="00D04030" w:rsidP="004A12EB">
            <w:pPr>
              <w:tabs>
                <w:tab w:val="left" w:pos="288"/>
              </w:tabs>
              <w:autoSpaceDE w:val="0"/>
              <w:autoSpaceDN w:val="0"/>
              <w:adjustRightInd w:val="0"/>
              <w:spacing w:after="0" w:line="240" w:lineRule="auto"/>
              <w:jc w:val="right"/>
              <w:rPr>
                <w:rFonts w:cstheme="minorHAnsi"/>
                <w:bCs/>
                <w:color w:val="0D0D0D" w:themeColor="text1" w:themeTint="F2"/>
                <w:lang w:val="en-MY"/>
              </w:rPr>
            </w:pPr>
          </w:p>
        </w:tc>
        <w:tc>
          <w:tcPr>
            <w:tcW w:w="1843" w:type="dxa"/>
            <w:tcBorders>
              <w:top w:val="nil"/>
              <w:left w:val="nil"/>
              <w:right w:val="nil"/>
            </w:tcBorders>
            <w:vAlign w:val="bottom"/>
          </w:tcPr>
          <w:p w14:paraId="493F25E3" w14:textId="77777777" w:rsidR="00D04030" w:rsidRPr="009B546D" w:rsidRDefault="00D04030" w:rsidP="004A12EB">
            <w:pPr>
              <w:tabs>
                <w:tab w:val="left" w:pos="288"/>
              </w:tabs>
              <w:autoSpaceDE w:val="0"/>
              <w:autoSpaceDN w:val="0"/>
              <w:adjustRightInd w:val="0"/>
              <w:spacing w:after="0" w:line="240" w:lineRule="auto"/>
              <w:ind w:right="72"/>
              <w:jc w:val="right"/>
              <w:rPr>
                <w:rFonts w:cstheme="minorHAnsi"/>
                <w:bCs/>
                <w:color w:val="0D0D0D" w:themeColor="text1" w:themeTint="F2"/>
                <w:lang w:val="en-MY"/>
              </w:rPr>
            </w:pPr>
            <w:r>
              <w:rPr>
                <w:rFonts w:cstheme="minorHAnsi"/>
                <w:bCs/>
                <w:color w:val="0D0D0D" w:themeColor="text1" w:themeTint="F2"/>
                <w:lang w:val="en-MY"/>
              </w:rPr>
              <w:t>555,000</w:t>
            </w:r>
          </w:p>
        </w:tc>
      </w:tr>
      <w:bookmarkEnd w:id="48"/>
    </w:tbl>
    <w:p w14:paraId="2CA4AD40" w14:textId="77777777" w:rsidR="00D04030" w:rsidRDefault="00D04030" w:rsidP="00D04030">
      <w:pPr>
        <w:keepNext/>
        <w:keepLines/>
        <w:spacing w:after="0" w:line="240" w:lineRule="auto"/>
        <w:ind w:left="576"/>
        <w:rPr>
          <w:rFonts w:cstheme="minorHAnsi"/>
          <w:bCs/>
          <w:color w:val="0D0D0D" w:themeColor="text1" w:themeTint="F2"/>
          <w:lang w:val="en-MY"/>
        </w:rPr>
      </w:pPr>
    </w:p>
    <w:p w14:paraId="4497388E" w14:textId="77777777" w:rsidR="00D04030" w:rsidRPr="004A12EB" w:rsidRDefault="00D04030" w:rsidP="00D04030">
      <w:pPr>
        <w:keepNext/>
        <w:keepLines/>
        <w:spacing w:after="0" w:line="240" w:lineRule="auto"/>
        <w:ind w:left="576"/>
        <w:rPr>
          <w:rFonts w:cstheme="minorHAnsi"/>
          <w:bCs/>
          <w:color w:val="0D0D0D" w:themeColor="text1" w:themeTint="F2"/>
          <w:lang w:val="en-MY"/>
        </w:rPr>
      </w:pPr>
      <w:r w:rsidRPr="004A12EB">
        <w:rPr>
          <w:rFonts w:cstheme="minorHAnsi"/>
          <w:bCs/>
          <w:color w:val="0D0D0D" w:themeColor="text1" w:themeTint="F2"/>
          <w:lang w:val="en-MY"/>
        </w:rPr>
        <w:t>Revenue for the period has been generated from two customers. The Company is at an early stage of its business and hence there has been a low customer volume in the reporting period.</w:t>
      </w:r>
    </w:p>
    <w:p w14:paraId="78618449" w14:textId="77777777" w:rsidR="00D04030" w:rsidRPr="004A12EB" w:rsidRDefault="00D04030" w:rsidP="00D04030">
      <w:pPr>
        <w:keepNext/>
        <w:keepLines/>
        <w:spacing w:after="0" w:line="240" w:lineRule="auto"/>
        <w:ind w:left="576"/>
        <w:rPr>
          <w:rFonts w:cstheme="minorHAnsi"/>
          <w:bCs/>
          <w:color w:val="0D0D0D" w:themeColor="text1" w:themeTint="F2"/>
          <w:lang w:val="en-MY"/>
        </w:rPr>
      </w:pPr>
    </w:p>
    <w:p w14:paraId="501CE984" w14:textId="77777777" w:rsidR="00D04030" w:rsidRPr="004A12EB" w:rsidRDefault="00D04030" w:rsidP="00D04030">
      <w:pPr>
        <w:keepNext/>
        <w:keepLines/>
        <w:spacing w:after="0" w:line="240" w:lineRule="auto"/>
        <w:ind w:left="576"/>
        <w:rPr>
          <w:rFonts w:cstheme="minorHAnsi"/>
          <w:bCs/>
          <w:color w:val="0D0D0D" w:themeColor="text1" w:themeTint="F2"/>
          <w:lang w:val="en-MY"/>
        </w:rPr>
      </w:pPr>
      <w:r w:rsidRPr="004A12EB">
        <w:rPr>
          <w:rFonts w:cstheme="minorHAnsi"/>
          <w:bCs/>
          <w:color w:val="0D0D0D" w:themeColor="text1" w:themeTint="F2"/>
          <w:lang w:val="en-MY"/>
        </w:rPr>
        <w:t>Alchemist’s contracts are for the delivery of tailored messaging apps within the next 12 months. Consequently, the aggregate amount of the transaction price allocated to the performance obligations that are unsatisfied (or partially unsatisfied) as of the end of the reporting period has not been presented.</w:t>
      </w:r>
    </w:p>
    <w:p w14:paraId="71C84190" w14:textId="3BEE4755" w:rsidR="002A7B12" w:rsidRDefault="002A7B12" w:rsidP="00F432B9">
      <w:pPr>
        <w:keepNext/>
        <w:keepLines/>
        <w:spacing w:after="0" w:line="240" w:lineRule="auto"/>
        <w:ind w:left="576"/>
        <w:rPr>
          <w:rFonts w:cstheme="minorHAnsi"/>
          <w:b/>
          <w:caps/>
        </w:rPr>
      </w:pPr>
    </w:p>
    <w:p w14:paraId="446F1D37" w14:textId="57619A9B" w:rsidR="00D02A5A" w:rsidRDefault="00D02A5A" w:rsidP="00F432B9">
      <w:pPr>
        <w:keepNext/>
        <w:keepLines/>
        <w:spacing w:after="0" w:line="240" w:lineRule="auto"/>
        <w:ind w:left="576"/>
        <w:rPr>
          <w:rFonts w:cstheme="minorHAnsi"/>
          <w:b/>
          <w:caps/>
        </w:rPr>
      </w:pPr>
    </w:p>
    <w:p w14:paraId="567508FE" w14:textId="29D46DF3" w:rsidR="00D02A5A" w:rsidRDefault="00D02A5A" w:rsidP="00F432B9">
      <w:pPr>
        <w:keepNext/>
        <w:keepLines/>
        <w:spacing w:after="0" w:line="240" w:lineRule="auto"/>
        <w:ind w:left="576"/>
        <w:rPr>
          <w:rFonts w:cstheme="minorHAnsi"/>
          <w:b/>
          <w:caps/>
        </w:rPr>
      </w:pPr>
    </w:p>
    <w:p w14:paraId="623A600B" w14:textId="77777777" w:rsidR="00D02A5A" w:rsidRPr="009B546D" w:rsidRDefault="00D02A5A" w:rsidP="00F432B9">
      <w:pPr>
        <w:keepNext/>
        <w:keepLines/>
        <w:spacing w:after="0" w:line="240" w:lineRule="auto"/>
        <w:ind w:left="576"/>
        <w:rPr>
          <w:rFonts w:cstheme="minorHAnsi"/>
          <w:b/>
          <w:caps/>
        </w:rPr>
      </w:pPr>
    </w:p>
    <w:p w14:paraId="2E6351A0" w14:textId="77777777" w:rsidR="001C6F66" w:rsidRPr="009B546D" w:rsidRDefault="001C6F66" w:rsidP="00496B89">
      <w:pPr>
        <w:keepNext/>
        <w:keepLines/>
        <w:numPr>
          <w:ilvl w:val="0"/>
          <w:numId w:val="35"/>
        </w:numPr>
        <w:spacing w:after="0" w:line="240" w:lineRule="auto"/>
        <w:rPr>
          <w:rFonts w:cstheme="minorHAnsi"/>
          <w:b/>
          <w:caps/>
        </w:rPr>
      </w:pPr>
      <w:r w:rsidRPr="009B546D">
        <w:rPr>
          <w:rFonts w:cstheme="minorHAnsi"/>
          <w:b/>
          <w:caps/>
        </w:rPr>
        <w:t>PROFIT BEFORE TAX</w:t>
      </w:r>
    </w:p>
    <w:p w14:paraId="333F2039" w14:textId="77777777" w:rsidR="001C6F66" w:rsidRPr="009B546D" w:rsidRDefault="001C6F66" w:rsidP="00F432B9">
      <w:pPr>
        <w:keepNext/>
        <w:keepLines/>
        <w:tabs>
          <w:tab w:val="left" w:pos="1152"/>
        </w:tabs>
        <w:spacing w:after="0" w:line="240" w:lineRule="auto"/>
        <w:rPr>
          <w:rFonts w:cstheme="minorHAnsi"/>
          <w:b/>
          <w:smallCaps/>
        </w:rPr>
      </w:pPr>
    </w:p>
    <w:p w14:paraId="17C3EDEC" w14:textId="77777777" w:rsidR="001C6F66" w:rsidRPr="009B546D" w:rsidRDefault="001C6F66" w:rsidP="00496B89">
      <w:pPr>
        <w:keepNext/>
        <w:keepLines/>
        <w:numPr>
          <w:ilvl w:val="1"/>
          <w:numId w:val="35"/>
        </w:numPr>
        <w:tabs>
          <w:tab w:val="left" w:pos="1152"/>
        </w:tabs>
        <w:spacing w:after="0" w:line="240" w:lineRule="auto"/>
        <w:rPr>
          <w:rFonts w:cstheme="minorHAnsi"/>
          <w:b/>
          <w:smallCaps/>
        </w:rPr>
      </w:pPr>
      <w:r w:rsidRPr="009B546D">
        <w:rPr>
          <w:rFonts w:cstheme="minorHAnsi"/>
          <w:b/>
          <w:smallCaps/>
        </w:rPr>
        <w:t>Disclosure items</w:t>
      </w:r>
    </w:p>
    <w:tbl>
      <w:tblPr>
        <w:tblW w:w="8496" w:type="dxa"/>
        <w:tblInd w:w="576" w:type="dxa"/>
        <w:tblLayout w:type="fixed"/>
        <w:tblLook w:val="04A0" w:firstRow="1" w:lastRow="0" w:firstColumn="1" w:lastColumn="0" w:noHBand="0" w:noVBand="1"/>
      </w:tblPr>
      <w:tblGrid>
        <w:gridCol w:w="5596"/>
        <w:gridCol w:w="349"/>
        <w:gridCol w:w="1134"/>
        <w:gridCol w:w="1417"/>
      </w:tblGrid>
      <w:tr w:rsidR="001C6F66" w:rsidRPr="009B546D" w14:paraId="0BB00CDF" w14:textId="77777777" w:rsidTr="00EA2BB6">
        <w:trPr>
          <w:trHeight w:val="278"/>
        </w:trPr>
        <w:tc>
          <w:tcPr>
            <w:tcW w:w="5596" w:type="dxa"/>
            <w:vAlign w:val="bottom"/>
          </w:tcPr>
          <w:p w14:paraId="528B2796"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349" w:type="dxa"/>
            <w:vAlign w:val="bottom"/>
          </w:tcPr>
          <w:p w14:paraId="3F7A8FD1"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b/>
                <w:bCs/>
                <w:color w:val="000000"/>
              </w:rPr>
            </w:pPr>
          </w:p>
        </w:tc>
        <w:tc>
          <w:tcPr>
            <w:tcW w:w="1134" w:type="dxa"/>
            <w:vAlign w:val="bottom"/>
          </w:tcPr>
          <w:p w14:paraId="5BEC1519"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417" w:type="dxa"/>
            <w:vAlign w:val="bottom"/>
            <w:hideMark/>
          </w:tcPr>
          <w:p w14:paraId="0AF24790"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Period from 17 April 2018 to 30 April 2019</w:t>
            </w:r>
          </w:p>
        </w:tc>
      </w:tr>
      <w:tr w:rsidR="001C6F66" w:rsidRPr="009B546D" w14:paraId="1176C00F" w14:textId="77777777" w:rsidTr="00EA2BB6">
        <w:trPr>
          <w:trHeight w:val="278"/>
        </w:trPr>
        <w:tc>
          <w:tcPr>
            <w:tcW w:w="5596" w:type="dxa"/>
            <w:vAlign w:val="bottom"/>
          </w:tcPr>
          <w:p w14:paraId="7BEA8B45"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349" w:type="dxa"/>
            <w:vAlign w:val="bottom"/>
          </w:tcPr>
          <w:p w14:paraId="6FEDC21C"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b/>
                <w:bCs/>
                <w:color w:val="000000"/>
              </w:rPr>
            </w:pPr>
          </w:p>
        </w:tc>
        <w:tc>
          <w:tcPr>
            <w:tcW w:w="1134" w:type="dxa"/>
            <w:vAlign w:val="bottom"/>
          </w:tcPr>
          <w:p w14:paraId="0F3CA9AE"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417" w:type="dxa"/>
            <w:vAlign w:val="bottom"/>
            <w:hideMark/>
          </w:tcPr>
          <w:p w14:paraId="25463548"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r w:rsidRPr="009B546D">
              <w:rPr>
                <w:rFonts w:cstheme="minorHAnsi"/>
                <w:b/>
                <w:color w:val="000000"/>
              </w:rPr>
              <w:t>RM</w:t>
            </w:r>
          </w:p>
        </w:tc>
      </w:tr>
      <w:tr w:rsidR="001C6F66" w:rsidRPr="009B546D" w14:paraId="4FFC6034" w14:textId="77777777" w:rsidTr="00EA2BB6">
        <w:trPr>
          <w:trHeight w:val="278"/>
        </w:trPr>
        <w:tc>
          <w:tcPr>
            <w:tcW w:w="5596" w:type="dxa"/>
            <w:vAlign w:val="bottom"/>
          </w:tcPr>
          <w:p w14:paraId="13B2BC12"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349" w:type="dxa"/>
            <w:vAlign w:val="bottom"/>
          </w:tcPr>
          <w:p w14:paraId="4AE5AFFE"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b/>
                <w:bCs/>
                <w:color w:val="000000"/>
              </w:rPr>
            </w:pPr>
          </w:p>
        </w:tc>
        <w:tc>
          <w:tcPr>
            <w:tcW w:w="1134" w:type="dxa"/>
            <w:vAlign w:val="bottom"/>
          </w:tcPr>
          <w:p w14:paraId="689D789D"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417" w:type="dxa"/>
            <w:vAlign w:val="bottom"/>
          </w:tcPr>
          <w:p w14:paraId="7C291AF7" w14:textId="77777777" w:rsidR="001C6F66" w:rsidRPr="009B546D" w:rsidRDefault="001C6F66" w:rsidP="00F432B9">
            <w:pPr>
              <w:tabs>
                <w:tab w:val="left" w:pos="288"/>
              </w:tabs>
              <w:autoSpaceDE w:val="0"/>
              <w:autoSpaceDN w:val="0"/>
              <w:adjustRightInd w:val="0"/>
              <w:spacing w:after="0" w:line="240" w:lineRule="auto"/>
              <w:jc w:val="right"/>
              <w:rPr>
                <w:rFonts w:cstheme="minorHAnsi"/>
                <w:b/>
                <w:color w:val="000000"/>
              </w:rPr>
            </w:pPr>
          </w:p>
        </w:tc>
      </w:tr>
      <w:tr w:rsidR="001C6F66" w:rsidRPr="009B546D" w14:paraId="2AEBB3C5" w14:textId="77777777" w:rsidTr="00EA2BB6">
        <w:trPr>
          <w:trHeight w:val="278"/>
        </w:trPr>
        <w:tc>
          <w:tcPr>
            <w:tcW w:w="5596" w:type="dxa"/>
            <w:vAlign w:val="bottom"/>
            <w:hideMark/>
          </w:tcPr>
          <w:p w14:paraId="20038914"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This is stated after charging:</w:t>
            </w:r>
          </w:p>
        </w:tc>
        <w:tc>
          <w:tcPr>
            <w:tcW w:w="349" w:type="dxa"/>
            <w:vAlign w:val="bottom"/>
          </w:tcPr>
          <w:p w14:paraId="42AE841B"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134" w:type="dxa"/>
            <w:vAlign w:val="bottom"/>
          </w:tcPr>
          <w:p w14:paraId="3C0ED05B"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417" w:type="dxa"/>
            <w:vAlign w:val="bottom"/>
          </w:tcPr>
          <w:p w14:paraId="1F5C1704"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r>
      <w:tr w:rsidR="001C6F66" w:rsidRPr="009B546D" w14:paraId="69BA7F8E" w14:textId="77777777" w:rsidTr="00EA2BB6">
        <w:trPr>
          <w:trHeight w:val="278"/>
        </w:trPr>
        <w:tc>
          <w:tcPr>
            <w:tcW w:w="5596" w:type="dxa"/>
            <w:vAlign w:val="bottom"/>
            <w:hideMark/>
          </w:tcPr>
          <w:p w14:paraId="2F5C52B3"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Audit fee – Malaysian statutory audit</w:t>
            </w:r>
          </w:p>
        </w:tc>
        <w:tc>
          <w:tcPr>
            <w:tcW w:w="349" w:type="dxa"/>
            <w:vAlign w:val="bottom"/>
          </w:tcPr>
          <w:p w14:paraId="03DD7778"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color w:val="000000"/>
              </w:rPr>
            </w:pPr>
          </w:p>
        </w:tc>
        <w:tc>
          <w:tcPr>
            <w:tcW w:w="1134" w:type="dxa"/>
            <w:vAlign w:val="bottom"/>
          </w:tcPr>
          <w:p w14:paraId="623CF349"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417" w:type="dxa"/>
            <w:vAlign w:val="bottom"/>
          </w:tcPr>
          <w:p w14:paraId="574E164D"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13,500</w:t>
            </w:r>
          </w:p>
        </w:tc>
      </w:tr>
      <w:tr w:rsidR="001C6F66" w:rsidRPr="009B546D" w14:paraId="30B30FF7" w14:textId="77777777" w:rsidTr="00EA2BB6">
        <w:trPr>
          <w:trHeight w:val="278"/>
        </w:trPr>
        <w:tc>
          <w:tcPr>
            <w:tcW w:w="5596" w:type="dxa"/>
            <w:vAlign w:val="bottom"/>
            <w:hideMark/>
          </w:tcPr>
          <w:p w14:paraId="32BC66E5"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 xml:space="preserve">Office rental </w:t>
            </w:r>
          </w:p>
        </w:tc>
        <w:tc>
          <w:tcPr>
            <w:tcW w:w="349" w:type="dxa"/>
            <w:vAlign w:val="bottom"/>
          </w:tcPr>
          <w:p w14:paraId="00C41FC9"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color w:val="000000"/>
              </w:rPr>
            </w:pPr>
          </w:p>
        </w:tc>
        <w:tc>
          <w:tcPr>
            <w:tcW w:w="1134" w:type="dxa"/>
            <w:vAlign w:val="bottom"/>
          </w:tcPr>
          <w:p w14:paraId="7F040528"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417" w:type="dxa"/>
            <w:tcBorders>
              <w:bottom w:val="double" w:sz="6" w:space="0" w:color="auto"/>
            </w:tcBorders>
            <w:vAlign w:val="bottom"/>
          </w:tcPr>
          <w:p w14:paraId="5846D700"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rPr>
            </w:pPr>
            <w:r w:rsidRPr="009B546D">
              <w:rPr>
                <w:rFonts w:cstheme="minorHAnsi"/>
              </w:rPr>
              <w:t>52,500</w:t>
            </w:r>
          </w:p>
        </w:tc>
      </w:tr>
      <w:tr w:rsidR="001C6F66" w:rsidRPr="009B546D" w14:paraId="40932DD1" w14:textId="77777777" w:rsidTr="00EA2BB6">
        <w:trPr>
          <w:trHeight w:val="198"/>
        </w:trPr>
        <w:tc>
          <w:tcPr>
            <w:tcW w:w="5596" w:type="dxa"/>
            <w:vAlign w:val="bottom"/>
          </w:tcPr>
          <w:p w14:paraId="60783EF6"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349" w:type="dxa"/>
            <w:tcBorders>
              <w:left w:val="nil"/>
              <w:bottom w:val="nil"/>
              <w:right w:val="nil"/>
            </w:tcBorders>
            <w:vAlign w:val="bottom"/>
          </w:tcPr>
          <w:p w14:paraId="0014411B"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p>
        </w:tc>
        <w:tc>
          <w:tcPr>
            <w:tcW w:w="1134" w:type="dxa"/>
            <w:vAlign w:val="bottom"/>
          </w:tcPr>
          <w:p w14:paraId="24126534"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417" w:type="dxa"/>
            <w:tcBorders>
              <w:top w:val="double" w:sz="6" w:space="0" w:color="auto"/>
              <w:left w:val="nil"/>
              <w:right w:val="nil"/>
            </w:tcBorders>
            <w:vAlign w:val="bottom"/>
          </w:tcPr>
          <w:p w14:paraId="70C13ECD"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p>
        </w:tc>
      </w:tr>
      <w:tr w:rsidR="001C6F66" w:rsidRPr="009B546D" w14:paraId="39ADC7D3" w14:textId="77777777" w:rsidTr="00EA2BB6">
        <w:trPr>
          <w:trHeight w:val="278"/>
        </w:trPr>
        <w:tc>
          <w:tcPr>
            <w:tcW w:w="5596" w:type="dxa"/>
            <w:vAlign w:val="bottom"/>
            <w:hideMark/>
          </w:tcPr>
          <w:p w14:paraId="695181C4"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And crediting:</w:t>
            </w:r>
          </w:p>
        </w:tc>
        <w:tc>
          <w:tcPr>
            <w:tcW w:w="349" w:type="dxa"/>
            <w:vAlign w:val="bottom"/>
          </w:tcPr>
          <w:p w14:paraId="76EC2A0C"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p>
        </w:tc>
        <w:tc>
          <w:tcPr>
            <w:tcW w:w="1134" w:type="dxa"/>
            <w:vAlign w:val="bottom"/>
          </w:tcPr>
          <w:p w14:paraId="5D15F323"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417" w:type="dxa"/>
            <w:vAlign w:val="bottom"/>
          </w:tcPr>
          <w:p w14:paraId="2E1D6B65"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p>
        </w:tc>
      </w:tr>
      <w:tr w:rsidR="001C6F66" w:rsidRPr="009B546D" w14:paraId="4DE95584" w14:textId="77777777" w:rsidTr="00EA2BB6">
        <w:trPr>
          <w:trHeight w:val="278"/>
        </w:trPr>
        <w:tc>
          <w:tcPr>
            <w:tcW w:w="5596" w:type="dxa"/>
            <w:vAlign w:val="bottom"/>
          </w:tcPr>
          <w:p w14:paraId="5AD7C417"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Interest income</w:t>
            </w:r>
          </w:p>
        </w:tc>
        <w:tc>
          <w:tcPr>
            <w:tcW w:w="349" w:type="dxa"/>
            <w:tcBorders>
              <w:top w:val="nil"/>
              <w:left w:val="nil"/>
              <w:bottom w:val="nil"/>
              <w:right w:val="nil"/>
            </w:tcBorders>
            <w:vAlign w:val="bottom"/>
          </w:tcPr>
          <w:p w14:paraId="228A896A"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color w:val="000000"/>
              </w:rPr>
            </w:pPr>
          </w:p>
        </w:tc>
        <w:tc>
          <w:tcPr>
            <w:tcW w:w="1134" w:type="dxa"/>
            <w:vAlign w:val="bottom"/>
          </w:tcPr>
          <w:p w14:paraId="37C65FEE"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417" w:type="dxa"/>
            <w:tcBorders>
              <w:left w:val="nil"/>
              <w:right w:val="nil"/>
            </w:tcBorders>
            <w:vAlign w:val="bottom"/>
          </w:tcPr>
          <w:p w14:paraId="505AFEAF"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r w:rsidRPr="009B546D">
              <w:rPr>
                <w:rFonts w:cstheme="minorHAnsi"/>
                <w:color w:val="000000"/>
              </w:rPr>
              <w:t>(19)</w:t>
            </w:r>
          </w:p>
        </w:tc>
      </w:tr>
      <w:tr w:rsidR="001C6F66" w:rsidRPr="009B546D" w14:paraId="5753FD00" w14:textId="77777777" w:rsidTr="00EA2BB6">
        <w:trPr>
          <w:trHeight w:val="278"/>
        </w:trPr>
        <w:tc>
          <w:tcPr>
            <w:tcW w:w="5596" w:type="dxa"/>
            <w:vAlign w:val="bottom"/>
          </w:tcPr>
          <w:p w14:paraId="0B828FE8"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 xml:space="preserve">Gain on foreign exchange (realised) </w:t>
            </w:r>
          </w:p>
        </w:tc>
        <w:tc>
          <w:tcPr>
            <w:tcW w:w="349" w:type="dxa"/>
            <w:tcBorders>
              <w:top w:val="nil"/>
              <w:left w:val="nil"/>
              <w:bottom w:val="nil"/>
              <w:right w:val="nil"/>
            </w:tcBorders>
            <w:vAlign w:val="bottom"/>
          </w:tcPr>
          <w:p w14:paraId="2AD780CA"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color w:val="000000"/>
              </w:rPr>
            </w:pPr>
          </w:p>
        </w:tc>
        <w:tc>
          <w:tcPr>
            <w:tcW w:w="1134" w:type="dxa"/>
            <w:vAlign w:val="bottom"/>
          </w:tcPr>
          <w:p w14:paraId="28748021"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417" w:type="dxa"/>
            <w:tcBorders>
              <w:left w:val="nil"/>
              <w:bottom w:val="double" w:sz="6" w:space="0" w:color="auto"/>
              <w:right w:val="nil"/>
            </w:tcBorders>
            <w:vAlign w:val="bottom"/>
          </w:tcPr>
          <w:p w14:paraId="1864350D"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r w:rsidRPr="009B546D">
              <w:rPr>
                <w:rFonts w:cstheme="minorHAnsi"/>
                <w:color w:val="000000"/>
              </w:rPr>
              <w:t>(8,152)</w:t>
            </w:r>
          </w:p>
        </w:tc>
      </w:tr>
    </w:tbl>
    <w:p w14:paraId="4C1DDB91" w14:textId="77777777" w:rsidR="001C6F66" w:rsidRPr="009B546D" w:rsidRDefault="001C6F66" w:rsidP="00F432B9">
      <w:pPr>
        <w:keepNext/>
        <w:keepLines/>
        <w:tabs>
          <w:tab w:val="left" w:pos="1152"/>
        </w:tabs>
        <w:spacing w:after="0" w:line="240" w:lineRule="auto"/>
        <w:rPr>
          <w:rFonts w:cstheme="minorHAnsi"/>
          <w:b/>
          <w:smallCaps/>
        </w:rPr>
      </w:pPr>
    </w:p>
    <w:p w14:paraId="307D191A" w14:textId="77777777" w:rsidR="001C6F66" w:rsidRPr="009B546D" w:rsidRDefault="001C6F66" w:rsidP="00F432B9">
      <w:pPr>
        <w:spacing w:line="240" w:lineRule="auto"/>
        <w:jc w:val="center"/>
        <w:rPr>
          <w:rFonts w:cstheme="minorHAnsi"/>
        </w:rPr>
      </w:pPr>
      <w:r w:rsidRPr="009B546D">
        <w:rPr>
          <w:rFonts w:cstheme="minorHAnsi"/>
          <w:b/>
          <w:smallCaps/>
        </w:rPr>
        <w:br w:type="page"/>
      </w:r>
    </w:p>
    <w:p w14:paraId="4A38C29A" w14:textId="77777777" w:rsidR="001C6F66" w:rsidRPr="009B546D" w:rsidRDefault="001C6F66" w:rsidP="00F432B9">
      <w:pPr>
        <w:spacing w:line="240" w:lineRule="auto"/>
        <w:rPr>
          <w:rFonts w:cstheme="minorHAnsi"/>
          <w:b/>
          <w:caps/>
        </w:rPr>
      </w:pPr>
      <w:r w:rsidRPr="009B546D">
        <w:rPr>
          <w:rFonts w:cstheme="minorHAnsi"/>
          <w:b/>
          <w:caps/>
        </w:rPr>
        <w:lastRenderedPageBreak/>
        <w:t>n</w:t>
      </w:r>
      <w:r w:rsidRPr="009B546D">
        <w:rPr>
          <w:rFonts w:cstheme="minorHAnsi"/>
          <w:b/>
        </w:rPr>
        <w:t>otes to the financial information</w:t>
      </w:r>
    </w:p>
    <w:p w14:paraId="7E8E64B5" w14:textId="77777777" w:rsidR="001C6F66" w:rsidRPr="009B546D" w:rsidRDefault="001C6F66" w:rsidP="00F432B9">
      <w:pPr>
        <w:spacing w:line="240" w:lineRule="auto"/>
        <w:rPr>
          <w:rFonts w:cstheme="minorHAnsi"/>
          <w:b/>
          <w:caps/>
        </w:rPr>
      </w:pPr>
      <w:r w:rsidRPr="009B546D">
        <w:rPr>
          <w:rFonts w:cstheme="minorHAnsi"/>
          <w:b/>
          <w:caps/>
        </w:rPr>
        <w:t>F</w:t>
      </w:r>
      <w:r w:rsidRPr="009B546D">
        <w:rPr>
          <w:rFonts w:cstheme="minorHAnsi"/>
          <w:b/>
        </w:rPr>
        <w:t xml:space="preserve">or the </w:t>
      </w:r>
      <w:r w:rsidRPr="009B546D">
        <w:rPr>
          <w:rFonts w:cstheme="minorHAnsi"/>
          <w:b/>
          <w:caps/>
        </w:rPr>
        <w:fldChar w:fldCharType="begin"/>
      </w:r>
      <w:r w:rsidRPr="009B546D">
        <w:rPr>
          <w:rFonts w:cstheme="minorHAnsi"/>
          <w:b/>
          <w:caps/>
        </w:rPr>
        <w:instrText xml:space="preserve"> DOCPROPERTY  "Fin year/period (for cover page)"\* Caps \* MERGEFORMAT </w:instrText>
      </w:r>
      <w:r w:rsidRPr="009B546D">
        <w:rPr>
          <w:rFonts w:cstheme="minorHAnsi"/>
          <w:b/>
          <w:caps/>
        </w:rPr>
        <w:fldChar w:fldCharType="separate"/>
      </w:r>
      <w:r w:rsidRPr="009B546D">
        <w:rPr>
          <w:rFonts w:cstheme="minorHAnsi"/>
          <w:b/>
        </w:rPr>
        <w:t>financial period ended from 17 April 2018 (date of incorporation) to 30 April 2019</w:t>
      </w:r>
      <w:r w:rsidRPr="009B546D">
        <w:rPr>
          <w:rFonts w:cstheme="minorHAnsi"/>
          <w:b/>
          <w:caps/>
        </w:rPr>
        <w:fldChar w:fldCharType="end"/>
      </w:r>
      <w:r w:rsidRPr="00384557">
        <w:rPr>
          <w:rFonts w:cstheme="minorHAnsi"/>
          <w:b/>
          <w:caps/>
        </w:rPr>
        <w:t xml:space="preserve"> (</w:t>
      </w:r>
      <w:r w:rsidRPr="009B546D">
        <w:rPr>
          <w:rFonts w:cstheme="minorHAnsi"/>
          <w:b/>
          <w:i/>
        </w:rPr>
        <w:t>continued)</w:t>
      </w:r>
    </w:p>
    <w:p w14:paraId="37BA80FF" w14:textId="77777777" w:rsidR="001C6F66" w:rsidRPr="009B546D" w:rsidRDefault="001C6F66" w:rsidP="00F432B9">
      <w:pPr>
        <w:pBdr>
          <w:bottom w:val="single" w:sz="6" w:space="1" w:color="auto"/>
        </w:pBdr>
        <w:spacing w:line="240" w:lineRule="auto"/>
        <w:jc w:val="right"/>
        <w:rPr>
          <w:rFonts w:cstheme="minorHAnsi"/>
        </w:rPr>
      </w:pPr>
    </w:p>
    <w:p w14:paraId="7F7F5214" w14:textId="77777777" w:rsidR="001C6F66" w:rsidRPr="009B546D" w:rsidRDefault="001C6F66" w:rsidP="00496B89">
      <w:pPr>
        <w:keepNext/>
        <w:keepLines/>
        <w:numPr>
          <w:ilvl w:val="0"/>
          <w:numId w:val="39"/>
        </w:numPr>
        <w:spacing w:after="0" w:line="240" w:lineRule="auto"/>
        <w:rPr>
          <w:rFonts w:cstheme="minorHAnsi"/>
          <w:b/>
          <w:caps/>
        </w:rPr>
      </w:pPr>
      <w:r w:rsidRPr="009B546D">
        <w:rPr>
          <w:rFonts w:cstheme="minorHAnsi"/>
          <w:b/>
          <w:caps/>
        </w:rPr>
        <w:t xml:space="preserve">PROFIT BEFORE TAX </w:t>
      </w:r>
      <w:r w:rsidRPr="009B546D">
        <w:rPr>
          <w:rFonts w:cstheme="minorHAnsi"/>
          <w:caps/>
        </w:rPr>
        <w:t>(</w:t>
      </w:r>
      <w:r w:rsidRPr="009B546D">
        <w:rPr>
          <w:rFonts w:cstheme="minorHAnsi"/>
          <w:i/>
        </w:rPr>
        <w:t>continued)</w:t>
      </w:r>
    </w:p>
    <w:p w14:paraId="527CD48E" w14:textId="77777777" w:rsidR="001C6F66" w:rsidRPr="009B546D" w:rsidRDefault="001C6F66" w:rsidP="00F432B9">
      <w:pPr>
        <w:keepNext/>
        <w:keepLines/>
        <w:spacing w:line="240" w:lineRule="auto"/>
        <w:ind w:left="576"/>
        <w:rPr>
          <w:rFonts w:cstheme="minorHAnsi"/>
          <w:b/>
          <w:caps/>
        </w:rPr>
      </w:pPr>
    </w:p>
    <w:p w14:paraId="19F33F34" w14:textId="77777777" w:rsidR="001C6F66" w:rsidRPr="009B546D" w:rsidRDefault="001C6F66" w:rsidP="00496B89">
      <w:pPr>
        <w:keepNext/>
        <w:keepLines/>
        <w:numPr>
          <w:ilvl w:val="1"/>
          <w:numId w:val="35"/>
        </w:numPr>
        <w:tabs>
          <w:tab w:val="left" w:pos="1152"/>
        </w:tabs>
        <w:spacing w:after="0" w:line="240" w:lineRule="auto"/>
        <w:rPr>
          <w:rFonts w:cstheme="minorHAnsi"/>
          <w:b/>
          <w:smallCaps/>
        </w:rPr>
      </w:pPr>
      <w:r w:rsidRPr="009B546D">
        <w:rPr>
          <w:rFonts w:cstheme="minorHAnsi"/>
          <w:b/>
          <w:smallCaps/>
        </w:rPr>
        <w:t>Employee benefit expenses</w:t>
      </w:r>
    </w:p>
    <w:tbl>
      <w:tblPr>
        <w:tblW w:w="8496" w:type="dxa"/>
        <w:tblInd w:w="576" w:type="dxa"/>
        <w:tblLayout w:type="fixed"/>
        <w:tblLook w:val="04A0" w:firstRow="1" w:lastRow="0" w:firstColumn="1" w:lastColumn="0" w:noHBand="0" w:noVBand="1"/>
      </w:tblPr>
      <w:tblGrid>
        <w:gridCol w:w="5582"/>
        <w:gridCol w:w="239"/>
        <w:gridCol w:w="974"/>
        <w:gridCol w:w="1701"/>
      </w:tblGrid>
      <w:tr w:rsidR="001C6F66" w:rsidRPr="009B546D" w14:paraId="0BFF3FE6" w14:textId="77777777" w:rsidTr="00EA2BB6">
        <w:trPr>
          <w:trHeight w:val="278"/>
        </w:trPr>
        <w:tc>
          <w:tcPr>
            <w:tcW w:w="5582" w:type="dxa"/>
            <w:vAlign w:val="bottom"/>
          </w:tcPr>
          <w:p w14:paraId="23CC6BC9" w14:textId="77777777" w:rsidR="001C6F66" w:rsidRPr="009B546D" w:rsidRDefault="001C6F66" w:rsidP="00F432B9">
            <w:pPr>
              <w:tabs>
                <w:tab w:val="left" w:pos="288"/>
              </w:tabs>
              <w:autoSpaceDE w:val="0"/>
              <w:autoSpaceDN w:val="0"/>
              <w:adjustRightInd w:val="0"/>
              <w:spacing w:after="0" w:line="240" w:lineRule="auto"/>
              <w:rPr>
                <w:rFonts w:cstheme="minorHAnsi"/>
                <w:color w:val="000000"/>
                <w:lang w:val="en-MY"/>
              </w:rPr>
            </w:pPr>
          </w:p>
        </w:tc>
        <w:tc>
          <w:tcPr>
            <w:tcW w:w="239" w:type="dxa"/>
            <w:vAlign w:val="bottom"/>
          </w:tcPr>
          <w:p w14:paraId="744FB2D7"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b/>
                <w:bCs/>
                <w:color w:val="000000"/>
              </w:rPr>
            </w:pPr>
          </w:p>
        </w:tc>
        <w:tc>
          <w:tcPr>
            <w:tcW w:w="974" w:type="dxa"/>
            <w:vAlign w:val="bottom"/>
          </w:tcPr>
          <w:p w14:paraId="308CE47B" w14:textId="77777777" w:rsidR="001C6F66" w:rsidRPr="009B546D" w:rsidRDefault="001C6F66" w:rsidP="00F432B9">
            <w:pPr>
              <w:tabs>
                <w:tab w:val="left" w:pos="288"/>
              </w:tabs>
              <w:autoSpaceDE w:val="0"/>
              <w:autoSpaceDN w:val="0"/>
              <w:adjustRightInd w:val="0"/>
              <w:spacing w:after="0" w:line="240" w:lineRule="auto"/>
              <w:jc w:val="center"/>
              <w:rPr>
                <w:rFonts w:cstheme="minorHAnsi"/>
                <w:b/>
                <w:bCs/>
                <w:color w:val="000000"/>
                <w:lang w:val="en-MY"/>
              </w:rPr>
            </w:pPr>
          </w:p>
        </w:tc>
        <w:tc>
          <w:tcPr>
            <w:tcW w:w="1701" w:type="dxa"/>
            <w:vAlign w:val="bottom"/>
            <w:hideMark/>
          </w:tcPr>
          <w:p w14:paraId="28261E9F"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Period from</w:t>
            </w:r>
          </w:p>
          <w:p w14:paraId="59718EBB"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17 April 2018</w:t>
            </w:r>
          </w:p>
          <w:p w14:paraId="747D7505"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 xml:space="preserve"> to 30 April 2019</w:t>
            </w:r>
          </w:p>
        </w:tc>
      </w:tr>
      <w:tr w:rsidR="001C6F66" w:rsidRPr="009B546D" w14:paraId="24D2E70A" w14:textId="77777777" w:rsidTr="00EA2BB6">
        <w:trPr>
          <w:trHeight w:val="278"/>
        </w:trPr>
        <w:tc>
          <w:tcPr>
            <w:tcW w:w="5582" w:type="dxa"/>
            <w:vAlign w:val="bottom"/>
          </w:tcPr>
          <w:p w14:paraId="5A43106D" w14:textId="77777777" w:rsidR="001C6F66" w:rsidRPr="009B546D" w:rsidRDefault="001C6F66" w:rsidP="00F432B9">
            <w:pPr>
              <w:tabs>
                <w:tab w:val="left" w:pos="288"/>
              </w:tabs>
              <w:autoSpaceDE w:val="0"/>
              <w:autoSpaceDN w:val="0"/>
              <w:adjustRightInd w:val="0"/>
              <w:spacing w:after="0" w:line="240" w:lineRule="auto"/>
              <w:rPr>
                <w:rFonts w:cstheme="minorHAnsi"/>
                <w:color w:val="000000"/>
                <w:lang w:val="en-MY"/>
              </w:rPr>
            </w:pPr>
          </w:p>
        </w:tc>
        <w:tc>
          <w:tcPr>
            <w:tcW w:w="239" w:type="dxa"/>
            <w:vAlign w:val="bottom"/>
          </w:tcPr>
          <w:p w14:paraId="59DA1670"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b/>
                <w:bCs/>
                <w:color w:val="000000"/>
                <w:lang w:val="en-MY"/>
              </w:rPr>
            </w:pPr>
          </w:p>
        </w:tc>
        <w:tc>
          <w:tcPr>
            <w:tcW w:w="974" w:type="dxa"/>
            <w:vAlign w:val="bottom"/>
          </w:tcPr>
          <w:p w14:paraId="1E9BB5A9" w14:textId="77777777" w:rsidR="001C6F66" w:rsidRPr="009B546D" w:rsidRDefault="001C6F66" w:rsidP="00F432B9">
            <w:pPr>
              <w:tabs>
                <w:tab w:val="left" w:pos="288"/>
              </w:tabs>
              <w:autoSpaceDE w:val="0"/>
              <w:autoSpaceDN w:val="0"/>
              <w:adjustRightInd w:val="0"/>
              <w:spacing w:after="0" w:line="240" w:lineRule="auto"/>
              <w:jc w:val="center"/>
              <w:rPr>
                <w:rFonts w:cstheme="minorHAnsi"/>
                <w:b/>
                <w:bCs/>
                <w:color w:val="000000"/>
                <w:lang w:val="en-MY"/>
              </w:rPr>
            </w:pPr>
          </w:p>
        </w:tc>
        <w:tc>
          <w:tcPr>
            <w:tcW w:w="1701" w:type="dxa"/>
            <w:vAlign w:val="bottom"/>
            <w:hideMark/>
          </w:tcPr>
          <w:p w14:paraId="5694C83E"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lang w:val="en-MY"/>
              </w:rPr>
            </w:pPr>
            <w:r w:rsidRPr="009B546D">
              <w:rPr>
                <w:rFonts w:cstheme="minorHAnsi"/>
                <w:b/>
                <w:bCs/>
                <w:color w:val="000000"/>
                <w:lang w:val="en-MY"/>
              </w:rPr>
              <w:t>RM</w:t>
            </w:r>
          </w:p>
        </w:tc>
      </w:tr>
      <w:tr w:rsidR="001C6F66" w:rsidRPr="009B546D" w14:paraId="75027DCB" w14:textId="77777777" w:rsidTr="00EA2BB6">
        <w:trPr>
          <w:trHeight w:val="74"/>
        </w:trPr>
        <w:tc>
          <w:tcPr>
            <w:tcW w:w="5582" w:type="dxa"/>
            <w:vAlign w:val="bottom"/>
          </w:tcPr>
          <w:p w14:paraId="49F62F6B" w14:textId="77777777" w:rsidR="001C6F66" w:rsidRPr="009B546D" w:rsidRDefault="001C6F66" w:rsidP="00F432B9">
            <w:pPr>
              <w:tabs>
                <w:tab w:val="left" w:pos="288"/>
              </w:tabs>
              <w:autoSpaceDE w:val="0"/>
              <w:autoSpaceDN w:val="0"/>
              <w:adjustRightInd w:val="0"/>
              <w:spacing w:after="0" w:line="240" w:lineRule="auto"/>
              <w:rPr>
                <w:rFonts w:cstheme="minorHAnsi"/>
                <w:color w:val="000000"/>
                <w:lang w:val="en-MY"/>
              </w:rPr>
            </w:pPr>
          </w:p>
        </w:tc>
        <w:tc>
          <w:tcPr>
            <w:tcW w:w="239" w:type="dxa"/>
            <w:vAlign w:val="bottom"/>
          </w:tcPr>
          <w:p w14:paraId="0485EBF9"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lang w:val="en-MY"/>
              </w:rPr>
            </w:pPr>
          </w:p>
        </w:tc>
        <w:tc>
          <w:tcPr>
            <w:tcW w:w="974" w:type="dxa"/>
            <w:vAlign w:val="bottom"/>
          </w:tcPr>
          <w:p w14:paraId="20BA699B"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lang w:val="en-MY"/>
              </w:rPr>
            </w:pPr>
          </w:p>
        </w:tc>
        <w:tc>
          <w:tcPr>
            <w:tcW w:w="1701" w:type="dxa"/>
            <w:vAlign w:val="bottom"/>
          </w:tcPr>
          <w:p w14:paraId="2A7210FD"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lang w:val="en-MY"/>
              </w:rPr>
            </w:pPr>
          </w:p>
        </w:tc>
      </w:tr>
      <w:tr w:rsidR="001C6F66" w:rsidRPr="009B546D" w14:paraId="5647E443" w14:textId="77777777" w:rsidTr="00EA2BB6">
        <w:trPr>
          <w:trHeight w:val="278"/>
        </w:trPr>
        <w:tc>
          <w:tcPr>
            <w:tcW w:w="5582" w:type="dxa"/>
            <w:vAlign w:val="bottom"/>
            <w:hideMark/>
          </w:tcPr>
          <w:p w14:paraId="7BA0C450" w14:textId="77777777" w:rsidR="001C6F66" w:rsidRPr="009B546D" w:rsidRDefault="001C6F66" w:rsidP="00F432B9">
            <w:pPr>
              <w:tabs>
                <w:tab w:val="left" w:pos="288"/>
              </w:tabs>
              <w:autoSpaceDE w:val="0"/>
              <w:autoSpaceDN w:val="0"/>
              <w:adjustRightInd w:val="0"/>
              <w:spacing w:after="0" w:line="240" w:lineRule="auto"/>
              <w:rPr>
                <w:rFonts w:cstheme="minorHAnsi"/>
                <w:color w:val="000000"/>
                <w:lang w:val="en-MY"/>
              </w:rPr>
            </w:pPr>
            <w:r w:rsidRPr="009B546D">
              <w:rPr>
                <w:rFonts w:cstheme="minorHAnsi"/>
                <w:color w:val="000000"/>
                <w:lang w:val="en-MY"/>
              </w:rPr>
              <w:t>Salaries, bonuses and allowances</w:t>
            </w:r>
          </w:p>
        </w:tc>
        <w:tc>
          <w:tcPr>
            <w:tcW w:w="239" w:type="dxa"/>
            <w:vAlign w:val="bottom"/>
          </w:tcPr>
          <w:p w14:paraId="61981CBC"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color w:val="000000"/>
              </w:rPr>
            </w:pPr>
          </w:p>
        </w:tc>
        <w:tc>
          <w:tcPr>
            <w:tcW w:w="974" w:type="dxa"/>
            <w:vAlign w:val="bottom"/>
          </w:tcPr>
          <w:p w14:paraId="239332E3"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lang w:val="en-MY"/>
              </w:rPr>
            </w:pPr>
          </w:p>
        </w:tc>
        <w:tc>
          <w:tcPr>
            <w:tcW w:w="1701" w:type="dxa"/>
            <w:vAlign w:val="bottom"/>
          </w:tcPr>
          <w:p w14:paraId="6113F917"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lang w:val="en-MY"/>
              </w:rPr>
            </w:pPr>
            <w:r w:rsidRPr="009B546D">
              <w:rPr>
                <w:rFonts w:cstheme="minorHAnsi"/>
                <w:color w:val="000000"/>
                <w:lang w:val="en-MY"/>
              </w:rPr>
              <w:t>281,462</w:t>
            </w:r>
          </w:p>
        </w:tc>
      </w:tr>
      <w:tr w:rsidR="001C6F66" w:rsidRPr="009B546D" w14:paraId="4C98D882" w14:textId="77777777" w:rsidTr="00EA2BB6">
        <w:trPr>
          <w:trHeight w:val="278"/>
        </w:trPr>
        <w:tc>
          <w:tcPr>
            <w:tcW w:w="5582" w:type="dxa"/>
            <w:vAlign w:val="bottom"/>
          </w:tcPr>
          <w:p w14:paraId="1F0CB050" w14:textId="77777777" w:rsidR="001C6F66" w:rsidRPr="009B546D" w:rsidRDefault="001C6F66" w:rsidP="00F432B9">
            <w:pPr>
              <w:tabs>
                <w:tab w:val="left" w:pos="288"/>
              </w:tabs>
              <w:autoSpaceDE w:val="0"/>
              <w:autoSpaceDN w:val="0"/>
              <w:adjustRightInd w:val="0"/>
              <w:spacing w:after="0" w:line="240" w:lineRule="auto"/>
              <w:rPr>
                <w:rFonts w:cstheme="minorHAnsi"/>
                <w:color w:val="000000"/>
                <w:lang w:val="en-MY"/>
              </w:rPr>
            </w:pPr>
            <w:r w:rsidRPr="009B546D">
              <w:rPr>
                <w:rFonts w:cstheme="minorHAnsi"/>
                <w:color w:val="000000"/>
                <w:lang w:val="en-MY"/>
              </w:rPr>
              <w:t>Contribution to defined contribution plan</w:t>
            </w:r>
          </w:p>
        </w:tc>
        <w:tc>
          <w:tcPr>
            <w:tcW w:w="239" w:type="dxa"/>
            <w:tcBorders>
              <w:top w:val="nil"/>
              <w:left w:val="nil"/>
              <w:right w:val="nil"/>
            </w:tcBorders>
            <w:vAlign w:val="bottom"/>
          </w:tcPr>
          <w:p w14:paraId="44D4BBF6"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color w:val="000000"/>
              </w:rPr>
            </w:pPr>
          </w:p>
        </w:tc>
        <w:tc>
          <w:tcPr>
            <w:tcW w:w="974" w:type="dxa"/>
            <w:vAlign w:val="bottom"/>
          </w:tcPr>
          <w:p w14:paraId="303BB079"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lang w:val="en-MY"/>
              </w:rPr>
            </w:pPr>
          </w:p>
        </w:tc>
        <w:tc>
          <w:tcPr>
            <w:tcW w:w="1701" w:type="dxa"/>
            <w:vAlign w:val="bottom"/>
          </w:tcPr>
          <w:p w14:paraId="7CEDDF34"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lang w:val="en-MY"/>
              </w:rPr>
            </w:pPr>
            <w:r w:rsidRPr="009B546D">
              <w:rPr>
                <w:rFonts w:cstheme="minorHAnsi"/>
                <w:color w:val="000000"/>
                <w:lang w:val="en-MY"/>
              </w:rPr>
              <w:t>27,979</w:t>
            </w:r>
          </w:p>
        </w:tc>
      </w:tr>
      <w:tr w:rsidR="001C6F66" w:rsidRPr="009B546D" w14:paraId="074463F6" w14:textId="77777777" w:rsidTr="00EA2BB6">
        <w:trPr>
          <w:trHeight w:val="278"/>
        </w:trPr>
        <w:tc>
          <w:tcPr>
            <w:tcW w:w="5582" w:type="dxa"/>
            <w:vAlign w:val="bottom"/>
          </w:tcPr>
          <w:p w14:paraId="1EB6CE91" w14:textId="77777777" w:rsidR="001C6F66" w:rsidRPr="009B546D" w:rsidRDefault="001C6F66" w:rsidP="00F432B9">
            <w:pPr>
              <w:tabs>
                <w:tab w:val="left" w:pos="288"/>
              </w:tabs>
              <w:autoSpaceDE w:val="0"/>
              <w:autoSpaceDN w:val="0"/>
              <w:adjustRightInd w:val="0"/>
              <w:spacing w:after="0" w:line="240" w:lineRule="auto"/>
              <w:rPr>
                <w:rFonts w:cstheme="minorHAnsi"/>
                <w:color w:val="000000"/>
                <w:lang w:val="en-MY"/>
              </w:rPr>
            </w:pPr>
            <w:r w:rsidRPr="009B546D">
              <w:rPr>
                <w:rFonts w:cstheme="minorHAnsi"/>
                <w:color w:val="000000"/>
                <w:lang w:val="en-MY"/>
              </w:rPr>
              <w:t>Other employee benefits</w:t>
            </w:r>
          </w:p>
        </w:tc>
        <w:tc>
          <w:tcPr>
            <w:tcW w:w="239" w:type="dxa"/>
            <w:tcBorders>
              <w:top w:val="nil"/>
              <w:left w:val="nil"/>
              <w:right w:val="nil"/>
            </w:tcBorders>
            <w:vAlign w:val="bottom"/>
          </w:tcPr>
          <w:p w14:paraId="661F5442"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color w:val="000000"/>
              </w:rPr>
            </w:pPr>
          </w:p>
        </w:tc>
        <w:tc>
          <w:tcPr>
            <w:tcW w:w="974" w:type="dxa"/>
            <w:vAlign w:val="bottom"/>
          </w:tcPr>
          <w:p w14:paraId="5AF06209"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lang w:val="en-MY"/>
              </w:rPr>
            </w:pPr>
          </w:p>
        </w:tc>
        <w:tc>
          <w:tcPr>
            <w:tcW w:w="1701" w:type="dxa"/>
            <w:tcBorders>
              <w:bottom w:val="single" w:sz="4" w:space="0" w:color="auto"/>
            </w:tcBorders>
            <w:vAlign w:val="bottom"/>
          </w:tcPr>
          <w:p w14:paraId="52EDC8FD"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lang w:val="en-MY"/>
              </w:rPr>
            </w:pPr>
            <w:r w:rsidRPr="009B546D">
              <w:rPr>
                <w:rFonts w:cstheme="minorHAnsi"/>
                <w:color w:val="000000"/>
                <w:lang w:val="en-MY"/>
              </w:rPr>
              <w:t>3,004</w:t>
            </w:r>
          </w:p>
        </w:tc>
      </w:tr>
      <w:tr w:rsidR="001C6F66" w:rsidRPr="009B546D" w14:paraId="69C9877C" w14:textId="77777777" w:rsidTr="00EA2BB6">
        <w:trPr>
          <w:trHeight w:val="165"/>
        </w:trPr>
        <w:tc>
          <w:tcPr>
            <w:tcW w:w="5582" w:type="dxa"/>
            <w:vAlign w:val="bottom"/>
          </w:tcPr>
          <w:p w14:paraId="65BB83DF" w14:textId="77777777" w:rsidR="001C6F66" w:rsidRPr="009B546D" w:rsidRDefault="001C6F66" w:rsidP="00F432B9">
            <w:pPr>
              <w:tabs>
                <w:tab w:val="left" w:pos="288"/>
              </w:tabs>
              <w:autoSpaceDE w:val="0"/>
              <w:autoSpaceDN w:val="0"/>
              <w:adjustRightInd w:val="0"/>
              <w:spacing w:after="0" w:line="240" w:lineRule="auto"/>
              <w:rPr>
                <w:rFonts w:cstheme="minorHAnsi"/>
                <w:color w:val="000000"/>
                <w:lang w:val="en-MY"/>
              </w:rPr>
            </w:pPr>
          </w:p>
        </w:tc>
        <w:tc>
          <w:tcPr>
            <w:tcW w:w="239" w:type="dxa"/>
            <w:tcBorders>
              <w:left w:val="nil"/>
              <w:right w:val="nil"/>
            </w:tcBorders>
            <w:vAlign w:val="bottom"/>
          </w:tcPr>
          <w:p w14:paraId="65BEE1FE"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color w:val="000000"/>
              </w:rPr>
            </w:pPr>
          </w:p>
        </w:tc>
        <w:tc>
          <w:tcPr>
            <w:tcW w:w="974" w:type="dxa"/>
            <w:vAlign w:val="bottom"/>
          </w:tcPr>
          <w:p w14:paraId="66F0C143" w14:textId="77777777" w:rsidR="001C6F66" w:rsidRPr="009B546D" w:rsidRDefault="001C6F66" w:rsidP="00F432B9">
            <w:pPr>
              <w:autoSpaceDE w:val="0"/>
              <w:autoSpaceDN w:val="0"/>
              <w:adjustRightInd w:val="0"/>
              <w:spacing w:after="0" w:line="240" w:lineRule="auto"/>
              <w:jc w:val="right"/>
              <w:rPr>
                <w:rFonts w:cstheme="minorHAnsi"/>
                <w:color w:val="000000"/>
                <w:lang w:val="en-MY"/>
              </w:rPr>
            </w:pPr>
          </w:p>
        </w:tc>
        <w:tc>
          <w:tcPr>
            <w:tcW w:w="1701" w:type="dxa"/>
            <w:tcBorders>
              <w:top w:val="single" w:sz="4" w:space="0" w:color="auto"/>
              <w:left w:val="nil"/>
              <w:bottom w:val="double" w:sz="6" w:space="0" w:color="auto"/>
              <w:right w:val="nil"/>
            </w:tcBorders>
            <w:vAlign w:val="bottom"/>
          </w:tcPr>
          <w:p w14:paraId="3D330813"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r w:rsidRPr="009B546D">
              <w:rPr>
                <w:rFonts w:cstheme="minorHAnsi"/>
                <w:color w:val="000000"/>
              </w:rPr>
              <w:t>312,445</w:t>
            </w:r>
          </w:p>
        </w:tc>
      </w:tr>
    </w:tbl>
    <w:p w14:paraId="735F7DEE" w14:textId="77777777" w:rsidR="001C6F66" w:rsidRPr="009B546D" w:rsidRDefault="001C6F66" w:rsidP="00F432B9">
      <w:pPr>
        <w:spacing w:after="0" w:line="240" w:lineRule="auto"/>
        <w:rPr>
          <w:rFonts w:cstheme="minorHAnsi"/>
          <w:b/>
          <w:caps/>
        </w:rPr>
      </w:pPr>
      <w:r w:rsidRPr="009B546D">
        <w:rPr>
          <w:rFonts w:cstheme="minorHAnsi"/>
          <w:b/>
          <w:caps/>
        </w:rPr>
        <w:t xml:space="preserve"> </w:t>
      </w:r>
    </w:p>
    <w:p w14:paraId="316F0428" w14:textId="77777777" w:rsidR="001C6F66" w:rsidRPr="009B546D" w:rsidRDefault="001C6F66" w:rsidP="00F432B9">
      <w:pPr>
        <w:spacing w:after="0" w:line="240" w:lineRule="auto"/>
        <w:ind w:left="576"/>
        <w:rPr>
          <w:rFonts w:cstheme="minorHAnsi"/>
        </w:rPr>
      </w:pPr>
      <w:r w:rsidRPr="009B546D">
        <w:rPr>
          <w:rFonts w:cstheme="minorHAnsi"/>
        </w:rPr>
        <w:t xml:space="preserve">The number of employees of Alchemist at </w:t>
      </w:r>
      <w:r w:rsidRPr="009B546D">
        <w:rPr>
          <w:rFonts w:cstheme="minorHAnsi"/>
        </w:rPr>
        <w:fldChar w:fldCharType="begin"/>
      </w:r>
      <w:r w:rsidRPr="009B546D">
        <w:rPr>
          <w:rFonts w:cstheme="minorHAnsi"/>
        </w:rPr>
        <w:instrText xml:space="preserve"> DOCPROPERTY  "Ac as at" \* MERGEFORMAT </w:instrText>
      </w:r>
      <w:r w:rsidRPr="009B546D">
        <w:rPr>
          <w:rFonts w:cstheme="minorHAnsi"/>
        </w:rPr>
        <w:fldChar w:fldCharType="separate"/>
      </w:r>
      <w:r w:rsidRPr="009B546D">
        <w:rPr>
          <w:rFonts w:cstheme="minorHAnsi"/>
        </w:rPr>
        <w:t>30 April 2019</w:t>
      </w:r>
      <w:r w:rsidRPr="009B546D">
        <w:rPr>
          <w:rFonts w:cstheme="minorHAnsi"/>
        </w:rPr>
        <w:fldChar w:fldCharType="end"/>
      </w:r>
      <w:r w:rsidRPr="00384557">
        <w:rPr>
          <w:rFonts w:cstheme="minorHAnsi"/>
        </w:rPr>
        <w:t xml:space="preserve"> was nine. </w:t>
      </w:r>
    </w:p>
    <w:p w14:paraId="0AFF2D34" w14:textId="77777777" w:rsidR="001C6F66" w:rsidRPr="009B546D" w:rsidRDefault="001C6F66" w:rsidP="00496B89">
      <w:pPr>
        <w:keepNext/>
        <w:keepLines/>
        <w:numPr>
          <w:ilvl w:val="1"/>
          <w:numId w:val="35"/>
        </w:numPr>
        <w:tabs>
          <w:tab w:val="left" w:pos="1152"/>
        </w:tabs>
        <w:spacing w:after="0" w:line="240" w:lineRule="auto"/>
        <w:rPr>
          <w:rFonts w:cstheme="minorHAnsi"/>
          <w:b/>
          <w:smallCaps/>
        </w:rPr>
      </w:pPr>
      <w:r w:rsidRPr="009B546D">
        <w:rPr>
          <w:rFonts w:cstheme="minorHAnsi"/>
          <w:b/>
          <w:smallCaps/>
        </w:rPr>
        <w:t xml:space="preserve">Compensation of key management personnel of Alchemist is as follows: </w:t>
      </w:r>
    </w:p>
    <w:tbl>
      <w:tblPr>
        <w:tblW w:w="8364" w:type="dxa"/>
        <w:tblInd w:w="567" w:type="dxa"/>
        <w:tblLayout w:type="fixed"/>
        <w:tblLook w:val="04A0" w:firstRow="1" w:lastRow="0" w:firstColumn="1" w:lastColumn="0" w:noHBand="0" w:noVBand="1"/>
      </w:tblPr>
      <w:tblGrid>
        <w:gridCol w:w="5481"/>
        <w:gridCol w:w="473"/>
        <w:gridCol w:w="709"/>
        <w:gridCol w:w="1701"/>
      </w:tblGrid>
      <w:tr w:rsidR="001C6F66" w:rsidRPr="009B546D" w14:paraId="0081CB2F" w14:textId="77777777" w:rsidTr="00EA2BB6">
        <w:trPr>
          <w:trHeight w:val="278"/>
          <w:tblHeader/>
        </w:trPr>
        <w:tc>
          <w:tcPr>
            <w:tcW w:w="5481" w:type="dxa"/>
            <w:vAlign w:val="bottom"/>
          </w:tcPr>
          <w:p w14:paraId="7A75DFFB"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473" w:type="dxa"/>
          </w:tcPr>
          <w:p w14:paraId="171E93F3" w14:textId="77777777" w:rsidR="001C6F66" w:rsidRPr="009B546D" w:rsidRDefault="001C6F66" w:rsidP="00F432B9">
            <w:pPr>
              <w:spacing w:after="0" w:line="240" w:lineRule="auto"/>
              <w:jc w:val="center"/>
              <w:rPr>
                <w:rFonts w:cstheme="minorHAnsi"/>
                <w:b/>
              </w:rPr>
            </w:pPr>
          </w:p>
        </w:tc>
        <w:tc>
          <w:tcPr>
            <w:tcW w:w="709" w:type="dxa"/>
          </w:tcPr>
          <w:p w14:paraId="0B1E9D2F" w14:textId="77777777" w:rsidR="001C6F66" w:rsidRPr="009B546D" w:rsidRDefault="001C6F66" w:rsidP="00F432B9">
            <w:pPr>
              <w:spacing w:after="0" w:line="240" w:lineRule="auto"/>
              <w:jc w:val="center"/>
              <w:rPr>
                <w:rFonts w:cstheme="minorHAnsi"/>
                <w:b/>
              </w:rPr>
            </w:pPr>
          </w:p>
        </w:tc>
        <w:tc>
          <w:tcPr>
            <w:tcW w:w="1701" w:type="dxa"/>
            <w:hideMark/>
          </w:tcPr>
          <w:p w14:paraId="3080C7A0" w14:textId="77777777" w:rsidR="001C6F66" w:rsidRPr="009B546D" w:rsidRDefault="001C6F66" w:rsidP="00F432B9">
            <w:pPr>
              <w:spacing w:after="0" w:line="240" w:lineRule="auto"/>
              <w:jc w:val="right"/>
              <w:rPr>
                <w:rFonts w:cstheme="minorHAnsi"/>
                <w:b/>
                <w:bCs/>
                <w:color w:val="000000"/>
              </w:rPr>
            </w:pPr>
            <w:r w:rsidRPr="009B546D">
              <w:rPr>
                <w:rFonts w:cstheme="minorHAnsi"/>
                <w:b/>
                <w:bCs/>
                <w:color w:val="000000"/>
              </w:rPr>
              <w:t>Period from</w:t>
            </w:r>
          </w:p>
          <w:p w14:paraId="33CB8A81" w14:textId="77777777" w:rsidR="00EA2BB6" w:rsidRDefault="001C6F66" w:rsidP="00EA2BB6">
            <w:pPr>
              <w:spacing w:after="0" w:line="240" w:lineRule="auto"/>
              <w:jc w:val="right"/>
              <w:rPr>
                <w:rFonts w:cstheme="minorHAnsi"/>
                <w:b/>
                <w:bCs/>
                <w:color w:val="000000"/>
              </w:rPr>
            </w:pPr>
            <w:r w:rsidRPr="009B546D">
              <w:rPr>
                <w:rFonts w:cstheme="minorHAnsi"/>
                <w:b/>
                <w:bCs/>
                <w:color w:val="000000"/>
              </w:rPr>
              <w:t>17 April 2018</w:t>
            </w:r>
          </w:p>
          <w:p w14:paraId="7D1A998E" w14:textId="1CE81646" w:rsidR="001C6F66" w:rsidRPr="00270393" w:rsidRDefault="001C6F66" w:rsidP="00270393">
            <w:pPr>
              <w:spacing w:after="0" w:line="240" w:lineRule="auto"/>
              <w:jc w:val="right"/>
              <w:rPr>
                <w:rFonts w:cstheme="minorHAnsi"/>
                <w:b/>
                <w:bCs/>
                <w:color w:val="000000"/>
              </w:rPr>
            </w:pPr>
            <w:r w:rsidRPr="009B546D">
              <w:rPr>
                <w:rFonts w:cstheme="minorHAnsi"/>
                <w:b/>
                <w:bCs/>
                <w:color w:val="000000"/>
              </w:rPr>
              <w:t>to 30 April</w:t>
            </w:r>
            <w:r w:rsidR="00270393">
              <w:rPr>
                <w:rFonts w:cstheme="minorHAnsi"/>
                <w:b/>
                <w:bCs/>
                <w:color w:val="000000"/>
              </w:rPr>
              <w:t xml:space="preserve"> </w:t>
            </w:r>
            <w:r w:rsidRPr="009B546D">
              <w:rPr>
                <w:rFonts w:cstheme="minorHAnsi"/>
                <w:b/>
                <w:bCs/>
                <w:color w:val="000000"/>
              </w:rPr>
              <w:t>2019</w:t>
            </w:r>
          </w:p>
        </w:tc>
      </w:tr>
      <w:tr w:rsidR="001C6F66" w:rsidRPr="009B546D" w14:paraId="385EC72E" w14:textId="77777777" w:rsidTr="00EA2BB6">
        <w:trPr>
          <w:trHeight w:val="278"/>
          <w:tblHeader/>
        </w:trPr>
        <w:tc>
          <w:tcPr>
            <w:tcW w:w="5481" w:type="dxa"/>
            <w:vAlign w:val="bottom"/>
          </w:tcPr>
          <w:p w14:paraId="0E5C8173"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473" w:type="dxa"/>
            <w:vAlign w:val="bottom"/>
          </w:tcPr>
          <w:p w14:paraId="0DDED52D" w14:textId="77777777" w:rsidR="001C6F66" w:rsidRPr="009B546D" w:rsidRDefault="001C6F66" w:rsidP="00F432B9">
            <w:pPr>
              <w:spacing w:after="0" w:line="240" w:lineRule="auto"/>
              <w:jc w:val="center"/>
              <w:rPr>
                <w:rFonts w:cstheme="minorHAnsi"/>
                <w:b/>
              </w:rPr>
            </w:pPr>
          </w:p>
        </w:tc>
        <w:tc>
          <w:tcPr>
            <w:tcW w:w="709" w:type="dxa"/>
            <w:vAlign w:val="bottom"/>
          </w:tcPr>
          <w:p w14:paraId="38A4C766" w14:textId="77777777" w:rsidR="001C6F66" w:rsidRPr="009B546D" w:rsidRDefault="001C6F66" w:rsidP="00F432B9">
            <w:pPr>
              <w:spacing w:after="0" w:line="240" w:lineRule="auto"/>
              <w:jc w:val="center"/>
              <w:rPr>
                <w:rFonts w:cstheme="minorHAnsi"/>
                <w:b/>
              </w:rPr>
            </w:pPr>
          </w:p>
        </w:tc>
        <w:tc>
          <w:tcPr>
            <w:tcW w:w="1701" w:type="dxa"/>
            <w:vAlign w:val="bottom"/>
            <w:hideMark/>
          </w:tcPr>
          <w:p w14:paraId="24825E0C" w14:textId="77777777" w:rsidR="001C6F66" w:rsidRPr="009B546D" w:rsidRDefault="001C6F66" w:rsidP="00F432B9">
            <w:pPr>
              <w:spacing w:after="0" w:line="240" w:lineRule="auto"/>
              <w:jc w:val="right"/>
              <w:rPr>
                <w:rFonts w:cstheme="minorHAnsi"/>
                <w:b/>
              </w:rPr>
            </w:pPr>
            <w:r w:rsidRPr="009B546D">
              <w:rPr>
                <w:rFonts w:cstheme="minorHAnsi"/>
                <w:b/>
              </w:rPr>
              <w:t>RM</w:t>
            </w:r>
          </w:p>
        </w:tc>
      </w:tr>
      <w:tr w:rsidR="001C6F66" w:rsidRPr="009B546D" w14:paraId="75FAF17C" w14:textId="77777777" w:rsidTr="00EA2BB6">
        <w:trPr>
          <w:trHeight w:val="278"/>
          <w:tblHeader/>
        </w:trPr>
        <w:tc>
          <w:tcPr>
            <w:tcW w:w="5481" w:type="dxa"/>
            <w:vAlign w:val="bottom"/>
          </w:tcPr>
          <w:p w14:paraId="270BFADE"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Directors remuneration:</w:t>
            </w:r>
          </w:p>
        </w:tc>
        <w:tc>
          <w:tcPr>
            <w:tcW w:w="473" w:type="dxa"/>
            <w:vAlign w:val="bottom"/>
          </w:tcPr>
          <w:p w14:paraId="11A3D13F" w14:textId="77777777" w:rsidR="001C6F66" w:rsidRPr="009B546D" w:rsidRDefault="001C6F66" w:rsidP="00F432B9">
            <w:pPr>
              <w:spacing w:after="0" w:line="240" w:lineRule="auto"/>
              <w:jc w:val="center"/>
              <w:rPr>
                <w:rFonts w:cstheme="minorHAnsi"/>
                <w:b/>
              </w:rPr>
            </w:pPr>
          </w:p>
        </w:tc>
        <w:tc>
          <w:tcPr>
            <w:tcW w:w="709" w:type="dxa"/>
            <w:vAlign w:val="bottom"/>
          </w:tcPr>
          <w:p w14:paraId="549F1303" w14:textId="77777777" w:rsidR="001C6F66" w:rsidRPr="009B546D" w:rsidRDefault="001C6F66" w:rsidP="00F432B9">
            <w:pPr>
              <w:spacing w:after="0" w:line="240" w:lineRule="auto"/>
              <w:jc w:val="center"/>
              <w:rPr>
                <w:rFonts w:cstheme="minorHAnsi"/>
                <w:b/>
              </w:rPr>
            </w:pPr>
          </w:p>
        </w:tc>
        <w:tc>
          <w:tcPr>
            <w:tcW w:w="1701" w:type="dxa"/>
            <w:vAlign w:val="bottom"/>
          </w:tcPr>
          <w:p w14:paraId="75A92B9C" w14:textId="77777777" w:rsidR="001C6F66" w:rsidRPr="009B546D" w:rsidRDefault="001C6F66" w:rsidP="00F432B9">
            <w:pPr>
              <w:spacing w:after="0" w:line="240" w:lineRule="auto"/>
              <w:jc w:val="right"/>
              <w:rPr>
                <w:rFonts w:cstheme="minorHAnsi"/>
                <w:b/>
              </w:rPr>
            </w:pPr>
          </w:p>
        </w:tc>
      </w:tr>
      <w:tr w:rsidR="001C6F66" w:rsidRPr="009B546D" w14:paraId="721E50E9" w14:textId="77777777" w:rsidTr="00EA2BB6">
        <w:trPr>
          <w:trHeight w:val="372"/>
        </w:trPr>
        <w:tc>
          <w:tcPr>
            <w:tcW w:w="5481" w:type="dxa"/>
            <w:vAlign w:val="bottom"/>
          </w:tcPr>
          <w:p w14:paraId="370F1EF4"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Directors’ fee</w:t>
            </w:r>
          </w:p>
        </w:tc>
        <w:tc>
          <w:tcPr>
            <w:tcW w:w="473" w:type="dxa"/>
            <w:vAlign w:val="bottom"/>
          </w:tcPr>
          <w:p w14:paraId="5A2348B0"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709" w:type="dxa"/>
            <w:vAlign w:val="bottom"/>
          </w:tcPr>
          <w:p w14:paraId="16A85DCF" w14:textId="77777777" w:rsidR="001C6F66" w:rsidRPr="009B546D" w:rsidRDefault="001C6F66" w:rsidP="00F432B9">
            <w:pPr>
              <w:autoSpaceDE w:val="0"/>
              <w:autoSpaceDN w:val="0"/>
              <w:adjustRightInd w:val="0"/>
              <w:spacing w:after="0" w:line="240" w:lineRule="auto"/>
              <w:jc w:val="right"/>
              <w:rPr>
                <w:rFonts w:cstheme="minorHAnsi"/>
                <w:color w:val="000000"/>
              </w:rPr>
            </w:pPr>
          </w:p>
        </w:tc>
        <w:tc>
          <w:tcPr>
            <w:tcW w:w="1701" w:type="dxa"/>
            <w:tcBorders>
              <w:left w:val="nil"/>
              <w:bottom w:val="double" w:sz="6" w:space="0" w:color="auto"/>
              <w:right w:val="nil"/>
            </w:tcBorders>
            <w:vAlign w:val="bottom"/>
          </w:tcPr>
          <w:p w14:paraId="542387D1"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r w:rsidRPr="009B546D">
              <w:rPr>
                <w:rFonts w:cstheme="minorHAnsi"/>
                <w:color w:val="000000"/>
              </w:rPr>
              <w:t>24,000</w:t>
            </w:r>
          </w:p>
        </w:tc>
      </w:tr>
    </w:tbl>
    <w:p w14:paraId="101301BE" w14:textId="77777777" w:rsidR="001C6F66" w:rsidRPr="009B546D" w:rsidRDefault="001C6F66" w:rsidP="00F432B9">
      <w:pPr>
        <w:keepNext/>
        <w:keepLines/>
        <w:spacing w:after="240" w:line="240" w:lineRule="auto"/>
        <w:ind w:left="576"/>
        <w:rPr>
          <w:rFonts w:cstheme="minorHAnsi"/>
          <w:b/>
          <w:caps/>
        </w:rPr>
      </w:pPr>
    </w:p>
    <w:p w14:paraId="44369CAE" w14:textId="77777777" w:rsidR="001C6F66" w:rsidRPr="009B546D" w:rsidRDefault="001C6F66" w:rsidP="00496B89">
      <w:pPr>
        <w:keepNext/>
        <w:keepLines/>
        <w:numPr>
          <w:ilvl w:val="0"/>
          <w:numId w:val="42"/>
        </w:numPr>
        <w:spacing w:after="240" w:line="240" w:lineRule="auto"/>
        <w:rPr>
          <w:rFonts w:cstheme="minorHAnsi"/>
          <w:b/>
          <w:caps/>
        </w:rPr>
      </w:pPr>
      <w:r w:rsidRPr="009B546D">
        <w:rPr>
          <w:rFonts w:cstheme="minorHAnsi"/>
          <w:b/>
          <w:caps/>
        </w:rPr>
        <w:t>Administrative expenses</w:t>
      </w:r>
    </w:p>
    <w:tbl>
      <w:tblPr>
        <w:tblW w:w="8496" w:type="dxa"/>
        <w:tblInd w:w="576" w:type="dxa"/>
        <w:tblLayout w:type="fixed"/>
        <w:tblLook w:val="0000" w:firstRow="0" w:lastRow="0" w:firstColumn="0" w:lastColumn="0" w:noHBand="0" w:noVBand="0"/>
      </w:tblPr>
      <w:tblGrid>
        <w:gridCol w:w="5582"/>
        <w:gridCol w:w="239"/>
        <w:gridCol w:w="833"/>
        <w:gridCol w:w="1842"/>
      </w:tblGrid>
      <w:tr w:rsidR="001C6F66" w:rsidRPr="009B546D" w14:paraId="1D25B897" w14:textId="77777777" w:rsidTr="00EA2BB6">
        <w:trPr>
          <w:trHeight w:val="278"/>
          <w:tblHeader/>
        </w:trPr>
        <w:tc>
          <w:tcPr>
            <w:tcW w:w="5582" w:type="dxa"/>
            <w:tcBorders>
              <w:top w:val="nil"/>
              <w:left w:val="nil"/>
              <w:bottom w:val="nil"/>
              <w:right w:val="nil"/>
            </w:tcBorders>
            <w:shd w:val="clear" w:color="auto" w:fill="auto"/>
            <w:vAlign w:val="bottom"/>
          </w:tcPr>
          <w:p w14:paraId="7E25A410"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239" w:type="dxa"/>
            <w:tcBorders>
              <w:top w:val="nil"/>
              <w:left w:val="nil"/>
              <w:bottom w:val="nil"/>
              <w:right w:val="nil"/>
            </w:tcBorders>
            <w:shd w:val="clear" w:color="auto" w:fill="auto"/>
            <w:vAlign w:val="bottom"/>
          </w:tcPr>
          <w:p w14:paraId="0513E663"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b/>
                <w:bCs/>
                <w:color w:val="000000"/>
              </w:rPr>
            </w:pPr>
          </w:p>
        </w:tc>
        <w:tc>
          <w:tcPr>
            <w:tcW w:w="833" w:type="dxa"/>
            <w:tcBorders>
              <w:top w:val="nil"/>
              <w:left w:val="nil"/>
              <w:bottom w:val="nil"/>
              <w:right w:val="nil"/>
            </w:tcBorders>
            <w:shd w:val="clear" w:color="auto" w:fill="auto"/>
            <w:vAlign w:val="bottom"/>
          </w:tcPr>
          <w:p w14:paraId="677A1F15" w14:textId="77777777" w:rsidR="001C6F66" w:rsidRPr="009B546D" w:rsidRDefault="001C6F66" w:rsidP="00F432B9">
            <w:pPr>
              <w:tabs>
                <w:tab w:val="left" w:pos="288"/>
              </w:tabs>
              <w:autoSpaceDE w:val="0"/>
              <w:autoSpaceDN w:val="0"/>
              <w:adjustRightInd w:val="0"/>
              <w:spacing w:after="0" w:line="240" w:lineRule="auto"/>
              <w:jc w:val="center"/>
              <w:rPr>
                <w:rFonts w:cstheme="minorHAnsi"/>
                <w:b/>
                <w:bCs/>
                <w:color w:val="000000"/>
              </w:rPr>
            </w:pPr>
          </w:p>
        </w:tc>
        <w:tc>
          <w:tcPr>
            <w:tcW w:w="1842" w:type="dxa"/>
            <w:tcBorders>
              <w:top w:val="nil"/>
              <w:left w:val="nil"/>
              <w:right w:val="nil"/>
            </w:tcBorders>
            <w:shd w:val="clear" w:color="auto" w:fill="auto"/>
            <w:vAlign w:val="bottom"/>
          </w:tcPr>
          <w:p w14:paraId="53074E88"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Period from</w:t>
            </w:r>
          </w:p>
          <w:p w14:paraId="5A5C9271"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 xml:space="preserve">17 April 2018 </w:t>
            </w:r>
          </w:p>
          <w:p w14:paraId="2C6AED7E"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to 30 April 2019</w:t>
            </w:r>
          </w:p>
        </w:tc>
      </w:tr>
      <w:tr w:rsidR="001C6F66" w:rsidRPr="009B546D" w14:paraId="3BD55758" w14:textId="77777777" w:rsidTr="00EA2BB6">
        <w:trPr>
          <w:trHeight w:val="278"/>
          <w:tblHeader/>
        </w:trPr>
        <w:tc>
          <w:tcPr>
            <w:tcW w:w="5582" w:type="dxa"/>
            <w:tcBorders>
              <w:top w:val="nil"/>
              <w:left w:val="nil"/>
              <w:bottom w:val="nil"/>
              <w:right w:val="nil"/>
            </w:tcBorders>
            <w:shd w:val="clear" w:color="auto" w:fill="auto"/>
            <w:vAlign w:val="bottom"/>
          </w:tcPr>
          <w:p w14:paraId="4B274D13"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239" w:type="dxa"/>
            <w:tcBorders>
              <w:top w:val="nil"/>
              <w:left w:val="nil"/>
              <w:bottom w:val="nil"/>
              <w:right w:val="nil"/>
            </w:tcBorders>
            <w:shd w:val="clear" w:color="auto" w:fill="auto"/>
            <w:vAlign w:val="bottom"/>
          </w:tcPr>
          <w:p w14:paraId="3DC4B209"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b/>
                <w:bCs/>
                <w:color w:val="000000"/>
              </w:rPr>
            </w:pPr>
          </w:p>
        </w:tc>
        <w:tc>
          <w:tcPr>
            <w:tcW w:w="833" w:type="dxa"/>
            <w:tcBorders>
              <w:top w:val="nil"/>
              <w:left w:val="nil"/>
              <w:bottom w:val="nil"/>
              <w:right w:val="nil"/>
            </w:tcBorders>
            <w:shd w:val="clear" w:color="auto" w:fill="auto"/>
            <w:vAlign w:val="bottom"/>
          </w:tcPr>
          <w:p w14:paraId="3DEEDED5" w14:textId="77777777" w:rsidR="001C6F66" w:rsidRPr="009B546D" w:rsidRDefault="001C6F66" w:rsidP="00F432B9">
            <w:pPr>
              <w:tabs>
                <w:tab w:val="left" w:pos="288"/>
              </w:tabs>
              <w:autoSpaceDE w:val="0"/>
              <w:autoSpaceDN w:val="0"/>
              <w:adjustRightInd w:val="0"/>
              <w:spacing w:after="0" w:line="240" w:lineRule="auto"/>
              <w:jc w:val="center"/>
              <w:rPr>
                <w:rFonts w:cstheme="minorHAnsi"/>
                <w:b/>
                <w:bCs/>
                <w:color w:val="000000"/>
              </w:rPr>
            </w:pPr>
          </w:p>
        </w:tc>
        <w:tc>
          <w:tcPr>
            <w:tcW w:w="1842" w:type="dxa"/>
            <w:tcBorders>
              <w:top w:val="nil"/>
              <w:left w:val="nil"/>
              <w:right w:val="nil"/>
            </w:tcBorders>
            <w:shd w:val="clear" w:color="auto" w:fill="auto"/>
            <w:vAlign w:val="bottom"/>
          </w:tcPr>
          <w:p w14:paraId="0FE769DF"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RM</w:t>
            </w:r>
          </w:p>
        </w:tc>
      </w:tr>
      <w:tr w:rsidR="001C6F66" w:rsidRPr="009B546D" w14:paraId="709EF63A" w14:textId="77777777" w:rsidTr="00EA2BB6">
        <w:trPr>
          <w:trHeight w:val="278"/>
        </w:trPr>
        <w:tc>
          <w:tcPr>
            <w:tcW w:w="5582" w:type="dxa"/>
            <w:tcBorders>
              <w:top w:val="nil"/>
              <w:left w:val="nil"/>
              <w:bottom w:val="nil"/>
              <w:right w:val="nil"/>
            </w:tcBorders>
            <w:shd w:val="clear" w:color="auto" w:fill="auto"/>
            <w:vAlign w:val="bottom"/>
          </w:tcPr>
          <w:p w14:paraId="0284A1D1" w14:textId="77777777" w:rsidR="001C6F66" w:rsidRPr="009B546D" w:rsidRDefault="001C6F66" w:rsidP="00F432B9">
            <w:pPr>
              <w:tabs>
                <w:tab w:val="left" w:pos="288"/>
              </w:tabs>
              <w:autoSpaceDE w:val="0"/>
              <w:autoSpaceDN w:val="0"/>
              <w:adjustRightInd w:val="0"/>
              <w:spacing w:after="0" w:line="240" w:lineRule="auto"/>
              <w:rPr>
                <w:rFonts w:cstheme="minorHAnsi"/>
                <w:bCs/>
                <w:color w:val="000000"/>
              </w:rPr>
            </w:pPr>
            <w:r w:rsidRPr="009B546D">
              <w:rPr>
                <w:rFonts w:cstheme="minorHAnsi"/>
                <w:bCs/>
                <w:color w:val="000000"/>
              </w:rPr>
              <w:t>Consultancy fees</w:t>
            </w:r>
          </w:p>
        </w:tc>
        <w:tc>
          <w:tcPr>
            <w:tcW w:w="239" w:type="dxa"/>
            <w:tcBorders>
              <w:top w:val="nil"/>
              <w:left w:val="nil"/>
              <w:right w:val="nil"/>
            </w:tcBorders>
            <w:shd w:val="clear" w:color="auto" w:fill="auto"/>
            <w:vAlign w:val="bottom"/>
          </w:tcPr>
          <w:p w14:paraId="3540700C"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833" w:type="dxa"/>
            <w:tcBorders>
              <w:top w:val="nil"/>
              <w:left w:val="nil"/>
              <w:bottom w:val="nil"/>
              <w:right w:val="nil"/>
            </w:tcBorders>
            <w:shd w:val="clear" w:color="auto" w:fill="auto"/>
            <w:vAlign w:val="bottom"/>
          </w:tcPr>
          <w:p w14:paraId="04173AC8"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842" w:type="dxa"/>
            <w:tcBorders>
              <w:top w:val="nil"/>
              <w:left w:val="nil"/>
              <w:right w:val="nil"/>
            </w:tcBorders>
            <w:shd w:val="clear" w:color="auto" w:fill="auto"/>
            <w:vAlign w:val="bottom"/>
          </w:tcPr>
          <w:p w14:paraId="0A36BA8A"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r w:rsidRPr="009B546D">
              <w:rPr>
                <w:rFonts w:cstheme="minorHAnsi"/>
                <w:color w:val="000000"/>
              </w:rPr>
              <w:t>80,000</w:t>
            </w:r>
          </w:p>
        </w:tc>
      </w:tr>
      <w:tr w:rsidR="00D04030" w:rsidRPr="009B546D" w14:paraId="0BEEB736" w14:textId="77777777" w:rsidTr="00EA2BB6">
        <w:trPr>
          <w:trHeight w:val="278"/>
        </w:trPr>
        <w:tc>
          <w:tcPr>
            <w:tcW w:w="5582" w:type="dxa"/>
            <w:tcBorders>
              <w:top w:val="nil"/>
              <w:left w:val="nil"/>
              <w:bottom w:val="nil"/>
              <w:right w:val="nil"/>
            </w:tcBorders>
            <w:shd w:val="clear" w:color="auto" w:fill="auto"/>
            <w:vAlign w:val="bottom"/>
          </w:tcPr>
          <w:p w14:paraId="507C63C7" w14:textId="06E8A7C3" w:rsidR="00D04030" w:rsidRPr="009B546D" w:rsidRDefault="00D04030" w:rsidP="00F432B9">
            <w:pPr>
              <w:tabs>
                <w:tab w:val="left" w:pos="288"/>
              </w:tabs>
              <w:autoSpaceDE w:val="0"/>
              <w:autoSpaceDN w:val="0"/>
              <w:adjustRightInd w:val="0"/>
              <w:spacing w:after="0" w:line="240" w:lineRule="auto"/>
              <w:rPr>
                <w:rFonts w:cstheme="minorHAnsi"/>
                <w:bCs/>
                <w:color w:val="000000"/>
              </w:rPr>
            </w:pPr>
            <w:r>
              <w:rPr>
                <w:rFonts w:cstheme="minorHAnsi"/>
                <w:bCs/>
                <w:color w:val="000000"/>
              </w:rPr>
              <w:t>Payroll expense - administrative</w:t>
            </w:r>
          </w:p>
        </w:tc>
        <w:tc>
          <w:tcPr>
            <w:tcW w:w="239" w:type="dxa"/>
            <w:tcBorders>
              <w:top w:val="nil"/>
              <w:left w:val="nil"/>
              <w:right w:val="nil"/>
            </w:tcBorders>
            <w:shd w:val="clear" w:color="auto" w:fill="auto"/>
            <w:vAlign w:val="bottom"/>
          </w:tcPr>
          <w:p w14:paraId="4F0CA1A2" w14:textId="77777777" w:rsidR="00D04030" w:rsidRPr="009B546D" w:rsidRDefault="00D04030" w:rsidP="00F432B9">
            <w:pPr>
              <w:tabs>
                <w:tab w:val="left" w:pos="288"/>
              </w:tabs>
              <w:autoSpaceDE w:val="0"/>
              <w:autoSpaceDN w:val="0"/>
              <w:adjustRightInd w:val="0"/>
              <w:spacing w:after="0" w:line="240" w:lineRule="auto"/>
              <w:jc w:val="right"/>
              <w:rPr>
                <w:rFonts w:cstheme="minorHAnsi"/>
                <w:color w:val="000000"/>
              </w:rPr>
            </w:pPr>
          </w:p>
        </w:tc>
        <w:tc>
          <w:tcPr>
            <w:tcW w:w="833" w:type="dxa"/>
            <w:tcBorders>
              <w:top w:val="nil"/>
              <w:left w:val="nil"/>
              <w:bottom w:val="nil"/>
              <w:right w:val="nil"/>
            </w:tcBorders>
            <w:shd w:val="clear" w:color="auto" w:fill="auto"/>
            <w:vAlign w:val="bottom"/>
          </w:tcPr>
          <w:p w14:paraId="32A1A39C" w14:textId="77777777" w:rsidR="00D04030" w:rsidRPr="009B546D" w:rsidRDefault="00D04030" w:rsidP="00F432B9">
            <w:pPr>
              <w:tabs>
                <w:tab w:val="left" w:pos="288"/>
              </w:tabs>
              <w:autoSpaceDE w:val="0"/>
              <w:autoSpaceDN w:val="0"/>
              <w:adjustRightInd w:val="0"/>
              <w:spacing w:after="0" w:line="240" w:lineRule="auto"/>
              <w:jc w:val="right"/>
              <w:rPr>
                <w:rFonts w:cstheme="minorHAnsi"/>
                <w:color w:val="000000"/>
              </w:rPr>
            </w:pPr>
          </w:p>
        </w:tc>
        <w:tc>
          <w:tcPr>
            <w:tcW w:w="1842" w:type="dxa"/>
            <w:tcBorders>
              <w:top w:val="nil"/>
              <w:left w:val="nil"/>
              <w:right w:val="nil"/>
            </w:tcBorders>
            <w:shd w:val="clear" w:color="auto" w:fill="auto"/>
            <w:vAlign w:val="bottom"/>
          </w:tcPr>
          <w:p w14:paraId="7E0E76C1" w14:textId="73B2CB30" w:rsidR="00D04030" w:rsidRPr="009B546D" w:rsidRDefault="00D04030" w:rsidP="00F432B9">
            <w:pPr>
              <w:tabs>
                <w:tab w:val="left" w:pos="288"/>
              </w:tabs>
              <w:autoSpaceDE w:val="0"/>
              <w:autoSpaceDN w:val="0"/>
              <w:adjustRightInd w:val="0"/>
              <w:spacing w:after="0" w:line="240" w:lineRule="auto"/>
              <w:jc w:val="right"/>
              <w:rPr>
                <w:rFonts w:cstheme="minorHAnsi"/>
                <w:color w:val="000000"/>
              </w:rPr>
            </w:pPr>
            <w:r>
              <w:rPr>
                <w:rFonts w:cstheme="minorHAnsi"/>
                <w:color w:val="000000"/>
              </w:rPr>
              <w:t>66,103</w:t>
            </w:r>
          </w:p>
        </w:tc>
      </w:tr>
      <w:tr w:rsidR="001C6F66" w:rsidRPr="009B546D" w14:paraId="74B9825A" w14:textId="77777777" w:rsidTr="00EA2BB6">
        <w:trPr>
          <w:trHeight w:val="278"/>
        </w:trPr>
        <w:tc>
          <w:tcPr>
            <w:tcW w:w="5582" w:type="dxa"/>
            <w:tcBorders>
              <w:top w:val="nil"/>
              <w:left w:val="nil"/>
              <w:bottom w:val="nil"/>
              <w:right w:val="nil"/>
            </w:tcBorders>
            <w:shd w:val="clear" w:color="auto" w:fill="auto"/>
            <w:vAlign w:val="bottom"/>
          </w:tcPr>
          <w:p w14:paraId="1D5914D2" w14:textId="77777777" w:rsidR="001C6F66" w:rsidRPr="009B546D" w:rsidRDefault="001C6F66" w:rsidP="00F432B9">
            <w:pPr>
              <w:tabs>
                <w:tab w:val="left" w:pos="288"/>
              </w:tabs>
              <w:autoSpaceDE w:val="0"/>
              <w:autoSpaceDN w:val="0"/>
              <w:adjustRightInd w:val="0"/>
              <w:spacing w:after="0" w:line="240" w:lineRule="auto"/>
              <w:rPr>
                <w:rFonts w:cstheme="minorHAnsi"/>
                <w:bCs/>
                <w:color w:val="000000"/>
              </w:rPr>
            </w:pPr>
            <w:r w:rsidRPr="009B546D">
              <w:rPr>
                <w:rFonts w:cstheme="minorHAnsi"/>
                <w:bCs/>
                <w:color w:val="000000"/>
              </w:rPr>
              <w:t>Rent</w:t>
            </w:r>
          </w:p>
        </w:tc>
        <w:tc>
          <w:tcPr>
            <w:tcW w:w="239" w:type="dxa"/>
            <w:tcBorders>
              <w:top w:val="nil"/>
              <w:left w:val="nil"/>
              <w:right w:val="nil"/>
            </w:tcBorders>
            <w:shd w:val="clear" w:color="auto" w:fill="auto"/>
            <w:vAlign w:val="bottom"/>
          </w:tcPr>
          <w:p w14:paraId="7D80789A"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833" w:type="dxa"/>
            <w:tcBorders>
              <w:top w:val="nil"/>
              <w:left w:val="nil"/>
              <w:bottom w:val="nil"/>
              <w:right w:val="nil"/>
            </w:tcBorders>
            <w:shd w:val="clear" w:color="auto" w:fill="auto"/>
            <w:vAlign w:val="bottom"/>
          </w:tcPr>
          <w:p w14:paraId="449FB49D"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842" w:type="dxa"/>
            <w:tcBorders>
              <w:top w:val="nil"/>
              <w:left w:val="nil"/>
              <w:right w:val="nil"/>
            </w:tcBorders>
            <w:shd w:val="clear" w:color="auto" w:fill="auto"/>
            <w:vAlign w:val="bottom"/>
          </w:tcPr>
          <w:p w14:paraId="3DE0D0DD"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r w:rsidRPr="009B546D">
              <w:rPr>
                <w:rFonts w:cstheme="minorHAnsi"/>
                <w:color w:val="000000"/>
              </w:rPr>
              <w:t>52,500</w:t>
            </w:r>
          </w:p>
        </w:tc>
      </w:tr>
      <w:tr w:rsidR="001C6F66" w:rsidRPr="009B546D" w14:paraId="0F60AB0A" w14:textId="77777777" w:rsidTr="00EA2BB6">
        <w:trPr>
          <w:trHeight w:val="278"/>
        </w:trPr>
        <w:tc>
          <w:tcPr>
            <w:tcW w:w="5582" w:type="dxa"/>
            <w:tcBorders>
              <w:top w:val="nil"/>
              <w:left w:val="nil"/>
              <w:bottom w:val="nil"/>
              <w:right w:val="nil"/>
            </w:tcBorders>
            <w:shd w:val="clear" w:color="auto" w:fill="auto"/>
            <w:vAlign w:val="bottom"/>
          </w:tcPr>
          <w:p w14:paraId="0BCAAF42" w14:textId="77777777" w:rsidR="001C6F66" w:rsidRPr="009B546D" w:rsidRDefault="001C6F66" w:rsidP="00F432B9">
            <w:pPr>
              <w:tabs>
                <w:tab w:val="left" w:pos="288"/>
              </w:tabs>
              <w:autoSpaceDE w:val="0"/>
              <w:autoSpaceDN w:val="0"/>
              <w:adjustRightInd w:val="0"/>
              <w:spacing w:after="0" w:line="240" w:lineRule="auto"/>
              <w:rPr>
                <w:rFonts w:cstheme="minorHAnsi"/>
                <w:bCs/>
                <w:color w:val="000000"/>
              </w:rPr>
            </w:pPr>
            <w:r w:rsidRPr="009B546D">
              <w:rPr>
                <w:rFonts w:cstheme="minorHAnsi"/>
                <w:bCs/>
                <w:color w:val="000000"/>
              </w:rPr>
              <w:t>IT and communications</w:t>
            </w:r>
          </w:p>
        </w:tc>
        <w:tc>
          <w:tcPr>
            <w:tcW w:w="239" w:type="dxa"/>
            <w:tcBorders>
              <w:top w:val="nil"/>
              <w:left w:val="nil"/>
              <w:right w:val="nil"/>
            </w:tcBorders>
            <w:shd w:val="clear" w:color="auto" w:fill="auto"/>
            <w:vAlign w:val="bottom"/>
          </w:tcPr>
          <w:p w14:paraId="79B2347D"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833" w:type="dxa"/>
            <w:tcBorders>
              <w:top w:val="nil"/>
              <w:left w:val="nil"/>
              <w:bottom w:val="nil"/>
              <w:right w:val="nil"/>
            </w:tcBorders>
            <w:shd w:val="clear" w:color="auto" w:fill="auto"/>
            <w:vAlign w:val="bottom"/>
          </w:tcPr>
          <w:p w14:paraId="4494A47C"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842" w:type="dxa"/>
            <w:tcBorders>
              <w:top w:val="nil"/>
              <w:left w:val="nil"/>
              <w:right w:val="nil"/>
            </w:tcBorders>
            <w:shd w:val="clear" w:color="auto" w:fill="auto"/>
            <w:vAlign w:val="bottom"/>
          </w:tcPr>
          <w:p w14:paraId="1576F34E"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r w:rsidRPr="009B546D">
              <w:rPr>
                <w:rFonts w:cstheme="minorHAnsi"/>
                <w:color w:val="000000"/>
              </w:rPr>
              <w:t>18,482</w:t>
            </w:r>
          </w:p>
        </w:tc>
      </w:tr>
      <w:tr w:rsidR="001C6F66" w:rsidRPr="009B546D" w14:paraId="59DDA049" w14:textId="77777777" w:rsidTr="00EA2BB6">
        <w:trPr>
          <w:trHeight w:val="278"/>
        </w:trPr>
        <w:tc>
          <w:tcPr>
            <w:tcW w:w="5582" w:type="dxa"/>
            <w:tcBorders>
              <w:top w:val="nil"/>
              <w:left w:val="nil"/>
              <w:bottom w:val="nil"/>
              <w:right w:val="nil"/>
            </w:tcBorders>
            <w:shd w:val="clear" w:color="auto" w:fill="auto"/>
            <w:vAlign w:val="bottom"/>
          </w:tcPr>
          <w:p w14:paraId="0A8E5EDA" w14:textId="77777777" w:rsidR="001C6F66" w:rsidRPr="009B546D" w:rsidRDefault="001C6F66" w:rsidP="00F432B9">
            <w:pPr>
              <w:tabs>
                <w:tab w:val="left" w:pos="288"/>
              </w:tabs>
              <w:autoSpaceDE w:val="0"/>
              <w:autoSpaceDN w:val="0"/>
              <w:adjustRightInd w:val="0"/>
              <w:spacing w:after="0" w:line="240" w:lineRule="auto"/>
              <w:rPr>
                <w:rFonts w:cstheme="minorHAnsi"/>
                <w:bCs/>
                <w:color w:val="000000"/>
              </w:rPr>
            </w:pPr>
            <w:r w:rsidRPr="009B546D">
              <w:rPr>
                <w:rFonts w:cstheme="minorHAnsi"/>
                <w:bCs/>
                <w:color w:val="000000"/>
              </w:rPr>
              <w:t>Staff welfare and training</w:t>
            </w:r>
          </w:p>
        </w:tc>
        <w:tc>
          <w:tcPr>
            <w:tcW w:w="239" w:type="dxa"/>
            <w:tcBorders>
              <w:top w:val="nil"/>
              <w:left w:val="nil"/>
              <w:right w:val="nil"/>
            </w:tcBorders>
            <w:shd w:val="clear" w:color="auto" w:fill="auto"/>
            <w:vAlign w:val="bottom"/>
          </w:tcPr>
          <w:p w14:paraId="12D977DD"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833" w:type="dxa"/>
            <w:tcBorders>
              <w:top w:val="nil"/>
              <w:left w:val="nil"/>
              <w:bottom w:val="nil"/>
              <w:right w:val="nil"/>
            </w:tcBorders>
            <w:shd w:val="clear" w:color="auto" w:fill="auto"/>
            <w:vAlign w:val="bottom"/>
          </w:tcPr>
          <w:p w14:paraId="3BD80246"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842" w:type="dxa"/>
            <w:tcBorders>
              <w:top w:val="nil"/>
              <w:left w:val="nil"/>
              <w:right w:val="nil"/>
            </w:tcBorders>
            <w:shd w:val="clear" w:color="auto" w:fill="auto"/>
            <w:vAlign w:val="bottom"/>
          </w:tcPr>
          <w:p w14:paraId="68DBF89D"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r w:rsidRPr="009B546D">
              <w:rPr>
                <w:rFonts w:cstheme="minorHAnsi"/>
                <w:color w:val="000000"/>
              </w:rPr>
              <w:t>33,451</w:t>
            </w:r>
          </w:p>
        </w:tc>
      </w:tr>
      <w:tr w:rsidR="001C6F66" w:rsidRPr="009B546D" w14:paraId="7E86D52A" w14:textId="77777777" w:rsidTr="00EA2BB6">
        <w:trPr>
          <w:trHeight w:val="278"/>
        </w:trPr>
        <w:tc>
          <w:tcPr>
            <w:tcW w:w="5582" w:type="dxa"/>
            <w:tcBorders>
              <w:top w:val="nil"/>
              <w:left w:val="nil"/>
              <w:bottom w:val="nil"/>
              <w:right w:val="nil"/>
            </w:tcBorders>
            <w:shd w:val="clear" w:color="auto" w:fill="auto"/>
            <w:vAlign w:val="bottom"/>
          </w:tcPr>
          <w:p w14:paraId="265AF706" w14:textId="77777777" w:rsidR="001C6F66" w:rsidRPr="009B546D" w:rsidRDefault="001C6F66" w:rsidP="00F432B9">
            <w:pPr>
              <w:tabs>
                <w:tab w:val="left" w:pos="288"/>
              </w:tabs>
              <w:autoSpaceDE w:val="0"/>
              <w:autoSpaceDN w:val="0"/>
              <w:adjustRightInd w:val="0"/>
              <w:spacing w:after="0" w:line="240" w:lineRule="auto"/>
              <w:rPr>
                <w:rFonts w:cstheme="minorHAnsi"/>
                <w:bCs/>
                <w:color w:val="000000"/>
              </w:rPr>
            </w:pPr>
            <w:r w:rsidRPr="009B546D">
              <w:rPr>
                <w:rFonts w:cstheme="minorHAnsi"/>
                <w:bCs/>
                <w:color w:val="000000"/>
              </w:rPr>
              <w:t>Utilities</w:t>
            </w:r>
          </w:p>
        </w:tc>
        <w:tc>
          <w:tcPr>
            <w:tcW w:w="239" w:type="dxa"/>
            <w:tcBorders>
              <w:top w:val="nil"/>
              <w:left w:val="nil"/>
              <w:right w:val="nil"/>
            </w:tcBorders>
            <w:shd w:val="clear" w:color="auto" w:fill="auto"/>
            <w:vAlign w:val="bottom"/>
          </w:tcPr>
          <w:p w14:paraId="0AC3673E"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833" w:type="dxa"/>
            <w:tcBorders>
              <w:top w:val="nil"/>
              <w:left w:val="nil"/>
              <w:bottom w:val="nil"/>
              <w:right w:val="nil"/>
            </w:tcBorders>
            <w:shd w:val="clear" w:color="auto" w:fill="auto"/>
            <w:vAlign w:val="bottom"/>
          </w:tcPr>
          <w:p w14:paraId="055C62A2"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842" w:type="dxa"/>
            <w:tcBorders>
              <w:top w:val="nil"/>
              <w:left w:val="nil"/>
              <w:right w:val="nil"/>
            </w:tcBorders>
            <w:shd w:val="clear" w:color="auto" w:fill="auto"/>
            <w:vAlign w:val="bottom"/>
          </w:tcPr>
          <w:p w14:paraId="4440A1AA"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r w:rsidRPr="009B546D">
              <w:rPr>
                <w:rFonts w:cstheme="minorHAnsi"/>
                <w:color w:val="000000"/>
              </w:rPr>
              <w:t>10,163</w:t>
            </w:r>
          </w:p>
        </w:tc>
      </w:tr>
      <w:tr w:rsidR="001C6F66" w:rsidRPr="009B546D" w14:paraId="6603B025" w14:textId="77777777" w:rsidTr="00EA2BB6">
        <w:trPr>
          <w:trHeight w:val="278"/>
        </w:trPr>
        <w:tc>
          <w:tcPr>
            <w:tcW w:w="5582" w:type="dxa"/>
            <w:tcBorders>
              <w:top w:val="nil"/>
              <w:left w:val="nil"/>
              <w:bottom w:val="nil"/>
              <w:right w:val="nil"/>
            </w:tcBorders>
            <w:shd w:val="clear" w:color="auto" w:fill="auto"/>
            <w:vAlign w:val="bottom"/>
          </w:tcPr>
          <w:p w14:paraId="15ACA75E" w14:textId="77777777" w:rsidR="001C6F66" w:rsidRPr="009B546D" w:rsidRDefault="001C6F66" w:rsidP="00F432B9">
            <w:pPr>
              <w:tabs>
                <w:tab w:val="left" w:pos="288"/>
              </w:tabs>
              <w:autoSpaceDE w:val="0"/>
              <w:autoSpaceDN w:val="0"/>
              <w:adjustRightInd w:val="0"/>
              <w:spacing w:after="0" w:line="240" w:lineRule="auto"/>
              <w:rPr>
                <w:rFonts w:cstheme="minorHAnsi"/>
                <w:bCs/>
                <w:color w:val="000000"/>
              </w:rPr>
            </w:pPr>
            <w:r w:rsidRPr="009B546D">
              <w:rPr>
                <w:rFonts w:cstheme="minorHAnsi"/>
                <w:bCs/>
                <w:color w:val="000000"/>
              </w:rPr>
              <w:t>Foreign exchange gain</w:t>
            </w:r>
          </w:p>
        </w:tc>
        <w:tc>
          <w:tcPr>
            <w:tcW w:w="239" w:type="dxa"/>
            <w:tcBorders>
              <w:top w:val="nil"/>
              <w:left w:val="nil"/>
              <w:right w:val="nil"/>
            </w:tcBorders>
            <w:shd w:val="clear" w:color="auto" w:fill="auto"/>
            <w:vAlign w:val="bottom"/>
          </w:tcPr>
          <w:p w14:paraId="1B9D8569"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833" w:type="dxa"/>
            <w:tcBorders>
              <w:top w:val="nil"/>
              <w:left w:val="nil"/>
              <w:bottom w:val="nil"/>
              <w:right w:val="nil"/>
            </w:tcBorders>
            <w:shd w:val="clear" w:color="auto" w:fill="auto"/>
            <w:vAlign w:val="bottom"/>
          </w:tcPr>
          <w:p w14:paraId="0513D2D5"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842" w:type="dxa"/>
            <w:tcBorders>
              <w:top w:val="nil"/>
              <w:left w:val="nil"/>
              <w:right w:val="nil"/>
            </w:tcBorders>
            <w:shd w:val="clear" w:color="auto" w:fill="auto"/>
            <w:vAlign w:val="bottom"/>
          </w:tcPr>
          <w:p w14:paraId="648BE601"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r w:rsidRPr="009B546D">
              <w:rPr>
                <w:rFonts w:cstheme="minorHAnsi"/>
                <w:color w:val="000000"/>
              </w:rPr>
              <w:t>(8,152)</w:t>
            </w:r>
          </w:p>
        </w:tc>
      </w:tr>
      <w:tr w:rsidR="001C6F66" w:rsidRPr="009B546D" w14:paraId="63612FC3" w14:textId="77777777" w:rsidTr="00EA2BB6">
        <w:trPr>
          <w:trHeight w:val="278"/>
        </w:trPr>
        <w:tc>
          <w:tcPr>
            <w:tcW w:w="5582" w:type="dxa"/>
            <w:tcBorders>
              <w:top w:val="nil"/>
              <w:left w:val="nil"/>
              <w:bottom w:val="nil"/>
              <w:right w:val="nil"/>
            </w:tcBorders>
            <w:shd w:val="clear" w:color="auto" w:fill="auto"/>
            <w:vAlign w:val="bottom"/>
          </w:tcPr>
          <w:p w14:paraId="368957FB" w14:textId="77777777" w:rsidR="001C6F66" w:rsidRPr="009B546D" w:rsidRDefault="001C6F66" w:rsidP="00F432B9">
            <w:pPr>
              <w:tabs>
                <w:tab w:val="left" w:pos="288"/>
              </w:tabs>
              <w:autoSpaceDE w:val="0"/>
              <w:autoSpaceDN w:val="0"/>
              <w:adjustRightInd w:val="0"/>
              <w:spacing w:after="0" w:line="240" w:lineRule="auto"/>
              <w:rPr>
                <w:rFonts w:cstheme="minorHAnsi"/>
                <w:bCs/>
                <w:color w:val="000000"/>
              </w:rPr>
            </w:pPr>
            <w:r w:rsidRPr="009B546D">
              <w:rPr>
                <w:rFonts w:cstheme="minorHAnsi"/>
                <w:bCs/>
                <w:color w:val="000000"/>
              </w:rPr>
              <w:t>Office costs</w:t>
            </w:r>
          </w:p>
        </w:tc>
        <w:tc>
          <w:tcPr>
            <w:tcW w:w="239" w:type="dxa"/>
            <w:tcBorders>
              <w:top w:val="nil"/>
              <w:left w:val="nil"/>
              <w:right w:val="nil"/>
            </w:tcBorders>
            <w:shd w:val="clear" w:color="auto" w:fill="auto"/>
            <w:vAlign w:val="bottom"/>
          </w:tcPr>
          <w:p w14:paraId="4E00F82C"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833" w:type="dxa"/>
            <w:tcBorders>
              <w:top w:val="nil"/>
              <w:left w:val="nil"/>
              <w:bottom w:val="nil"/>
              <w:right w:val="nil"/>
            </w:tcBorders>
            <w:shd w:val="clear" w:color="auto" w:fill="auto"/>
            <w:vAlign w:val="bottom"/>
          </w:tcPr>
          <w:p w14:paraId="163D8E79"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842" w:type="dxa"/>
            <w:tcBorders>
              <w:top w:val="nil"/>
              <w:left w:val="nil"/>
              <w:right w:val="nil"/>
            </w:tcBorders>
            <w:shd w:val="clear" w:color="auto" w:fill="auto"/>
            <w:vAlign w:val="bottom"/>
          </w:tcPr>
          <w:p w14:paraId="528F6D4E"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r w:rsidRPr="009B546D">
              <w:rPr>
                <w:rFonts w:cstheme="minorHAnsi"/>
                <w:color w:val="000000"/>
              </w:rPr>
              <w:t>4,555</w:t>
            </w:r>
          </w:p>
        </w:tc>
      </w:tr>
      <w:tr w:rsidR="001C6F66" w:rsidRPr="009B546D" w14:paraId="0CD07A06" w14:textId="77777777" w:rsidTr="00EA2BB6">
        <w:trPr>
          <w:trHeight w:val="278"/>
        </w:trPr>
        <w:tc>
          <w:tcPr>
            <w:tcW w:w="5582" w:type="dxa"/>
            <w:tcBorders>
              <w:top w:val="nil"/>
              <w:left w:val="nil"/>
              <w:bottom w:val="nil"/>
              <w:right w:val="nil"/>
            </w:tcBorders>
            <w:shd w:val="clear" w:color="auto" w:fill="auto"/>
            <w:vAlign w:val="bottom"/>
          </w:tcPr>
          <w:p w14:paraId="2272314B" w14:textId="77777777" w:rsidR="001C6F66" w:rsidRPr="009B546D" w:rsidRDefault="001C6F66" w:rsidP="00F432B9">
            <w:pPr>
              <w:tabs>
                <w:tab w:val="left" w:pos="288"/>
              </w:tabs>
              <w:autoSpaceDE w:val="0"/>
              <w:autoSpaceDN w:val="0"/>
              <w:adjustRightInd w:val="0"/>
              <w:spacing w:after="0" w:line="240" w:lineRule="auto"/>
              <w:rPr>
                <w:rFonts w:cstheme="minorHAnsi"/>
                <w:bCs/>
                <w:color w:val="000000"/>
              </w:rPr>
            </w:pPr>
            <w:r w:rsidRPr="009B546D">
              <w:rPr>
                <w:rFonts w:cstheme="minorHAnsi"/>
                <w:bCs/>
                <w:color w:val="000000"/>
              </w:rPr>
              <w:t>Professional fees</w:t>
            </w:r>
          </w:p>
        </w:tc>
        <w:tc>
          <w:tcPr>
            <w:tcW w:w="239" w:type="dxa"/>
            <w:tcBorders>
              <w:top w:val="nil"/>
              <w:left w:val="nil"/>
              <w:right w:val="nil"/>
            </w:tcBorders>
            <w:shd w:val="clear" w:color="auto" w:fill="auto"/>
            <w:vAlign w:val="bottom"/>
          </w:tcPr>
          <w:p w14:paraId="11D9E1D7"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833" w:type="dxa"/>
            <w:tcBorders>
              <w:top w:val="nil"/>
              <w:left w:val="nil"/>
              <w:bottom w:val="nil"/>
              <w:right w:val="nil"/>
            </w:tcBorders>
            <w:shd w:val="clear" w:color="auto" w:fill="auto"/>
            <w:vAlign w:val="bottom"/>
          </w:tcPr>
          <w:p w14:paraId="6EB9B58B"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842" w:type="dxa"/>
            <w:tcBorders>
              <w:top w:val="nil"/>
              <w:left w:val="nil"/>
              <w:right w:val="nil"/>
            </w:tcBorders>
            <w:shd w:val="clear" w:color="auto" w:fill="auto"/>
            <w:vAlign w:val="bottom"/>
          </w:tcPr>
          <w:p w14:paraId="6576776D"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r w:rsidRPr="009B546D">
              <w:rPr>
                <w:rFonts w:cstheme="minorHAnsi"/>
                <w:color w:val="000000"/>
              </w:rPr>
              <w:t>9,190</w:t>
            </w:r>
          </w:p>
        </w:tc>
      </w:tr>
      <w:tr w:rsidR="001C6F66" w:rsidRPr="009B546D" w14:paraId="63AF1B3B" w14:textId="77777777" w:rsidTr="00EA2BB6">
        <w:trPr>
          <w:trHeight w:val="278"/>
        </w:trPr>
        <w:tc>
          <w:tcPr>
            <w:tcW w:w="5582" w:type="dxa"/>
            <w:tcBorders>
              <w:top w:val="nil"/>
              <w:left w:val="nil"/>
              <w:bottom w:val="nil"/>
              <w:right w:val="nil"/>
            </w:tcBorders>
            <w:shd w:val="clear" w:color="auto" w:fill="auto"/>
            <w:vAlign w:val="bottom"/>
          </w:tcPr>
          <w:p w14:paraId="34E60176" w14:textId="77777777" w:rsidR="001C6F66" w:rsidRPr="009B546D" w:rsidRDefault="001C6F66" w:rsidP="00F432B9">
            <w:pPr>
              <w:tabs>
                <w:tab w:val="left" w:pos="288"/>
              </w:tabs>
              <w:autoSpaceDE w:val="0"/>
              <w:autoSpaceDN w:val="0"/>
              <w:adjustRightInd w:val="0"/>
              <w:spacing w:after="0" w:line="240" w:lineRule="auto"/>
              <w:rPr>
                <w:rFonts w:cstheme="minorHAnsi"/>
                <w:bCs/>
                <w:color w:val="000000"/>
              </w:rPr>
            </w:pPr>
            <w:r w:rsidRPr="009B546D">
              <w:rPr>
                <w:rFonts w:cstheme="minorHAnsi"/>
                <w:bCs/>
                <w:color w:val="000000"/>
              </w:rPr>
              <w:t>Auditor remuneration</w:t>
            </w:r>
          </w:p>
        </w:tc>
        <w:tc>
          <w:tcPr>
            <w:tcW w:w="239" w:type="dxa"/>
            <w:tcBorders>
              <w:top w:val="nil"/>
              <w:left w:val="nil"/>
              <w:right w:val="nil"/>
            </w:tcBorders>
            <w:shd w:val="clear" w:color="auto" w:fill="auto"/>
            <w:vAlign w:val="bottom"/>
          </w:tcPr>
          <w:p w14:paraId="76D2D811"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833" w:type="dxa"/>
            <w:tcBorders>
              <w:top w:val="nil"/>
              <w:left w:val="nil"/>
              <w:bottom w:val="nil"/>
              <w:right w:val="nil"/>
            </w:tcBorders>
            <w:shd w:val="clear" w:color="auto" w:fill="auto"/>
            <w:vAlign w:val="bottom"/>
          </w:tcPr>
          <w:p w14:paraId="11B7F9F7"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842" w:type="dxa"/>
            <w:tcBorders>
              <w:top w:val="nil"/>
              <w:left w:val="nil"/>
              <w:right w:val="nil"/>
            </w:tcBorders>
            <w:shd w:val="clear" w:color="auto" w:fill="auto"/>
            <w:vAlign w:val="bottom"/>
          </w:tcPr>
          <w:p w14:paraId="59FD40E3"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r w:rsidRPr="009B546D">
              <w:rPr>
                <w:rFonts w:cstheme="minorHAnsi"/>
                <w:color w:val="000000"/>
              </w:rPr>
              <w:t>13,500</w:t>
            </w:r>
          </w:p>
        </w:tc>
      </w:tr>
      <w:tr w:rsidR="001C6F66" w:rsidRPr="009B546D" w14:paraId="0F5F940E" w14:textId="77777777" w:rsidTr="00EA2BB6">
        <w:trPr>
          <w:trHeight w:val="278"/>
        </w:trPr>
        <w:tc>
          <w:tcPr>
            <w:tcW w:w="5582" w:type="dxa"/>
            <w:tcBorders>
              <w:top w:val="nil"/>
              <w:left w:val="nil"/>
              <w:bottom w:val="nil"/>
              <w:right w:val="nil"/>
            </w:tcBorders>
            <w:shd w:val="clear" w:color="auto" w:fill="auto"/>
            <w:vAlign w:val="bottom"/>
          </w:tcPr>
          <w:p w14:paraId="4FB48D4F" w14:textId="77777777" w:rsidR="001C6F66" w:rsidRPr="009B546D" w:rsidRDefault="001C6F66" w:rsidP="00F432B9">
            <w:pPr>
              <w:tabs>
                <w:tab w:val="left" w:pos="288"/>
              </w:tabs>
              <w:autoSpaceDE w:val="0"/>
              <w:autoSpaceDN w:val="0"/>
              <w:adjustRightInd w:val="0"/>
              <w:spacing w:after="0" w:line="240" w:lineRule="auto"/>
              <w:rPr>
                <w:rFonts w:cstheme="minorHAnsi"/>
                <w:bCs/>
                <w:color w:val="000000"/>
              </w:rPr>
            </w:pPr>
            <w:r w:rsidRPr="009B546D">
              <w:rPr>
                <w:rFonts w:cstheme="minorHAnsi"/>
                <w:bCs/>
                <w:color w:val="000000"/>
              </w:rPr>
              <w:t>Other administrative expenses</w:t>
            </w:r>
          </w:p>
        </w:tc>
        <w:tc>
          <w:tcPr>
            <w:tcW w:w="239" w:type="dxa"/>
            <w:tcBorders>
              <w:top w:val="nil"/>
              <w:left w:val="nil"/>
              <w:right w:val="nil"/>
            </w:tcBorders>
            <w:shd w:val="clear" w:color="auto" w:fill="auto"/>
            <w:vAlign w:val="bottom"/>
          </w:tcPr>
          <w:p w14:paraId="5C9DF899"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833" w:type="dxa"/>
            <w:tcBorders>
              <w:top w:val="nil"/>
              <w:left w:val="nil"/>
              <w:bottom w:val="nil"/>
              <w:right w:val="nil"/>
            </w:tcBorders>
            <w:shd w:val="clear" w:color="auto" w:fill="auto"/>
            <w:vAlign w:val="bottom"/>
          </w:tcPr>
          <w:p w14:paraId="3356EAD0"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842" w:type="dxa"/>
            <w:tcBorders>
              <w:top w:val="nil"/>
              <w:left w:val="nil"/>
              <w:bottom w:val="single" w:sz="4" w:space="0" w:color="auto"/>
              <w:right w:val="nil"/>
            </w:tcBorders>
            <w:shd w:val="clear" w:color="auto" w:fill="auto"/>
            <w:vAlign w:val="bottom"/>
          </w:tcPr>
          <w:p w14:paraId="287AF040"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r w:rsidRPr="009B546D">
              <w:rPr>
                <w:rFonts w:cstheme="minorHAnsi"/>
                <w:color w:val="000000"/>
              </w:rPr>
              <w:t>12,730</w:t>
            </w:r>
          </w:p>
        </w:tc>
      </w:tr>
      <w:tr w:rsidR="001C6F66" w:rsidRPr="009B546D" w14:paraId="725181A6" w14:textId="77777777" w:rsidTr="00EA2BB6">
        <w:trPr>
          <w:trHeight w:val="278"/>
        </w:trPr>
        <w:tc>
          <w:tcPr>
            <w:tcW w:w="5582" w:type="dxa"/>
            <w:tcBorders>
              <w:top w:val="nil"/>
              <w:left w:val="nil"/>
              <w:bottom w:val="nil"/>
              <w:right w:val="nil"/>
            </w:tcBorders>
            <w:shd w:val="clear" w:color="auto" w:fill="auto"/>
            <w:vAlign w:val="bottom"/>
          </w:tcPr>
          <w:p w14:paraId="60BF9787" w14:textId="77777777" w:rsidR="001C6F66" w:rsidRPr="009B546D" w:rsidRDefault="001C6F66" w:rsidP="00F432B9">
            <w:pPr>
              <w:tabs>
                <w:tab w:val="left" w:pos="288"/>
              </w:tabs>
              <w:autoSpaceDE w:val="0"/>
              <w:autoSpaceDN w:val="0"/>
              <w:adjustRightInd w:val="0"/>
              <w:spacing w:after="0" w:line="240" w:lineRule="auto"/>
              <w:rPr>
                <w:rFonts w:cstheme="minorHAnsi"/>
                <w:bCs/>
                <w:color w:val="000000"/>
              </w:rPr>
            </w:pPr>
          </w:p>
        </w:tc>
        <w:tc>
          <w:tcPr>
            <w:tcW w:w="239" w:type="dxa"/>
            <w:tcBorders>
              <w:top w:val="nil"/>
              <w:left w:val="nil"/>
              <w:right w:val="nil"/>
            </w:tcBorders>
            <w:shd w:val="clear" w:color="auto" w:fill="auto"/>
            <w:vAlign w:val="bottom"/>
          </w:tcPr>
          <w:p w14:paraId="312509F5"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833" w:type="dxa"/>
            <w:tcBorders>
              <w:top w:val="nil"/>
              <w:left w:val="nil"/>
              <w:bottom w:val="nil"/>
              <w:right w:val="nil"/>
            </w:tcBorders>
            <w:shd w:val="clear" w:color="auto" w:fill="auto"/>
            <w:vAlign w:val="bottom"/>
          </w:tcPr>
          <w:p w14:paraId="74FBD5C4"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842" w:type="dxa"/>
            <w:tcBorders>
              <w:top w:val="single" w:sz="4" w:space="0" w:color="auto"/>
              <w:left w:val="nil"/>
              <w:bottom w:val="single" w:sz="4" w:space="0" w:color="auto"/>
              <w:right w:val="nil"/>
            </w:tcBorders>
            <w:shd w:val="clear" w:color="auto" w:fill="auto"/>
            <w:vAlign w:val="bottom"/>
          </w:tcPr>
          <w:p w14:paraId="7C44B144" w14:textId="549AE2F7" w:rsidR="001C6F66" w:rsidRPr="009B546D" w:rsidRDefault="00D04030" w:rsidP="00F432B9">
            <w:pPr>
              <w:tabs>
                <w:tab w:val="left" w:pos="288"/>
              </w:tabs>
              <w:autoSpaceDE w:val="0"/>
              <w:autoSpaceDN w:val="0"/>
              <w:adjustRightInd w:val="0"/>
              <w:spacing w:after="0" w:line="240" w:lineRule="auto"/>
              <w:ind w:right="72"/>
              <w:jc w:val="right"/>
              <w:rPr>
                <w:rFonts w:cstheme="minorHAnsi"/>
                <w:color w:val="000000"/>
              </w:rPr>
            </w:pPr>
            <w:r>
              <w:rPr>
                <w:rFonts w:cstheme="minorHAnsi"/>
                <w:color w:val="000000"/>
              </w:rPr>
              <w:t>292,522</w:t>
            </w:r>
          </w:p>
        </w:tc>
      </w:tr>
    </w:tbl>
    <w:p w14:paraId="43A03E82" w14:textId="77777777" w:rsidR="001C6F66" w:rsidRPr="009B546D" w:rsidRDefault="001C6F66" w:rsidP="00F432B9">
      <w:pPr>
        <w:spacing w:line="240" w:lineRule="auto"/>
        <w:rPr>
          <w:rFonts w:cstheme="minorHAnsi"/>
        </w:rPr>
      </w:pPr>
      <w:r w:rsidRPr="009B546D">
        <w:rPr>
          <w:rFonts w:cstheme="minorHAnsi"/>
        </w:rPr>
        <w:br w:type="page"/>
      </w:r>
    </w:p>
    <w:p w14:paraId="1197C133" w14:textId="77777777" w:rsidR="00D02A5A" w:rsidRPr="00EA2BB6" w:rsidRDefault="00D02A5A" w:rsidP="00EA2BB6">
      <w:pPr>
        <w:rPr>
          <w:rFonts w:cstheme="minorHAnsi"/>
          <w:b/>
          <w:caps/>
        </w:rPr>
      </w:pPr>
      <w:r w:rsidRPr="00EA2BB6">
        <w:rPr>
          <w:rFonts w:cstheme="minorHAnsi"/>
          <w:b/>
          <w:caps/>
        </w:rPr>
        <w:lastRenderedPageBreak/>
        <w:t>n</w:t>
      </w:r>
      <w:r w:rsidRPr="00EA2BB6">
        <w:rPr>
          <w:rFonts w:cstheme="minorHAnsi"/>
          <w:b/>
        </w:rPr>
        <w:t>otes to the financial information</w:t>
      </w:r>
    </w:p>
    <w:p w14:paraId="05DB795A" w14:textId="77777777" w:rsidR="00D02A5A" w:rsidRPr="00EA2BB6" w:rsidRDefault="00D02A5A" w:rsidP="00EA2BB6">
      <w:pPr>
        <w:rPr>
          <w:rFonts w:cstheme="minorHAnsi"/>
          <w:b/>
          <w:caps/>
        </w:rPr>
      </w:pPr>
      <w:r w:rsidRPr="00EA2BB6">
        <w:rPr>
          <w:rFonts w:cstheme="minorHAnsi"/>
          <w:b/>
          <w:caps/>
        </w:rPr>
        <w:t>F</w:t>
      </w:r>
      <w:r w:rsidRPr="00EA2BB6">
        <w:rPr>
          <w:rFonts w:cstheme="minorHAnsi"/>
          <w:b/>
        </w:rPr>
        <w:t xml:space="preserve">or the </w:t>
      </w:r>
      <w:r w:rsidRPr="00EA2BB6">
        <w:rPr>
          <w:rFonts w:cstheme="minorHAnsi"/>
          <w:b/>
          <w:caps/>
        </w:rPr>
        <w:fldChar w:fldCharType="begin"/>
      </w:r>
      <w:r w:rsidRPr="00EA2BB6">
        <w:rPr>
          <w:rFonts w:cstheme="minorHAnsi"/>
          <w:b/>
          <w:caps/>
        </w:rPr>
        <w:instrText xml:space="preserve"> DOCPROPERTY  "Fin year/period (for cover page)"\* Caps \* MERGEFORMAT </w:instrText>
      </w:r>
      <w:r w:rsidRPr="00EA2BB6">
        <w:rPr>
          <w:rFonts w:cstheme="minorHAnsi"/>
          <w:b/>
          <w:caps/>
        </w:rPr>
        <w:fldChar w:fldCharType="separate"/>
      </w:r>
      <w:r w:rsidRPr="00EA2BB6">
        <w:rPr>
          <w:rFonts w:cstheme="minorHAnsi"/>
          <w:b/>
        </w:rPr>
        <w:t>financial period ended from 17 April 2018 (date of incorporation) to 30 April 2019</w:t>
      </w:r>
      <w:r w:rsidRPr="00EA2BB6">
        <w:rPr>
          <w:rFonts w:cstheme="minorHAnsi"/>
          <w:b/>
          <w:caps/>
        </w:rPr>
        <w:fldChar w:fldCharType="end"/>
      </w:r>
      <w:r w:rsidRPr="00EA2BB6">
        <w:rPr>
          <w:rFonts w:cstheme="minorHAnsi"/>
          <w:b/>
          <w:caps/>
        </w:rPr>
        <w:t xml:space="preserve"> (</w:t>
      </w:r>
      <w:r w:rsidRPr="00EA2BB6">
        <w:rPr>
          <w:rFonts w:cstheme="minorHAnsi"/>
          <w:b/>
          <w:i/>
        </w:rPr>
        <w:t>continued)</w:t>
      </w:r>
    </w:p>
    <w:p w14:paraId="4FCB3189" w14:textId="77777777" w:rsidR="00D02A5A" w:rsidRPr="00D02A5A" w:rsidRDefault="00D02A5A" w:rsidP="00EA2BB6">
      <w:pPr>
        <w:pStyle w:val="ListParagraph"/>
        <w:pBdr>
          <w:bottom w:val="single" w:sz="6" w:space="1" w:color="auto"/>
        </w:pBdr>
        <w:ind w:left="0"/>
        <w:rPr>
          <w:rFonts w:cstheme="minorHAnsi"/>
        </w:rPr>
      </w:pPr>
    </w:p>
    <w:p w14:paraId="41382551" w14:textId="77777777" w:rsidR="00D02A5A" w:rsidRPr="00D02A5A" w:rsidRDefault="00D02A5A" w:rsidP="00EA2BB6">
      <w:pPr>
        <w:pStyle w:val="ListParagraph"/>
        <w:ind w:left="576"/>
        <w:rPr>
          <w:rFonts w:cstheme="minorHAnsi"/>
        </w:rPr>
      </w:pPr>
    </w:p>
    <w:p w14:paraId="574E2C6A" w14:textId="77777777" w:rsidR="001C6F66" w:rsidRPr="009B546D" w:rsidRDefault="001C6F66" w:rsidP="00496B89">
      <w:pPr>
        <w:keepNext/>
        <w:keepLines/>
        <w:numPr>
          <w:ilvl w:val="0"/>
          <w:numId w:val="42"/>
        </w:numPr>
        <w:spacing w:after="240" w:line="240" w:lineRule="auto"/>
        <w:rPr>
          <w:rFonts w:cstheme="minorHAnsi"/>
          <w:b/>
          <w:caps/>
          <w:sz w:val="16"/>
          <w:szCs w:val="18"/>
        </w:rPr>
      </w:pPr>
      <w:r w:rsidRPr="009B546D">
        <w:rPr>
          <w:rFonts w:cstheme="minorHAnsi"/>
          <w:b/>
          <w:caps/>
        </w:rPr>
        <w:t>income tax expense</w:t>
      </w:r>
    </w:p>
    <w:tbl>
      <w:tblPr>
        <w:tblW w:w="8496" w:type="dxa"/>
        <w:tblInd w:w="576" w:type="dxa"/>
        <w:tblLayout w:type="fixed"/>
        <w:tblLook w:val="0000" w:firstRow="0" w:lastRow="0" w:firstColumn="0" w:lastColumn="0" w:noHBand="0" w:noVBand="0"/>
      </w:tblPr>
      <w:tblGrid>
        <w:gridCol w:w="5582"/>
        <w:gridCol w:w="646"/>
        <w:gridCol w:w="567"/>
        <w:gridCol w:w="1701"/>
      </w:tblGrid>
      <w:tr w:rsidR="001C6F66" w:rsidRPr="00D04030" w14:paraId="3044E147" w14:textId="77777777" w:rsidTr="00270393">
        <w:trPr>
          <w:trHeight w:val="278"/>
          <w:tblHeader/>
        </w:trPr>
        <w:tc>
          <w:tcPr>
            <w:tcW w:w="5582" w:type="dxa"/>
            <w:tcBorders>
              <w:top w:val="nil"/>
              <w:left w:val="nil"/>
              <w:bottom w:val="nil"/>
              <w:right w:val="nil"/>
            </w:tcBorders>
            <w:shd w:val="clear" w:color="auto" w:fill="auto"/>
            <w:vAlign w:val="bottom"/>
          </w:tcPr>
          <w:p w14:paraId="6D0ABC64" w14:textId="77777777" w:rsidR="001C6F66" w:rsidRPr="00EA2BB6" w:rsidRDefault="001C6F66" w:rsidP="00F432B9">
            <w:pPr>
              <w:tabs>
                <w:tab w:val="left" w:pos="288"/>
              </w:tabs>
              <w:autoSpaceDE w:val="0"/>
              <w:autoSpaceDN w:val="0"/>
              <w:adjustRightInd w:val="0"/>
              <w:spacing w:after="0" w:line="240" w:lineRule="auto"/>
              <w:rPr>
                <w:rFonts w:cstheme="minorHAnsi"/>
                <w:color w:val="000000"/>
                <w:szCs w:val="20"/>
              </w:rPr>
            </w:pPr>
          </w:p>
        </w:tc>
        <w:tc>
          <w:tcPr>
            <w:tcW w:w="646" w:type="dxa"/>
            <w:tcBorders>
              <w:top w:val="nil"/>
              <w:left w:val="nil"/>
              <w:bottom w:val="nil"/>
              <w:right w:val="nil"/>
            </w:tcBorders>
            <w:shd w:val="clear" w:color="auto" w:fill="auto"/>
            <w:vAlign w:val="bottom"/>
          </w:tcPr>
          <w:p w14:paraId="4FEA3905" w14:textId="77777777" w:rsidR="001C6F66" w:rsidRPr="00EA2BB6" w:rsidRDefault="001C6F66" w:rsidP="00F432B9">
            <w:pPr>
              <w:tabs>
                <w:tab w:val="left" w:pos="288"/>
              </w:tabs>
              <w:autoSpaceDE w:val="0"/>
              <w:autoSpaceDN w:val="0"/>
              <w:adjustRightInd w:val="0"/>
              <w:spacing w:after="0" w:line="240" w:lineRule="auto"/>
              <w:ind w:right="72"/>
              <w:jc w:val="center"/>
              <w:rPr>
                <w:rFonts w:cstheme="minorHAnsi"/>
                <w:b/>
                <w:bCs/>
                <w:color w:val="000000"/>
                <w:szCs w:val="20"/>
              </w:rPr>
            </w:pPr>
          </w:p>
        </w:tc>
        <w:tc>
          <w:tcPr>
            <w:tcW w:w="567" w:type="dxa"/>
            <w:tcBorders>
              <w:top w:val="nil"/>
              <w:left w:val="nil"/>
              <w:bottom w:val="nil"/>
              <w:right w:val="nil"/>
            </w:tcBorders>
            <w:shd w:val="clear" w:color="auto" w:fill="auto"/>
            <w:vAlign w:val="bottom"/>
          </w:tcPr>
          <w:p w14:paraId="679A55D9" w14:textId="77777777" w:rsidR="001C6F66" w:rsidRPr="00EA2BB6" w:rsidRDefault="001C6F66" w:rsidP="00F432B9">
            <w:pPr>
              <w:tabs>
                <w:tab w:val="left" w:pos="288"/>
              </w:tabs>
              <w:autoSpaceDE w:val="0"/>
              <w:autoSpaceDN w:val="0"/>
              <w:adjustRightInd w:val="0"/>
              <w:spacing w:after="0" w:line="240" w:lineRule="auto"/>
              <w:jc w:val="center"/>
              <w:rPr>
                <w:rFonts w:cstheme="minorHAnsi"/>
                <w:b/>
                <w:bCs/>
                <w:color w:val="000000"/>
                <w:szCs w:val="20"/>
              </w:rPr>
            </w:pPr>
          </w:p>
        </w:tc>
        <w:tc>
          <w:tcPr>
            <w:tcW w:w="1701" w:type="dxa"/>
            <w:tcBorders>
              <w:top w:val="nil"/>
              <w:left w:val="nil"/>
              <w:right w:val="nil"/>
            </w:tcBorders>
            <w:shd w:val="clear" w:color="auto" w:fill="auto"/>
            <w:vAlign w:val="bottom"/>
          </w:tcPr>
          <w:p w14:paraId="26DC484A" w14:textId="77777777" w:rsidR="001C6F66" w:rsidRPr="00EA2BB6" w:rsidRDefault="001C6F66" w:rsidP="00F432B9">
            <w:pPr>
              <w:tabs>
                <w:tab w:val="left" w:pos="288"/>
              </w:tabs>
              <w:autoSpaceDE w:val="0"/>
              <w:autoSpaceDN w:val="0"/>
              <w:adjustRightInd w:val="0"/>
              <w:spacing w:after="0" w:line="240" w:lineRule="auto"/>
              <w:ind w:right="72"/>
              <w:jc w:val="right"/>
              <w:rPr>
                <w:rFonts w:cstheme="minorHAnsi"/>
                <w:b/>
                <w:bCs/>
                <w:color w:val="000000"/>
                <w:szCs w:val="20"/>
              </w:rPr>
            </w:pPr>
            <w:r w:rsidRPr="00EA2BB6">
              <w:rPr>
                <w:rFonts w:cstheme="minorHAnsi"/>
                <w:b/>
                <w:bCs/>
                <w:color w:val="000000"/>
                <w:szCs w:val="20"/>
              </w:rPr>
              <w:t>Period from</w:t>
            </w:r>
          </w:p>
          <w:p w14:paraId="6BCE0C48" w14:textId="77777777" w:rsidR="001C6F66" w:rsidRPr="00EA2BB6" w:rsidRDefault="001C6F66" w:rsidP="00F432B9">
            <w:pPr>
              <w:tabs>
                <w:tab w:val="left" w:pos="288"/>
              </w:tabs>
              <w:autoSpaceDE w:val="0"/>
              <w:autoSpaceDN w:val="0"/>
              <w:adjustRightInd w:val="0"/>
              <w:spacing w:after="0" w:line="240" w:lineRule="auto"/>
              <w:ind w:right="72"/>
              <w:jc w:val="right"/>
              <w:rPr>
                <w:rFonts w:cstheme="minorHAnsi"/>
                <w:b/>
                <w:bCs/>
                <w:color w:val="000000"/>
                <w:szCs w:val="20"/>
              </w:rPr>
            </w:pPr>
            <w:r w:rsidRPr="00EA2BB6">
              <w:rPr>
                <w:rFonts w:cstheme="minorHAnsi"/>
                <w:b/>
                <w:bCs/>
                <w:color w:val="000000"/>
                <w:szCs w:val="20"/>
              </w:rPr>
              <w:t xml:space="preserve">17 April 2018 </w:t>
            </w:r>
          </w:p>
          <w:p w14:paraId="5ABA1858" w14:textId="77777777" w:rsidR="001C6F66" w:rsidRPr="00EA2BB6" w:rsidRDefault="001C6F66" w:rsidP="00F432B9">
            <w:pPr>
              <w:tabs>
                <w:tab w:val="left" w:pos="288"/>
              </w:tabs>
              <w:autoSpaceDE w:val="0"/>
              <w:autoSpaceDN w:val="0"/>
              <w:adjustRightInd w:val="0"/>
              <w:spacing w:after="0" w:line="240" w:lineRule="auto"/>
              <w:ind w:right="72"/>
              <w:jc w:val="right"/>
              <w:rPr>
                <w:rFonts w:cstheme="minorHAnsi"/>
                <w:b/>
                <w:bCs/>
                <w:color w:val="000000"/>
                <w:szCs w:val="20"/>
              </w:rPr>
            </w:pPr>
            <w:r w:rsidRPr="00EA2BB6">
              <w:rPr>
                <w:rFonts w:cstheme="minorHAnsi"/>
                <w:b/>
                <w:bCs/>
                <w:color w:val="000000"/>
                <w:szCs w:val="20"/>
              </w:rPr>
              <w:t>to 30 April 2019</w:t>
            </w:r>
          </w:p>
        </w:tc>
      </w:tr>
      <w:tr w:rsidR="001C6F66" w:rsidRPr="00D04030" w14:paraId="1CCF2A59" w14:textId="77777777" w:rsidTr="00270393">
        <w:trPr>
          <w:trHeight w:val="278"/>
          <w:tblHeader/>
        </w:trPr>
        <w:tc>
          <w:tcPr>
            <w:tcW w:w="5582" w:type="dxa"/>
            <w:tcBorders>
              <w:top w:val="nil"/>
              <w:left w:val="nil"/>
              <w:bottom w:val="nil"/>
              <w:right w:val="nil"/>
            </w:tcBorders>
            <w:shd w:val="clear" w:color="auto" w:fill="auto"/>
            <w:vAlign w:val="bottom"/>
          </w:tcPr>
          <w:p w14:paraId="5D833D8D" w14:textId="77777777" w:rsidR="001C6F66" w:rsidRPr="00EA2BB6" w:rsidRDefault="001C6F66" w:rsidP="00F432B9">
            <w:pPr>
              <w:tabs>
                <w:tab w:val="left" w:pos="288"/>
              </w:tabs>
              <w:autoSpaceDE w:val="0"/>
              <w:autoSpaceDN w:val="0"/>
              <w:adjustRightInd w:val="0"/>
              <w:spacing w:after="0" w:line="240" w:lineRule="auto"/>
              <w:rPr>
                <w:rFonts w:cstheme="minorHAnsi"/>
                <w:color w:val="000000"/>
                <w:szCs w:val="20"/>
              </w:rPr>
            </w:pPr>
          </w:p>
        </w:tc>
        <w:tc>
          <w:tcPr>
            <w:tcW w:w="646" w:type="dxa"/>
            <w:tcBorders>
              <w:top w:val="nil"/>
              <w:left w:val="nil"/>
              <w:bottom w:val="nil"/>
              <w:right w:val="nil"/>
            </w:tcBorders>
            <w:shd w:val="clear" w:color="auto" w:fill="auto"/>
            <w:vAlign w:val="bottom"/>
          </w:tcPr>
          <w:p w14:paraId="0EDD457C" w14:textId="77777777" w:rsidR="001C6F66" w:rsidRPr="00EA2BB6" w:rsidRDefault="001C6F66" w:rsidP="00F432B9">
            <w:pPr>
              <w:tabs>
                <w:tab w:val="left" w:pos="288"/>
              </w:tabs>
              <w:autoSpaceDE w:val="0"/>
              <w:autoSpaceDN w:val="0"/>
              <w:adjustRightInd w:val="0"/>
              <w:spacing w:after="0" w:line="240" w:lineRule="auto"/>
              <w:ind w:right="72"/>
              <w:jc w:val="center"/>
              <w:rPr>
                <w:rFonts w:cstheme="minorHAnsi"/>
                <w:b/>
                <w:bCs/>
                <w:color w:val="000000"/>
                <w:szCs w:val="20"/>
              </w:rPr>
            </w:pPr>
          </w:p>
        </w:tc>
        <w:tc>
          <w:tcPr>
            <w:tcW w:w="567" w:type="dxa"/>
            <w:tcBorders>
              <w:top w:val="nil"/>
              <w:left w:val="nil"/>
              <w:bottom w:val="nil"/>
              <w:right w:val="nil"/>
            </w:tcBorders>
            <w:shd w:val="clear" w:color="auto" w:fill="auto"/>
            <w:vAlign w:val="bottom"/>
          </w:tcPr>
          <w:p w14:paraId="59BF51CE" w14:textId="77777777" w:rsidR="001C6F66" w:rsidRPr="00EA2BB6" w:rsidRDefault="001C6F66" w:rsidP="00F432B9">
            <w:pPr>
              <w:tabs>
                <w:tab w:val="left" w:pos="288"/>
              </w:tabs>
              <w:autoSpaceDE w:val="0"/>
              <w:autoSpaceDN w:val="0"/>
              <w:adjustRightInd w:val="0"/>
              <w:spacing w:after="0" w:line="240" w:lineRule="auto"/>
              <w:jc w:val="center"/>
              <w:rPr>
                <w:rFonts w:cstheme="minorHAnsi"/>
                <w:b/>
                <w:bCs/>
                <w:color w:val="000000"/>
                <w:szCs w:val="20"/>
              </w:rPr>
            </w:pPr>
          </w:p>
        </w:tc>
        <w:tc>
          <w:tcPr>
            <w:tcW w:w="1701" w:type="dxa"/>
            <w:tcBorders>
              <w:top w:val="nil"/>
              <w:left w:val="nil"/>
              <w:right w:val="nil"/>
            </w:tcBorders>
            <w:shd w:val="clear" w:color="auto" w:fill="auto"/>
            <w:vAlign w:val="bottom"/>
          </w:tcPr>
          <w:p w14:paraId="1BB228AD" w14:textId="77777777" w:rsidR="001C6F66" w:rsidRPr="00EA2BB6" w:rsidRDefault="001C6F66" w:rsidP="00F432B9">
            <w:pPr>
              <w:tabs>
                <w:tab w:val="left" w:pos="288"/>
              </w:tabs>
              <w:autoSpaceDE w:val="0"/>
              <w:autoSpaceDN w:val="0"/>
              <w:adjustRightInd w:val="0"/>
              <w:spacing w:after="0" w:line="240" w:lineRule="auto"/>
              <w:ind w:right="72"/>
              <w:jc w:val="right"/>
              <w:rPr>
                <w:rFonts w:cstheme="minorHAnsi"/>
                <w:b/>
                <w:bCs/>
                <w:color w:val="000000"/>
                <w:szCs w:val="20"/>
              </w:rPr>
            </w:pPr>
            <w:r w:rsidRPr="00EA2BB6">
              <w:rPr>
                <w:rFonts w:cstheme="minorHAnsi"/>
                <w:b/>
                <w:bCs/>
                <w:color w:val="000000"/>
                <w:szCs w:val="20"/>
              </w:rPr>
              <w:t>RM</w:t>
            </w:r>
          </w:p>
        </w:tc>
      </w:tr>
      <w:tr w:rsidR="001C6F66" w:rsidRPr="00D04030" w14:paraId="48F44C51" w14:textId="77777777" w:rsidTr="00270393">
        <w:trPr>
          <w:trHeight w:val="278"/>
        </w:trPr>
        <w:tc>
          <w:tcPr>
            <w:tcW w:w="5582" w:type="dxa"/>
            <w:tcBorders>
              <w:top w:val="nil"/>
              <w:left w:val="nil"/>
              <w:bottom w:val="nil"/>
              <w:right w:val="nil"/>
            </w:tcBorders>
            <w:shd w:val="clear" w:color="auto" w:fill="auto"/>
            <w:vAlign w:val="bottom"/>
          </w:tcPr>
          <w:p w14:paraId="52986655" w14:textId="77777777" w:rsidR="001C6F66" w:rsidRPr="00D04030" w:rsidRDefault="001C6F66" w:rsidP="00F432B9">
            <w:pPr>
              <w:tabs>
                <w:tab w:val="left" w:pos="288"/>
              </w:tabs>
              <w:autoSpaceDE w:val="0"/>
              <w:autoSpaceDN w:val="0"/>
              <w:adjustRightInd w:val="0"/>
              <w:spacing w:after="0" w:line="240" w:lineRule="auto"/>
              <w:rPr>
                <w:rFonts w:cstheme="minorHAnsi"/>
                <w:b/>
                <w:bCs/>
                <w:color w:val="000000"/>
                <w:szCs w:val="20"/>
              </w:rPr>
            </w:pPr>
            <w:r w:rsidRPr="00D04030">
              <w:rPr>
                <w:rFonts w:cstheme="minorHAnsi"/>
                <w:b/>
                <w:bCs/>
                <w:color w:val="000000"/>
                <w:szCs w:val="20"/>
              </w:rPr>
              <w:t>Current tax expense</w:t>
            </w:r>
          </w:p>
        </w:tc>
        <w:tc>
          <w:tcPr>
            <w:tcW w:w="646" w:type="dxa"/>
            <w:tcBorders>
              <w:top w:val="nil"/>
              <w:left w:val="nil"/>
              <w:right w:val="nil"/>
            </w:tcBorders>
            <w:shd w:val="clear" w:color="auto" w:fill="auto"/>
            <w:vAlign w:val="bottom"/>
          </w:tcPr>
          <w:p w14:paraId="3B9AA817"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rPr>
            </w:pPr>
          </w:p>
        </w:tc>
        <w:tc>
          <w:tcPr>
            <w:tcW w:w="567" w:type="dxa"/>
            <w:tcBorders>
              <w:top w:val="nil"/>
              <w:left w:val="nil"/>
              <w:bottom w:val="nil"/>
              <w:right w:val="nil"/>
            </w:tcBorders>
            <w:shd w:val="clear" w:color="auto" w:fill="auto"/>
            <w:vAlign w:val="bottom"/>
          </w:tcPr>
          <w:p w14:paraId="372F52B2"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rPr>
            </w:pPr>
          </w:p>
        </w:tc>
        <w:tc>
          <w:tcPr>
            <w:tcW w:w="1701" w:type="dxa"/>
            <w:tcBorders>
              <w:top w:val="nil"/>
              <w:left w:val="nil"/>
              <w:right w:val="nil"/>
            </w:tcBorders>
            <w:shd w:val="clear" w:color="auto" w:fill="auto"/>
            <w:vAlign w:val="bottom"/>
          </w:tcPr>
          <w:p w14:paraId="2D84566D"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rPr>
            </w:pPr>
          </w:p>
        </w:tc>
      </w:tr>
      <w:tr w:rsidR="001C6F66" w:rsidRPr="00D04030" w14:paraId="3994011F" w14:textId="77777777" w:rsidTr="00270393">
        <w:trPr>
          <w:trHeight w:val="350"/>
        </w:trPr>
        <w:tc>
          <w:tcPr>
            <w:tcW w:w="5582" w:type="dxa"/>
            <w:tcBorders>
              <w:top w:val="nil"/>
              <w:left w:val="nil"/>
              <w:bottom w:val="nil"/>
              <w:right w:val="nil"/>
            </w:tcBorders>
            <w:shd w:val="clear" w:color="auto" w:fill="auto"/>
            <w:vAlign w:val="bottom"/>
          </w:tcPr>
          <w:p w14:paraId="5F20AC85" w14:textId="77777777" w:rsidR="001C6F66" w:rsidRPr="00D04030" w:rsidRDefault="001C6F66" w:rsidP="00F432B9">
            <w:pPr>
              <w:tabs>
                <w:tab w:val="left" w:pos="288"/>
              </w:tabs>
              <w:autoSpaceDE w:val="0"/>
              <w:autoSpaceDN w:val="0"/>
              <w:adjustRightInd w:val="0"/>
              <w:spacing w:after="0" w:line="240" w:lineRule="auto"/>
              <w:rPr>
                <w:rFonts w:cstheme="minorHAnsi"/>
                <w:color w:val="000000"/>
                <w:szCs w:val="20"/>
              </w:rPr>
            </w:pPr>
            <w:r w:rsidRPr="00D04030">
              <w:rPr>
                <w:rFonts w:cstheme="minorHAnsi"/>
                <w:color w:val="000000"/>
                <w:szCs w:val="20"/>
              </w:rPr>
              <w:t>Current year</w:t>
            </w:r>
          </w:p>
        </w:tc>
        <w:tc>
          <w:tcPr>
            <w:tcW w:w="646" w:type="dxa"/>
            <w:tcBorders>
              <w:top w:val="nil"/>
              <w:left w:val="nil"/>
              <w:right w:val="nil"/>
            </w:tcBorders>
            <w:shd w:val="clear" w:color="auto" w:fill="auto"/>
            <w:vAlign w:val="bottom"/>
          </w:tcPr>
          <w:p w14:paraId="03875624" w14:textId="77777777" w:rsidR="001C6F66" w:rsidRPr="00D04030" w:rsidRDefault="001C6F66" w:rsidP="00F432B9">
            <w:pPr>
              <w:tabs>
                <w:tab w:val="left" w:pos="288"/>
              </w:tabs>
              <w:autoSpaceDE w:val="0"/>
              <w:autoSpaceDN w:val="0"/>
              <w:adjustRightInd w:val="0"/>
              <w:spacing w:after="0" w:line="240" w:lineRule="auto"/>
              <w:ind w:right="72"/>
              <w:jc w:val="right"/>
              <w:rPr>
                <w:rFonts w:cstheme="minorHAnsi"/>
                <w:color w:val="000000"/>
                <w:szCs w:val="20"/>
              </w:rPr>
            </w:pPr>
          </w:p>
        </w:tc>
        <w:tc>
          <w:tcPr>
            <w:tcW w:w="567" w:type="dxa"/>
            <w:tcBorders>
              <w:top w:val="nil"/>
              <w:left w:val="nil"/>
              <w:bottom w:val="nil"/>
              <w:right w:val="nil"/>
            </w:tcBorders>
            <w:shd w:val="clear" w:color="auto" w:fill="auto"/>
            <w:vAlign w:val="bottom"/>
          </w:tcPr>
          <w:p w14:paraId="7A006529"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rPr>
            </w:pPr>
          </w:p>
        </w:tc>
        <w:tc>
          <w:tcPr>
            <w:tcW w:w="1701" w:type="dxa"/>
            <w:tcBorders>
              <w:left w:val="nil"/>
              <w:bottom w:val="double" w:sz="4" w:space="0" w:color="auto"/>
              <w:right w:val="nil"/>
            </w:tcBorders>
            <w:shd w:val="clear" w:color="auto" w:fill="auto"/>
            <w:vAlign w:val="bottom"/>
          </w:tcPr>
          <w:p w14:paraId="7C35DE09"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rPr>
            </w:pPr>
            <w:r w:rsidRPr="00D04030">
              <w:rPr>
                <w:rFonts w:cstheme="minorHAnsi"/>
                <w:color w:val="000000"/>
                <w:szCs w:val="20"/>
              </w:rPr>
              <w:t>74,591</w:t>
            </w:r>
          </w:p>
        </w:tc>
      </w:tr>
    </w:tbl>
    <w:p w14:paraId="7DFBD3DB" w14:textId="77777777" w:rsidR="001C6F66" w:rsidRPr="00D04030" w:rsidRDefault="001C6F66" w:rsidP="00F432B9">
      <w:pPr>
        <w:keepNext/>
        <w:keepLines/>
        <w:spacing w:after="0" w:line="240" w:lineRule="auto"/>
        <w:rPr>
          <w:rFonts w:cstheme="minorHAnsi"/>
          <w:szCs w:val="20"/>
        </w:rPr>
      </w:pPr>
    </w:p>
    <w:p w14:paraId="40FB7158" w14:textId="77777777" w:rsidR="001C6F66" w:rsidRPr="00D04030" w:rsidRDefault="001C6F66" w:rsidP="00F432B9">
      <w:pPr>
        <w:spacing w:after="0" w:line="240" w:lineRule="auto"/>
        <w:ind w:left="576"/>
        <w:rPr>
          <w:rFonts w:cstheme="minorHAnsi"/>
          <w:szCs w:val="20"/>
        </w:rPr>
      </w:pPr>
      <w:r w:rsidRPr="00D04030">
        <w:rPr>
          <w:rFonts w:cstheme="minorHAnsi"/>
          <w:szCs w:val="20"/>
        </w:rPr>
        <w:t>The income tax expense is reconciled to the accounting profit at the applicable tax rate as follows:</w:t>
      </w:r>
    </w:p>
    <w:tbl>
      <w:tblPr>
        <w:tblW w:w="8514" w:type="dxa"/>
        <w:tblInd w:w="558" w:type="dxa"/>
        <w:tblLayout w:type="fixed"/>
        <w:tblLook w:val="04A0" w:firstRow="1" w:lastRow="0" w:firstColumn="1" w:lastColumn="0" w:noHBand="0" w:noVBand="1"/>
      </w:tblPr>
      <w:tblGrid>
        <w:gridCol w:w="5510"/>
        <w:gridCol w:w="241"/>
        <w:gridCol w:w="1062"/>
        <w:gridCol w:w="1701"/>
      </w:tblGrid>
      <w:tr w:rsidR="001C6F66" w:rsidRPr="00D04030" w14:paraId="4AD815CB" w14:textId="77777777" w:rsidTr="00270393">
        <w:trPr>
          <w:trHeight w:val="80"/>
          <w:tblHeader/>
        </w:trPr>
        <w:tc>
          <w:tcPr>
            <w:tcW w:w="5510" w:type="dxa"/>
            <w:vAlign w:val="bottom"/>
          </w:tcPr>
          <w:p w14:paraId="09380F52" w14:textId="77777777" w:rsidR="001C6F66" w:rsidRPr="00EA2BB6" w:rsidRDefault="001C6F66" w:rsidP="00F432B9">
            <w:pPr>
              <w:tabs>
                <w:tab w:val="left" w:pos="288"/>
              </w:tabs>
              <w:autoSpaceDE w:val="0"/>
              <w:autoSpaceDN w:val="0"/>
              <w:adjustRightInd w:val="0"/>
              <w:spacing w:after="0" w:line="240" w:lineRule="auto"/>
              <w:rPr>
                <w:rFonts w:cstheme="minorHAnsi"/>
                <w:color w:val="000000"/>
                <w:szCs w:val="20"/>
              </w:rPr>
            </w:pPr>
            <w:r w:rsidRPr="00EA2BB6">
              <w:rPr>
                <w:rFonts w:cstheme="minorHAnsi"/>
                <w:szCs w:val="20"/>
              </w:rPr>
              <w:tab/>
            </w:r>
            <w:bookmarkStart w:id="49" w:name="_rcNoteIncomeTaxRecon"/>
          </w:p>
        </w:tc>
        <w:tc>
          <w:tcPr>
            <w:tcW w:w="241" w:type="dxa"/>
            <w:vAlign w:val="bottom"/>
          </w:tcPr>
          <w:p w14:paraId="46B061CE" w14:textId="77777777" w:rsidR="001C6F66" w:rsidRPr="00EA2BB6" w:rsidRDefault="001C6F66" w:rsidP="00F432B9">
            <w:pPr>
              <w:tabs>
                <w:tab w:val="left" w:pos="288"/>
              </w:tabs>
              <w:autoSpaceDE w:val="0"/>
              <w:autoSpaceDN w:val="0"/>
              <w:adjustRightInd w:val="0"/>
              <w:spacing w:after="0" w:line="240" w:lineRule="auto"/>
              <w:ind w:right="72"/>
              <w:jc w:val="center"/>
              <w:rPr>
                <w:rFonts w:cstheme="minorHAnsi"/>
                <w:b/>
                <w:bCs/>
                <w:color w:val="000000"/>
                <w:szCs w:val="20"/>
              </w:rPr>
            </w:pPr>
          </w:p>
        </w:tc>
        <w:tc>
          <w:tcPr>
            <w:tcW w:w="1062" w:type="dxa"/>
            <w:vAlign w:val="bottom"/>
          </w:tcPr>
          <w:p w14:paraId="77A4EB55" w14:textId="77777777" w:rsidR="001C6F66" w:rsidRPr="00EA2BB6" w:rsidRDefault="001C6F66" w:rsidP="00F432B9">
            <w:pPr>
              <w:tabs>
                <w:tab w:val="left" w:pos="288"/>
              </w:tabs>
              <w:autoSpaceDE w:val="0"/>
              <w:autoSpaceDN w:val="0"/>
              <w:adjustRightInd w:val="0"/>
              <w:spacing w:after="0" w:line="240" w:lineRule="auto"/>
              <w:ind w:right="72"/>
              <w:jc w:val="center"/>
              <w:rPr>
                <w:rFonts w:cstheme="minorHAnsi"/>
                <w:b/>
                <w:bCs/>
                <w:color w:val="000000"/>
                <w:szCs w:val="20"/>
              </w:rPr>
            </w:pPr>
          </w:p>
        </w:tc>
        <w:tc>
          <w:tcPr>
            <w:tcW w:w="1701" w:type="dxa"/>
            <w:vAlign w:val="bottom"/>
            <w:hideMark/>
          </w:tcPr>
          <w:p w14:paraId="7B7C53EC" w14:textId="77777777" w:rsidR="00270393" w:rsidRPr="00EA2BB6" w:rsidRDefault="00270393" w:rsidP="00270393">
            <w:pPr>
              <w:tabs>
                <w:tab w:val="left" w:pos="288"/>
              </w:tabs>
              <w:autoSpaceDE w:val="0"/>
              <w:autoSpaceDN w:val="0"/>
              <w:adjustRightInd w:val="0"/>
              <w:spacing w:after="0" w:line="240" w:lineRule="auto"/>
              <w:ind w:right="72"/>
              <w:jc w:val="right"/>
              <w:rPr>
                <w:rFonts w:cstheme="minorHAnsi"/>
                <w:b/>
                <w:bCs/>
                <w:color w:val="000000"/>
                <w:szCs w:val="20"/>
              </w:rPr>
            </w:pPr>
            <w:r w:rsidRPr="00EA2BB6">
              <w:rPr>
                <w:rFonts w:cstheme="minorHAnsi"/>
                <w:b/>
                <w:bCs/>
                <w:color w:val="000000"/>
                <w:szCs w:val="20"/>
              </w:rPr>
              <w:t>Period from</w:t>
            </w:r>
          </w:p>
          <w:p w14:paraId="6BAC8C47" w14:textId="77777777" w:rsidR="00270393" w:rsidRPr="00EA2BB6" w:rsidRDefault="00270393" w:rsidP="00270393">
            <w:pPr>
              <w:tabs>
                <w:tab w:val="left" w:pos="288"/>
              </w:tabs>
              <w:autoSpaceDE w:val="0"/>
              <w:autoSpaceDN w:val="0"/>
              <w:adjustRightInd w:val="0"/>
              <w:spacing w:after="0" w:line="240" w:lineRule="auto"/>
              <w:ind w:right="72"/>
              <w:jc w:val="right"/>
              <w:rPr>
                <w:rFonts w:cstheme="minorHAnsi"/>
                <w:b/>
                <w:bCs/>
                <w:color w:val="000000"/>
                <w:szCs w:val="20"/>
              </w:rPr>
            </w:pPr>
            <w:r w:rsidRPr="00EA2BB6">
              <w:rPr>
                <w:rFonts w:cstheme="minorHAnsi"/>
                <w:b/>
                <w:bCs/>
                <w:color w:val="000000"/>
                <w:szCs w:val="20"/>
              </w:rPr>
              <w:t xml:space="preserve">17 April 2018 </w:t>
            </w:r>
          </w:p>
          <w:p w14:paraId="0CE5115F" w14:textId="558E7042" w:rsidR="001C6F66" w:rsidRPr="00EA2BB6" w:rsidRDefault="00270393" w:rsidP="00270393">
            <w:pPr>
              <w:tabs>
                <w:tab w:val="left" w:pos="288"/>
              </w:tabs>
              <w:autoSpaceDE w:val="0"/>
              <w:autoSpaceDN w:val="0"/>
              <w:adjustRightInd w:val="0"/>
              <w:spacing w:after="0" w:line="240" w:lineRule="auto"/>
              <w:ind w:right="72"/>
              <w:jc w:val="right"/>
              <w:rPr>
                <w:rFonts w:cstheme="minorHAnsi"/>
                <w:b/>
                <w:bCs/>
                <w:color w:val="000000"/>
                <w:szCs w:val="20"/>
              </w:rPr>
            </w:pPr>
            <w:r w:rsidRPr="00EA2BB6">
              <w:rPr>
                <w:rFonts w:cstheme="minorHAnsi"/>
                <w:b/>
                <w:bCs/>
                <w:color w:val="000000"/>
                <w:szCs w:val="20"/>
              </w:rPr>
              <w:t>to 30 April 2019</w:t>
            </w:r>
          </w:p>
        </w:tc>
      </w:tr>
      <w:tr w:rsidR="001C6F66" w:rsidRPr="00D04030" w14:paraId="27558036" w14:textId="77777777" w:rsidTr="00270393">
        <w:trPr>
          <w:trHeight w:val="80"/>
          <w:tblHeader/>
        </w:trPr>
        <w:tc>
          <w:tcPr>
            <w:tcW w:w="5510" w:type="dxa"/>
            <w:vAlign w:val="bottom"/>
          </w:tcPr>
          <w:p w14:paraId="5EC8F3FF" w14:textId="77777777" w:rsidR="001C6F66" w:rsidRPr="00EA2BB6" w:rsidRDefault="001C6F66" w:rsidP="00F432B9">
            <w:pPr>
              <w:tabs>
                <w:tab w:val="left" w:pos="288"/>
              </w:tabs>
              <w:autoSpaceDE w:val="0"/>
              <w:autoSpaceDN w:val="0"/>
              <w:adjustRightInd w:val="0"/>
              <w:spacing w:after="0" w:line="240" w:lineRule="auto"/>
              <w:rPr>
                <w:rFonts w:cstheme="minorHAnsi"/>
                <w:color w:val="000000"/>
                <w:szCs w:val="20"/>
              </w:rPr>
            </w:pPr>
          </w:p>
        </w:tc>
        <w:tc>
          <w:tcPr>
            <w:tcW w:w="241" w:type="dxa"/>
            <w:vAlign w:val="bottom"/>
          </w:tcPr>
          <w:p w14:paraId="5E456303" w14:textId="77777777" w:rsidR="001C6F66" w:rsidRPr="00EA2BB6" w:rsidRDefault="001C6F66" w:rsidP="00F432B9">
            <w:pPr>
              <w:tabs>
                <w:tab w:val="left" w:pos="288"/>
              </w:tabs>
              <w:autoSpaceDE w:val="0"/>
              <w:autoSpaceDN w:val="0"/>
              <w:adjustRightInd w:val="0"/>
              <w:spacing w:after="0" w:line="240" w:lineRule="auto"/>
              <w:jc w:val="center"/>
              <w:rPr>
                <w:rFonts w:cstheme="minorHAnsi"/>
                <w:color w:val="000000"/>
                <w:szCs w:val="20"/>
              </w:rPr>
            </w:pPr>
          </w:p>
        </w:tc>
        <w:tc>
          <w:tcPr>
            <w:tcW w:w="1062" w:type="dxa"/>
            <w:vAlign w:val="bottom"/>
          </w:tcPr>
          <w:p w14:paraId="26F46114" w14:textId="77777777" w:rsidR="001C6F66" w:rsidRPr="00EA2BB6" w:rsidRDefault="001C6F66" w:rsidP="00F432B9">
            <w:pPr>
              <w:tabs>
                <w:tab w:val="left" w:pos="288"/>
              </w:tabs>
              <w:autoSpaceDE w:val="0"/>
              <w:autoSpaceDN w:val="0"/>
              <w:adjustRightInd w:val="0"/>
              <w:spacing w:after="0" w:line="240" w:lineRule="auto"/>
              <w:jc w:val="center"/>
              <w:rPr>
                <w:rFonts w:cstheme="minorHAnsi"/>
                <w:b/>
                <w:bCs/>
                <w:color w:val="000000"/>
                <w:szCs w:val="20"/>
                <w:lang w:val="en-MY"/>
              </w:rPr>
            </w:pPr>
          </w:p>
        </w:tc>
        <w:tc>
          <w:tcPr>
            <w:tcW w:w="1701" w:type="dxa"/>
            <w:vAlign w:val="bottom"/>
          </w:tcPr>
          <w:p w14:paraId="083D00D4" w14:textId="77777777" w:rsidR="001C6F66" w:rsidRPr="00EA2BB6" w:rsidRDefault="001C6F66" w:rsidP="00F432B9">
            <w:pPr>
              <w:tabs>
                <w:tab w:val="left" w:pos="288"/>
              </w:tabs>
              <w:autoSpaceDE w:val="0"/>
              <w:autoSpaceDN w:val="0"/>
              <w:adjustRightInd w:val="0"/>
              <w:spacing w:after="0" w:line="240" w:lineRule="auto"/>
              <w:jc w:val="right"/>
              <w:rPr>
                <w:rFonts w:cstheme="minorHAnsi"/>
                <w:color w:val="000000"/>
                <w:szCs w:val="20"/>
              </w:rPr>
            </w:pPr>
            <w:r w:rsidRPr="00EA2BB6">
              <w:rPr>
                <w:rFonts w:cstheme="minorHAnsi"/>
                <w:b/>
                <w:color w:val="000000"/>
                <w:szCs w:val="20"/>
              </w:rPr>
              <w:t>RM</w:t>
            </w:r>
          </w:p>
        </w:tc>
      </w:tr>
      <w:tr w:rsidR="001C6F66" w:rsidRPr="00D04030" w14:paraId="10C1F52B" w14:textId="77777777" w:rsidTr="00270393">
        <w:trPr>
          <w:trHeight w:val="80"/>
          <w:tblHeader/>
        </w:trPr>
        <w:tc>
          <w:tcPr>
            <w:tcW w:w="5510" w:type="dxa"/>
            <w:vAlign w:val="bottom"/>
          </w:tcPr>
          <w:p w14:paraId="16245E21" w14:textId="77777777" w:rsidR="001C6F66" w:rsidRPr="00D04030" w:rsidRDefault="001C6F66" w:rsidP="00F432B9">
            <w:pPr>
              <w:tabs>
                <w:tab w:val="left" w:pos="288"/>
              </w:tabs>
              <w:autoSpaceDE w:val="0"/>
              <w:autoSpaceDN w:val="0"/>
              <w:adjustRightInd w:val="0"/>
              <w:spacing w:after="0" w:line="240" w:lineRule="auto"/>
              <w:rPr>
                <w:rFonts w:cstheme="minorHAnsi"/>
                <w:color w:val="000000"/>
                <w:szCs w:val="20"/>
                <w:lang w:val="en-MY"/>
              </w:rPr>
            </w:pPr>
          </w:p>
        </w:tc>
        <w:tc>
          <w:tcPr>
            <w:tcW w:w="241" w:type="dxa"/>
            <w:vAlign w:val="bottom"/>
          </w:tcPr>
          <w:p w14:paraId="0C3BC88C"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c>
          <w:tcPr>
            <w:tcW w:w="1062" w:type="dxa"/>
            <w:vAlign w:val="bottom"/>
          </w:tcPr>
          <w:p w14:paraId="6C894AF2"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c>
          <w:tcPr>
            <w:tcW w:w="1701" w:type="dxa"/>
            <w:vAlign w:val="bottom"/>
          </w:tcPr>
          <w:p w14:paraId="6A0D0692"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r>
      <w:tr w:rsidR="001C6F66" w:rsidRPr="00D04030" w14:paraId="019FEFBA" w14:textId="77777777" w:rsidTr="00270393">
        <w:trPr>
          <w:trHeight w:val="278"/>
        </w:trPr>
        <w:tc>
          <w:tcPr>
            <w:tcW w:w="5510" w:type="dxa"/>
            <w:vAlign w:val="bottom"/>
            <w:hideMark/>
          </w:tcPr>
          <w:p w14:paraId="7BE73C33" w14:textId="77777777" w:rsidR="001C6F66" w:rsidRPr="00D04030" w:rsidRDefault="001C6F66" w:rsidP="00F432B9">
            <w:pPr>
              <w:tabs>
                <w:tab w:val="left" w:pos="288"/>
              </w:tabs>
              <w:autoSpaceDE w:val="0"/>
              <w:autoSpaceDN w:val="0"/>
              <w:adjustRightInd w:val="0"/>
              <w:spacing w:after="0" w:line="240" w:lineRule="auto"/>
              <w:rPr>
                <w:rFonts w:cstheme="minorHAnsi"/>
                <w:color w:val="000000"/>
                <w:szCs w:val="20"/>
                <w:lang w:val="en-MY"/>
              </w:rPr>
            </w:pPr>
            <w:r w:rsidRPr="00D04030">
              <w:rPr>
                <w:rFonts w:cstheme="minorHAnsi"/>
                <w:color w:val="000000"/>
                <w:szCs w:val="20"/>
                <w:lang w:val="en-MY"/>
              </w:rPr>
              <w:t>Profit before tax</w:t>
            </w:r>
          </w:p>
        </w:tc>
        <w:tc>
          <w:tcPr>
            <w:tcW w:w="241" w:type="dxa"/>
            <w:vAlign w:val="bottom"/>
          </w:tcPr>
          <w:p w14:paraId="70FD589A"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c>
          <w:tcPr>
            <w:tcW w:w="1062" w:type="dxa"/>
            <w:vAlign w:val="bottom"/>
          </w:tcPr>
          <w:p w14:paraId="423CF153"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c>
          <w:tcPr>
            <w:tcW w:w="1701" w:type="dxa"/>
            <w:tcBorders>
              <w:top w:val="nil"/>
              <w:left w:val="nil"/>
              <w:bottom w:val="single" w:sz="6" w:space="0" w:color="auto"/>
              <w:right w:val="nil"/>
            </w:tcBorders>
            <w:vAlign w:val="bottom"/>
            <w:hideMark/>
          </w:tcPr>
          <w:p w14:paraId="3702CDDA" w14:textId="77777777" w:rsidR="001C6F66" w:rsidRPr="00D04030" w:rsidRDefault="001C6F66" w:rsidP="00F432B9">
            <w:pPr>
              <w:tabs>
                <w:tab w:val="left" w:pos="288"/>
              </w:tabs>
              <w:autoSpaceDE w:val="0"/>
              <w:autoSpaceDN w:val="0"/>
              <w:adjustRightInd w:val="0"/>
              <w:spacing w:after="0" w:line="240" w:lineRule="auto"/>
              <w:ind w:right="72"/>
              <w:jc w:val="right"/>
              <w:rPr>
                <w:rFonts w:cstheme="minorHAnsi"/>
                <w:color w:val="000000"/>
                <w:szCs w:val="20"/>
                <w:lang w:val="en-MY"/>
              </w:rPr>
            </w:pPr>
            <w:r w:rsidRPr="00D04030">
              <w:rPr>
                <w:rFonts w:cstheme="minorHAnsi"/>
                <w:color w:val="000000"/>
                <w:szCs w:val="20"/>
                <w:lang w:val="en-MY"/>
              </w:rPr>
              <w:t>504,052</w:t>
            </w:r>
          </w:p>
        </w:tc>
      </w:tr>
      <w:tr w:rsidR="001C6F66" w:rsidRPr="00D04030" w14:paraId="2236875F" w14:textId="77777777" w:rsidTr="00270393">
        <w:trPr>
          <w:trHeight w:val="65"/>
        </w:trPr>
        <w:tc>
          <w:tcPr>
            <w:tcW w:w="5510" w:type="dxa"/>
            <w:vAlign w:val="bottom"/>
          </w:tcPr>
          <w:p w14:paraId="6FBC69A4"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c>
          <w:tcPr>
            <w:tcW w:w="241" w:type="dxa"/>
            <w:vAlign w:val="bottom"/>
          </w:tcPr>
          <w:p w14:paraId="2A2DA5D4" w14:textId="77777777" w:rsidR="001C6F66" w:rsidRPr="00D04030" w:rsidRDefault="001C6F66" w:rsidP="00F432B9">
            <w:pPr>
              <w:autoSpaceDE w:val="0"/>
              <w:autoSpaceDN w:val="0"/>
              <w:adjustRightInd w:val="0"/>
              <w:spacing w:after="0" w:line="240" w:lineRule="auto"/>
              <w:ind w:right="72"/>
              <w:jc w:val="right"/>
              <w:rPr>
                <w:rFonts w:cstheme="minorHAnsi"/>
                <w:color w:val="000000"/>
                <w:szCs w:val="20"/>
                <w:lang w:val="en-MY"/>
              </w:rPr>
            </w:pPr>
          </w:p>
        </w:tc>
        <w:tc>
          <w:tcPr>
            <w:tcW w:w="1062" w:type="dxa"/>
            <w:vAlign w:val="bottom"/>
          </w:tcPr>
          <w:p w14:paraId="343F6E96"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c>
          <w:tcPr>
            <w:tcW w:w="1701" w:type="dxa"/>
            <w:vAlign w:val="bottom"/>
          </w:tcPr>
          <w:p w14:paraId="00824FA8"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r>
      <w:tr w:rsidR="001C6F66" w:rsidRPr="00D04030" w14:paraId="4C1C4CB4" w14:textId="77777777" w:rsidTr="00270393">
        <w:trPr>
          <w:trHeight w:val="80"/>
        </w:trPr>
        <w:tc>
          <w:tcPr>
            <w:tcW w:w="5510" w:type="dxa"/>
            <w:vAlign w:val="bottom"/>
            <w:hideMark/>
          </w:tcPr>
          <w:p w14:paraId="20F408DA" w14:textId="77777777" w:rsidR="001C6F66" w:rsidRPr="00D04030" w:rsidRDefault="001C6F66" w:rsidP="00F432B9">
            <w:pPr>
              <w:tabs>
                <w:tab w:val="left" w:pos="288"/>
              </w:tabs>
              <w:autoSpaceDE w:val="0"/>
              <w:autoSpaceDN w:val="0"/>
              <w:adjustRightInd w:val="0"/>
              <w:spacing w:after="0" w:line="240" w:lineRule="auto"/>
              <w:rPr>
                <w:rFonts w:cstheme="minorHAnsi"/>
                <w:color w:val="000000"/>
                <w:szCs w:val="20"/>
                <w:lang w:val="en-MY"/>
              </w:rPr>
            </w:pPr>
            <w:r w:rsidRPr="00D04030">
              <w:rPr>
                <w:rFonts w:cstheme="minorHAnsi"/>
                <w:color w:val="000000"/>
                <w:szCs w:val="20"/>
                <w:lang w:val="en-MY"/>
              </w:rPr>
              <w:t>Tax at Malaysian statutory tax rate at 17%</w:t>
            </w:r>
          </w:p>
        </w:tc>
        <w:tc>
          <w:tcPr>
            <w:tcW w:w="241" w:type="dxa"/>
            <w:vAlign w:val="bottom"/>
          </w:tcPr>
          <w:p w14:paraId="4D046128"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c>
          <w:tcPr>
            <w:tcW w:w="1062" w:type="dxa"/>
            <w:vAlign w:val="bottom"/>
          </w:tcPr>
          <w:p w14:paraId="3C102871"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c>
          <w:tcPr>
            <w:tcW w:w="1701" w:type="dxa"/>
            <w:vAlign w:val="bottom"/>
            <w:hideMark/>
          </w:tcPr>
          <w:p w14:paraId="52EC3E3B" w14:textId="77777777" w:rsidR="001C6F66" w:rsidRPr="00D04030" w:rsidRDefault="001C6F66" w:rsidP="00F432B9">
            <w:pPr>
              <w:tabs>
                <w:tab w:val="left" w:pos="288"/>
              </w:tabs>
              <w:autoSpaceDE w:val="0"/>
              <w:autoSpaceDN w:val="0"/>
              <w:adjustRightInd w:val="0"/>
              <w:spacing w:after="0" w:line="240" w:lineRule="auto"/>
              <w:ind w:right="72"/>
              <w:jc w:val="right"/>
              <w:rPr>
                <w:rFonts w:cstheme="minorHAnsi"/>
                <w:color w:val="000000"/>
                <w:szCs w:val="20"/>
                <w:lang w:val="en-MY"/>
              </w:rPr>
            </w:pPr>
            <w:r w:rsidRPr="00D04030">
              <w:rPr>
                <w:rFonts w:cstheme="minorHAnsi"/>
                <w:color w:val="000000"/>
                <w:szCs w:val="20"/>
                <w:lang w:val="en-MY"/>
              </w:rPr>
              <w:t>85,000</w:t>
            </w:r>
          </w:p>
        </w:tc>
      </w:tr>
      <w:bookmarkEnd w:id="49"/>
      <w:tr w:rsidR="001C6F66" w:rsidRPr="00D04030" w14:paraId="342BB1F1" w14:textId="77777777" w:rsidTr="00270393">
        <w:trPr>
          <w:trHeight w:val="80"/>
        </w:trPr>
        <w:tc>
          <w:tcPr>
            <w:tcW w:w="5510" w:type="dxa"/>
            <w:vAlign w:val="bottom"/>
          </w:tcPr>
          <w:p w14:paraId="74B7651D" w14:textId="77777777" w:rsidR="001C6F66" w:rsidRPr="00D04030" w:rsidRDefault="001C6F66" w:rsidP="00F432B9">
            <w:pPr>
              <w:tabs>
                <w:tab w:val="left" w:pos="288"/>
              </w:tabs>
              <w:autoSpaceDE w:val="0"/>
              <w:autoSpaceDN w:val="0"/>
              <w:adjustRightInd w:val="0"/>
              <w:spacing w:after="0" w:line="240" w:lineRule="auto"/>
              <w:rPr>
                <w:rFonts w:cstheme="minorHAnsi"/>
                <w:color w:val="000000"/>
                <w:szCs w:val="20"/>
                <w:lang w:val="en-MY"/>
              </w:rPr>
            </w:pPr>
            <w:r w:rsidRPr="00D04030">
              <w:rPr>
                <w:rFonts w:cstheme="minorHAnsi"/>
                <w:color w:val="000000"/>
                <w:szCs w:val="20"/>
                <w:lang w:val="en-MY"/>
              </w:rPr>
              <w:t>Tax at Malaysian statutory tax rate at 24%</w:t>
            </w:r>
          </w:p>
        </w:tc>
        <w:tc>
          <w:tcPr>
            <w:tcW w:w="241" w:type="dxa"/>
            <w:vAlign w:val="bottom"/>
          </w:tcPr>
          <w:p w14:paraId="3AAEED91" w14:textId="77777777" w:rsidR="001C6F66" w:rsidRPr="00D04030" w:rsidRDefault="001C6F66" w:rsidP="00F432B9">
            <w:pPr>
              <w:autoSpaceDE w:val="0"/>
              <w:autoSpaceDN w:val="0"/>
              <w:adjustRightInd w:val="0"/>
              <w:spacing w:after="0" w:line="240" w:lineRule="auto"/>
              <w:ind w:right="72"/>
              <w:jc w:val="right"/>
              <w:rPr>
                <w:rFonts w:cstheme="minorHAnsi"/>
                <w:color w:val="000000"/>
                <w:szCs w:val="20"/>
                <w:lang w:val="en-MY"/>
              </w:rPr>
            </w:pPr>
          </w:p>
        </w:tc>
        <w:tc>
          <w:tcPr>
            <w:tcW w:w="1062" w:type="dxa"/>
            <w:vAlign w:val="bottom"/>
          </w:tcPr>
          <w:p w14:paraId="63DC9A08"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c>
          <w:tcPr>
            <w:tcW w:w="1701" w:type="dxa"/>
            <w:tcBorders>
              <w:bottom w:val="single" w:sz="4" w:space="0" w:color="auto"/>
            </w:tcBorders>
            <w:vAlign w:val="bottom"/>
          </w:tcPr>
          <w:p w14:paraId="210E1440"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r w:rsidRPr="00D04030">
              <w:rPr>
                <w:rFonts w:cstheme="minorHAnsi"/>
                <w:color w:val="000000"/>
                <w:szCs w:val="20"/>
                <w:lang w:val="en-MY"/>
              </w:rPr>
              <w:t>972</w:t>
            </w:r>
          </w:p>
        </w:tc>
      </w:tr>
      <w:tr w:rsidR="001C6F66" w:rsidRPr="00D04030" w14:paraId="4EAA853A" w14:textId="77777777" w:rsidTr="00270393">
        <w:trPr>
          <w:trHeight w:val="80"/>
        </w:trPr>
        <w:tc>
          <w:tcPr>
            <w:tcW w:w="5510" w:type="dxa"/>
            <w:vAlign w:val="bottom"/>
          </w:tcPr>
          <w:p w14:paraId="0B564A76" w14:textId="77777777" w:rsidR="001C6F66" w:rsidRPr="00D04030" w:rsidRDefault="001C6F66" w:rsidP="00F432B9">
            <w:pPr>
              <w:tabs>
                <w:tab w:val="left" w:pos="288"/>
              </w:tabs>
              <w:autoSpaceDE w:val="0"/>
              <w:autoSpaceDN w:val="0"/>
              <w:adjustRightInd w:val="0"/>
              <w:spacing w:after="0" w:line="240" w:lineRule="auto"/>
              <w:rPr>
                <w:rFonts w:cstheme="minorHAnsi"/>
                <w:color w:val="000000"/>
                <w:szCs w:val="20"/>
                <w:lang w:val="en-MY"/>
              </w:rPr>
            </w:pPr>
          </w:p>
        </w:tc>
        <w:tc>
          <w:tcPr>
            <w:tcW w:w="241" w:type="dxa"/>
            <w:vAlign w:val="bottom"/>
          </w:tcPr>
          <w:p w14:paraId="08735787" w14:textId="77777777" w:rsidR="001C6F66" w:rsidRPr="00D04030" w:rsidRDefault="001C6F66" w:rsidP="00F432B9">
            <w:pPr>
              <w:autoSpaceDE w:val="0"/>
              <w:autoSpaceDN w:val="0"/>
              <w:adjustRightInd w:val="0"/>
              <w:spacing w:after="0" w:line="240" w:lineRule="auto"/>
              <w:ind w:right="72"/>
              <w:jc w:val="right"/>
              <w:rPr>
                <w:rFonts w:cstheme="minorHAnsi"/>
                <w:color w:val="000000"/>
                <w:szCs w:val="20"/>
                <w:lang w:val="en-MY"/>
              </w:rPr>
            </w:pPr>
          </w:p>
        </w:tc>
        <w:tc>
          <w:tcPr>
            <w:tcW w:w="1062" w:type="dxa"/>
            <w:vAlign w:val="bottom"/>
          </w:tcPr>
          <w:p w14:paraId="4BF19488"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c>
          <w:tcPr>
            <w:tcW w:w="1701" w:type="dxa"/>
            <w:tcBorders>
              <w:top w:val="single" w:sz="4" w:space="0" w:color="auto"/>
            </w:tcBorders>
            <w:vAlign w:val="bottom"/>
          </w:tcPr>
          <w:p w14:paraId="0DDC11FB"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r w:rsidRPr="00D04030">
              <w:rPr>
                <w:rFonts w:cstheme="minorHAnsi"/>
                <w:color w:val="000000"/>
                <w:szCs w:val="20"/>
                <w:lang w:val="en-MY"/>
              </w:rPr>
              <w:t>85,972</w:t>
            </w:r>
          </w:p>
        </w:tc>
      </w:tr>
      <w:tr w:rsidR="001C6F66" w:rsidRPr="00D04030" w14:paraId="243D9FCC" w14:textId="77777777" w:rsidTr="00270393">
        <w:trPr>
          <w:trHeight w:val="80"/>
        </w:trPr>
        <w:tc>
          <w:tcPr>
            <w:tcW w:w="5510" w:type="dxa"/>
            <w:vAlign w:val="bottom"/>
            <w:hideMark/>
          </w:tcPr>
          <w:p w14:paraId="7EC5E100" w14:textId="77777777" w:rsidR="001C6F66" w:rsidRPr="00D04030" w:rsidRDefault="001C6F66" w:rsidP="00F432B9">
            <w:pPr>
              <w:tabs>
                <w:tab w:val="left" w:pos="288"/>
              </w:tabs>
              <w:autoSpaceDE w:val="0"/>
              <w:autoSpaceDN w:val="0"/>
              <w:adjustRightInd w:val="0"/>
              <w:spacing w:after="0" w:line="240" w:lineRule="auto"/>
              <w:rPr>
                <w:rFonts w:cstheme="minorHAnsi"/>
                <w:color w:val="000000"/>
                <w:szCs w:val="20"/>
                <w:lang w:val="en-MY"/>
              </w:rPr>
            </w:pPr>
            <w:r w:rsidRPr="00D04030">
              <w:rPr>
                <w:rFonts w:cstheme="minorHAnsi"/>
                <w:color w:val="000000"/>
                <w:szCs w:val="20"/>
                <w:lang w:val="en-MY"/>
              </w:rPr>
              <w:t>Tax effects of:</w:t>
            </w:r>
          </w:p>
        </w:tc>
        <w:tc>
          <w:tcPr>
            <w:tcW w:w="241" w:type="dxa"/>
            <w:vAlign w:val="bottom"/>
          </w:tcPr>
          <w:p w14:paraId="0855C287" w14:textId="77777777" w:rsidR="001C6F66" w:rsidRPr="00D04030" w:rsidRDefault="001C6F66" w:rsidP="00F432B9">
            <w:pPr>
              <w:autoSpaceDE w:val="0"/>
              <w:autoSpaceDN w:val="0"/>
              <w:adjustRightInd w:val="0"/>
              <w:spacing w:after="0" w:line="240" w:lineRule="auto"/>
              <w:ind w:right="72"/>
              <w:jc w:val="right"/>
              <w:rPr>
                <w:rFonts w:cstheme="minorHAnsi"/>
                <w:color w:val="000000"/>
                <w:szCs w:val="20"/>
                <w:lang w:val="en-MY"/>
              </w:rPr>
            </w:pPr>
          </w:p>
        </w:tc>
        <w:tc>
          <w:tcPr>
            <w:tcW w:w="1062" w:type="dxa"/>
            <w:vAlign w:val="bottom"/>
          </w:tcPr>
          <w:p w14:paraId="5D145C87"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c>
          <w:tcPr>
            <w:tcW w:w="1701" w:type="dxa"/>
            <w:vAlign w:val="bottom"/>
          </w:tcPr>
          <w:p w14:paraId="712E9CAD"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r>
      <w:tr w:rsidR="001C6F66" w:rsidRPr="00D04030" w14:paraId="75356EDB" w14:textId="77777777" w:rsidTr="00270393">
        <w:trPr>
          <w:trHeight w:val="80"/>
        </w:trPr>
        <w:tc>
          <w:tcPr>
            <w:tcW w:w="5510" w:type="dxa"/>
            <w:vAlign w:val="bottom"/>
            <w:hideMark/>
          </w:tcPr>
          <w:p w14:paraId="6B280DD4" w14:textId="77777777" w:rsidR="001C6F66" w:rsidRPr="00D04030" w:rsidRDefault="001C6F66" w:rsidP="00F432B9">
            <w:pPr>
              <w:tabs>
                <w:tab w:val="left" w:pos="288"/>
              </w:tabs>
              <w:autoSpaceDE w:val="0"/>
              <w:autoSpaceDN w:val="0"/>
              <w:adjustRightInd w:val="0"/>
              <w:spacing w:after="0" w:line="240" w:lineRule="auto"/>
              <w:rPr>
                <w:rFonts w:cstheme="minorHAnsi"/>
                <w:color w:val="000000"/>
                <w:szCs w:val="20"/>
                <w:lang w:val="en-MY"/>
              </w:rPr>
            </w:pPr>
            <w:r w:rsidRPr="00D04030">
              <w:rPr>
                <w:rFonts w:cstheme="minorHAnsi"/>
                <w:color w:val="000000"/>
                <w:szCs w:val="20"/>
                <w:lang w:val="en-MY"/>
              </w:rPr>
              <w:t>- expenses not deductible for tax purposes</w:t>
            </w:r>
          </w:p>
        </w:tc>
        <w:tc>
          <w:tcPr>
            <w:tcW w:w="241" w:type="dxa"/>
            <w:vAlign w:val="bottom"/>
          </w:tcPr>
          <w:p w14:paraId="7AA76B1C"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c>
          <w:tcPr>
            <w:tcW w:w="1062" w:type="dxa"/>
            <w:vAlign w:val="bottom"/>
          </w:tcPr>
          <w:p w14:paraId="03C4FCFF"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c>
          <w:tcPr>
            <w:tcW w:w="1701" w:type="dxa"/>
            <w:vAlign w:val="bottom"/>
            <w:hideMark/>
          </w:tcPr>
          <w:p w14:paraId="372A84CD" w14:textId="2597862E" w:rsidR="001C6F66" w:rsidRPr="00D04030" w:rsidRDefault="00D04030" w:rsidP="00F432B9">
            <w:pPr>
              <w:tabs>
                <w:tab w:val="left" w:pos="288"/>
              </w:tabs>
              <w:autoSpaceDE w:val="0"/>
              <w:autoSpaceDN w:val="0"/>
              <w:adjustRightInd w:val="0"/>
              <w:spacing w:after="0" w:line="240" w:lineRule="auto"/>
              <w:ind w:right="72"/>
              <w:jc w:val="right"/>
              <w:rPr>
                <w:rFonts w:cstheme="minorHAnsi"/>
                <w:color w:val="000000"/>
                <w:szCs w:val="20"/>
                <w:lang w:val="en-MY"/>
              </w:rPr>
            </w:pPr>
            <w:r>
              <w:rPr>
                <w:rFonts w:cstheme="minorHAnsi"/>
                <w:color w:val="000000"/>
                <w:szCs w:val="20"/>
                <w:lang w:val="en-MY"/>
              </w:rPr>
              <w:t>3,731</w:t>
            </w:r>
          </w:p>
        </w:tc>
      </w:tr>
      <w:tr w:rsidR="001C6F66" w:rsidRPr="00D04030" w14:paraId="47308F8E" w14:textId="77777777" w:rsidTr="00270393">
        <w:trPr>
          <w:trHeight w:val="80"/>
        </w:trPr>
        <w:tc>
          <w:tcPr>
            <w:tcW w:w="5510" w:type="dxa"/>
            <w:vAlign w:val="bottom"/>
          </w:tcPr>
          <w:p w14:paraId="1DEAC537" w14:textId="77777777" w:rsidR="001C6F66" w:rsidRPr="00D04030" w:rsidRDefault="001C6F66" w:rsidP="00F432B9">
            <w:pPr>
              <w:tabs>
                <w:tab w:val="left" w:pos="288"/>
              </w:tabs>
              <w:autoSpaceDE w:val="0"/>
              <w:autoSpaceDN w:val="0"/>
              <w:adjustRightInd w:val="0"/>
              <w:spacing w:after="0" w:line="240" w:lineRule="auto"/>
              <w:rPr>
                <w:rFonts w:cstheme="minorHAnsi"/>
                <w:color w:val="000000"/>
                <w:szCs w:val="20"/>
              </w:rPr>
            </w:pPr>
            <w:r w:rsidRPr="00D04030">
              <w:rPr>
                <w:rFonts w:cstheme="minorHAnsi"/>
                <w:color w:val="000000"/>
                <w:szCs w:val="20"/>
              </w:rPr>
              <w:t xml:space="preserve">- deferred tax liabilities not recognised </w:t>
            </w:r>
          </w:p>
        </w:tc>
        <w:tc>
          <w:tcPr>
            <w:tcW w:w="241" w:type="dxa"/>
            <w:vAlign w:val="bottom"/>
          </w:tcPr>
          <w:p w14:paraId="529C99FC"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c>
          <w:tcPr>
            <w:tcW w:w="1062" w:type="dxa"/>
            <w:vAlign w:val="bottom"/>
          </w:tcPr>
          <w:p w14:paraId="5CCC2B91"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c>
          <w:tcPr>
            <w:tcW w:w="1701" w:type="dxa"/>
            <w:vAlign w:val="bottom"/>
          </w:tcPr>
          <w:p w14:paraId="1FB03D68" w14:textId="39E4205B"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r w:rsidRPr="00D04030">
              <w:rPr>
                <w:rFonts w:cstheme="minorHAnsi"/>
                <w:color w:val="000000"/>
                <w:szCs w:val="20"/>
                <w:lang w:val="en-MY"/>
              </w:rPr>
              <w:t>(</w:t>
            </w:r>
            <w:r w:rsidR="00560FB3">
              <w:rPr>
                <w:rFonts w:cstheme="minorHAnsi"/>
                <w:color w:val="000000"/>
                <w:szCs w:val="20"/>
                <w:lang w:val="en-MY"/>
              </w:rPr>
              <w:t>15</w:t>
            </w:r>
            <w:r w:rsidRPr="00D04030">
              <w:rPr>
                <w:rFonts w:cstheme="minorHAnsi"/>
                <w:color w:val="000000"/>
                <w:szCs w:val="20"/>
                <w:lang w:val="en-MY"/>
              </w:rPr>
              <w:t>,</w:t>
            </w:r>
            <w:r w:rsidR="00560FB3">
              <w:rPr>
                <w:rFonts w:cstheme="minorHAnsi"/>
                <w:color w:val="000000"/>
                <w:szCs w:val="20"/>
                <w:lang w:val="en-MY"/>
              </w:rPr>
              <w:t>112</w:t>
            </w:r>
            <w:r w:rsidRPr="00D04030">
              <w:rPr>
                <w:rFonts w:cstheme="minorHAnsi"/>
                <w:color w:val="000000"/>
                <w:szCs w:val="20"/>
                <w:lang w:val="en-MY"/>
              </w:rPr>
              <w:t>)</w:t>
            </w:r>
          </w:p>
        </w:tc>
      </w:tr>
      <w:tr w:rsidR="001C6F66" w:rsidRPr="00D04030" w14:paraId="582D4465" w14:textId="77777777" w:rsidTr="00270393">
        <w:trPr>
          <w:trHeight w:val="372"/>
        </w:trPr>
        <w:tc>
          <w:tcPr>
            <w:tcW w:w="5510" w:type="dxa"/>
            <w:vAlign w:val="bottom"/>
            <w:hideMark/>
          </w:tcPr>
          <w:p w14:paraId="2D000D15" w14:textId="77777777" w:rsidR="001C6F66" w:rsidRPr="00D04030" w:rsidRDefault="001C6F66" w:rsidP="00F432B9">
            <w:pPr>
              <w:tabs>
                <w:tab w:val="left" w:pos="288"/>
              </w:tabs>
              <w:autoSpaceDE w:val="0"/>
              <w:autoSpaceDN w:val="0"/>
              <w:adjustRightInd w:val="0"/>
              <w:spacing w:after="0" w:line="240" w:lineRule="auto"/>
              <w:rPr>
                <w:rFonts w:cstheme="minorHAnsi"/>
                <w:color w:val="000000"/>
                <w:szCs w:val="20"/>
                <w:lang w:val="en-MY"/>
              </w:rPr>
            </w:pPr>
            <w:r w:rsidRPr="00D04030">
              <w:rPr>
                <w:rFonts w:cstheme="minorHAnsi"/>
                <w:color w:val="000000"/>
                <w:szCs w:val="20"/>
                <w:lang w:val="en-MY"/>
              </w:rPr>
              <w:t>Total income tax expense</w:t>
            </w:r>
          </w:p>
        </w:tc>
        <w:tc>
          <w:tcPr>
            <w:tcW w:w="241" w:type="dxa"/>
            <w:vAlign w:val="bottom"/>
          </w:tcPr>
          <w:p w14:paraId="7602B7F1" w14:textId="77777777" w:rsidR="001C6F66" w:rsidRPr="00D04030" w:rsidRDefault="001C6F66" w:rsidP="00F432B9">
            <w:pPr>
              <w:tabs>
                <w:tab w:val="left" w:pos="288"/>
              </w:tabs>
              <w:autoSpaceDE w:val="0"/>
              <w:autoSpaceDN w:val="0"/>
              <w:adjustRightInd w:val="0"/>
              <w:spacing w:after="0" w:line="240" w:lineRule="auto"/>
              <w:jc w:val="right"/>
              <w:rPr>
                <w:rFonts w:cstheme="minorHAnsi"/>
                <w:color w:val="000000"/>
                <w:szCs w:val="20"/>
                <w:lang w:val="en-MY"/>
              </w:rPr>
            </w:pPr>
          </w:p>
        </w:tc>
        <w:tc>
          <w:tcPr>
            <w:tcW w:w="1062" w:type="dxa"/>
            <w:vAlign w:val="bottom"/>
          </w:tcPr>
          <w:p w14:paraId="6157862B" w14:textId="77777777" w:rsidR="001C6F66" w:rsidRPr="00D04030" w:rsidRDefault="001C6F66" w:rsidP="00F432B9">
            <w:pPr>
              <w:autoSpaceDE w:val="0"/>
              <w:autoSpaceDN w:val="0"/>
              <w:adjustRightInd w:val="0"/>
              <w:spacing w:after="0" w:line="240" w:lineRule="auto"/>
              <w:jc w:val="right"/>
              <w:rPr>
                <w:rFonts w:cstheme="minorHAnsi"/>
                <w:color w:val="000000"/>
                <w:szCs w:val="20"/>
                <w:lang w:val="en-MY"/>
              </w:rPr>
            </w:pPr>
          </w:p>
        </w:tc>
        <w:tc>
          <w:tcPr>
            <w:tcW w:w="1701" w:type="dxa"/>
            <w:tcBorders>
              <w:top w:val="single" w:sz="6" w:space="0" w:color="auto"/>
              <w:left w:val="nil"/>
              <w:bottom w:val="double" w:sz="6" w:space="0" w:color="auto"/>
              <w:right w:val="nil"/>
            </w:tcBorders>
            <w:vAlign w:val="bottom"/>
            <w:hideMark/>
          </w:tcPr>
          <w:p w14:paraId="75C315EE" w14:textId="77777777" w:rsidR="001C6F66" w:rsidRPr="00D04030" w:rsidRDefault="001C6F66" w:rsidP="00F432B9">
            <w:pPr>
              <w:tabs>
                <w:tab w:val="left" w:pos="288"/>
              </w:tabs>
              <w:autoSpaceDE w:val="0"/>
              <w:autoSpaceDN w:val="0"/>
              <w:adjustRightInd w:val="0"/>
              <w:spacing w:after="0" w:line="240" w:lineRule="auto"/>
              <w:ind w:right="72"/>
              <w:jc w:val="right"/>
              <w:rPr>
                <w:rFonts w:cstheme="minorHAnsi"/>
                <w:color w:val="000000"/>
                <w:szCs w:val="20"/>
                <w:lang w:val="en-MY"/>
              </w:rPr>
            </w:pPr>
            <w:r w:rsidRPr="00D04030">
              <w:rPr>
                <w:rFonts w:cstheme="minorHAnsi"/>
                <w:color w:val="000000"/>
                <w:szCs w:val="20"/>
                <w:lang w:val="en-MY"/>
              </w:rPr>
              <w:t>74,591</w:t>
            </w:r>
          </w:p>
        </w:tc>
      </w:tr>
    </w:tbl>
    <w:p w14:paraId="5BA5B71F" w14:textId="77777777" w:rsidR="001C6F66" w:rsidRPr="00D04030" w:rsidRDefault="001C6F66" w:rsidP="00F432B9">
      <w:pPr>
        <w:keepNext/>
        <w:keepLines/>
        <w:spacing w:line="240" w:lineRule="auto"/>
        <w:rPr>
          <w:rFonts w:cstheme="minorHAnsi"/>
          <w:b/>
          <w:caps/>
          <w:szCs w:val="20"/>
        </w:rPr>
      </w:pPr>
    </w:p>
    <w:p w14:paraId="63ECF608" w14:textId="7FBA0956" w:rsidR="001C6F66" w:rsidRDefault="001C6F66" w:rsidP="00F432B9">
      <w:pPr>
        <w:keepNext/>
        <w:keepLines/>
        <w:spacing w:line="240" w:lineRule="auto"/>
        <w:ind w:left="576"/>
        <w:rPr>
          <w:rFonts w:cstheme="minorHAnsi"/>
          <w:color w:val="000000"/>
          <w:szCs w:val="20"/>
        </w:rPr>
      </w:pPr>
      <w:r w:rsidRPr="00D04030">
        <w:rPr>
          <w:rFonts w:cstheme="minorHAnsi"/>
          <w:color w:val="000000"/>
          <w:szCs w:val="20"/>
        </w:rPr>
        <w:t>Alchemist has applied for MSC Pioneer Status, if granted, it would result in Alchemist becoming income tax exempt.</w:t>
      </w:r>
      <w:r w:rsidR="00B575FC" w:rsidRPr="00D04030">
        <w:rPr>
          <w:rFonts w:cstheme="minorHAnsi"/>
          <w:color w:val="000000"/>
          <w:szCs w:val="20"/>
        </w:rPr>
        <w:t xml:space="preserve"> </w:t>
      </w:r>
      <w:r w:rsidRPr="00D04030">
        <w:rPr>
          <w:rFonts w:cstheme="minorHAnsi"/>
          <w:color w:val="000000"/>
          <w:szCs w:val="20"/>
        </w:rPr>
        <w:t>Although the application has been submitted there is no certainty as to whether Alchemist will be successful in obtaining MSC Pioneer Status and therefore an income tax charge has been recognised.</w:t>
      </w:r>
    </w:p>
    <w:p w14:paraId="5E09B41D" w14:textId="77777777" w:rsidR="001F27A6" w:rsidRDefault="001F27A6" w:rsidP="001F27A6">
      <w:pPr>
        <w:keepNext/>
        <w:keepLines/>
        <w:numPr>
          <w:ilvl w:val="0"/>
          <w:numId w:val="40"/>
        </w:numPr>
        <w:spacing w:after="220" w:line="240" w:lineRule="auto"/>
        <w:rPr>
          <w:rFonts w:cstheme="minorHAnsi"/>
          <w:b/>
          <w:caps/>
        </w:rPr>
      </w:pPr>
      <w:r>
        <w:rPr>
          <w:rFonts w:cstheme="minorHAnsi"/>
          <w:b/>
          <w:caps/>
        </w:rPr>
        <w:t>NOTE TO THE STATEMENT OF CASH FLOWS</w:t>
      </w:r>
    </w:p>
    <w:tbl>
      <w:tblPr>
        <w:tblW w:w="8496" w:type="dxa"/>
        <w:tblInd w:w="576" w:type="dxa"/>
        <w:shd w:val="clear" w:color="000000" w:fill="auto"/>
        <w:tblLayout w:type="fixed"/>
        <w:tblCellMar>
          <w:left w:w="30" w:type="dxa"/>
          <w:right w:w="30" w:type="dxa"/>
        </w:tblCellMar>
        <w:tblLook w:val="0000" w:firstRow="0" w:lastRow="0" w:firstColumn="0" w:lastColumn="0" w:noHBand="0" w:noVBand="0"/>
      </w:tblPr>
      <w:tblGrid>
        <w:gridCol w:w="4044"/>
        <w:gridCol w:w="1530"/>
        <w:gridCol w:w="1530"/>
        <w:gridCol w:w="1392"/>
      </w:tblGrid>
      <w:tr w:rsidR="001F27A6" w:rsidRPr="009B546D" w14:paraId="6AF8B390" w14:textId="77777777" w:rsidTr="004A12EB">
        <w:trPr>
          <w:trHeight w:val="542"/>
        </w:trPr>
        <w:tc>
          <w:tcPr>
            <w:tcW w:w="4044" w:type="dxa"/>
            <w:tcBorders>
              <w:top w:val="nil"/>
              <w:left w:val="nil"/>
              <w:bottom w:val="nil"/>
              <w:right w:val="nil"/>
            </w:tcBorders>
            <w:shd w:val="clear" w:color="000000" w:fill="auto"/>
            <w:vAlign w:val="bottom"/>
          </w:tcPr>
          <w:p w14:paraId="354F9FD1" w14:textId="77777777" w:rsidR="001F27A6" w:rsidRPr="009B546D" w:rsidRDefault="001F27A6" w:rsidP="004A12EB">
            <w:pPr>
              <w:tabs>
                <w:tab w:val="left" w:pos="288"/>
              </w:tabs>
              <w:autoSpaceDE w:val="0"/>
              <w:autoSpaceDN w:val="0"/>
              <w:adjustRightInd w:val="0"/>
              <w:spacing w:after="0" w:line="240" w:lineRule="auto"/>
              <w:jc w:val="center"/>
              <w:rPr>
                <w:rFonts w:cstheme="minorHAnsi"/>
                <w:color w:val="000000"/>
              </w:rPr>
            </w:pPr>
          </w:p>
        </w:tc>
        <w:tc>
          <w:tcPr>
            <w:tcW w:w="1530" w:type="dxa"/>
            <w:tcBorders>
              <w:top w:val="nil"/>
              <w:left w:val="nil"/>
              <w:bottom w:val="nil"/>
              <w:right w:val="nil"/>
            </w:tcBorders>
            <w:shd w:val="clear" w:color="000000" w:fill="auto"/>
            <w:vAlign w:val="bottom"/>
          </w:tcPr>
          <w:p w14:paraId="4AB2E240"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b/>
                <w:bCs/>
                <w:color w:val="000000"/>
              </w:rPr>
            </w:pPr>
            <w:r>
              <w:rPr>
                <w:rFonts w:cstheme="minorHAnsi"/>
                <w:b/>
                <w:bCs/>
                <w:color w:val="000000"/>
              </w:rPr>
              <w:t>2019</w:t>
            </w:r>
          </w:p>
        </w:tc>
        <w:tc>
          <w:tcPr>
            <w:tcW w:w="1530" w:type="dxa"/>
            <w:tcBorders>
              <w:top w:val="nil"/>
              <w:left w:val="nil"/>
              <w:bottom w:val="nil"/>
              <w:right w:val="nil"/>
            </w:tcBorders>
            <w:shd w:val="clear" w:color="000000" w:fill="auto"/>
            <w:vAlign w:val="bottom"/>
          </w:tcPr>
          <w:p w14:paraId="4B9E9C79"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b/>
                <w:bCs/>
                <w:color w:val="000000"/>
              </w:rPr>
            </w:pPr>
            <w:r>
              <w:rPr>
                <w:rFonts w:cstheme="minorHAnsi"/>
                <w:b/>
                <w:bCs/>
                <w:color w:val="000000"/>
              </w:rPr>
              <w:t>2019</w:t>
            </w:r>
          </w:p>
        </w:tc>
        <w:tc>
          <w:tcPr>
            <w:tcW w:w="1392" w:type="dxa"/>
            <w:tcBorders>
              <w:top w:val="nil"/>
              <w:left w:val="nil"/>
              <w:bottom w:val="nil"/>
              <w:right w:val="nil"/>
            </w:tcBorders>
            <w:shd w:val="clear" w:color="000000" w:fill="auto"/>
            <w:vAlign w:val="bottom"/>
          </w:tcPr>
          <w:p w14:paraId="1EE5A507"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b/>
                <w:bCs/>
                <w:color w:val="000000"/>
              </w:rPr>
            </w:pPr>
            <w:r>
              <w:rPr>
                <w:rFonts w:cstheme="minorHAnsi"/>
                <w:b/>
                <w:bCs/>
                <w:color w:val="000000"/>
              </w:rPr>
              <w:t>2019</w:t>
            </w:r>
          </w:p>
        </w:tc>
      </w:tr>
      <w:tr w:rsidR="001F27A6" w:rsidRPr="009B546D" w14:paraId="3B926574" w14:textId="77777777" w:rsidTr="004A12EB">
        <w:trPr>
          <w:trHeight w:val="278"/>
        </w:trPr>
        <w:tc>
          <w:tcPr>
            <w:tcW w:w="4044" w:type="dxa"/>
            <w:tcBorders>
              <w:top w:val="nil"/>
              <w:left w:val="nil"/>
              <w:bottom w:val="nil"/>
              <w:right w:val="nil"/>
            </w:tcBorders>
            <w:shd w:val="clear" w:color="000000" w:fill="auto"/>
            <w:vAlign w:val="bottom"/>
          </w:tcPr>
          <w:p w14:paraId="620D9A17" w14:textId="77777777" w:rsidR="001F27A6" w:rsidRPr="009B546D" w:rsidRDefault="001F27A6" w:rsidP="004A12EB">
            <w:pPr>
              <w:tabs>
                <w:tab w:val="left" w:pos="288"/>
              </w:tabs>
              <w:autoSpaceDE w:val="0"/>
              <w:autoSpaceDN w:val="0"/>
              <w:adjustRightInd w:val="0"/>
              <w:spacing w:after="0" w:line="240" w:lineRule="auto"/>
              <w:jc w:val="center"/>
              <w:rPr>
                <w:rFonts w:cstheme="minorHAnsi"/>
                <w:color w:val="000000"/>
              </w:rPr>
            </w:pPr>
          </w:p>
        </w:tc>
        <w:tc>
          <w:tcPr>
            <w:tcW w:w="1530" w:type="dxa"/>
            <w:tcBorders>
              <w:top w:val="nil"/>
              <w:left w:val="nil"/>
              <w:bottom w:val="nil"/>
              <w:right w:val="nil"/>
            </w:tcBorders>
            <w:shd w:val="clear" w:color="000000" w:fill="auto"/>
            <w:vAlign w:val="bottom"/>
          </w:tcPr>
          <w:p w14:paraId="3EDD4B15"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RM</w:t>
            </w:r>
          </w:p>
        </w:tc>
        <w:tc>
          <w:tcPr>
            <w:tcW w:w="1530" w:type="dxa"/>
            <w:tcBorders>
              <w:top w:val="nil"/>
              <w:left w:val="nil"/>
              <w:bottom w:val="nil"/>
              <w:right w:val="nil"/>
            </w:tcBorders>
            <w:shd w:val="clear" w:color="000000" w:fill="auto"/>
            <w:vAlign w:val="bottom"/>
          </w:tcPr>
          <w:p w14:paraId="4A963F97"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RM</w:t>
            </w:r>
          </w:p>
        </w:tc>
        <w:tc>
          <w:tcPr>
            <w:tcW w:w="1392" w:type="dxa"/>
            <w:tcBorders>
              <w:top w:val="nil"/>
              <w:left w:val="nil"/>
              <w:bottom w:val="nil"/>
              <w:right w:val="nil"/>
            </w:tcBorders>
            <w:shd w:val="clear" w:color="000000" w:fill="auto"/>
            <w:vAlign w:val="bottom"/>
          </w:tcPr>
          <w:p w14:paraId="01127154"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RM</w:t>
            </w:r>
          </w:p>
        </w:tc>
      </w:tr>
      <w:tr w:rsidR="001F27A6" w:rsidRPr="009B546D" w14:paraId="1657D02A" w14:textId="77777777" w:rsidTr="004A12EB">
        <w:trPr>
          <w:trHeight w:val="542"/>
        </w:trPr>
        <w:tc>
          <w:tcPr>
            <w:tcW w:w="4044" w:type="dxa"/>
            <w:tcBorders>
              <w:top w:val="nil"/>
              <w:left w:val="nil"/>
              <w:bottom w:val="nil"/>
              <w:right w:val="nil"/>
            </w:tcBorders>
            <w:shd w:val="clear" w:color="000000" w:fill="auto"/>
            <w:vAlign w:val="bottom"/>
          </w:tcPr>
          <w:p w14:paraId="7A4AE6FC" w14:textId="77777777" w:rsidR="001F27A6" w:rsidRPr="009B546D" w:rsidRDefault="001F27A6" w:rsidP="004A12EB">
            <w:pPr>
              <w:tabs>
                <w:tab w:val="left" w:pos="288"/>
              </w:tabs>
              <w:autoSpaceDE w:val="0"/>
              <w:autoSpaceDN w:val="0"/>
              <w:adjustRightInd w:val="0"/>
              <w:spacing w:after="0" w:line="240" w:lineRule="auto"/>
              <w:rPr>
                <w:rFonts w:cstheme="minorHAnsi"/>
                <w:color w:val="000000"/>
              </w:rPr>
            </w:pPr>
          </w:p>
        </w:tc>
        <w:tc>
          <w:tcPr>
            <w:tcW w:w="1530" w:type="dxa"/>
            <w:tcBorders>
              <w:top w:val="nil"/>
              <w:left w:val="nil"/>
              <w:bottom w:val="nil"/>
              <w:right w:val="nil"/>
            </w:tcBorders>
            <w:shd w:val="clear" w:color="000000" w:fill="auto"/>
            <w:vAlign w:val="bottom"/>
          </w:tcPr>
          <w:p w14:paraId="268C40AB"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b/>
                <w:bCs/>
                <w:color w:val="000000"/>
              </w:rPr>
            </w:pPr>
            <w:r>
              <w:rPr>
                <w:rFonts w:cstheme="minorHAnsi"/>
                <w:b/>
                <w:bCs/>
                <w:color w:val="000000"/>
              </w:rPr>
              <w:t>Amount due to a director</w:t>
            </w:r>
          </w:p>
        </w:tc>
        <w:tc>
          <w:tcPr>
            <w:tcW w:w="1530" w:type="dxa"/>
            <w:tcBorders>
              <w:top w:val="nil"/>
              <w:left w:val="nil"/>
              <w:bottom w:val="nil"/>
              <w:right w:val="nil"/>
            </w:tcBorders>
            <w:shd w:val="clear" w:color="000000" w:fill="auto"/>
            <w:vAlign w:val="bottom"/>
          </w:tcPr>
          <w:p w14:paraId="6D99A1FB"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b/>
                <w:bCs/>
                <w:color w:val="000000"/>
              </w:rPr>
            </w:pPr>
            <w:r>
              <w:rPr>
                <w:rFonts w:cstheme="minorHAnsi"/>
                <w:b/>
                <w:bCs/>
                <w:color w:val="000000"/>
              </w:rPr>
              <w:t>Amount due to a shareholder</w:t>
            </w:r>
          </w:p>
        </w:tc>
        <w:tc>
          <w:tcPr>
            <w:tcW w:w="1392" w:type="dxa"/>
            <w:tcBorders>
              <w:top w:val="nil"/>
              <w:left w:val="nil"/>
              <w:bottom w:val="nil"/>
              <w:right w:val="nil"/>
            </w:tcBorders>
            <w:shd w:val="clear" w:color="000000" w:fill="auto"/>
            <w:vAlign w:val="bottom"/>
          </w:tcPr>
          <w:p w14:paraId="39E80D6D"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b/>
                <w:bCs/>
                <w:color w:val="000000"/>
              </w:rPr>
            </w:pPr>
            <w:r>
              <w:rPr>
                <w:rFonts w:cstheme="minorHAnsi"/>
                <w:b/>
                <w:bCs/>
                <w:color w:val="000000"/>
              </w:rPr>
              <w:t>Total</w:t>
            </w:r>
          </w:p>
        </w:tc>
      </w:tr>
      <w:tr w:rsidR="001F27A6" w:rsidRPr="009B546D" w14:paraId="6623B701" w14:textId="77777777" w:rsidTr="004A12EB">
        <w:trPr>
          <w:trHeight w:val="278"/>
        </w:trPr>
        <w:tc>
          <w:tcPr>
            <w:tcW w:w="4044" w:type="dxa"/>
            <w:tcBorders>
              <w:top w:val="nil"/>
              <w:left w:val="nil"/>
              <w:bottom w:val="nil"/>
              <w:right w:val="nil"/>
            </w:tcBorders>
            <w:shd w:val="clear" w:color="000000" w:fill="auto"/>
            <w:vAlign w:val="bottom"/>
          </w:tcPr>
          <w:p w14:paraId="41D98C43" w14:textId="77777777" w:rsidR="001F27A6" w:rsidRPr="009B546D" w:rsidRDefault="001F27A6" w:rsidP="004A12EB">
            <w:pPr>
              <w:tabs>
                <w:tab w:val="left" w:pos="288"/>
              </w:tabs>
              <w:autoSpaceDE w:val="0"/>
              <w:autoSpaceDN w:val="0"/>
              <w:adjustRightInd w:val="0"/>
              <w:spacing w:after="0" w:line="240" w:lineRule="auto"/>
              <w:rPr>
                <w:rFonts w:cstheme="minorHAnsi"/>
                <w:color w:val="000000"/>
              </w:rPr>
            </w:pPr>
          </w:p>
        </w:tc>
        <w:tc>
          <w:tcPr>
            <w:tcW w:w="1530" w:type="dxa"/>
            <w:tcBorders>
              <w:top w:val="nil"/>
              <w:left w:val="nil"/>
              <w:bottom w:val="nil"/>
              <w:right w:val="nil"/>
            </w:tcBorders>
            <w:shd w:val="clear" w:color="000000" w:fill="auto"/>
            <w:vAlign w:val="bottom"/>
          </w:tcPr>
          <w:p w14:paraId="51E6B83C"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RM</w:t>
            </w:r>
          </w:p>
        </w:tc>
        <w:tc>
          <w:tcPr>
            <w:tcW w:w="1530" w:type="dxa"/>
            <w:tcBorders>
              <w:top w:val="nil"/>
              <w:left w:val="nil"/>
              <w:bottom w:val="nil"/>
              <w:right w:val="nil"/>
            </w:tcBorders>
            <w:shd w:val="clear" w:color="000000" w:fill="auto"/>
            <w:vAlign w:val="bottom"/>
          </w:tcPr>
          <w:p w14:paraId="1B36C418"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RM</w:t>
            </w:r>
          </w:p>
        </w:tc>
        <w:tc>
          <w:tcPr>
            <w:tcW w:w="1392" w:type="dxa"/>
            <w:tcBorders>
              <w:top w:val="nil"/>
              <w:left w:val="nil"/>
              <w:bottom w:val="nil"/>
              <w:right w:val="nil"/>
            </w:tcBorders>
            <w:shd w:val="clear" w:color="000000" w:fill="auto"/>
            <w:vAlign w:val="bottom"/>
          </w:tcPr>
          <w:p w14:paraId="1F0D8E95"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b/>
                <w:bCs/>
                <w:color w:val="000000"/>
              </w:rPr>
            </w:pPr>
            <w:r w:rsidRPr="009B546D">
              <w:rPr>
                <w:rFonts w:cstheme="minorHAnsi"/>
                <w:b/>
                <w:bCs/>
                <w:color w:val="000000"/>
              </w:rPr>
              <w:t>RM</w:t>
            </w:r>
          </w:p>
        </w:tc>
      </w:tr>
      <w:tr w:rsidR="001F27A6" w:rsidRPr="009B546D" w14:paraId="7149C314" w14:textId="77777777" w:rsidTr="004A12EB">
        <w:trPr>
          <w:trHeight w:val="278"/>
        </w:trPr>
        <w:tc>
          <w:tcPr>
            <w:tcW w:w="4044" w:type="dxa"/>
            <w:tcBorders>
              <w:top w:val="nil"/>
              <w:left w:val="nil"/>
              <w:bottom w:val="nil"/>
              <w:right w:val="nil"/>
            </w:tcBorders>
            <w:shd w:val="clear" w:color="000000" w:fill="auto"/>
            <w:vAlign w:val="bottom"/>
          </w:tcPr>
          <w:p w14:paraId="03308925" w14:textId="77777777" w:rsidR="001F27A6" w:rsidRPr="009B546D" w:rsidRDefault="001F27A6" w:rsidP="004A12EB">
            <w:pPr>
              <w:tabs>
                <w:tab w:val="left" w:pos="288"/>
              </w:tabs>
              <w:autoSpaceDE w:val="0"/>
              <w:autoSpaceDN w:val="0"/>
              <w:adjustRightInd w:val="0"/>
              <w:spacing w:after="0" w:line="240" w:lineRule="auto"/>
              <w:rPr>
                <w:rFonts w:cstheme="minorHAnsi"/>
                <w:color w:val="000000"/>
              </w:rPr>
            </w:pPr>
            <w:r>
              <w:rPr>
                <w:rFonts w:cstheme="minorHAnsi"/>
                <w:color w:val="000000"/>
              </w:rPr>
              <w:t>As at 17 April 2018</w:t>
            </w:r>
          </w:p>
        </w:tc>
        <w:tc>
          <w:tcPr>
            <w:tcW w:w="1530" w:type="dxa"/>
            <w:tcBorders>
              <w:top w:val="nil"/>
              <w:left w:val="nil"/>
              <w:bottom w:val="nil"/>
              <w:right w:val="nil"/>
            </w:tcBorders>
            <w:shd w:val="clear" w:color="000000" w:fill="auto"/>
            <w:vAlign w:val="bottom"/>
          </w:tcPr>
          <w:p w14:paraId="7809F381"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color w:val="000000"/>
              </w:rPr>
            </w:pPr>
            <w:r>
              <w:rPr>
                <w:rFonts w:cstheme="minorHAnsi"/>
                <w:color w:val="000000"/>
              </w:rPr>
              <w:t>-</w:t>
            </w:r>
          </w:p>
        </w:tc>
        <w:tc>
          <w:tcPr>
            <w:tcW w:w="1530" w:type="dxa"/>
            <w:tcBorders>
              <w:top w:val="nil"/>
              <w:left w:val="nil"/>
              <w:bottom w:val="nil"/>
              <w:right w:val="nil"/>
            </w:tcBorders>
            <w:shd w:val="clear" w:color="000000" w:fill="auto"/>
            <w:vAlign w:val="bottom"/>
          </w:tcPr>
          <w:p w14:paraId="30CF9C5E"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color w:val="000000"/>
              </w:rPr>
            </w:pPr>
            <w:r>
              <w:rPr>
                <w:rFonts w:cstheme="minorHAnsi"/>
                <w:color w:val="000000"/>
              </w:rPr>
              <w:t>-</w:t>
            </w:r>
          </w:p>
        </w:tc>
        <w:tc>
          <w:tcPr>
            <w:tcW w:w="1392" w:type="dxa"/>
            <w:tcBorders>
              <w:top w:val="nil"/>
              <w:left w:val="nil"/>
              <w:bottom w:val="nil"/>
              <w:right w:val="nil"/>
            </w:tcBorders>
            <w:shd w:val="clear" w:color="000000" w:fill="auto"/>
            <w:vAlign w:val="bottom"/>
          </w:tcPr>
          <w:p w14:paraId="27AEA056"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color w:val="000000"/>
              </w:rPr>
            </w:pPr>
            <w:r>
              <w:rPr>
                <w:rFonts w:cstheme="minorHAnsi"/>
                <w:color w:val="000000"/>
              </w:rPr>
              <w:t>-</w:t>
            </w:r>
          </w:p>
        </w:tc>
      </w:tr>
      <w:tr w:rsidR="001F27A6" w:rsidRPr="009B546D" w14:paraId="770EAD30" w14:textId="77777777" w:rsidTr="004A12EB">
        <w:trPr>
          <w:trHeight w:val="278"/>
        </w:trPr>
        <w:tc>
          <w:tcPr>
            <w:tcW w:w="4044" w:type="dxa"/>
            <w:tcBorders>
              <w:top w:val="nil"/>
              <w:left w:val="nil"/>
              <w:bottom w:val="nil"/>
              <w:right w:val="nil"/>
            </w:tcBorders>
            <w:shd w:val="clear" w:color="000000" w:fill="auto"/>
            <w:vAlign w:val="bottom"/>
          </w:tcPr>
          <w:p w14:paraId="35CDCD2E" w14:textId="77777777" w:rsidR="001F27A6" w:rsidRPr="009B546D" w:rsidRDefault="001F27A6" w:rsidP="004A12EB">
            <w:pPr>
              <w:tabs>
                <w:tab w:val="left" w:pos="288"/>
              </w:tabs>
              <w:autoSpaceDE w:val="0"/>
              <w:autoSpaceDN w:val="0"/>
              <w:adjustRightInd w:val="0"/>
              <w:spacing w:after="0" w:line="240" w:lineRule="auto"/>
              <w:rPr>
                <w:rFonts w:cstheme="minorHAnsi"/>
                <w:color w:val="000000"/>
              </w:rPr>
            </w:pPr>
            <w:r>
              <w:rPr>
                <w:rFonts w:cstheme="minorHAnsi"/>
                <w:color w:val="000000"/>
              </w:rPr>
              <w:t>Cash movements</w:t>
            </w:r>
          </w:p>
        </w:tc>
        <w:tc>
          <w:tcPr>
            <w:tcW w:w="1530" w:type="dxa"/>
            <w:tcBorders>
              <w:top w:val="nil"/>
              <w:left w:val="nil"/>
              <w:bottom w:val="single" w:sz="4" w:space="0" w:color="auto"/>
              <w:right w:val="nil"/>
            </w:tcBorders>
            <w:shd w:val="clear" w:color="000000" w:fill="auto"/>
            <w:vAlign w:val="bottom"/>
          </w:tcPr>
          <w:p w14:paraId="33451B61"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color w:val="000000"/>
              </w:rPr>
            </w:pPr>
            <w:r>
              <w:rPr>
                <w:rFonts w:cstheme="minorHAnsi"/>
                <w:color w:val="000000"/>
              </w:rPr>
              <w:t>24,000</w:t>
            </w:r>
          </w:p>
        </w:tc>
        <w:tc>
          <w:tcPr>
            <w:tcW w:w="1530" w:type="dxa"/>
            <w:tcBorders>
              <w:top w:val="nil"/>
              <w:left w:val="nil"/>
              <w:bottom w:val="single" w:sz="4" w:space="0" w:color="auto"/>
              <w:right w:val="nil"/>
            </w:tcBorders>
            <w:shd w:val="clear" w:color="000000" w:fill="auto"/>
            <w:vAlign w:val="bottom"/>
          </w:tcPr>
          <w:p w14:paraId="7D381E85"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color w:val="000000"/>
              </w:rPr>
            </w:pPr>
            <w:r>
              <w:rPr>
                <w:rFonts w:cstheme="minorHAnsi"/>
                <w:color w:val="000000"/>
              </w:rPr>
              <w:t>18,900</w:t>
            </w:r>
          </w:p>
        </w:tc>
        <w:tc>
          <w:tcPr>
            <w:tcW w:w="1392" w:type="dxa"/>
            <w:tcBorders>
              <w:top w:val="nil"/>
              <w:left w:val="nil"/>
              <w:bottom w:val="single" w:sz="4" w:space="0" w:color="auto"/>
              <w:right w:val="nil"/>
            </w:tcBorders>
            <w:shd w:val="clear" w:color="000000" w:fill="auto"/>
            <w:vAlign w:val="bottom"/>
          </w:tcPr>
          <w:p w14:paraId="6CF7BCB0"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color w:val="000000"/>
              </w:rPr>
            </w:pPr>
            <w:r>
              <w:rPr>
                <w:rFonts w:cstheme="minorHAnsi"/>
                <w:color w:val="000000"/>
              </w:rPr>
              <w:t>42,900</w:t>
            </w:r>
          </w:p>
        </w:tc>
      </w:tr>
      <w:tr w:rsidR="001F27A6" w:rsidRPr="009B546D" w14:paraId="00589299" w14:textId="77777777" w:rsidTr="004A12EB">
        <w:trPr>
          <w:trHeight w:val="278"/>
        </w:trPr>
        <w:tc>
          <w:tcPr>
            <w:tcW w:w="4044" w:type="dxa"/>
            <w:tcBorders>
              <w:top w:val="nil"/>
              <w:left w:val="nil"/>
              <w:bottom w:val="nil"/>
              <w:right w:val="nil"/>
            </w:tcBorders>
            <w:shd w:val="clear" w:color="000000" w:fill="auto"/>
            <w:vAlign w:val="bottom"/>
          </w:tcPr>
          <w:p w14:paraId="0916F105" w14:textId="77777777" w:rsidR="001F27A6" w:rsidRPr="009B546D" w:rsidRDefault="001F27A6" w:rsidP="004A12EB">
            <w:pPr>
              <w:tabs>
                <w:tab w:val="left" w:pos="288"/>
              </w:tabs>
              <w:autoSpaceDE w:val="0"/>
              <w:autoSpaceDN w:val="0"/>
              <w:adjustRightInd w:val="0"/>
              <w:spacing w:after="0" w:line="240" w:lineRule="auto"/>
              <w:rPr>
                <w:rFonts w:cstheme="minorHAnsi"/>
                <w:color w:val="000000"/>
              </w:rPr>
            </w:pPr>
            <w:r>
              <w:rPr>
                <w:rFonts w:cstheme="minorHAnsi"/>
                <w:color w:val="000000"/>
              </w:rPr>
              <w:t>As at 30 April 2019</w:t>
            </w:r>
          </w:p>
        </w:tc>
        <w:tc>
          <w:tcPr>
            <w:tcW w:w="1530" w:type="dxa"/>
            <w:tcBorders>
              <w:top w:val="single" w:sz="4" w:space="0" w:color="auto"/>
              <w:left w:val="nil"/>
              <w:bottom w:val="single" w:sz="4" w:space="0" w:color="auto"/>
              <w:right w:val="nil"/>
            </w:tcBorders>
            <w:shd w:val="clear" w:color="000000" w:fill="auto"/>
            <w:vAlign w:val="bottom"/>
          </w:tcPr>
          <w:p w14:paraId="5028F38E" w14:textId="77777777" w:rsidR="001F27A6" w:rsidRPr="009B546D" w:rsidRDefault="001F27A6" w:rsidP="004A12EB">
            <w:pPr>
              <w:tabs>
                <w:tab w:val="left" w:pos="288"/>
              </w:tabs>
              <w:autoSpaceDE w:val="0"/>
              <w:autoSpaceDN w:val="0"/>
              <w:adjustRightInd w:val="0"/>
              <w:spacing w:after="0" w:line="240" w:lineRule="auto"/>
              <w:jc w:val="right"/>
              <w:rPr>
                <w:rFonts w:cstheme="minorHAnsi"/>
                <w:color w:val="000000"/>
              </w:rPr>
            </w:pPr>
            <w:r>
              <w:rPr>
                <w:rFonts w:cstheme="minorHAnsi"/>
                <w:color w:val="000000"/>
              </w:rPr>
              <w:t>24,000</w:t>
            </w:r>
          </w:p>
        </w:tc>
        <w:tc>
          <w:tcPr>
            <w:tcW w:w="1530" w:type="dxa"/>
            <w:tcBorders>
              <w:top w:val="single" w:sz="4" w:space="0" w:color="auto"/>
              <w:left w:val="nil"/>
              <w:bottom w:val="single" w:sz="4" w:space="0" w:color="auto"/>
              <w:right w:val="nil"/>
            </w:tcBorders>
            <w:shd w:val="clear" w:color="000000" w:fill="auto"/>
            <w:vAlign w:val="bottom"/>
          </w:tcPr>
          <w:p w14:paraId="4E1464E7" w14:textId="77777777" w:rsidR="001F27A6" w:rsidRPr="009B546D" w:rsidRDefault="001F27A6" w:rsidP="004A12EB">
            <w:pPr>
              <w:tabs>
                <w:tab w:val="left" w:pos="288"/>
              </w:tabs>
              <w:autoSpaceDE w:val="0"/>
              <w:autoSpaceDN w:val="0"/>
              <w:adjustRightInd w:val="0"/>
              <w:spacing w:after="0" w:line="240" w:lineRule="auto"/>
              <w:jc w:val="right"/>
              <w:rPr>
                <w:rFonts w:cstheme="minorHAnsi"/>
                <w:color w:val="000000"/>
              </w:rPr>
            </w:pPr>
            <w:r>
              <w:rPr>
                <w:rFonts w:cstheme="minorHAnsi"/>
                <w:color w:val="000000"/>
              </w:rPr>
              <w:t>18,900</w:t>
            </w:r>
          </w:p>
        </w:tc>
        <w:tc>
          <w:tcPr>
            <w:tcW w:w="1392" w:type="dxa"/>
            <w:tcBorders>
              <w:top w:val="single" w:sz="4" w:space="0" w:color="auto"/>
              <w:left w:val="nil"/>
              <w:bottom w:val="single" w:sz="4" w:space="0" w:color="auto"/>
              <w:right w:val="nil"/>
            </w:tcBorders>
            <w:shd w:val="clear" w:color="000000" w:fill="auto"/>
            <w:vAlign w:val="bottom"/>
          </w:tcPr>
          <w:p w14:paraId="7F6FD558" w14:textId="77777777" w:rsidR="001F27A6" w:rsidRPr="009B546D" w:rsidRDefault="001F27A6" w:rsidP="004A12EB">
            <w:pPr>
              <w:tabs>
                <w:tab w:val="left" w:pos="288"/>
              </w:tabs>
              <w:autoSpaceDE w:val="0"/>
              <w:autoSpaceDN w:val="0"/>
              <w:adjustRightInd w:val="0"/>
              <w:spacing w:after="0" w:line="240" w:lineRule="auto"/>
              <w:ind w:right="72"/>
              <w:jc w:val="right"/>
              <w:rPr>
                <w:rFonts w:cstheme="minorHAnsi"/>
                <w:color w:val="000000"/>
              </w:rPr>
            </w:pPr>
            <w:r>
              <w:rPr>
                <w:rFonts w:cstheme="minorHAnsi"/>
                <w:color w:val="000000"/>
              </w:rPr>
              <w:t>42,900</w:t>
            </w:r>
          </w:p>
        </w:tc>
      </w:tr>
    </w:tbl>
    <w:p w14:paraId="7AA7DF09" w14:textId="77777777" w:rsidR="00543328" w:rsidRDefault="00543328" w:rsidP="00543328">
      <w:pPr>
        <w:rPr>
          <w:rFonts w:cstheme="minorHAnsi"/>
          <w:b/>
          <w:caps/>
        </w:rPr>
      </w:pPr>
    </w:p>
    <w:p w14:paraId="2C8F7BA4" w14:textId="77777777" w:rsidR="00543328" w:rsidRDefault="00543328">
      <w:pPr>
        <w:jc w:val="left"/>
        <w:rPr>
          <w:rFonts w:cstheme="minorHAnsi"/>
          <w:b/>
          <w:caps/>
        </w:rPr>
      </w:pPr>
      <w:r>
        <w:rPr>
          <w:rFonts w:cstheme="minorHAnsi"/>
          <w:b/>
          <w:caps/>
        </w:rPr>
        <w:br w:type="page"/>
      </w:r>
    </w:p>
    <w:p w14:paraId="696909A0" w14:textId="15244C4A" w:rsidR="00543328" w:rsidRPr="004A12EB" w:rsidRDefault="00543328" w:rsidP="00543328">
      <w:pPr>
        <w:rPr>
          <w:rFonts w:cstheme="minorHAnsi"/>
          <w:b/>
          <w:caps/>
        </w:rPr>
      </w:pPr>
      <w:r w:rsidRPr="004A12EB">
        <w:rPr>
          <w:rFonts w:cstheme="minorHAnsi"/>
          <w:b/>
          <w:caps/>
        </w:rPr>
        <w:lastRenderedPageBreak/>
        <w:t>n</w:t>
      </w:r>
      <w:r w:rsidRPr="004A12EB">
        <w:rPr>
          <w:rFonts w:cstheme="minorHAnsi"/>
          <w:b/>
        </w:rPr>
        <w:t>otes to the financial information</w:t>
      </w:r>
    </w:p>
    <w:p w14:paraId="7DA33103" w14:textId="77777777" w:rsidR="00543328" w:rsidRPr="004A12EB" w:rsidRDefault="00543328" w:rsidP="00543328">
      <w:pPr>
        <w:rPr>
          <w:rFonts w:cstheme="minorHAnsi"/>
          <w:b/>
          <w:caps/>
        </w:rPr>
      </w:pPr>
      <w:r w:rsidRPr="004A12EB">
        <w:rPr>
          <w:rFonts w:cstheme="minorHAnsi"/>
          <w:b/>
          <w:caps/>
        </w:rPr>
        <w:t>F</w:t>
      </w:r>
      <w:r w:rsidRPr="004A12EB">
        <w:rPr>
          <w:rFonts w:cstheme="minorHAnsi"/>
          <w:b/>
        </w:rPr>
        <w:t xml:space="preserve">or the </w:t>
      </w:r>
      <w:r w:rsidRPr="004A12EB">
        <w:rPr>
          <w:rFonts w:cstheme="minorHAnsi"/>
          <w:b/>
          <w:caps/>
        </w:rPr>
        <w:fldChar w:fldCharType="begin"/>
      </w:r>
      <w:r w:rsidRPr="004A12EB">
        <w:rPr>
          <w:rFonts w:cstheme="minorHAnsi"/>
          <w:b/>
          <w:caps/>
        </w:rPr>
        <w:instrText xml:space="preserve"> DOCPROPERTY  "Fin year/period (for cover page)"\* Caps \* MERGEFORMAT </w:instrText>
      </w:r>
      <w:r w:rsidRPr="004A12EB">
        <w:rPr>
          <w:rFonts w:cstheme="minorHAnsi"/>
          <w:b/>
          <w:caps/>
        </w:rPr>
        <w:fldChar w:fldCharType="separate"/>
      </w:r>
      <w:r w:rsidRPr="004A12EB">
        <w:rPr>
          <w:rFonts w:cstheme="minorHAnsi"/>
          <w:b/>
        </w:rPr>
        <w:t>financial period ended from 17 April 2018 (date of incorporation) to 30 April 2019</w:t>
      </w:r>
      <w:r w:rsidRPr="004A12EB">
        <w:rPr>
          <w:rFonts w:cstheme="minorHAnsi"/>
          <w:b/>
          <w:caps/>
        </w:rPr>
        <w:fldChar w:fldCharType="end"/>
      </w:r>
      <w:r w:rsidRPr="004A12EB">
        <w:rPr>
          <w:rFonts w:cstheme="minorHAnsi"/>
          <w:b/>
          <w:caps/>
        </w:rPr>
        <w:t xml:space="preserve"> (</w:t>
      </w:r>
      <w:r w:rsidRPr="004A12EB">
        <w:rPr>
          <w:rFonts w:cstheme="minorHAnsi"/>
          <w:b/>
          <w:i/>
        </w:rPr>
        <w:t>continued)</w:t>
      </w:r>
    </w:p>
    <w:p w14:paraId="789C43E3" w14:textId="77777777" w:rsidR="00543328" w:rsidRPr="00D02A5A" w:rsidRDefault="00543328" w:rsidP="00543328">
      <w:pPr>
        <w:pStyle w:val="ListParagraph"/>
        <w:pBdr>
          <w:bottom w:val="single" w:sz="6" w:space="1" w:color="auto"/>
        </w:pBdr>
        <w:ind w:left="0"/>
        <w:rPr>
          <w:rFonts w:cstheme="minorHAnsi"/>
        </w:rPr>
      </w:pPr>
    </w:p>
    <w:p w14:paraId="4557A8FF" w14:textId="77777777" w:rsidR="001F27A6" w:rsidRPr="00D04030" w:rsidRDefault="001F27A6" w:rsidP="00EA2BB6">
      <w:pPr>
        <w:keepNext/>
        <w:keepLines/>
        <w:spacing w:line="240" w:lineRule="auto"/>
        <w:rPr>
          <w:rFonts w:cstheme="minorHAnsi"/>
          <w:color w:val="000000"/>
          <w:szCs w:val="20"/>
        </w:rPr>
      </w:pPr>
    </w:p>
    <w:p w14:paraId="14A7802D" w14:textId="77777777" w:rsidR="001C6F66" w:rsidRPr="009B546D" w:rsidRDefault="001C6F66" w:rsidP="00496B89">
      <w:pPr>
        <w:keepNext/>
        <w:keepLines/>
        <w:numPr>
          <w:ilvl w:val="0"/>
          <w:numId w:val="40"/>
        </w:numPr>
        <w:spacing w:after="220" w:line="240" w:lineRule="auto"/>
        <w:rPr>
          <w:rFonts w:cstheme="minorHAnsi"/>
          <w:b/>
          <w:caps/>
        </w:rPr>
      </w:pPr>
      <w:r w:rsidRPr="009B546D">
        <w:rPr>
          <w:rFonts w:cstheme="minorHAnsi"/>
          <w:b/>
          <w:caps/>
        </w:rPr>
        <w:t>Non-cancelable lease commitmentS</w:t>
      </w:r>
    </w:p>
    <w:p w14:paraId="78ED0E11" w14:textId="77777777" w:rsidR="001C6F66" w:rsidRPr="009B546D" w:rsidRDefault="001C6F66" w:rsidP="00F432B9">
      <w:pPr>
        <w:keepNext/>
        <w:keepLines/>
        <w:spacing w:after="220" w:line="240" w:lineRule="auto"/>
        <w:ind w:left="576"/>
        <w:rPr>
          <w:rFonts w:cstheme="minorHAnsi"/>
          <w:color w:val="000000"/>
        </w:rPr>
      </w:pPr>
      <w:r w:rsidRPr="009B546D">
        <w:rPr>
          <w:rFonts w:cstheme="minorHAnsi"/>
          <w:color w:val="000000"/>
        </w:rPr>
        <w:t xml:space="preserve">Operating lease payments represent rentals payable by </w:t>
      </w:r>
      <w:r w:rsidRPr="009B546D">
        <w:rPr>
          <w:rFonts w:cstheme="minorHAnsi"/>
        </w:rPr>
        <w:t>Alchemist</w:t>
      </w:r>
      <w:r w:rsidRPr="009B546D">
        <w:rPr>
          <w:rFonts w:cstheme="minorHAnsi"/>
          <w:color w:val="000000"/>
        </w:rPr>
        <w:t xml:space="preserve"> for certain of its office properties. Leases are negotiated for an average term of 2 years and rentals are fixed for an average of 2 years.</w:t>
      </w:r>
    </w:p>
    <w:p w14:paraId="3941AC92" w14:textId="77777777" w:rsidR="001C6F66" w:rsidRPr="009B546D" w:rsidRDefault="001C6F66" w:rsidP="00F432B9">
      <w:pPr>
        <w:keepNext/>
        <w:keepLines/>
        <w:spacing w:after="220" w:line="240" w:lineRule="auto"/>
        <w:ind w:left="576"/>
        <w:rPr>
          <w:rFonts w:cstheme="minorHAnsi"/>
          <w:color w:val="000000"/>
        </w:rPr>
      </w:pPr>
      <w:r w:rsidRPr="009B546D">
        <w:rPr>
          <w:rFonts w:cstheme="minorHAnsi"/>
          <w:color w:val="000000"/>
        </w:rPr>
        <w:t>Liabilities recognised in respect of non-cancellable operating leases:</w:t>
      </w:r>
    </w:p>
    <w:tbl>
      <w:tblPr>
        <w:tblW w:w="8496" w:type="dxa"/>
        <w:tblInd w:w="576" w:type="dxa"/>
        <w:shd w:val="clear" w:color="000000" w:fill="auto"/>
        <w:tblLayout w:type="fixed"/>
        <w:tblLook w:val="0000" w:firstRow="0" w:lastRow="0" w:firstColumn="0" w:lastColumn="0" w:noHBand="0" w:noVBand="0"/>
      </w:tblPr>
      <w:tblGrid>
        <w:gridCol w:w="5582"/>
        <w:gridCol w:w="1498"/>
        <w:gridCol w:w="283"/>
        <w:gridCol w:w="1133"/>
      </w:tblGrid>
      <w:tr w:rsidR="001C6F66" w:rsidRPr="009B546D" w14:paraId="0E40E774" w14:textId="77777777" w:rsidTr="00270393">
        <w:trPr>
          <w:trHeight w:val="278"/>
        </w:trPr>
        <w:tc>
          <w:tcPr>
            <w:tcW w:w="5582" w:type="dxa"/>
            <w:tcBorders>
              <w:top w:val="nil"/>
              <w:left w:val="nil"/>
              <w:bottom w:val="nil"/>
              <w:right w:val="nil"/>
            </w:tcBorders>
            <w:shd w:val="clear" w:color="000000" w:fill="auto"/>
            <w:vAlign w:val="bottom"/>
          </w:tcPr>
          <w:p w14:paraId="27862366"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1498" w:type="dxa"/>
            <w:tcBorders>
              <w:top w:val="nil"/>
              <w:left w:val="nil"/>
              <w:bottom w:val="nil"/>
              <w:right w:val="nil"/>
            </w:tcBorders>
            <w:shd w:val="clear" w:color="000000" w:fill="auto"/>
            <w:vAlign w:val="bottom"/>
          </w:tcPr>
          <w:p w14:paraId="6008C909"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b/>
                <w:bCs/>
                <w:color w:val="000000"/>
              </w:rPr>
            </w:pPr>
          </w:p>
        </w:tc>
        <w:tc>
          <w:tcPr>
            <w:tcW w:w="283" w:type="dxa"/>
            <w:tcBorders>
              <w:top w:val="nil"/>
              <w:left w:val="nil"/>
              <w:bottom w:val="nil"/>
              <w:right w:val="nil"/>
            </w:tcBorders>
            <w:shd w:val="clear" w:color="000000" w:fill="auto"/>
            <w:vAlign w:val="bottom"/>
          </w:tcPr>
          <w:p w14:paraId="4C1534F6" w14:textId="77777777" w:rsidR="001C6F66" w:rsidRPr="009B546D" w:rsidRDefault="001C6F66" w:rsidP="00F432B9">
            <w:pPr>
              <w:tabs>
                <w:tab w:val="left" w:pos="288"/>
              </w:tabs>
              <w:autoSpaceDE w:val="0"/>
              <w:autoSpaceDN w:val="0"/>
              <w:adjustRightInd w:val="0"/>
              <w:spacing w:after="0" w:line="240" w:lineRule="auto"/>
              <w:jc w:val="center"/>
              <w:rPr>
                <w:rFonts w:cstheme="minorHAnsi"/>
                <w:b/>
                <w:bCs/>
                <w:color w:val="000000"/>
              </w:rPr>
            </w:pPr>
          </w:p>
        </w:tc>
        <w:tc>
          <w:tcPr>
            <w:tcW w:w="1133" w:type="dxa"/>
            <w:tcBorders>
              <w:top w:val="nil"/>
              <w:left w:val="nil"/>
              <w:bottom w:val="nil"/>
              <w:right w:val="nil"/>
            </w:tcBorders>
            <w:shd w:val="clear" w:color="000000" w:fill="auto"/>
            <w:vAlign w:val="bottom"/>
          </w:tcPr>
          <w:p w14:paraId="649DA146"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b/>
                <w:bCs/>
                <w:color w:val="000000"/>
              </w:rPr>
            </w:pPr>
            <w:r w:rsidRPr="009B546D">
              <w:rPr>
                <w:rFonts w:cstheme="minorHAnsi"/>
                <w:b/>
                <w:bCs/>
                <w:color w:val="000000"/>
              </w:rPr>
              <w:t>2019</w:t>
            </w:r>
          </w:p>
        </w:tc>
      </w:tr>
      <w:tr w:rsidR="001C6F66" w:rsidRPr="009B546D" w14:paraId="4BB276D3" w14:textId="77777777" w:rsidTr="00270393">
        <w:trPr>
          <w:trHeight w:val="278"/>
        </w:trPr>
        <w:tc>
          <w:tcPr>
            <w:tcW w:w="5582" w:type="dxa"/>
            <w:tcBorders>
              <w:top w:val="nil"/>
              <w:left w:val="nil"/>
              <w:bottom w:val="nil"/>
              <w:right w:val="nil"/>
            </w:tcBorders>
            <w:shd w:val="clear" w:color="000000" w:fill="auto"/>
            <w:vAlign w:val="bottom"/>
          </w:tcPr>
          <w:p w14:paraId="6AFC0BA1"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1498" w:type="dxa"/>
            <w:tcBorders>
              <w:top w:val="nil"/>
              <w:left w:val="nil"/>
              <w:bottom w:val="nil"/>
              <w:right w:val="nil"/>
            </w:tcBorders>
            <w:shd w:val="clear" w:color="000000" w:fill="auto"/>
            <w:vAlign w:val="bottom"/>
          </w:tcPr>
          <w:p w14:paraId="62570C0F"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b/>
                <w:bCs/>
                <w:color w:val="000000"/>
              </w:rPr>
            </w:pPr>
          </w:p>
        </w:tc>
        <w:tc>
          <w:tcPr>
            <w:tcW w:w="283" w:type="dxa"/>
            <w:tcBorders>
              <w:top w:val="nil"/>
              <w:left w:val="nil"/>
              <w:bottom w:val="nil"/>
              <w:right w:val="nil"/>
            </w:tcBorders>
            <w:shd w:val="clear" w:color="000000" w:fill="auto"/>
            <w:vAlign w:val="bottom"/>
          </w:tcPr>
          <w:p w14:paraId="40767CEE" w14:textId="77777777" w:rsidR="001C6F66" w:rsidRPr="009B546D" w:rsidRDefault="001C6F66" w:rsidP="00F432B9">
            <w:pPr>
              <w:tabs>
                <w:tab w:val="left" w:pos="288"/>
              </w:tabs>
              <w:autoSpaceDE w:val="0"/>
              <w:autoSpaceDN w:val="0"/>
              <w:adjustRightInd w:val="0"/>
              <w:spacing w:after="0" w:line="240" w:lineRule="auto"/>
              <w:jc w:val="center"/>
              <w:rPr>
                <w:rFonts w:cstheme="minorHAnsi"/>
                <w:b/>
                <w:bCs/>
                <w:color w:val="000000"/>
              </w:rPr>
            </w:pPr>
          </w:p>
        </w:tc>
        <w:tc>
          <w:tcPr>
            <w:tcW w:w="1133" w:type="dxa"/>
            <w:tcBorders>
              <w:top w:val="nil"/>
              <w:left w:val="nil"/>
              <w:bottom w:val="nil"/>
              <w:right w:val="nil"/>
            </w:tcBorders>
            <w:shd w:val="clear" w:color="000000" w:fill="auto"/>
            <w:vAlign w:val="bottom"/>
          </w:tcPr>
          <w:p w14:paraId="1CA39C5E"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b/>
                <w:bCs/>
                <w:color w:val="000000"/>
              </w:rPr>
            </w:pPr>
            <w:r w:rsidRPr="009B546D">
              <w:rPr>
                <w:rFonts w:cstheme="minorHAnsi"/>
                <w:b/>
                <w:bCs/>
                <w:color w:val="000000"/>
              </w:rPr>
              <w:t>RM</w:t>
            </w:r>
          </w:p>
        </w:tc>
      </w:tr>
      <w:tr w:rsidR="001C6F66" w:rsidRPr="009B546D" w14:paraId="191888A3" w14:textId="77777777" w:rsidTr="00270393">
        <w:trPr>
          <w:trHeight w:val="278"/>
        </w:trPr>
        <w:tc>
          <w:tcPr>
            <w:tcW w:w="5582" w:type="dxa"/>
            <w:tcBorders>
              <w:top w:val="nil"/>
              <w:left w:val="nil"/>
              <w:bottom w:val="nil"/>
              <w:right w:val="nil"/>
            </w:tcBorders>
            <w:shd w:val="clear" w:color="000000" w:fill="auto"/>
            <w:vAlign w:val="bottom"/>
          </w:tcPr>
          <w:p w14:paraId="18854ABB"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Future minimum lease payment:</w:t>
            </w:r>
          </w:p>
        </w:tc>
        <w:tc>
          <w:tcPr>
            <w:tcW w:w="1498" w:type="dxa"/>
            <w:tcBorders>
              <w:top w:val="nil"/>
              <w:left w:val="nil"/>
              <w:bottom w:val="nil"/>
              <w:right w:val="nil"/>
            </w:tcBorders>
            <w:shd w:val="clear" w:color="000000" w:fill="auto"/>
            <w:vAlign w:val="bottom"/>
          </w:tcPr>
          <w:p w14:paraId="4C90A5C0"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283" w:type="dxa"/>
            <w:tcBorders>
              <w:top w:val="nil"/>
              <w:left w:val="nil"/>
              <w:bottom w:val="nil"/>
              <w:right w:val="nil"/>
            </w:tcBorders>
            <w:shd w:val="clear" w:color="000000" w:fill="auto"/>
            <w:vAlign w:val="bottom"/>
          </w:tcPr>
          <w:p w14:paraId="64338AF8"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133" w:type="dxa"/>
            <w:tcBorders>
              <w:top w:val="nil"/>
              <w:left w:val="nil"/>
              <w:bottom w:val="nil"/>
              <w:right w:val="nil"/>
            </w:tcBorders>
            <w:shd w:val="clear" w:color="000000" w:fill="auto"/>
            <w:vAlign w:val="bottom"/>
          </w:tcPr>
          <w:p w14:paraId="28672C3A" w14:textId="77777777" w:rsidR="001C6F66" w:rsidRPr="009B546D" w:rsidRDefault="001C6F66" w:rsidP="00F432B9">
            <w:pPr>
              <w:tabs>
                <w:tab w:val="left" w:pos="288"/>
              </w:tabs>
              <w:autoSpaceDE w:val="0"/>
              <w:autoSpaceDN w:val="0"/>
              <w:adjustRightInd w:val="0"/>
              <w:spacing w:after="0" w:line="240" w:lineRule="auto"/>
              <w:jc w:val="center"/>
              <w:rPr>
                <w:rFonts w:cstheme="minorHAnsi"/>
                <w:color w:val="000000"/>
              </w:rPr>
            </w:pPr>
          </w:p>
        </w:tc>
      </w:tr>
      <w:tr w:rsidR="001C6F66" w:rsidRPr="009B546D" w14:paraId="78B1F98F" w14:textId="77777777" w:rsidTr="00270393">
        <w:trPr>
          <w:trHeight w:val="278"/>
        </w:trPr>
        <w:tc>
          <w:tcPr>
            <w:tcW w:w="5582" w:type="dxa"/>
            <w:tcBorders>
              <w:top w:val="nil"/>
              <w:left w:val="nil"/>
              <w:bottom w:val="nil"/>
              <w:right w:val="nil"/>
            </w:tcBorders>
            <w:shd w:val="clear" w:color="000000" w:fill="auto"/>
            <w:vAlign w:val="bottom"/>
          </w:tcPr>
          <w:p w14:paraId="5D3E8757" w14:textId="1F0536FC"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rPr>
              <w:t>Not later than one year</w:t>
            </w:r>
            <w:r w:rsidR="00B575FC">
              <w:rPr>
                <w:rFonts w:cstheme="minorHAnsi"/>
                <w:color w:val="000000"/>
              </w:rPr>
              <w:t xml:space="preserve"> </w:t>
            </w:r>
          </w:p>
        </w:tc>
        <w:tc>
          <w:tcPr>
            <w:tcW w:w="1498" w:type="dxa"/>
            <w:tcBorders>
              <w:top w:val="nil"/>
              <w:left w:val="nil"/>
              <w:right w:val="nil"/>
            </w:tcBorders>
            <w:shd w:val="clear" w:color="000000" w:fill="auto"/>
            <w:vAlign w:val="bottom"/>
          </w:tcPr>
          <w:p w14:paraId="42DB024D"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p>
        </w:tc>
        <w:tc>
          <w:tcPr>
            <w:tcW w:w="283" w:type="dxa"/>
            <w:tcBorders>
              <w:top w:val="nil"/>
              <w:left w:val="nil"/>
              <w:right w:val="nil"/>
            </w:tcBorders>
            <w:shd w:val="clear" w:color="000000" w:fill="auto"/>
            <w:vAlign w:val="bottom"/>
          </w:tcPr>
          <w:p w14:paraId="66F41AD0"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133" w:type="dxa"/>
            <w:tcBorders>
              <w:top w:val="nil"/>
              <w:left w:val="nil"/>
              <w:right w:val="nil"/>
            </w:tcBorders>
            <w:shd w:val="clear" w:color="000000" w:fill="auto"/>
            <w:vAlign w:val="bottom"/>
          </w:tcPr>
          <w:p w14:paraId="3DB58B68"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color w:val="000000"/>
              </w:rPr>
            </w:pPr>
            <w:r w:rsidRPr="009B546D">
              <w:rPr>
                <w:rFonts w:cstheme="minorHAnsi"/>
                <w:color w:val="000000"/>
              </w:rPr>
              <w:t>14,500</w:t>
            </w:r>
          </w:p>
        </w:tc>
      </w:tr>
      <w:tr w:rsidR="001C6F66" w:rsidRPr="009B546D" w14:paraId="1EBC8A4A" w14:textId="77777777" w:rsidTr="00270393">
        <w:trPr>
          <w:trHeight w:val="278"/>
        </w:trPr>
        <w:tc>
          <w:tcPr>
            <w:tcW w:w="5582" w:type="dxa"/>
            <w:tcBorders>
              <w:top w:val="nil"/>
              <w:left w:val="nil"/>
              <w:bottom w:val="nil"/>
              <w:right w:val="nil"/>
            </w:tcBorders>
            <w:shd w:val="clear" w:color="000000" w:fill="auto"/>
            <w:vAlign w:val="bottom"/>
          </w:tcPr>
          <w:p w14:paraId="5EBFC88D"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r w:rsidRPr="009B546D">
              <w:rPr>
                <w:rFonts w:cstheme="minorHAnsi"/>
                <w:color w:val="000000"/>
                <w:lang w:val="en-MY"/>
              </w:rPr>
              <w:t>Later than one year but less than two years</w:t>
            </w:r>
          </w:p>
        </w:tc>
        <w:tc>
          <w:tcPr>
            <w:tcW w:w="1498" w:type="dxa"/>
            <w:tcBorders>
              <w:top w:val="nil"/>
              <w:left w:val="nil"/>
              <w:right w:val="nil"/>
            </w:tcBorders>
            <w:shd w:val="clear" w:color="000000" w:fill="auto"/>
            <w:vAlign w:val="bottom"/>
          </w:tcPr>
          <w:p w14:paraId="7E7DAEBF"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p>
        </w:tc>
        <w:tc>
          <w:tcPr>
            <w:tcW w:w="283" w:type="dxa"/>
            <w:tcBorders>
              <w:top w:val="nil"/>
              <w:left w:val="nil"/>
              <w:right w:val="nil"/>
            </w:tcBorders>
            <w:shd w:val="clear" w:color="000000" w:fill="auto"/>
            <w:vAlign w:val="bottom"/>
          </w:tcPr>
          <w:p w14:paraId="36A5DA4F"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133" w:type="dxa"/>
            <w:tcBorders>
              <w:top w:val="nil"/>
              <w:left w:val="nil"/>
              <w:right w:val="nil"/>
            </w:tcBorders>
            <w:shd w:val="clear" w:color="000000" w:fill="auto"/>
            <w:vAlign w:val="bottom"/>
          </w:tcPr>
          <w:p w14:paraId="13B4EB88"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color w:val="000000"/>
              </w:rPr>
            </w:pPr>
            <w:r w:rsidRPr="009B546D">
              <w:rPr>
                <w:rFonts w:cstheme="minorHAnsi"/>
                <w:color w:val="000000"/>
              </w:rPr>
              <w:t>-</w:t>
            </w:r>
          </w:p>
        </w:tc>
      </w:tr>
      <w:tr w:rsidR="001C6F66" w:rsidRPr="009B546D" w14:paraId="6BF95A41" w14:textId="77777777" w:rsidTr="00270393">
        <w:trPr>
          <w:trHeight w:val="374"/>
        </w:trPr>
        <w:tc>
          <w:tcPr>
            <w:tcW w:w="5582" w:type="dxa"/>
            <w:tcBorders>
              <w:top w:val="nil"/>
              <w:left w:val="nil"/>
              <w:bottom w:val="nil"/>
              <w:right w:val="nil"/>
            </w:tcBorders>
            <w:shd w:val="clear" w:color="000000" w:fill="auto"/>
            <w:vAlign w:val="bottom"/>
          </w:tcPr>
          <w:p w14:paraId="4211F01B" w14:textId="77777777" w:rsidR="001C6F66" w:rsidRPr="009B546D" w:rsidRDefault="001C6F66" w:rsidP="00F432B9">
            <w:pPr>
              <w:tabs>
                <w:tab w:val="left" w:pos="288"/>
              </w:tabs>
              <w:autoSpaceDE w:val="0"/>
              <w:autoSpaceDN w:val="0"/>
              <w:adjustRightInd w:val="0"/>
              <w:spacing w:after="0" w:line="240" w:lineRule="auto"/>
              <w:rPr>
                <w:rFonts w:cstheme="minorHAnsi"/>
                <w:color w:val="000000"/>
              </w:rPr>
            </w:pPr>
          </w:p>
        </w:tc>
        <w:tc>
          <w:tcPr>
            <w:tcW w:w="1498" w:type="dxa"/>
            <w:tcBorders>
              <w:left w:val="nil"/>
              <w:right w:val="nil"/>
            </w:tcBorders>
            <w:shd w:val="clear" w:color="000000" w:fill="auto"/>
            <w:vAlign w:val="bottom"/>
          </w:tcPr>
          <w:p w14:paraId="453510A1" w14:textId="77777777" w:rsidR="001C6F66" w:rsidRPr="009B546D" w:rsidRDefault="001C6F66" w:rsidP="00F432B9">
            <w:pPr>
              <w:tabs>
                <w:tab w:val="left" w:pos="288"/>
              </w:tabs>
              <w:autoSpaceDE w:val="0"/>
              <w:autoSpaceDN w:val="0"/>
              <w:adjustRightInd w:val="0"/>
              <w:spacing w:after="0" w:line="240" w:lineRule="auto"/>
              <w:ind w:right="72"/>
              <w:jc w:val="right"/>
              <w:rPr>
                <w:rFonts w:cstheme="minorHAnsi"/>
                <w:color w:val="000000"/>
              </w:rPr>
            </w:pPr>
          </w:p>
        </w:tc>
        <w:tc>
          <w:tcPr>
            <w:tcW w:w="283" w:type="dxa"/>
            <w:tcBorders>
              <w:left w:val="nil"/>
              <w:bottom w:val="nil"/>
              <w:right w:val="nil"/>
            </w:tcBorders>
            <w:shd w:val="clear" w:color="000000" w:fill="auto"/>
            <w:vAlign w:val="bottom"/>
          </w:tcPr>
          <w:p w14:paraId="1FCBBBA5" w14:textId="77777777" w:rsidR="001C6F66" w:rsidRPr="009B546D" w:rsidRDefault="001C6F66" w:rsidP="00F432B9">
            <w:pPr>
              <w:tabs>
                <w:tab w:val="left" w:pos="288"/>
              </w:tabs>
              <w:autoSpaceDE w:val="0"/>
              <w:autoSpaceDN w:val="0"/>
              <w:adjustRightInd w:val="0"/>
              <w:spacing w:after="0" w:line="240" w:lineRule="auto"/>
              <w:jc w:val="right"/>
              <w:rPr>
                <w:rFonts w:cstheme="minorHAnsi"/>
                <w:color w:val="000000"/>
              </w:rPr>
            </w:pPr>
          </w:p>
        </w:tc>
        <w:tc>
          <w:tcPr>
            <w:tcW w:w="1133" w:type="dxa"/>
            <w:tcBorders>
              <w:top w:val="single" w:sz="6" w:space="0" w:color="auto"/>
              <w:left w:val="nil"/>
              <w:bottom w:val="double" w:sz="6" w:space="0" w:color="auto"/>
              <w:right w:val="nil"/>
            </w:tcBorders>
            <w:shd w:val="clear" w:color="000000" w:fill="auto"/>
            <w:vAlign w:val="bottom"/>
          </w:tcPr>
          <w:p w14:paraId="65EA6389" w14:textId="77777777" w:rsidR="001C6F66" w:rsidRPr="009B546D" w:rsidRDefault="001C6F66" w:rsidP="00F432B9">
            <w:pPr>
              <w:tabs>
                <w:tab w:val="left" w:pos="288"/>
              </w:tabs>
              <w:autoSpaceDE w:val="0"/>
              <w:autoSpaceDN w:val="0"/>
              <w:adjustRightInd w:val="0"/>
              <w:spacing w:after="0" w:line="240" w:lineRule="auto"/>
              <w:ind w:right="72"/>
              <w:jc w:val="center"/>
              <w:rPr>
                <w:rFonts w:cstheme="minorHAnsi"/>
                <w:color w:val="000000"/>
              </w:rPr>
            </w:pPr>
            <w:r w:rsidRPr="009B546D">
              <w:rPr>
                <w:rFonts w:cstheme="minorHAnsi"/>
                <w:color w:val="000000"/>
              </w:rPr>
              <w:t>14,500</w:t>
            </w:r>
          </w:p>
        </w:tc>
      </w:tr>
    </w:tbl>
    <w:p w14:paraId="4FD28C50" w14:textId="77777777" w:rsidR="006741BA" w:rsidRPr="009B546D" w:rsidRDefault="006741BA" w:rsidP="00F432B9">
      <w:pPr>
        <w:spacing w:line="240" w:lineRule="auto"/>
        <w:rPr>
          <w:rFonts w:cstheme="minorHAnsi"/>
        </w:rPr>
      </w:pPr>
    </w:p>
    <w:p w14:paraId="65157295" w14:textId="77777777" w:rsidR="001C6F66" w:rsidRPr="009B546D" w:rsidRDefault="001C6F66" w:rsidP="00496B89">
      <w:pPr>
        <w:keepNext/>
        <w:keepLines/>
        <w:numPr>
          <w:ilvl w:val="0"/>
          <w:numId w:val="40"/>
        </w:numPr>
        <w:spacing w:after="0" w:line="240" w:lineRule="auto"/>
        <w:rPr>
          <w:rFonts w:cstheme="minorHAnsi"/>
          <w:b/>
          <w:caps/>
        </w:rPr>
      </w:pPr>
      <w:r w:rsidRPr="009B546D">
        <w:rPr>
          <w:rFonts w:cstheme="minorHAnsi"/>
          <w:b/>
          <w:caps/>
        </w:rPr>
        <w:t xml:space="preserve">RELATED PARTY TRANSACTIONs </w:t>
      </w:r>
    </w:p>
    <w:p w14:paraId="02D9BDF6" w14:textId="77777777" w:rsidR="001C6F66" w:rsidRPr="009B546D" w:rsidRDefault="001C6F66" w:rsidP="00F432B9">
      <w:pPr>
        <w:keepNext/>
        <w:keepLines/>
        <w:spacing w:line="240" w:lineRule="auto"/>
        <w:ind w:left="576"/>
        <w:rPr>
          <w:rFonts w:cstheme="minorHAnsi"/>
          <w:b/>
          <w:caps/>
        </w:rPr>
      </w:pPr>
    </w:p>
    <w:p w14:paraId="76593532" w14:textId="3B62D8EB" w:rsidR="001C6F66" w:rsidRPr="009B546D" w:rsidRDefault="001C6F66" w:rsidP="00F432B9">
      <w:pPr>
        <w:keepNext/>
        <w:keepLines/>
        <w:spacing w:after="220" w:line="240" w:lineRule="auto"/>
        <w:ind w:left="576"/>
        <w:rPr>
          <w:rFonts w:cstheme="minorHAnsi"/>
        </w:rPr>
      </w:pPr>
      <w:r w:rsidRPr="009B546D">
        <w:rPr>
          <w:rFonts w:cstheme="minorHAnsi"/>
        </w:rPr>
        <w:t>Director</w:t>
      </w:r>
      <w:r w:rsidR="00EA5114">
        <w:rPr>
          <w:rFonts w:cstheme="minorHAnsi"/>
        </w:rPr>
        <w:t>’</w:t>
      </w:r>
      <w:r w:rsidRPr="009B546D">
        <w:rPr>
          <w:rFonts w:cstheme="minorHAnsi"/>
        </w:rPr>
        <w:t>s remuneration for the period is disclosed in note 13.3. In addition to this, a consultancy fee of RM33,000 was paid to a director. Balances with directors are disclosed at note 11.</w:t>
      </w:r>
    </w:p>
    <w:p w14:paraId="575AAD29" w14:textId="77777777" w:rsidR="001C6F66" w:rsidRPr="009B546D" w:rsidRDefault="001C6F66" w:rsidP="00F432B9">
      <w:pPr>
        <w:keepNext/>
        <w:keepLines/>
        <w:spacing w:after="220" w:line="240" w:lineRule="auto"/>
        <w:ind w:left="576"/>
        <w:rPr>
          <w:rFonts w:cstheme="minorHAnsi"/>
        </w:rPr>
      </w:pPr>
      <w:r w:rsidRPr="009B546D">
        <w:rPr>
          <w:rFonts w:cstheme="minorHAnsi"/>
        </w:rPr>
        <w:t>During the period, a shareholder of the Company advanced RM258,900 to the Company. At the reporting date, the balance outstanding to the shareholder was RM18,900 (note 11).</w:t>
      </w:r>
    </w:p>
    <w:p w14:paraId="5F1E086A" w14:textId="3A277B6F" w:rsidR="001C6F66" w:rsidRPr="009B546D" w:rsidRDefault="001C6F66" w:rsidP="00EA2BB6">
      <w:pPr>
        <w:keepNext/>
        <w:keepLines/>
        <w:spacing w:after="220" w:line="240" w:lineRule="auto"/>
        <w:ind w:left="576"/>
        <w:rPr>
          <w:rFonts w:cstheme="minorHAnsi"/>
          <w:b/>
          <w:caps/>
        </w:rPr>
      </w:pPr>
      <w:r w:rsidRPr="009B546D">
        <w:rPr>
          <w:rFonts w:cstheme="minorHAnsi"/>
        </w:rPr>
        <w:t xml:space="preserve">Amounts due to shareholders and directors are unsecured, interest free and repayable on demand. </w:t>
      </w:r>
    </w:p>
    <w:p w14:paraId="09583214" w14:textId="4A270835" w:rsidR="001C6F66" w:rsidRPr="009B546D" w:rsidRDefault="001C6F66" w:rsidP="00EA2BB6">
      <w:pPr>
        <w:keepNext/>
        <w:keepLines/>
        <w:numPr>
          <w:ilvl w:val="0"/>
          <w:numId w:val="40"/>
        </w:numPr>
        <w:spacing w:after="0" w:line="240" w:lineRule="auto"/>
        <w:rPr>
          <w:b/>
          <w:smallCaps/>
          <w:vanish/>
          <w:szCs w:val="20"/>
        </w:rPr>
      </w:pPr>
      <w:r w:rsidRPr="009B546D">
        <w:rPr>
          <w:rFonts w:cstheme="minorHAnsi"/>
          <w:b/>
          <w:caps/>
        </w:rPr>
        <w:t>Financial instruments</w:t>
      </w:r>
    </w:p>
    <w:p w14:paraId="1785ED61" w14:textId="77777777" w:rsidR="001C6F66" w:rsidRPr="009B546D" w:rsidRDefault="001C6F66" w:rsidP="00EA2BB6">
      <w:pPr>
        <w:keepNext/>
        <w:keepLines/>
        <w:tabs>
          <w:tab w:val="left" w:pos="1152"/>
        </w:tabs>
        <w:spacing w:before="240" w:after="180" w:line="240" w:lineRule="auto"/>
        <w:ind w:left="1152"/>
        <w:rPr>
          <w:b/>
          <w:smallCaps/>
        </w:rPr>
      </w:pPr>
      <w:r w:rsidRPr="15D66BA0">
        <w:rPr>
          <w:b/>
          <w:smallCaps/>
        </w:rPr>
        <w:t>Categories of financial instruments</w:t>
      </w:r>
    </w:p>
    <w:p w14:paraId="07F059FD" w14:textId="77777777" w:rsidR="001C6F66" w:rsidRPr="009B546D" w:rsidRDefault="001C6F66" w:rsidP="00F432B9">
      <w:pPr>
        <w:spacing w:after="240" w:line="240" w:lineRule="auto"/>
        <w:ind w:left="1152"/>
        <w:rPr>
          <w:rFonts w:cstheme="minorHAnsi"/>
        </w:rPr>
      </w:pPr>
      <w:r w:rsidRPr="009B546D">
        <w:rPr>
          <w:rFonts w:cstheme="minorHAnsi"/>
        </w:rPr>
        <w:t>The table below provide an analysis of financial instruments categorised as follows:</w:t>
      </w:r>
    </w:p>
    <w:tbl>
      <w:tblPr>
        <w:tblW w:w="0" w:type="auto"/>
        <w:tblInd w:w="1278" w:type="dxa"/>
        <w:tblLayout w:type="fixed"/>
        <w:tblLook w:val="04A0" w:firstRow="1" w:lastRow="0" w:firstColumn="1" w:lastColumn="0" w:noHBand="0" w:noVBand="1"/>
      </w:tblPr>
      <w:tblGrid>
        <w:gridCol w:w="4880"/>
        <w:gridCol w:w="1498"/>
        <w:gridCol w:w="283"/>
        <w:gridCol w:w="992"/>
      </w:tblGrid>
      <w:tr w:rsidR="001C6F66" w:rsidRPr="009B546D" w14:paraId="0DF49918" w14:textId="77777777" w:rsidTr="00270393">
        <w:trPr>
          <w:trHeight w:val="278"/>
          <w:tblHeader/>
        </w:trPr>
        <w:tc>
          <w:tcPr>
            <w:tcW w:w="4880" w:type="dxa"/>
            <w:vAlign w:val="bottom"/>
          </w:tcPr>
          <w:p w14:paraId="2AB8F7C8" w14:textId="77777777" w:rsidR="001C6F66" w:rsidRPr="009B546D" w:rsidRDefault="001C6F66" w:rsidP="00F432B9">
            <w:pPr>
              <w:tabs>
                <w:tab w:val="left" w:pos="288"/>
              </w:tabs>
              <w:autoSpaceDE w:val="0"/>
              <w:autoSpaceDN w:val="0"/>
              <w:adjustRightInd w:val="0"/>
              <w:spacing w:line="240" w:lineRule="auto"/>
              <w:ind w:right="72"/>
              <w:rPr>
                <w:rFonts w:cstheme="minorHAnsi"/>
                <w:color w:val="000000"/>
              </w:rPr>
            </w:pPr>
          </w:p>
        </w:tc>
        <w:tc>
          <w:tcPr>
            <w:tcW w:w="1498" w:type="dxa"/>
            <w:vAlign w:val="bottom"/>
          </w:tcPr>
          <w:p w14:paraId="15068854" w14:textId="77777777" w:rsidR="001C6F66" w:rsidRPr="009B546D" w:rsidRDefault="001C6F66" w:rsidP="00F432B9">
            <w:pPr>
              <w:tabs>
                <w:tab w:val="left" w:pos="288"/>
              </w:tabs>
              <w:autoSpaceDE w:val="0"/>
              <w:autoSpaceDN w:val="0"/>
              <w:adjustRightInd w:val="0"/>
              <w:spacing w:line="240" w:lineRule="auto"/>
              <w:ind w:right="72"/>
              <w:jc w:val="center"/>
              <w:rPr>
                <w:rFonts w:cstheme="minorHAnsi"/>
                <w:b/>
                <w:bCs/>
                <w:color w:val="000000"/>
              </w:rPr>
            </w:pPr>
          </w:p>
        </w:tc>
        <w:tc>
          <w:tcPr>
            <w:tcW w:w="283" w:type="dxa"/>
            <w:vAlign w:val="bottom"/>
          </w:tcPr>
          <w:p w14:paraId="36A8BBBC" w14:textId="77777777" w:rsidR="001C6F66" w:rsidRPr="009B546D" w:rsidRDefault="001C6F66" w:rsidP="00F432B9">
            <w:pPr>
              <w:tabs>
                <w:tab w:val="left" w:pos="288"/>
              </w:tabs>
              <w:autoSpaceDE w:val="0"/>
              <w:autoSpaceDN w:val="0"/>
              <w:adjustRightInd w:val="0"/>
              <w:spacing w:line="240" w:lineRule="auto"/>
              <w:ind w:right="72"/>
              <w:jc w:val="center"/>
              <w:rPr>
                <w:rFonts w:cstheme="minorHAnsi"/>
                <w:b/>
                <w:bCs/>
                <w:color w:val="000000"/>
              </w:rPr>
            </w:pPr>
          </w:p>
        </w:tc>
        <w:tc>
          <w:tcPr>
            <w:tcW w:w="992" w:type="dxa"/>
            <w:vAlign w:val="bottom"/>
            <w:hideMark/>
          </w:tcPr>
          <w:p w14:paraId="0236DE23" w14:textId="77777777" w:rsidR="001C6F66" w:rsidRPr="009B546D" w:rsidRDefault="001C6F66" w:rsidP="00F432B9">
            <w:pPr>
              <w:tabs>
                <w:tab w:val="left" w:pos="288"/>
              </w:tabs>
              <w:autoSpaceDE w:val="0"/>
              <w:autoSpaceDN w:val="0"/>
              <w:adjustRightInd w:val="0"/>
              <w:spacing w:line="240" w:lineRule="auto"/>
              <w:ind w:right="72"/>
              <w:jc w:val="center"/>
              <w:rPr>
                <w:rFonts w:cstheme="minorHAnsi"/>
                <w:b/>
                <w:bCs/>
                <w:color w:val="000000"/>
              </w:rPr>
            </w:pPr>
            <w:r w:rsidRPr="009B546D">
              <w:rPr>
                <w:rFonts w:cstheme="minorHAnsi"/>
                <w:b/>
                <w:bCs/>
                <w:color w:val="000000"/>
              </w:rPr>
              <w:t>2019</w:t>
            </w:r>
          </w:p>
        </w:tc>
      </w:tr>
      <w:tr w:rsidR="001C6F66" w:rsidRPr="009B546D" w14:paraId="242E277F" w14:textId="77777777" w:rsidTr="00270393">
        <w:trPr>
          <w:trHeight w:val="278"/>
          <w:tblHeader/>
        </w:trPr>
        <w:tc>
          <w:tcPr>
            <w:tcW w:w="4880" w:type="dxa"/>
            <w:vAlign w:val="bottom"/>
          </w:tcPr>
          <w:p w14:paraId="7BA1DFEB" w14:textId="77777777" w:rsidR="001C6F66" w:rsidRPr="009B546D" w:rsidRDefault="001C6F66" w:rsidP="00F432B9">
            <w:pPr>
              <w:tabs>
                <w:tab w:val="left" w:pos="288"/>
              </w:tabs>
              <w:autoSpaceDE w:val="0"/>
              <w:autoSpaceDN w:val="0"/>
              <w:adjustRightInd w:val="0"/>
              <w:spacing w:line="240" w:lineRule="auto"/>
              <w:ind w:right="72"/>
              <w:rPr>
                <w:rFonts w:cstheme="minorHAnsi"/>
                <w:color w:val="000000"/>
              </w:rPr>
            </w:pPr>
          </w:p>
        </w:tc>
        <w:tc>
          <w:tcPr>
            <w:tcW w:w="1498" w:type="dxa"/>
            <w:vAlign w:val="bottom"/>
          </w:tcPr>
          <w:p w14:paraId="0C18460A" w14:textId="77777777" w:rsidR="001C6F66" w:rsidRPr="009B546D" w:rsidRDefault="001C6F66" w:rsidP="00F432B9">
            <w:pPr>
              <w:tabs>
                <w:tab w:val="left" w:pos="288"/>
              </w:tabs>
              <w:autoSpaceDE w:val="0"/>
              <w:autoSpaceDN w:val="0"/>
              <w:adjustRightInd w:val="0"/>
              <w:spacing w:line="240" w:lineRule="auto"/>
              <w:ind w:right="72"/>
              <w:jc w:val="center"/>
              <w:rPr>
                <w:rFonts w:cstheme="minorHAnsi"/>
                <w:b/>
                <w:bCs/>
                <w:color w:val="000000"/>
              </w:rPr>
            </w:pPr>
          </w:p>
        </w:tc>
        <w:tc>
          <w:tcPr>
            <w:tcW w:w="283" w:type="dxa"/>
            <w:vAlign w:val="bottom"/>
          </w:tcPr>
          <w:p w14:paraId="1A43B74A" w14:textId="77777777" w:rsidR="001C6F66" w:rsidRPr="009B546D" w:rsidRDefault="001C6F66" w:rsidP="00F432B9">
            <w:pPr>
              <w:tabs>
                <w:tab w:val="left" w:pos="288"/>
              </w:tabs>
              <w:autoSpaceDE w:val="0"/>
              <w:autoSpaceDN w:val="0"/>
              <w:adjustRightInd w:val="0"/>
              <w:spacing w:line="240" w:lineRule="auto"/>
              <w:ind w:right="72"/>
              <w:jc w:val="center"/>
              <w:rPr>
                <w:rFonts w:cstheme="minorHAnsi"/>
                <w:b/>
                <w:bCs/>
                <w:color w:val="000000"/>
              </w:rPr>
            </w:pPr>
          </w:p>
        </w:tc>
        <w:tc>
          <w:tcPr>
            <w:tcW w:w="992" w:type="dxa"/>
            <w:vAlign w:val="bottom"/>
            <w:hideMark/>
          </w:tcPr>
          <w:p w14:paraId="32DB5A90" w14:textId="77777777" w:rsidR="001C6F66" w:rsidRPr="009B546D" w:rsidRDefault="001C6F66" w:rsidP="00F432B9">
            <w:pPr>
              <w:tabs>
                <w:tab w:val="left" w:pos="288"/>
              </w:tabs>
              <w:autoSpaceDE w:val="0"/>
              <w:autoSpaceDN w:val="0"/>
              <w:adjustRightInd w:val="0"/>
              <w:spacing w:line="240" w:lineRule="auto"/>
              <w:ind w:right="72"/>
              <w:jc w:val="center"/>
              <w:rPr>
                <w:rFonts w:cstheme="minorHAnsi"/>
                <w:b/>
                <w:bCs/>
                <w:color w:val="000000"/>
              </w:rPr>
            </w:pPr>
            <w:r w:rsidRPr="009B546D">
              <w:rPr>
                <w:rFonts w:cstheme="minorHAnsi"/>
                <w:b/>
                <w:bCs/>
                <w:color w:val="000000"/>
              </w:rPr>
              <w:t>RM</w:t>
            </w:r>
          </w:p>
        </w:tc>
      </w:tr>
      <w:tr w:rsidR="001C6F66" w:rsidRPr="009B546D" w14:paraId="3453F9F1" w14:textId="77777777" w:rsidTr="00270393">
        <w:trPr>
          <w:trHeight w:val="278"/>
        </w:trPr>
        <w:tc>
          <w:tcPr>
            <w:tcW w:w="4880" w:type="dxa"/>
            <w:vAlign w:val="bottom"/>
            <w:hideMark/>
          </w:tcPr>
          <w:p w14:paraId="19ADFD2B" w14:textId="77777777" w:rsidR="001C6F66" w:rsidRPr="009B546D" w:rsidRDefault="001C6F66" w:rsidP="00EA2BB6">
            <w:pPr>
              <w:tabs>
                <w:tab w:val="left" w:pos="288"/>
              </w:tabs>
              <w:autoSpaceDE w:val="0"/>
              <w:autoSpaceDN w:val="0"/>
              <w:adjustRightInd w:val="0"/>
              <w:spacing w:after="0" w:line="240" w:lineRule="auto"/>
              <w:rPr>
                <w:rFonts w:cstheme="minorHAnsi"/>
                <w:b/>
                <w:color w:val="000000"/>
                <w:lang w:val="en-MY"/>
              </w:rPr>
            </w:pPr>
            <w:r w:rsidRPr="009B546D">
              <w:rPr>
                <w:rFonts w:cstheme="minorHAnsi"/>
                <w:b/>
                <w:color w:val="000000"/>
                <w:lang w:val="en-MY"/>
              </w:rPr>
              <w:t>Financial assets</w:t>
            </w:r>
          </w:p>
        </w:tc>
        <w:tc>
          <w:tcPr>
            <w:tcW w:w="1498" w:type="dxa"/>
            <w:vAlign w:val="bottom"/>
          </w:tcPr>
          <w:p w14:paraId="42D61FC8"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rPr>
            </w:pPr>
          </w:p>
        </w:tc>
        <w:tc>
          <w:tcPr>
            <w:tcW w:w="283" w:type="dxa"/>
            <w:vAlign w:val="bottom"/>
          </w:tcPr>
          <w:p w14:paraId="2B8E083C"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rPr>
            </w:pPr>
          </w:p>
        </w:tc>
        <w:tc>
          <w:tcPr>
            <w:tcW w:w="992" w:type="dxa"/>
            <w:vAlign w:val="bottom"/>
          </w:tcPr>
          <w:p w14:paraId="02DEB1B4" w14:textId="77777777" w:rsidR="001C6F66" w:rsidRPr="009B546D" w:rsidRDefault="001C6F66" w:rsidP="00EA2BB6">
            <w:pPr>
              <w:tabs>
                <w:tab w:val="left" w:pos="288"/>
              </w:tabs>
              <w:autoSpaceDE w:val="0"/>
              <w:autoSpaceDN w:val="0"/>
              <w:adjustRightInd w:val="0"/>
              <w:spacing w:after="0" w:line="240" w:lineRule="auto"/>
              <w:ind w:right="72"/>
              <w:jc w:val="center"/>
              <w:rPr>
                <w:rFonts w:cstheme="minorHAnsi"/>
                <w:color w:val="000000"/>
              </w:rPr>
            </w:pPr>
          </w:p>
        </w:tc>
      </w:tr>
      <w:tr w:rsidR="001C6F66" w:rsidRPr="009B546D" w14:paraId="6A67C0AE" w14:textId="77777777" w:rsidTr="00270393">
        <w:trPr>
          <w:trHeight w:val="278"/>
        </w:trPr>
        <w:tc>
          <w:tcPr>
            <w:tcW w:w="4880" w:type="dxa"/>
            <w:vAlign w:val="bottom"/>
          </w:tcPr>
          <w:p w14:paraId="14A86B32" w14:textId="77777777" w:rsidR="001C6F66" w:rsidRPr="009B546D" w:rsidRDefault="001C6F66" w:rsidP="00EA2BB6">
            <w:pPr>
              <w:tabs>
                <w:tab w:val="left" w:pos="288"/>
              </w:tabs>
              <w:autoSpaceDE w:val="0"/>
              <w:autoSpaceDN w:val="0"/>
              <w:adjustRightInd w:val="0"/>
              <w:spacing w:after="0" w:line="240" w:lineRule="auto"/>
              <w:rPr>
                <w:rFonts w:cstheme="minorHAnsi"/>
                <w:i/>
                <w:color w:val="000000"/>
                <w:u w:val="single"/>
              </w:rPr>
            </w:pPr>
            <w:r w:rsidRPr="009B546D">
              <w:rPr>
                <w:rFonts w:cstheme="minorHAnsi"/>
                <w:i/>
                <w:color w:val="000000"/>
                <w:u w:val="single"/>
              </w:rPr>
              <w:t>Financial assets measured at amortised cost:</w:t>
            </w:r>
          </w:p>
        </w:tc>
        <w:tc>
          <w:tcPr>
            <w:tcW w:w="1498" w:type="dxa"/>
            <w:vAlign w:val="bottom"/>
          </w:tcPr>
          <w:p w14:paraId="1C252313" w14:textId="77777777" w:rsidR="001C6F66" w:rsidRPr="009B546D" w:rsidRDefault="001C6F66" w:rsidP="00EA2BB6">
            <w:pPr>
              <w:autoSpaceDE w:val="0"/>
              <w:autoSpaceDN w:val="0"/>
              <w:adjustRightInd w:val="0"/>
              <w:spacing w:after="0" w:line="240" w:lineRule="auto"/>
              <w:ind w:right="72"/>
              <w:jc w:val="right"/>
              <w:rPr>
                <w:rFonts w:cstheme="minorHAnsi"/>
                <w:color w:val="000000"/>
              </w:rPr>
            </w:pPr>
          </w:p>
        </w:tc>
        <w:tc>
          <w:tcPr>
            <w:tcW w:w="283" w:type="dxa"/>
            <w:vAlign w:val="bottom"/>
          </w:tcPr>
          <w:p w14:paraId="57BF556F"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rPr>
            </w:pPr>
          </w:p>
        </w:tc>
        <w:tc>
          <w:tcPr>
            <w:tcW w:w="992" w:type="dxa"/>
            <w:vAlign w:val="bottom"/>
          </w:tcPr>
          <w:p w14:paraId="623D72BE" w14:textId="77777777" w:rsidR="001C6F66" w:rsidRPr="009B546D" w:rsidRDefault="001C6F66" w:rsidP="00EA2BB6">
            <w:pPr>
              <w:autoSpaceDE w:val="0"/>
              <w:autoSpaceDN w:val="0"/>
              <w:adjustRightInd w:val="0"/>
              <w:spacing w:after="0" w:line="240" w:lineRule="auto"/>
              <w:ind w:right="72"/>
              <w:jc w:val="center"/>
              <w:rPr>
                <w:rFonts w:cstheme="minorHAnsi"/>
                <w:color w:val="000000"/>
              </w:rPr>
            </w:pPr>
          </w:p>
        </w:tc>
      </w:tr>
      <w:tr w:rsidR="001C6F66" w:rsidRPr="009B546D" w14:paraId="75AD6DD4" w14:textId="77777777" w:rsidTr="00270393">
        <w:trPr>
          <w:trHeight w:val="278"/>
        </w:trPr>
        <w:tc>
          <w:tcPr>
            <w:tcW w:w="4880" w:type="dxa"/>
            <w:vAlign w:val="bottom"/>
          </w:tcPr>
          <w:p w14:paraId="2957D55D" w14:textId="77777777" w:rsidR="001C6F66" w:rsidRPr="009B546D" w:rsidRDefault="001C6F66" w:rsidP="00EA2BB6">
            <w:pPr>
              <w:tabs>
                <w:tab w:val="left" w:pos="288"/>
              </w:tabs>
              <w:autoSpaceDE w:val="0"/>
              <w:autoSpaceDN w:val="0"/>
              <w:adjustRightInd w:val="0"/>
              <w:spacing w:after="0" w:line="240" w:lineRule="auto"/>
              <w:rPr>
                <w:rFonts w:cstheme="minorHAnsi"/>
                <w:color w:val="000000"/>
              </w:rPr>
            </w:pPr>
            <w:r w:rsidRPr="009B546D">
              <w:rPr>
                <w:rFonts w:cstheme="minorHAnsi"/>
                <w:color w:val="000000"/>
              </w:rPr>
              <w:t xml:space="preserve"> Trade receivables</w:t>
            </w:r>
          </w:p>
        </w:tc>
        <w:tc>
          <w:tcPr>
            <w:tcW w:w="1498" w:type="dxa"/>
            <w:vAlign w:val="bottom"/>
          </w:tcPr>
          <w:p w14:paraId="29A117D2" w14:textId="77777777" w:rsidR="001C6F66" w:rsidRPr="009B546D" w:rsidRDefault="001C6F66" w:rsidP="00EA2BB6">
            <w:pPr>
              <w:autoSpaceDE w:val="0"/>
              <w:autoSpaceDN w:val="0"/>
              <w:adjustRightInd w:val="0"/>
              <w:spacing w:after="0" w:line="240" w:lineRule="auto"/>
              <w:ind w:right="72"/>
              <w:jc w:val="right"/>
              <w:rPr>
                <w:rFonts w:cstheme="minorHAnsi"/>
                <w:color w:val="000000"/>
              </w:rPr>
            </w:pPr>
          </w:p>
        </w:tc>
        <w:tc>
          <w:tcPr>
            <w:tcW w:w="283" w:type="dxa"/>
            <w:vAlign w:val="bottom"/>
          </w:tcPr>
          <w:p w14:paraId="241B8E42"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rPr>
            </w:pPr>
          </w:p>
        </w:tc>
        <w:tc>
          <w:tcPr>
            <w:tcW w:w="992" w:type="dxa"/>
            <w:vAlign w:val="bottom"/>
          </w:tcPr>
          <w:p w14:paraId="502D51F1" w14:textId="77777777" w:rsidR="001C6F66" w:rsidRPr="009B546D" w:rsidRDefault="001C6F66" w:rsidP="00EA2BB6">
            <w:pPr>
              <w:autoSpaceDE w:val="0"/>
              <w:autoSpaceDN w:val="0"/>
              <w:adjustRightInd w:val="0"/>
              <w:spacing w:after="0" w:line="240" w:lineRule="auto"/>
              <w:ind w:right="72"/>
              <w:jc w:val="center"/>
              <w:rPr>
                <w:rFonts w:cstheme="minorHAnsi"/>
                <w:color w:val="000000"/>
              </w:rPr>
            </w:pPr>
            <w:r w:rsidRPr="009B546D">
              <w:rPr>
                <w:rFonts w:cstheme="minorHAnsi"/>
                <w:color w:val="000000"/>
              </w:rPr>
              <w:t>-</w:t>
            </w:r>
          </w:p>
        </w:tc>
      </w:tr>
      <w:tr w:rsidR="001C6F66" w:rsidRPr="009B546D" w14:paraId="66E843CB" w14:textId="77777777" w:rsidTr="00270393">
        <w:trPr>
          <w:trHeight w:val="278"/>
        </w:trPr>
        <w:tc>
          <w:tcPr>
            <w:tcW w:w="4880" w:type="dxa"/>
            <w:vAlign w:val="bottom"/>
            <w:hideMark/>
          </w:tcPr>
          <w:p w14:paraId="195B51B5" w14:textId="77777777" w:rsidR="001C6F66" w:rsidRPr="009B546D" w:rsidRDefault="001C6F66" w:rsidP="00EA2BB6">
            <w:pPr>
              <w:tabs>
                <w:tab w:val="left" w:pos="288"/>
              </w:tabs>
              <w:autoSpaceDE w:val="0"/>
              <w:autoSpaceDN w:val="0"/>
              <w:adjustRightInd w:val="0"/>
              <w:spacing w:after="0" w:line="240" w:lineRule="auto"/>
              <w:rPr>
                <w:rFonts w:cstheme="minorHAnsi"/>
                <w:color w:val="000000"/>
              </w:rPr>
            </w:pPr>
            <w:r w:rsidRPr="009B546D">
              <w:rPr>
                <w:rFonts w:cstheme="minorHAnsi"/>
                <w:color w:val="000000"/>
              </w:rPr>
              <w:t xml:space="preserve"> Deposits</w:t>
            </w:r>
          </w:p>
        </w:tc>
        <w:tc>
          <w:tcPr>
            <w:tcW w:w="1498" w:type="dxa"/>
            <w:vAlign w:val="bottom"/>
          </w:tcPr>
          <w:p w14:paraId="5F5A519D" w14:textId="77777777" w:rsidR="001C6F66" w:rsidRPr="009B546D" w:rsidRDefault="001C6F66" w:rsidP="00EA2BB6">
            <w:pPr>
              <w:autoSpaceDE w:val="0"/>
              <w:autoSpaceDN w:val="0"/>
              <w:adjustRightInd w:val="0"/>
              <w:spacing w:after="0" w:line="240" w:lineRule="auto"/>
              <w:ind w:right="72"/>
              <w:jc w:val="right"/>
              <w:rPr>
                <w:rFonts w:cstheme="minorHAnsi"/>
                <w:color w:val="000000"/>
              </w:rPr>
            </w:pPr>
          </w:p>
        </w:tc>
        <w:tc>
          <w:tcPr>
            <w:tcW w:w="283" w:type="dxa"/>
            <w:vAlign w:val="bottom"/>
          </w:tcPr>
          <w:p w14:paraId="26F9CB1B"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rPr>
            </w:pPr>
          </w:p>
        </w:tc>
        <w:tc>
          <w:tcPr>
            <w:tcW w:w="992" w:type="dxa"/>
            <w:vAlign w:val="bottom"/>
          </w:tcPr>
          <w:p w14:paraId="57F180D5" w14:textId="77777777" w:rsidR="001C6F66" w:rsidRPr="009B546D" w:rsidRDefault="001C6F66" w:rsidP="00EA2BB6">
            <w:pPr>
              <w:autoSpaceDE w:val="0"/>
              <w:autoSpaceDN w:val="0"/>
              <w:adjustRightInd w:val="0"/>
              <w:spacing w:after="0" w:line="240" w:lineRule="auto"/>
              <w:ind w:right="72"/>
              <w:jc w:val="center"/>
              <w:rPr>
                <w:rFonts w:cstheme="minorHAnsi"/>
                <w:color w:val="000000"/>
              </w:rPr>
            </w:pPr>
            <w:r w:rsidRPr="009B546D">
              <w:rPr>
                <w:rFonts w:cstheme="minorHAnsi"/>
                <w:color w:val="000000"/>
              </w:rPr>
              <w:t>15,000</w:t>
            </w:r>
          </w:p>
        </w:tc>
      </w:tr>
      <w:tr w:rsidR="001C6F66" w:rsidRPr="009B546D" w14:paraId="763F0668" w14:textId="77777777" w:rsidTr="00270393">
        <w:trPr>
          <w:trHeight w:val="278"/>
        </w:trPr>
        <w:tc>
          <w:tcPr>
            <w:tcW w:w="4880" w:type="dxa"/>
            <w:vAlign w:val="bottom"/>
          </w:tcPr>
          <w:p w14:paraId="777DA978" w14:textId="77777777" w:rsidR="001C6F66" w:rsidRPr="009B546D" w:rsidRDefault="001C6F66" w:rsidP="00EA2BB6">
            <w:pPr>
              <w:tabs>
                <w:tab w:val="left" w:pos="288"/>
              </w:tabs>
              <w:autoSpaceDE w:val="0"/>
              <w:autoSpaceDN w:val="0"/>
              <w:adjustRightInd w:val="0"/>
              <w:spacing w:after="0" w:line="240" w:lineRule="auto"/>
              <w:rPr>
                <w:rFonts w:cstheme="minorHAnsi"/>
                <w:color w:val="000000"/>
              </w:rPr>
            </w:pPr>
            <w:r w:rsidRPr="009B546D">
              <w:rPr>
                <w:rFonts w:cstheme="minorHAnsi"/>
                <w:color w:val="000000"/>
              </w:rPr>
              <w:t xml:space="preserve"> Cash and bank balances </w:t>
            </w:r>
          </w:p>
        </w:tc>
        <w:tc>
          <w:tcPr>
            <w:tcW w:w="1498" w:type="dxa"/>
            <w:vAlign w:val="bottom"/>
          </w:tcPr>
          <w:p w14:paraId="2ADB61EC" w14:textId="77777777" w:rsidR="001C6F66" w:rsidRPr="009B546D" w:rsidRDefault="001C6F66" w:rsidP="00EA2BB6">
            <w:pPr>
              <w:autoSpaceDE w:val="0"/>
              <w:autoSpaceDN w:val="0"/>
              <w:adjustRightInd w:val="0"/>
              <w:spacing w:after="0" w:line="240" w:lineRule="auto"/>
              <w:ind w:right="72"/>
              <w:jc w:val="right"/>
              <w:rPr>
                <w:rFonts w:cstheme="minorHAnsi"/>
                <w:color w:val="000000"/>
              </w:rPr>
            </w:pPr>
          </w:p>
        </w:tc>
        <w:tc>
          <w:tcPr>
            <w:tcW w:w="283" w:type="dxa"/>
            <w:vAlign w:val="bottom"/>
          </w:tcPr>
          <w:p w14:paraId="3D4861FE"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rPr>
            </w:pPr>
          </w:p>
        </w:tc>
        <w:tc>
          <w:tcPr>
            <w:tcW w:w="992" w:type="dxa"/>
            <w:vAlign w:val="bottom"/>
          </w:tcPr>
          <w:p w14:paraId="1CE41D26" w14:textId="77777777" w:rsidR="001C6F66" w:rsidRPr="009B546D" w:rsidRDefault="001C6F66" w:rsidP="00EA2BB6">
            <w:pPr>
              <w:autoSpaceDE w:val="0"/>
              <w:autoSpaceDN w:val="0"/>
              <w:adjustRightInd w:val="0"/>
              <w:spacing w:after="0" w:line="240" w:lineRule="auto"/>
              <w:ind w:right="72"/>
              <w:jc w:val="center"/>
              <w:rPr>
                <w:rFonts w:cstheme="minorHAnsi"/>
                <w:color w:val="000000"/>
              </w:rPr>
            </w:pPr>
            <w:r w:rsidRPr="009B546D">
              <w:rPr>
                <w:rFonts w:cstheme="minorHAnsi"/>
                <w:color w:val="000000"/>
              </w:rPr>
              <w:t>328,563</w:t>
            </w:r>
          </w:p>
        </w:tc>
      </w:tr>
      <w:tr w:rsidR="001C6F66" w:rsidRPr="009B546D" w14:paraId="4871FF6D" w14:textId="77777777" w:rsidTr="00270393">
        <w:trPr>
          <w:trHeight w:val="63"/>
        </w:trPr>
        <w:tc>
          <w:tcPr>
            <w:tcW w:w="4880" w:type="dxa"/>
            <w:vAlign w:val="bottom"/>
          </w:tcPr>
          <w:p w14:paraId="6AE5A82F" w14:textId="77777777" w:rsidR="001C6F66" w:rsidRPr="009B546D" w:rsidRDefault="001C6F66" w:rsidP="00EA2BB6">
            <w:pPr>
              <w:tabs>
                <w:tab w:val="left" w:pos="288"/>
              </w:tabs>
              <w:autoSpaceDE w:val="0"/>
              <w:autoSpaceDN w:val="0"/>
              <w:adjustRightInd w:val="0"/>
              <w:spacing w:after="0" w:line="240" w:lineRule="auto"/>
              <w:ind w:right="72"/>
              <w:rPr>
                <w:rFonts w:cstheme="minorHAnsi"/>
                <w:color w:val="000000"/>
              </w:rPr>
            </w:pPr>
          </w:p>
        </w:tc>
        <w:tc>
          <w:tcPr>
            <w:tcW w:w="1498" w:type="dxa"/>
            <w:tcBorders>
              <w:left w:val="nil"/>
              <w:bottom w:val="nil"/>
              <w:right w:val="nil"/>
            </w:tcBorders>
            <w:vAlign w:val="bottom"/>
          </w:tcPr>
          <w:p w14:paraId="0771FC34" w14:textId="77777777" w:rsidR="001C6F66" w:rsidRPr="009B546D" w:rsidRDefault="001C6F66" w:rsidP="00EA2BB6">
            <w:pPr>
              <w:autoSpaceDE w:val="0"/>
              <w:autoSpaceDN w:val="0"/>
              <w:adjustRightInd w:val="0"/>
              <w:spacing w:after="0" w:line="240" w:lineRule="auto"/>
              <w:ind w:right="72"/>
              <w:jc w:val="right"/>
              <w:rPr>
                <w:rFonts w:cstheme="minorHAnsi"/>
                <w:color w:val="000000"/>
              </w:rPr>
            </w:pPr>
          </w:p>
        </w:tc>
        <w:tc>
          <w:tcPr>
            <w:tcW w:w="283" w:type="dxa"/>
            <w:vAlign w:val="bottom"/>
          </w:tcPr>
          <w:p w14:paraId="3AE5045F"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rPr>
            </w:pPr>
          </w:p>
        </w:tc>
        <w:tc>
          <w:tcPr>
            <w:tcW w:w="992" w:type="dxa"/>
            <w:tcBorders>
              <w:top w:val="double" w:sz="6" w:space="0" w:color="auto"/>
              <w:left w:val="nil"/>
              <w:bottom w:val="nil"/>
              <w:right w:val="nil"/>
            </w:tcBorders>
            <w:vAlign w:val="bottom"/>
          </w:tcPr>
          <w:p w14:paraId="7EE5942A" w14:textId="77777777" w:rsidR="001C6F66" w:rsidRPr="009B546D" w:rsidRDefault="001C6F66" w:rsidP="00EA2BB6">
            <w:pPr>
              <w:autoSpaceDE w:val="0"/>
              <w:autoSpaceDN w:val="0"/>
              <w:adjustRightInd w:val="0"/>
              <w:spacing w:after="0" w:line="240" w:lineRule="auto"/>
              <w:ind w:right="72"/>
              <w:jc w:val="center"/>
              <w:rPr>
                <w:rFonts w:cstheme="minorHAnsi"/>
                <w:color w:val="000000"/>
              </w:rPr>
            </w:pPr>
          </w:p>
        </w:tc>
      </w:tr>
      <w:tr w:rsidR="001C6F66" w:rsidRPr="009B546D" w14:paraId="2BA7D6A4" w14:textId="77777777" w:rsidTr="00270393">
        <w:trPr>
          <w:trHeight w:val="278"/>
        </w:trPr>
        <w:tc>
          <w:tcPr>
            <w:tcW w:w="4880" w:type="dxa"/>
            <w:vAlign w:val="bottom"/>
            <w:hideMark/>
          </w:tcPr>
          <w:p w14:paraId="5860CF4A" w14:textId="77777777" w:rsidR="001C6F66" w:rsidRPr="009B546D" w:rsidRDefault="001C6F66" w:rsidP="00EA2BB6">
            <w:pPr>
              <w:tabs>
                <w:tab w:val="left" w:pos="288"/>
              </w:tabs>
              <w:autoSpaceDE w:val="0"/>
              <w:autoSpaceDN w:val="0"/>
              <w:adjustRightInd w:val="0"/>
              <w:spacing w:after="0" w:line="240" w:lineRule="auto"/>
              <w:rPr>
                <w:rFonts w:cstheme="minorHAnsi"/>
                <w:b/>
                <w:color w:val="000000"/>
                <w:lang w:val="en-MY"/>
              </w:rPr>
            </w:pPr>
            <w:r w:rsidRPr="009B546D">
              <w:rPr>
                <w:rFonts w:cstheme="minorHAnsi"/>
                <w:b/>
                <w:color w:val="000000"/>
                <w:lang w:val="en-MY"/>
              </w:rPr>
              <w:t>Financial liabilities</w:t>
            </w:r>
          </w:p>
        </w:tc>
        <w:tc>
          <w:tcPr>
            <w:tcW w:w="1498" w:type="dxa"/>
            <w:vAlign w:val="bottom"/>
          </w:tcPr>
          <w:p w14:paraId="14FD29CB" w14:textId="77777777" w:rsidR="001C6F66" w:rsidRPr="009B546D" w:rsidRDefault="001C6F66" w:rsidP="00EA2BB6">
            <w:pPr>
              <w:autoSpaceDE w:val="0"/>
              <w:autoSpaceDN w:val="0"/>
              <w:adjustRightInd w:val="0"/>
              <w:spacing w:after="0" w:line="240" w:lineRule="auto"/>
              <w:ind w:right="72"/>
              <w:jc w:val="right"/>
              <w:rPr>
                <w:rFonts w:cstheme="minorHAnsi"/>
                <w:color w:val="000000"/>
              </w:rPr>
            </w:pPr>
          </w:p>
        </w:tc>
        <w:tc>
          <w:tcPr>
            <w:tcW w:w="283" w:type="dxa"/>
            <w:vAlign w:val="bottom"/>
          </w:tcPr>
          <w:p w14:paraId="4F391767"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rPr>
            </w:pPr>
          </w:p>
        </w:tc>
        <w:tc>
          <w:tcPr>
            <w:tcW w:w="992" w:type="dxa"/>
            <w:vAlign w:val="bottom"/>
          </w:tcPr>
          <w:p w14:paraId="5C43AF45" w14:textId="77777777" w:rsidR="001C6F66" w:rsidRPr="009B546D" w:rsidRDefault="001C6F66" w:rsidP="00EA2BB6">
            <w:pPr>
              <w:autoSpaceDE w:val="0"/>
              <w:autoSpaceDN w:val="0"/>
              <w:adjustRightInd w:val="0"/>
              <w:spacing w:after="0" w:line="240" w:lineRule="auto"/>
              <w:ind w:right="72"/>
              <w:jc w:val="center"/>
              <w:rPr>
                <w:rFonts w:cstheme="minorHAnsi"/>
                <w:color w:val="000000"/>
              </w:rPr>
            </w:pPr>
          </w:p>
        </w:tc>
      </w:tr>
      <w:tr w:rsidR="001C6F66" w:rsidRPr="009B546D" w14:paraId="3F180965" w14:textId="77777777" w:rsidTr="00270393">
        <w:trPr>
          <w:trHeight w:val="278"/>
        </w:trPr>
        <w:tc>
          <w:tcPr>
            <w:tcW w:w="4880" w:type="dxa"/>
            <w:vAlign w:val="bottom"/>
            <w:hideMark/>
          </w:tcPr>
          <w:p w14:paraId="60E20C9F" w14:textId="77777777" w:rsidR="001C6F66" w:rsidRPr="009B546D" w:rsidRDefault="001C6F66" w:rsidP="00EA2BB6">
            <w:pPr>
              <w:tabs>
                <w:tab w:val="left" w:pos="288"/>
              </w:tabs>
              <w:autoSpaceDE w:val="0"/>
              <w:autoSpaceDN w:val="0"/>
              <w:adjustRightInd w:val="0"/>
              <w:spacing w:after="0" w:line="240" w:lineRule="auto"/>
              <w:rPr>
                <w:rFonts w:cstheme="minorHAnsi"/>
                <w:color w:val="000000"/>
                <w:lang w:val="en-MY"/>
              </w:rPr>
            </w:pPr>
            <w:r w:rsidRPr="009B546D">
              <w:rPr>
                <w:rFonts w:cstheme="minorHAnsi"/>
                <w:i/>
                <w:color w:val="000000"/>
                <w:u w:val="single"/>
              </w:rPr>
              <w:t>Financial liabilities measured at amortised cost:</w:t>
            </w:r>
          </w:p>
        </w:tc>
        <w:tc>
          <w:tcPr>
            <w:tcW w:w="1498" w:type="dxa"/>
            <w:vAlign w:val="bottom"/>
          </w:tcPr>
          <w:p w14:paraId="5B0B0EB2" w14:textId="77777777" w:rsidR="001C6F66" w:rsidRPr="009B546D" w:rsidRDefault="001C6F66" w:rsidP="00EA2BB6">
            <w:pPr>
              <w:autoSpaceDE w:val="0"/>
              <w:autoSpaceDN w:val="0"/>
              <w:adjustRightInd w:val="0"/>
              <w:spacing w:after="0" w:line="240" w:lineRule="auto"/>
              <w:ind w:right="72"/>
              <w:jc w:val="right"/>
              <w:rPr>
                <w:rFonts w:cstheme="minorHAnsi"/>
                <w:color w:val="000000"/>
              </w:rPr>
            </w:pPr>
          </w:p>
        </w:tc>
        <w:tc>
          <w:tcPr>
            <w:tcW w:w="283" w:type="dxa"/>
            <w:vAlign w:val="bottom"/>
          </w:tcPr>
          <w:p w14:paraId="523FA1D2"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rPr>
            </w:pPr>
          </w:p>
        </w:tc>
        <w:tc>
          <w:tcPr>
            <w:tcW w:w="992" w:type="dxa"/>
            <w:vAlign w:val="bottom"/>
          </w:tcPr>
          <w:p w14:paraId="6E2FE95A" w14:textId="77777777" w:rsidR="001C6F66" w:rsidRPr="009B546D" w:rsidRDefault="001C6F66" w:rsidP="00EA2BB6">
            <w:pPr>
              <w:autoSpaceDE w:val="0"/>
              <w:autoSpaceDN w:val="0"/>
              <w:adjustRightInd w:val="0"/>
              <w:spacing w:after="0" w:line="240" w:lineRule="auto"/>
              <w:ind w:right="72"/>
              <w:jc w:val="center"/>
              <w:rPr>
                <w:rFonts w:cstheme="minorHAnsi"/>
                <w:color w:val="000000"/>
              </w:rPr>
            </w:pPr>
          </w:p>
        </w:tc>
      </w:tr>
      <w:tr w:rsidR="001C6F66" w:rsidRPr="009B546D" w14:paraId="754CC886" w14:textId="77777777" w:rsidTr="00270393">
        <w:trPr>
          <w:trHeight w:val="278"/>
        </w:trPr>
        <w:tc>
          <w:tcPr>
            <w:tcW w:w="4880" w:type="dxa"/>
            <w:vAlign w:val="bottom"/>
            <w:hideMark/>
          </w:tcPr>
          <w:p w14:paraId="182D5085" w14:textId="5672C12E" w:rsidR="001C6F66" w:rsidRPr="009B546D" w:rsidRDefault="00B575FC" w:rsidP="00EA2BB6">
            <w:pPr>
              <w:tabs>
                <w:tab w:val="left" w:pos="288"/>
              </w:tabs>
              <w:autoSpaceDE w:val="0"/>
              <w:autoSpaceDN w:val="0"/>
              <w:adjustRightInd w:val="0"/>
              <w:spacing w:after="0" w:line="240" w:lineRule="auto"/>
              <w:rPr>
                <w:rFonts w:cstheme="minorHAnsi"/>
                <w:color w:val="000000"/>
                <w:lang w:val="en-MY"/>
              </w:rPr>
            </w:pPr>
            <w:r>
              <w:rPr>
                <w:rFonts w:cstheme="minorHAnsi"/>
                <w:color w:val="000000"/>
                <w:lang w:val="en-MY"/>
              </w:rPr>
              <w:t xml:space="preserve"> </w:t>
            </w:r>
            <w:r w:rsidR="001C6F66" w:rsidRPr="009B546D">
              <w:rPr>
                <w:rFonts w:cstheme="minorHAnsi"/>
                <w:color w:val="000000"/>
                <w:lang w:val="en-MY"/>
              </w:rPr>
              <w:t>Other payables and accruals</w:t>
            </w:r>
          </w:p>
        </w:tc>
        <w:tc>
          <w:tcPr>
            <w:tcW w:w="1498" w:type="dxa"/>
            <w:tcBorders>
              <w:top w:val="nil"/>
              <w:left w:val="nil"/>
              <w:bottom w:val="nil"/>
              <w:right w:val="nil"/>
            </w:tcBorders>
            <w:vAlign w:val="bottom"/>
          </w:tcPr>
          <w:p w14:paraId="1D76B637"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rPr>
            </w:pPr>
          </w:p>
        </w:tc>
        <w:tc>
          <w:tcPr>
            <w:tcW w:w="283" w:type="dxa"/>
            <w:vAlign w:val="bottom"/>
          </w:tcPr>
          <w:p w14:paraId="6E3922C9"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rPr>
            </w:pPr>
          </w:p>
        </w:tc>
        <w:tc>
          <w:tcPr>
            <w:tcW w:w="992" w:type="dxa"/>
            <w:tcBorders>
              <w:top w:val="nil"/>
              <w:left w:val="nil"/>
              <w:bottom w:val="nil"/>
              <w:right w:val="nil"/>
            </w:tcBorders>
            <w:vAlign w:val="bottom"/>
          </w:tcPr>
          <w:p w14:paraId="20F86BD0" w14:textId="77777777" w:rsidR="001C6F66" w:rsidRPr="009B546D" w:rsidRDefault="001C6F66" w:rsidP="00EA2BB6">
            <w:pPr>
              <w:tabs>
                <w:tab w:val="left" w:pos="288"/>
              </w:tabs>
              <w:autoSpaceDE w:val="0"/>
              <w:autoSpaceDN w:val="0"/>
              <w:adjustRightInd w:val="0"/>
              <w:spacing w:after="0" w:line="240" w:lineRule="auto"/>
              <w:jc w:val="center"/>
              <w:rPr>
                <w:rFonts w:cstheme="minorHAnsi"/>
                <w:color w:val="000000"/>
              </w:rPr>
            </w:pPr>
            <w:r w:rsidRPr="009B546D">
              <w:rPr>
                <w:rFonts w:cstheme="minorHAnsi"/>
                <w:color w:val="000000"/>
              </w:rPr>
              <w:t>(66,171)</w:t>
            </w:r>
          </w:p>
        </w:tc>
      </w:tr>
      <w:tr w:rsidR="001C6F66" w:rsidRPr="009B546D" w14:paraId="244873A6" w14:textId="77777777" w:rsidTr="00270393">
        <w:trPr>
          <w:trHeight w:val="278"/>
        </w:trPr>
        <w:tc>
          <w:tcPr>
            <w:tcW w:w="4880" w:type="dxa"/>
            <w:vAlign w:val="bottom"/>
          </w:tcPr>
          <w:p w14:paraId="1DB5C534" w14:textId="0B69D915" w:rsidR="001C6F66" w:rsidRPr="009B546D" w:rsidRDefault="00B575FC" w:rsidP="00EA2BB6">
            <w:pPr>
              <w:tabs>
                <w:tab w:val="left" w:pos="288"/>
              </w:tabs>
              <w:autoSpaceDE w:val="0"/>
              <w:autoSpaceDN w:val="0"/>
              <w:adjustRightInd w:val="0"/>
              <w:spacing w:after="0" w:line="240" w:lineRule="auto"/>
              <w:rPr>
                <w:rFonts w:cstheme="minorHAnsi"/>
                <w:color w:val="000000"/>
                <w:lang w:val="en-MY"/>
              </w:rPr>
            </w:pPr>
            <w:r>
              <w:rPr>
                <w:rFonts w:cstheme="minorHAnsi"/>
                <w:color w:val="000000"/>
                <w:lang w:val="en-MY"/>
              </w:rPr>
              <w:t xml:space="preserve"> </w:t>
            </w:r>
            <w:r w:rsidR="001C6F66" w:rsidRPr="009B546D">
              <w:rPr>
                <w:rFonts w:cstheme="minorHAnsi"/>
                <w:color w:val="000000"/>
                <w:lang w:val="en-MY"/>
              </w:rPr>
              <w:t>Income tax payable</w:t>
            </w:r>
          </w:p>
        </w:tc>
        <w:tc>
          <w:tcPr>
            <w:tcW w:w="1498" w:type="dxa"/>
            <w:tcBorders>
              <w:top w:val="nil"/>
              <w:left w:val="nil"/>
              <w:bottom w:val="nil"/>
              <w:right w:val="nil"/>
            </w:tcBorders>
            <w:vAlign w:val="bottom"/>
          </w:tcPr>
          <w:p w14:paraId="615B0D91"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rPr>
            </w:pPr>
          </w:p>
        </w:tc>
        <w:tc>
          <w:tcPr>
            <w:tcW w:w="283" w:type="dxa"/>
            <w:vAlign w:val="bottom"/>
          </w:tcPr>
          <w:p w14:paraId="7D245DEC"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rPr>
            </w:pPr>
          </w:p>
        </w:tc>
        <w:tc>
          <w:tcPr>
            <w:tcW w:w="992" w:type="dxa"/>
            <w:tcBorders>
              <w:top w:val="nil"/>
              <w:left w:val="nil"/>
              <w:right w:val="nil"/>
            </w:tcBorders>
            <w:vAlign w:val="bottom"/>
          </w:tcPr>
          <w:p w14:paraId="7734164D" w14:textId="77777777" w:rsidR="001C6F66" w:rsidRPr="009B546D" w:rsidRDefault="001C6F66" w:rsidP="00EA2BB6">
            <w:pPr>
              <w:tabs>
                <w:tab w:val="left" w:pos="288"/>
              </w:tabs>
              <w:autoSpaceDE w:val="0"/>
              <w:autoSpaceDN w:val="0"/>
              <w:adjustRightInd w:val="0"/>
              <w:spacing w:after="0" w:line="240" w:lineRule="auto"/>
              <w:jc w:val="center"/>
              <w:rPr>
                <w:rFonts w:cstheme="minorHAnsi"/>
                <w:color w:val="000000"/>
              </w:rPr>
            </w:pPr>
            <w:r w:rsidRPr="009B546D">
              <w:rPr>
                <w:rFonts w:cstheme="minorHAnsi"/>
                <w:color w:val="000000"/>
              </w:rPr>
              <w:t>(74,591)</w:t>
            </w:r>
          </w:p>
        </w:tc>
      </w:tr>
      <w:tr w:rsidR="001C6F66" w:rsidRPr="009B546D" w14:paraId="3D464DD2" w14:textId="77777777" w:rsidTr="00270393">
        <w:trPr>
          <w:trHeight w:val="278"/>
        </w:trPr>
        <w:tc>
          <w:tcPr>
            <w:tcW w:w="4880" w:type="dxa"/>
            <w:vAlign w:val="bottom"/>
          </w:tcPr>
          <w:p w14:paraId="0A895B89" w14:textId="76B9A629" w:rsidR="001C6F66" w:rsidRPr="009B546D" w:rsidRDefault="00B575FC" w:rsidP="00EA2BB6">
            <w:pPr>
              <w:tabs>
                <w:tab w:val="left" w:pos="288"/>
              </w:tabs>
              <w:autoSpaceDE w:val="0"/>
              <w:autoSpaceDN w:val="0"/>
              <w:adjustRightInd w:val="0"/>
              <w:spacing w:after="0" w:line="240" w:lineRule="auto"/>
              <w:rPr>
                <w:rFonts w:cstheme="minorHAnsi"/>
                <w:color w:val="000000"/>
                <w:lang w:val="en-MY"/>
              </w:rPr>
            </w:pPr>
            <w:r>
              <w:rPr>
                <w:rFonts w:cstheme="minorHAnsi"/>
                <w:color w:val="000000"/>
                <w:lang w:val="en-MY"/>
              </w:rPr>
              <w:t xml:space="preserve"> </w:t>
            </w:r>
            <w:r w:rsidR="001C6F66" w:rsidRPr="009B546D">
              <w:rPr>
                <w:rFonts w:cstheme="minorHAnsi"/>
                <w:color w:val="000000"/>
                <w:lang w:val="en-MY"/>
              </w:rPr>
              <w:t>Amount due to directors</w:t>
            </w:r>
          </w:p>
        </w:tc>
        <w:tc>
          <w:tcPr>
            <w:tcW w:w="1498" w:type="dxa"/>
            <w:tcBorders>
              <w:top w:val="nil"/>
              <w:left w:val="nil"/>
              <w:bottom w:val="nil"/>
              <w:right w:val="nil"/>
            </w:tcBorders>
            <w:vAlign w:val="bottom"/>
          </w:tcPr>
          <w:p w14:paraId="52893B09"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rPr>
            </w:pPr>
          </w:p>
        </w:tc>
        <w:tc>
          <w:tcPr>
            <w:tcW w:w="283" w:type="dxa"/>
            <w:vAlign w:val="bottom"/>
          </w:tcPr>
          <w:p w14:paraId="75AA9ECF" w14:textId="77777777" w:rsidR="001C6F66" w:rsidRPr="009B546D" w:rsidRDefault="001C6F66" w:rsidP="00EA2BB6">
            <w:pPr>
              <w:tabs>
                <w:tab w:val="left" w:pos="288"/>
              </w:tabs>
              <w:autoSpaceDE w:val="0"/>
              <w:autoSpaceDN w:val="0"/>
              <w:adjustRightInd w:val="0"/>
              <w:spacing w:after="0" w:line="240" w:lineRule="auto"/>
              <w:ind w:right="72"/>
              <w:jc w:val="right"/>
              <w:rPr>
                <w:rFonts w:cstheme="minorHAnsi"/>
                <w:color w:val="000000"/>
              </w:rPr>
            </w:pPr>
          </w:p>
        </w:tc>
        <w:tc>
          <w:tcPr>
            <w:tcW w:w="992" w:type="dxa"/>
            <w:tcBorders>
              <w:top w:val="nil"/>
              <w:left w:val="nil"/>
              <w:right w:val="nil"/>
            </w:tcBorders>
            <w:vAlign w:val="bottom"/>
          </w:tcPr>
          <w:p w14:paraId="2D9B6389" w14:textId="77777777" w:rsidR="001C6F66" w:rsidRPr="009B546D" w:rsidRDefault="001C6F66" w:rsidP="00EA2BB6">
            <w:pPr>
              <w:tabs>
                <w:tab w:val="left" w:pos="288"/>
              </w:tabs>
              <w:autoSpaceDE w:val="0"/>
              <w:autoSpaceDN w:val="0"/>
              <w:adjustRightInd w:val="0"/>
              <w:spacing w:after="0" w:line="240" w:lineRule="auto"/>
              <w:jc w:val="center"/>
              <w:rPr>
                <w:rFonts w:cstheme="minorHAnsi"/>
                <w:color w:val="000000"/>
              </w:rPr>
            </w:pPr>
            <w:r w:rsidRPr="009B546D">
              <w:rPr>
                <w:rFonts w:cstheme="minorHAnsi"/>
                <w:color w:val="000000"/>
              </w:rPr>
              <w:t>(24,000)</w:t>
            </w:r>
          </w:p>
        </w:tc>
      </w:tr>
      <w:tr w:rsidR="001C6F66" w:rsidRPr="009B546D" w14:paraId="5D1101E7" w14:textId="77777777" w:rsidTr="00270393">
        <w:trPr>
          <w:trHeight w:val="278"/>
        </w:trPr>
        <w:tc>
          <w:tcPr>
            <w:tcW w:w="4880" w:type="dxa"/>
            <w:vAlign w:val="bottom"/>
          </w:tcPr>
          <w:p w14:paraId="4D243CF7" w14:textId="4B286130" w:rsidR="001C6F66" w:rsidRPr="009B546D" w:rsidRDefault="00B575FC" w:rsidP="00F432B9">
            <w:pPr>
              <w:tabs>
                <w:tab w:val="left" w:pos="288"/>
              </w:tabs>
              <w:autoSpaceDE w:val="0"/>
              <w:autoSpaceDN w:val="0"/>
              <w:adjustRightInd w:val="0"/>
              <w:spacing w:line="240" w:lineRule="auto"/>
              <w:rPr>
                <w:rFonts w:cstheme="minorHAnsi"/>
                <w:color w:val="000000"/>
                <w:lang w:val="en-MY"/>
              </w:rPr>
            </w:pPr>
            <w:r>
              <w:rPr>
                <w:rFonts w:cstheme="minorHAnsi"/>
                <w:color w:val="000000"/>
                <w:lang w:val="en-MY"/>
              </w:rPr>
              <w:t xml:space="preserve"> </w:t>
            </w:r>
            <w:r w:rsidR="001C6F66" w:rsidRPr="009B546D">
              <w:rPr>
                <w:rFonts w:cstheme="minorHAnsi"/>
                <w:color w:val="000000"/>
                <w:lang w:val="en-MY"/>
              </w:rPr>
              <w:t>Amount due to shareholders</w:t>
            </w:r>
          </w:p>
        </w:tc>
        <w:tc>
          <w:tcPr>
            <w:tcW w:w="1498" w:type="dxa"/>
            <w:tcBorders>
              <w:top w:val="nil"/>
              <w:left w:val="nil"/>
              <w:right w:val="nil"/>
            </w:tcBorders>
            <w:vAlign w:val="bottom"/>
          </w:tcPr>
          <w:p w14:paraId="0243BB1B"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p>
        </w:tc>
        <w:tc>
          <w:tcPr>
            <w:tcW w:w="283" w:type="dxa"/>
            <w:vAlign w:val="bottom"/>
          </w:tcPr>
          <w:p w14:paraId="7B6DB972" w14:textId="77777777" w:rsidR="001C6F66" w:rsidRPr="009B546D" w:rsidRDefault="001C6F66" w:rsidP="00F432B9">
            <w:pPr>
              <w:tabs>
                <w:tab w:val="left" w:pos="288"/>
              </w:tabs>
              <w:autoSpaceDE w:val="0"/>
              <w:autoSpaceDN w:val="0"/>
              <w:adjustRightInd w:val="0"/>
              <w:spacing w:line="240" w:lineRule="auto"/>
              <w:ind w:right="72"/>
              <w:jc w:val="right"/>
              <w:rPr>
                <w:rFonts w:cstheme="minorHAnsi"/>
                <w:color w:val="000000"/>
              </w:rPr>
            </w:pPr>
          </w:p>
        </w:tc>
        <w:tc>
          <w:tcPr>
            <w:tcW w:w="992" w:type="dxa"/>
            <w:tcBorders>
              <w:bottom w:val="double" w:sz="6" w:space="0" w:color="auto"/>
            </w:tcBorders>
            <w:vAlign w:val="bottom"/>
          </w:tcPr>
          <w:p w14:paraId="3B7044ED" w14:textId="77777777" w:rsidR="001C6F66" w:rsidRPr="009B546D" w:rsidRDefault="001C6F66" w:rsidP="00F432B9">
            <w:pPr>
              <w:tabs>
                <w:tab w:val="left" w:pos="288"/>
              </w:tabs>
              <w:autoSpaceDE w:val="0"/>
              <w:autoSpaceDN w:val="0"/>
              <w:adjustRightInd w:val="0"/>
              <w:spacing w:line="240" w:lineRule="auto"/>
              <w:jc w:val="center"/>
              <w:rPr>
                <w:rFonts w:cstheme="minorHAnsi"/>
                <w:color w:val="000000"/>
              </w:rPr>
            </w:pPr>
            <w:r w:rsidRPr="009B546D">
              <w:rPr>
                <w:rFonts w:cstheme="minorHAnsi"/>
                <w:color w:val="000000"/>
              </w:rPr>
              <w:t>(18,900)</w:t>
            </w:r>
          </w:p>
        </w:tc>
      </w:tr>
    </w:tbl>
    <w:p w14:paraId="5CB49F40" w14:textId="48B8737D" w:rsidR="00543328" w:rsidRDefault="00543328" w:rsidP="00543328">
      <w:pPr>
        <w:spacing w:line="240" w:lineRule="auto"/>
        <w:rPr>
          <w:rFonts w:ascii="Calibri" w:eastAsia="SimSun" w:hAnsi="Calibri" w:cstheme="minorHAnsi"/>
          <w:b/>
          <w:caps/>
          <w:kern w:val="2"/>
          <w:sz w:val="21"/>
          <w:lang w:eastAsia="zh-CN"/>
        </w:rPr>
      </w:pPr>
    </w:p>
    <w:p w14:paraId="67335A73" w14:textId="77777777" w:rsidR="00543328" w:rsidRDefault="00543328" w:rsidP="00543328">
      <w:pPr>
        <w:spacing w:line="240" w:lineRule="auto"/>
        <w:rPr>
          <w:rFonts w:cstheme="minorHAnsi"/>
          <w:b/>
          <w:caps/>
        </w:rPr>
      </w:pPr>
    </w:p>
    <w:p w14:paraId="09A53B77" w14:textId="77777777" w:rsidR="00543328" w:rsidRPr="00543328" w:rsidRDefault="00543328" w:rsidP="00EA2BB6">
      <w:pPr>
        <w:pStyle w:val="ListParagraph"/>
        <w:ind w:left="0"/>
        <w:rPr>
          <w:rFonts w:cstheme="minorHAnsi"/>
          <w:b/>
          <w:caps/>
        </w:rPr>
      </w:pPr>
      <w:r w:rsidRPr="00543328">
        <w:rPr>
          <w:rFonts w:cstheme="minorHAnsi"/>
          <w:b/>
          <w:caps/>
        </w:rPr>
        <w:lastRenderedPageBreak/>
        <w:t>n</w:t>
      </w:r>
      <w:r w:rsidRPr="00543328">
        <w:rPr>
          <w:rFonts w:cstheme="minorHAnsi"/>
          <w:b/>
        </w:rPr>
        <w:t>otes to the financial information</w:t>
      </w:r>
    </w:p>
    <w:p w14:paraId="22E70618" w14:textId="77777777" w:rsidR="00543328" w:rsidRPr="00543328" w:rsidRDefault="00543328" w:rsidP="00EA2BB6">
      <w:pPr>
        <w:pStyle w:val="ListParagraph"/>
        <w:ind w:left="0"/>
        <w:rPr>
          <w:rFonts w:cstheme="minorHAnsi"/>
          <w:b/>
          <w:caps/>
        </w:rPr>
      </w:pPr>
      <w:r w:rsidRPr="00543328">
        <w:rPr>
          <w:rFonts w:cstheme="minorHAnsi"/>
          <w:b/>
          <w:caps/>
        </w:rPr>
        <w:t>F</w:t>
      </w:r>
      <w:r w:rsidRPr="00543328">
        <w:rPr>
          <w:rFonts w:cstheme="minorHAnsi"/>
          <w:b/>
        </w:rPr>
        <w:t xml:space="preserve">or the </w:t>
      </w:r>
      <w:r w:rsidRPr="00543328">
        <w:rPr>
          <w:rFonts w:cstheme="minorHAnsi"/>
          <w:b/>
          <w:caps/>
        </w:rPr>
        <w:fldChar w:fldCharType="begin"/>
      </w:r>
      <w:r w:rsidRPr="00543328">
        <w:rPr>
          <w:rFonts w:cstheme="minorHAnsi"/>
          <w:b/>
          <w:caps/>
        </w:rPr>
        <w:instrText xml:space="preserve"> DOCPROPERTY  "Fin year/period (for cover page)"\* Caps \* MERGEFORMAT </w:instrText>
      </w:r>
      <w:r w:rsidRPr="00543328">
        <w:rPr>
          <w:rFonts w:cstheme="minorHAnsi"/>
          <w:b/>
          <w:caps/>
        </w:rPr>
        <w:fldChar w:fldCharType="separate"/>
      </w:r>
      <w:r w:rsidRPr="00543328">
        <w:rPr>
          <w:rFonts w:cstheme="minorHAnsi"/>
          <w:b/>
        </w:rPr>
        <w:t>financial period ended from 17 April 2018 (date of incorporation) to 30 April 2019</w:t>
      </w:r>
      <w:r w:rsidRPr="00543328">
        <w:rPr>
          <w:rFonts w:cstheme="minorHAnsi"/>
          <w:b/>
          <w:caps/>
        </w:rPr>
        <w:fldChar w:fldCharType="end"/>
      </w:r>
      <w:r w:rsidRPr="00543328">
        <w:rPr>
          <w:rFonts w:cstheme="minorHAnsi"/>
          <w:b/>
          <w:caps/>
        </w:rPr>
        <w:t xml:space="preserve"> (</w:t>
      </w:r>
      <w:r w:rsidRPr="00543328">
        <w:rPr>
          <w:rFonts w:cstheme="minorHAnsi"/>
          <w:b/>
          <w:i/>
        </w:rPr>
        <w:t>continued)</w:t>
      </w:r>
    </w:p>
    <w:p w14:paraId="13E19399" w14:textId="77777777" w:rsidR="00543328" w:rsidRPr="00D02A5A" w:rsidRDefault="00543328" w:rsidP="00EA2BB6">
      <w:pPr>
        <w:pStyle w:val="ListParagraph"/>
        <w:pBdr>
          <w:bottom w:val="single" w:sz="6" w:space="1" w:color="auto"/>
        </w:pBdr>
        <w:ind w:left="0"/>
        <w:rPr>
          <w:rFonts w:cstheme="minorHAnsi"/>
        </w:rPr>
      </w:pPr>
    </w:p>
    <w:p w14:paraId="4FE815FE" w14:textId="77777777" w:rsidR="00543328" w:rsidRPr="00543328" w:rsidRDefault="00543328" w:rsidP="00EA2BB6">
      <w:pPr>
        <w:pStyle w:val="ListParagraph"/>
        <w:keepNext/>
        <w:keepLines/>
        <w:ind w:left="0"/>
        <w:rPr>
          <w:rFonts w:cstheme="minorHAnsi"/>
          <w:color w:val="000000"/>
          <w:szCs w:val="20"/>
        </w:rPr>
      </w:pPr>
    </w:p>
    <w:p w14:paraId="448B09F8" w14:textId="77777777" w:rsidR="001C6F66" w:rsidRPr="009B546D" w:rsidRDefault="001C6F66" w:rsidP="00496B89">
      <w:pPr>
        <w:keepNext/>
        <w:keepLines/>
        <w:numPr>
          <w:ilvl w:val="0"/>
          <w:numId w:val="44"/>
        </w:numPr>
        <w:spacing w:after="220" w:line="240" w:lineRule="auto"/>
        <w:rPr>
          <w:rFonts w:cstheme="minorHAnsi"/>
          <w:b/>
          <w:caps/>
        </w:rPr>
      </w:pPr>
      <w:r w:rsidRPr="009B546D">
        <w:rPr>
          <w:rFonts w:cstheme="minorHAnsi"/>
          <w:b/>
          <w:caps/>
        </w:rPr>
        <w:t xml:space="preserve">COMPARative figures </w:t>
      </w:r>
    </w:p>
    <w:p w14:paraId="250A5A8B" w14:textId="77777777" w:rsidR="001C6F66" w:rsidRPr="009B546D" w:rsidRDefault="001C6F66" w:rsidP="00F432B9">
      <w:pPr>
        <w:spacing w:after="240" w:line="240" w:lineRule="auto"/>
        <w:ind w:left="576"/>
        <w:rPr>
          <w:rFonts w:cstheme="minorHAnsi"/>
        </w:rPr>
      </w:pPr>
      <w:r w:rsidRPr="009B546D">
        <w:rPr>
          <w:rFonts w:cstheme="minorHAnsi"/>
        </w:rPr>
        <w:t>No comparative figures have been presented as this is the first financial period of Alchemist since incorporation.</w:t>
      </w:r>
    </w:p>
    <w:p w14:paraId="19404C1B" w14:textId="77777777" w:rsidR="001C6F66" w:rsidRPr="009B546D" w:rsidRDefault="001C6F66" w:rsidP="00496B89">
      <w:pPr>
        <w:keepNext/>
        <w:keepLines/>
        <w:numPr>
          <w:ilvl w:val="0"/>
          <w:numId w:val="44"/>
        </w:numPr>
        <w:spacing w:after="220" w:line="240" w:lineRule="auto"/>
        <w:rPr>
          <w:rFonts w:cstheme="minorHAnsi"/>
          <w:b/>
          <w:caps/>
        </w:rPr>
      </w:pPr>
      <w:r w:rsidRPr="009B546D">
        <w:rPr>
          <w:rFonts w:cstheme="minorHAnsi"/>
          <w:b/>
          <w:caps/>
        </w:rPr>
        <w:t>Subsequent events</w:t>
      </w:r>
    </w:p>
    <w:p w14:paraId="52B477D5" w14:textId="64CB02CE" w:rsidR="001C6F66" w:rsidRDefault="001C6F66" w:rsidP="00F432B9">
      <w:pPr>
        <w:spacing w:after="240" w:line="240" w:lineRule="auto"/>
        <w:ind w:left="576"/>
        <w:rPr>
          <w:rFonts w:cstheme="minorHAnsi"/>
        </w:rPr>
      </w:pPr>
      <w:r w:rsidRPr="009B546D">
        <w:rPr>
          <w:rFonts w:cstheme="minorHAnsi"/>
        </w:rPr>
        <w:t>There are no subsequent events to be reported.</w:t>
      </w:r>
    </w:p>
    <w:p w14:paraId="11AD60A2" w14:textId="0E3B9E6C" w:rsidR="006741BA" w:rsidRPr="009B546D" w:rsidRDefault="006741BA" w:rsidP="00EA2BB6">
      <w:pPr>
        <w:jc w:val="left"/>
        <w:rPr>
          <w:rFonts w:cstheme="minorHAnsi"/>
        </w:rPr>
      </w:pPr>
      <w:r>
        <w:rPr>
          <w:rFonts w:cstheme="minorHAnsi"/>
        </w:rPr>
        <w:br w:type="page"/>
      </w:r>
    </w:p>
    <w:p w14:paraId="24F2FDB3" w14:textId="6ED10F10" w:rsidR="0002381D" w:rsidRPr="00D4158A" w:rsidRDefault="00736659" w:rsidP="003A2FD5">
      <w:pPr>
        <w:pStyle w:val="Heading1"/>
        <w:keepNext w:val="0"/>
        <w:widowControl w:val="0"/>
        <w:spacing w:after="80" w:line="240" w:lineRule="auto"/>
        <w:jc w:val="center"/>
        <w:rPr>
          <w:rFonts w:asciiTheme="minorHAnsi" w:hAnsiTheme="minorHAnsi" w:cstheme="minorBidi"/>
          <w:sz w:val="20"/>
          <w:szCs w:val="20"/>
        </w:rPr>
      </w:pPr>
      <w:bookmarkStart w:id="50" w:name="_Toc35456744"/>
      <w:r w:rsidRPr="15D66BA0">
        <w:rPr>
          <w:rFonts w:asciiTheme="minorHAnsi" w:hAnsiTheme="minorHAnsi" w:cstheme="minorBidi"/>
          <w:sz w:val="20"/>
          <w:szCs w:val="20"/>
        </w:rPr>
        <w:lastRenderedPageBreak/>
        <w:t>Part XV</w:t>
      </w:r>
      <w:r w:rsidR="003A2FD5">
        <w:br/>
      </w:r>
      <w:r w:rsidR="0002381D" w:rsidRPr="00D4158A">
        <w:rPr>
          <w:rFonts w:asciiTheme="minorHAnsi" w:hAnsiTheme="minorHAnsi" w:cstheme="minorBidi"/>
          <w:sz w:val="20"/>
          <w:szCs w:val="20"/>
        </w:rPr>
        <w:t xml:space="preserve">Unaudited </w:t>
      </w:r>
      <w:r w:rsidR="15D66BA0" w:rsidRPr="15D66BA0">
        <w:rPr>
          <w:rFonts w:asciiTheme="minorHAnsi" w:hAnsiTheme="minorHAnsi" w:cstheme="minorBidi"/>
          <w:sz w:val="20"/>
          <w:szCs w:val="20"/>
        </w:rPr>
        <w:t>Interim</w:t>
      </w:r>
      <w:r w:rsidR="003E4FF0" w:rsidRPr="00D4158A">
        <w:rPr>
          <w:rFonts w:asciiTheme="minorHAnsi" w:hAnsiTheme="minorHAnsi" w:cstheme="minorBidi"/>
          <w:sz w:val="20"/>
          <w:szCs w:val="20"/>
        </w:rPr>
        <w:t xml:space="preserve"> Financial Information on AI Codes</w:t>
      </w:r>
      <w:bookmarkEnd w:id="50"/>
    </w:p>
    <w:p w14:paraId="5681BD8E" w14:textId="77777777" w:rsidR="0002381D" w:rsidRPr="00D4158A" w:rsidRDefault="0002381D" w:rsidP="00D4158A">
      <w:pPr>
        <w:spacing w:after="120" w:line="240" w:lineRule="auto"/>
        <w:jc w:val="left"/>
        <w:rPr>
          <w:rFonts w:cstheme="minorHAnsi"/>
          <w:b/>
          <w:szCs w:val="20"/>
        </w:rPr>
      </w:pPr>
      <w:r w:rsidRPr="00D4158A">
        <w:rPr>
          <w:rFonts w:cstheme="minorHAnsi"/>
          <w:b/>
          <w:szCs w:val="20"/>
        </w:rPr>
        <w:t>Statement of comprehensive income</w:t>
      </w:r>
    </w:p>
    <w:p w14:paraId="430858A5" w14:textId="00B87E8F" w:rsidR="0002381D" w:rsidRPr="00D4158A" w:rsidRDefault="0002381D" w:rsidP="00D4158A">
      <w:pPr>
        <w:spacing w:after="120" w:line="240" w:lineRule="auto"/>
        <w:jc w:val="left"/>
        <w:rPr>
          <w:rFonts w:cstheme="minorHAnsi"/>
          <w:szCs w:val="20"/>
        </w:rPr>
      </w:pPr>
      <w:r w:rsidRPr="00D4158A">
        <w:rPr>
          <w:rFonts w:cstheme="minorHAnsi"/>
          <w:b/>
          <w:szCs w:val="20"/>
        </w:rPr>
        <w:t>For the six months ended 31 October 2019</w:t>
      </w:r>
    </w:p>
    <w:p w14:paraId="323D7C59" w14:textId="77777777" w:rsidR="0002381D" w:rsidRPr="00D4158A" w:rsidRDefault="0002381D" w:rsidP="00D4158A">
      <w:pPr>
        <w:spacing w:after="120" w:line="240" w:lineRule="auto"/>
        <w:rPr>
          <w:rFonts w:cstheme="minorHAnsi"/>
          <w:b/>
          <w:szCs w:val="20"/>
        </w:rPr>
      </w:pPr>
    </w:p>
    <w:tbl>
      <w:tblPr>
        <w:tblW w:w="9889" w:type="dxa"/>
        <w:tblInd w:w="-108" w:type="dxa"/>
        <w:tblLayout w:type="fixed"/>
        <w:tblLook w:val="04A0" w:firstRow="1" w:lastRow="0" w:firstColumn="1" w:lastColumn="0" w:noHBand="0" w:noVBand="1"/>
      </w:tblPr>
      <w:tblGrid>
        <w:gridCol w:w="4928"/>
        <w:gridCol w:w="709"/>
        <w:gridCol w:w="1275"/>
        <w:gridCol w:w="142"/>
        <w:gridCol w:w="284"/>
        <w:gridCol w:w="1701"/>
        <w:gridCol w:w="425"/>
        <w:gridCol w:w="425"/>
      </w:tblGrid>
      <w:tr w:rsidR="0002381D" w:rsidRPr="00987B3B" w14:paraId="40F88B8E" w14:textId="77777777" w:rsidTr="00270393">
        <w:trPr>
          <w:gridAfter w:val="2"/>
          <w:wAfter w:w="850" w:type="dxa"/>
        </w:trPr>
        <w:tc>
          <w:tcPr>
            <w:tcW w:w="4928" w:type="dxa"/>
          </w:tcPr>
          <w:p w14:paraId="7BD823F7" w14:textId="77777777" w:rsidR="0002381D" w:rsidRPr="00D4158A" w:rsidRDefault="0002381D" w:rsidP="00D4158A">
            <w:pPr>
              <w:spacing w:after="120" w:line="240" w:lineRule="auto"/>
              <w:jc w:val="left"/>
              <w:rPr>
                <w:rFonts w:cstheme="minorHAnsi"/>
                <w:b/>
                <w:sz w:val="16"/>
                <w:szCs w:val="16"/>
              </w:rPr>
            </w:pPr>
          </w:p>
        </w:tc>
        <w:tc>
          <w:tcPr>
            <w:tcW w:w="709" w:type="dxa"/>
            <w:hideMark/>
          </w:tcPr>
          <w:p w14:paraId="2DE8BF6E" w14:textId="77777777" w:rsidR="0002381D" w:rsidRPr="00D4158A" w:rsidRDefault="0002381D" w:rsidP="00D4158A">
            <w:pPr>
              <w:tabs>
                <w:tab w:val="decimal" w:pos="744"/>
              </w:tabs>
              <w:spacing w:after="120" w:line="240" w:lineRule="auto"/>
              <w:rPr>
                <w:rFonts w:cstheme="minorHAnsi"/>
                <w:b/>
                <w:sz w:val="16"/>
                <w:szCs w:val="16"/>
              </w:rPr>
            </w:pPr>
            <w:r w:rsidRPr="00D4158A">
              <w:rPr>
                <w:rFonts w:cstheme="minorHAnsi"/>
                <w:b/>
                <w:sz w:val="16"/>
                <w:szCs w:val="16"/>
              </w:rPr>
              <w:t>Note</w:t>
            </w:r>
          </w:p>
        </w:tc>
        <w:tc>
          <w:tcPr>
            <w:tcW w:w="1275" w:type="dxa"/>
            <w:tcBorders>
              <w:left w:val="nil"/>
            </w:tcBorders>
            <w:hideMark/>
          </w:tcPr>
          <w:p w14:paraId="5504ACCF" w14:textId="77777777" w:rsidR="0002381D" w:rsidRPr="00D4158A" w:rsidRDefault="0002381D" w:rsidP="00D4158A">
            <w:pPr>
              <w:tabs>
                <w:tab w:val="decimal" w:pos="1872"/>
              </w:tabs>
              <w:spacing w:after="120" w:line="240" w:lineRule="auto"/>
              <w:ind w:right="-108"/>
              <w:rPr>
                <w:rFonts w:cstheme="minorHAnsi"/>
                <w:b/>
                <w:sz w:val="16"/>
                <w:szCs w:val="16"/>
              </w:rPr>
            </w:pPr>
            <w:r w:rsidRPr="00D4158A">
              <w:rPr>
                <w:rFonts w:cstheme="minorHAnsi"/>
                <w:b/>
                <w:sz w:val="16"/>
                <w:szCs w:val="16"/>
              </w:rPr>
              <w:t>2019</w:t>
            </w:r>
          </w:p>
          <w:p w14:paraId="2F6676D7" w14:textId="77777777" w:rsidR="0002381D" w:rsidRPr="00D4158A" w:rsidRDefault="0002381D" w:rsidP="00D4158A">
            <w:pPr>
              <w:tabs>
                <w:tab w:val="decimal" w:pos="1872"/>
              </w:tabs>
              <w:spacing w:after="120" w:line="240" w:lineRule="auto"/>
              <w:ind w:right="-108"/>
              <w:rPr>
                <w:rFonts w:cstheme="minorHAnsi"/>
                <w:b/>
                <w:sz w:val="16"/>
                <w:szCs w:val="16"/>
              </w:rPr>
            </w:pPr>
            <w:r w:rsidRPr="00D4158A">
              <w:rPr>
                <w:rFonts w:cstheme="minorHAnsi"/>
                <w:b/>
                <w:sz w:val="16"/>
                <w:szCs w:val="16"/>
              </w:rPr>
              <w:t>Unaudited</w:t>
            </w:r>
          </w:p>
          <w:p w14:paraId="08E9D054" w14:textId="77777777" w:rsidR="0002381D" w:rsidRPr="00D4158A" w:rsidRDefault="0002381D" w:rsidP="00D4158A">
            <w:pPr>
              <w:tabs>
                <w:tab w:val="decimal" w:pos="1872"/>
              </w:tabs>
              <w:spacing w:after="120" w:line="240" w:lineRule="auto"/>
              <w:ind w:right="-108"/>
              <w:rPr>
                <w:rFonts w:cstheme="minorHAnsi"/>
                <w:b/>
                <w:sz w:val="16"/>
                <w:szCs w:val="16"/>
              </w:rPr>
            </w:pPr>
            <w:r w:rsidRPr="00D4158A">
              <w:rPr>
                <w:rFonts w:cstheme="minorHAnsi"/>
                <w:b/>
                <w:sz w:val="16"/>
                <w:szCs w:val="16"/>
              </w:rPr>
              <w:t>RM</w:t>
            </w:r>
          </w:p>
        </w:tc>
        <w:tc>
          <w:tcPr>
            <w:tcW w:w="2127" w:type="dxa"/>
            <w:gridSpan w:val="3"/>
            <w:hideMark/>
          </w:tcPr>
          <w:p w14:paraId="0CE9DF2A" w14:textId="77777777" w:rsidR="0002381D" w:rsidRPr="00D4158A" w:rsidRDefault="0002381D" w:rsidP="00D4158A">
            <w:pPr>
              <w:tabs>
                <w:tab w:val="decimal" w:pos="1872"/>
              </w:tabs>
              <w:spacing w:after="120" w:line="240" w:lineRule="auto"/>
              <w:rPr>
                <w:rFonts w:cstheme="minorHAnsi"/>
                <w:b/>
                <w:sz w:val="16"/>
                <w:szCs w:val="16"/>
              </w:rPr>
            </w:pPr>
            <w:r w:rsidRPr="00D4158A">
              <w:rPr>
                <w:rFonts w:cstheme="minorHAnsi"/>
                <w:b/>
                <w:sz w:val="16"/>
                <w:szCs w:val="16"/>
              </w:rPr>
              <w:t xml:space="preserve">2018 </w:t>
            </w:r>
          </w:p>
          <w:p w14:paraId="03230E07" w14:textId="77777777" w:rsidR="0002381D" w:rsidRPr="00D4158A" w:rsidRDefault="0002381D" w:rsidP="00D4158A">
            <w:pPr>
              <w:tabs>
                <w:tab w:val="decimal" w:pos="1872"/>
              </w:tabs>
              <w:spacing w:after="120" w:line="240" w:lineRule="auto"/>
              <w:rPr>
                <w:rFonts w:cstheme="minorHAnsi"/>
                <w:b/>
                <w:sz w:val="16"/>
                <w:szCs w:val="16"/>
              </w:rPr>
            </w:pPr>
            <w:r w:rsidRPr="00D4158A">
              <w:rPr>
                <w:rFonts w:cstheme="minorHAnsi"/>
                <w:b/>
                <w:sz w:val="16"/>
                <w:szCs w:val="16"/>
              </w:rPr>
              <w:t>Unaudited</w:t>
            </w:r>
          </w:p>
          <w:p w14:paraId="72DDC5C2" w14:textId="77777777" w:rsidR="0002381D" w:rsidRPr="00D4158A" w:rsidRDefault="0002381D" w:rsidP="00D4158A">
            <w:pPr>
              <w:tabs>
                <w:tab w:val="decimal" w:pos="1872"/>
              </w:tabs>
              <w:spacing w:after="120" w:line="240" w:lineRule="auto"/>
              <w:rPr>
                <w:rFonts w:cstheme="minorHAnsi"/>
                <w:b/>
                <w:sz w:val="16"/>
                <w:szCs w:val="16"/>
              </w:rPr>
            </w:pPr>
            <w:r w:rsidRPr="00D4158A">
              <w:rPr>
                <w:rFonts w:cstheme="minorHAnsi"/>
                <w:b/>
                <w:sz w:val="16"/>
                <w:szCs w:val="16"/>
              </w:rPr>
              <w:t>RM</w:t>
            </w:r>
          </w:p>
        </w:tc>
      </w:tr>
      <w:tr w:rsidR="0002381D" w:rsidRPr="00987B3B" w14:paraId="6C45637F" w14:textId="77777777" w:rsidTr="00270393">
        <w:tc>
          <w:tcPr>
            <w:tcW w:w="4928" w:type="dxa"/>
          </w:tcPr>
          <w:p w14:paraId="1A0E9C88" w14:textId="77777777" w:rsidR="0002381D" w:rsidRPr="00D4158A" w:rsidRDefault="0002381D" w:rsidP="00D4158A">
            <w:pPr>
              <w:spacing w:after="120" w:line="240" w:lineRule="auto"/>
              <w:jc w:val="left"/>
              <w:rPr>
                <w:rFonts w:cstheme="minorHAnsi"/>
                <w:sz w:val="16"/>
                <w:szCs w:val="16"/>
              </w:rPr>
            </w:pPr>
          </w:p>
        </w:tc>
        <w:tc>
          <w:tcPr>
            <w:tcW w:w="709" w:type="dxa"/>
          </w:tcPr>
          <w:p w14:paraId="3D97CDFF" w14:textId="77777777" w:rsidR="0002381D" w:rsidRPr="00D4158A" w:rsidRDefault="0002381D" w:rsidP="00D4158A">
            <w:pPr>
              <w:tabs>
                <w:tab w:val="decimal" w:pos="744"/>
              </w:tabs>
              <w:spacing w:after="120" w:line="240" w:lineRule="auto"/>
              <w:rPr>
                <w:rFonts w:cstheme="minorHAnsi"/>
                <w:sz w:val="16"/>
                <w:szCs w:val="16"/>
              </w:rPr>
            </w:pPr>
          </w:p>
        </w:tc>
        <w:tc>
          <w:tcPr>
            <w:tcW w:w="3402" w:type="dxa"/>
            <w:gridSpan w:val="4"/>
            <w:tcBorders>
              <w:left w:val="nil"/>
            </w:tcBorders>
          </w:tcPr>
          <w:p w14:paraId="03C67925" w14:textId="77777777" w:rsidR="0002381D" w:rsidRPr="00D4158A" w:rsidRDefault="0002381D" w:rsidP="00D4158A">
            <w:pPr>
              <w:tabs>
                <w:tab w:val="decimal" w:pos="1872"/>
              </w:tabs>
              <w:spacing w:after="120" w:line="240" w:lineRule="auto"/>
              <w:rPr>
                <w:rFonts w:cstheme="minorHAnsi"/>
                <w:b/>
                <w:sz w:val="16"/>
                <w:szCs w:val="16"/>
              </w:rPr>
            </w:pPr>
          </w:p>
        </w:tc>
        <w:tc>
          <w:tcPr>
            <w:tcW w:w="850" w:type="dxa"/>
            <w:gridSpan w:val="2"/>
          </w:tcPr>
          <w:p w14:paraId="70223B2F" w14:textId="77777777" w:rsidR="0002381D" w:rsidRPr="00D4158A" w:rsidRDefault="0002381D" w:rsidP="00D4158A">
            <w:pPr>
              <w:tabs>
                <w:tab w:val="decimal" w:pos="1872"/>
              </w:tabs>
              <w:spacing w:after="120" w:line="240" w:lineRule="auto"/>
              <w:rPr>
                <w:rFonts w:cstheme="minorHAnsi"/>
                <w:b/>
                <w:sz w:val="16"/>
                <w:szCs w:val="16"/>
              </w:rPr>
            </w:pPr>
          </w:p>
        </w:tc>
      </w:tr>
      <w:tr w:rsidR="0002381D" w:rsidRPr="00987B3B" w14:paraId="533A00BF" w14:textId="77777777" w:rsidTr="00270393">
        <w:trPr>
          <w:gridAfter w:val="1"/>
          <w:wAfter w:w="425" w:type="dxa"/>
        </w:trPr>
        <w:tc>
          <w:tcPr>
            <w:tcW w:w="4928" w:type="dxa"/>
            <w:hideMark/>
          </w:tcPr>
          <w:p w14:paraId="3D06EEDB" w14:textId="77777777" w:rsidR="0002381D" w:rsidRPr="00D4158A" w:rsidRDefault="0002381D" w:rsidP="00D4158A">
            <w:pPr>
              <w:spacing w:after="120" w:line="240" w:lineRule="auto"/>
              <w:jc w:val="left"/>
              <w:rPr>
                <w:rFonts w:cstheme="minorHAnsi"/>
                <w:sz w:val="16"/>
                <w:szCs w:val="16"/>
              </w:rPr>
            </w:pPr>
            <w:r w:rsidRPr="00D4158A">
              <w:rPr>
                <w:rFonts w:cstheme="minorHAnsi"/>
                <w:b/>
                <w:sz w:val="16"/>
                <w:szCs w:val="16"/>
              </w:rPr>
              <w:t>Revenue</w:t>
            </w:r>
          </w:p>
        </w:tc>
        <w:tc>
          <w:tcPr>
            <w:tcW w:w="709" w:type="dxa"/>
            <w:hideMark/>
          </w:tcPr>
          <w:p w14:paraId="4E061ACE" w14:textId="77777777" w:rsidR="0002381D" w:rsidRPr="00D4158A" w:rsidRDefault="0002381D" w:rsidP="00D4158A">
            <w:pPr>
              <w:tabs>
                <w:tab w:val="decimal" w:pos="744"/>
              </w:tabs>
              <w:spacing w:after="120" w:line="240" w:lineRule="auto"/>
              <w:rPr>
                <w:rFonts w:cstheme="minorHAnsi"/>
                <w:sz w:val="16"/>
                <w:szCs w:val="16"/>
              </w:rPr>
            </w:pPr>
            <w:r w:rsidRPr="00D4158A">
              <w:rPr>
                <w:rFonts w:cstheme="minorHAnsi"/>
                <w:sz w:val="16"/>
                <w:szCs w:val="16"/>
              </w:rPr>
              <w:t>8</w:t>
            </w:r>
          </w:p>
        </w:tc>
        <w:tc>
          <w:tcPr>
            <w:tcW w:w="1417" w:type="dxa"/>
            <w:gridSpan w:val="2"/>
            <w:tcBorders>
              <w:left w:val="nil"/>
            </w:tcBorders>
            <w:hideMark/>
          </w:tcPr>
          <w:p w14:paraId="5B3F231B" w14:textId="77777777" w:rsidR="0002381D" w:rsidRPr="00D4158A" w:rsidRDefault="0002381D" w:rsidP="00D4158A">
            <w:pPr>
              <w:tabs>
                <w:tab w:val="decimal" w:pos="1872"/>
              </w:tabs>
              <w:spacing w:after="120" w:line="240" w:lineRule="auto"/>
              <w:rPr>
                <w:rFonts w:cstheme="minorHAnsi"/>
                <w:sz w:val="16"/>
                <w:szCs w:val="16"/>
              </w:rPr>
            </w:pPr>
            <w:r w:rsidRPr="00D4158A">
              <w:rPr>
                <w:rFonts w:cstheme="minorHAnsi"/>
                <w:sz w:val="16"/>
                <w:szCs w:val="16"/>
              </w:rPr>
              <w:t>1,205,082</w:t>
            </w:r>
          </w:p>
        </w:tc>
        <w:tc>
          <w:tcPr>
            <w:tcW w:w="2410" w:type="dxa"/>
            <w:gridSpan w:val="3"/>
            <w:hideMark/>
          </w:tcPr>
          <w:p w14:paraId="2032AD95" w14:textId="77777777" w:rsidR="0002381D" w:rsidRPr="00D4158A" w:rsidRDefault="0002381D" w:rsidP="00D4158A">
            <w:pPr>
              <w:tabs>
                <w:tab w:val="decimal" w:pos="1872"/>
              </w:tabs>
              <w:spacing w:after="120" w:line="240" w:lineRule="auto"/>
              <w:rPr>
                <w:rFonts w:cstheme="minorHAnsi"/>
                <w:sz w:val="16"/>
                <w:szCs w:val="16"/>
              </w:rPr>
            </w:pPr>
            <w:r w:rsidRPr="00D4158A">
              <w:rPr>
                <w:rFonts w:cstheme="minorHAnsi"/>
                <w:sz w:val="16"/>
                <w:szCs w:val="16"/>
              </w:rPr>
              <w:t>760,000</w:t>
            </w:r>
          </w:p>
        </w:tc>
      </w:tr>
      <w:tr w:rsidR="0002381D" w:rsidRPr="00987B3B" w14:paraId="5FC7185B" w14:textId="77777777" w:rsidTr="00270393">
        <w:trPr>
          <w:gridAfter w:val="1"/>
          <w:wAfter w:w="425" w:type="dxa"/>
        </w:trPr>
        <w:tc>
          <w:tcPr>
            <w:tcW w:w="4928" w:type="dxa"/>
            <w:hideMark/>
          </w:tcPr>
          <w:p w14:paraId="4FDD8A0D"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Other income</w:t>
            </w:r>
          </w:p>
        </w:tc>
        <w:tc>
          <w:tcPr>
            <w:tcW w:w="709" w:type="dxa"/>
          </w:tcPr>
          <w:p w14:paraId="0105E5E0"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hideMark/>
          </w:tcPr>
          <w:p w14:paraId="5A506AFC" w14:textId="77777777" w:rsidR="0002381D" w:rsidRPr="00D4158A" w:rsidRDefault="0002381D" w:rsidP="00D4158A">
            <w:pPr>
              <w:tabs>
                <w:tab w:val="decimal" w:pos="1872"/>
              </w:tabs>
              <w:spacing w:after="120" w:line="240" w:lineRule="auto"/>
              <w:rPr>
                <w:rFonts w:cstheme="minorHAnsi"/>
                <w:sz w:val="16"/>
                <w:szCs w:val="16"/>
              </w:rPr>
            </w:pPr>
            <w:r w:rsidRPr="00D4158A">
              <w:rPr>
                <w:rFonts w:cstheme="minorHAnsi"/>
                <w:sz w:val="16"/>
                <w:szCs w:val="16"/>
              </w:rPr>
              <w:t>6,525</w:t>
            </w:r>
          </w:p>
        </w:tc>
        <w:tc>
          <w:tcPr>
            <w:tcW w:w="2410" w:type="dxa"/>
            <w:gridSpan w:val="3"/>
            <w:hideMark/>
          </w:tcPr>
          <w:p w14:paraId="5A25309F" w14:textId="77777777" w:rsidR="0002381D" w:rsidRPr="00D4158A" w:rsidRDefault="0002381D" w:rsidP="00D4158A">
            <w:pPr>
              <w:tabs>
                <w:tab w:val="decimal" w:pos="1872"/>
              </w:tabs>
              <w:spacing w:after="120" w:line="240" w:lineRule="auto"/>
              <w:rPr>
                <w:rFonts w:cstheme="minorHAnsi"/>
                <w:sz w:val="16"/>
                <w:szCs w:val="16"/>
              </w:rPr>
            </w:pPr>
            <w:r w:rsidRPr="00D4158A">
              <w:rPr>
                <w:rFonts w:cstheme="minorHAnsi"/>
                <w:sz w:val="16"/>
                <w:szCs w:val="16"/>
              </w:rPr>
              <w:t>6</w:t>
            </w:r>
          </w:p>
        </w:tc>
      </w:tr>
      <w:tr w:rsidR="0002381D" w:rsidRPr="00987B3B" w14:paraId="2657F68E" w14:textId="77777777" w:rsidTr="00270393">
        <w:trPr>
          <w:gridAfter w:val="1"/>
          <w:wAfter w:w="425" w:type="dxa"/>
        </w:trPr>
        <w:tc>
          <w:tcPr>
            <w:tcW w:w="4928" w:type="dxa"/>
            <w:hideMark/>
          </w:tcPr>
          <w:p w14:paraId="313D1B70"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Cost of sales</w:t>
            </w:r>
          </w:p>
        </w:tc>
        <w:tc>
          <w:tcPr>
            <w:tcW w:w="709" w:type="dxa"/>
          </w:tcPr>
          <w:p w14:paraId="105269E3"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hideMark/>
          </w:tcPr>
          <w:p w14:paraId="44B4E6E8" w14:textId="77777777" w:rsidR="0002381D" w:rsidRPr="00D4158A" w:rsidRDefault="0002381D" w:rsidP="00D4158A">
            <w:pPr>
              <w:tabs>
                <w:tab w:val="decimal" w:pos="1872"/>
              </w:tabs>
              <w:spacing w:after="120" w:line="240" w:lineRule="auto"/>
              <w:rPr>
                <w:rFonts w:cstheme="minorHAnsi"/>
                <w:bCs/>
                <w:sz w:val="16"/>
                <w:szCs w:val="16"/>
              </w:rPr>
            </w:pPr>
            <w:r w:rsidRPr="00D4158A">
              <w:rPr>
                <w:rFonts w:cstheme="minorHAnsi"/>
                <w:bCs/>
                <w:sz w:val="16"/>
                <w:szCs w:val="16"/>
              </w:rPr>
              <w:t>(413,632)</w:t>
            </w:r>
          </w:p>
        </w:tc>
        <w:tc>
          <w:tcPr>
            <w:tcW w:w="2410" w:type="dxa"/>
            <w:gridSpan w:val="3"/>
            <w:hideMark/>
          </w:tcPr>
          <w:p w14:paraId="6B0B2A05" w14:textId="77777777" w:rsidR="0002381D" w:rsidRPr="00D4158A" w:rsidRDefault="0002381D" w:rsidP="00D4158A">
            <w:pPr>
              <w:tabs>
                <w:tab w:val="decimal" w:pos="1872"/>
              </w:tabs>
              <w:spacing w:after="120" w:line="240" w:lineRule="auto"/>
              <w:rPr>
                <w:rFonts w:cstheme="minorHAnsi"/>
                <w:bCs/>
                <w:sz w:val="16"/>
                <w:szCs w:val="16"/>
              </w:rPr>
            </w:pPr>
            <w:r w:rsidRPr="00D4158A">
              <w:rPr>
                <w:rFonts w:cstheme="minorHAnsi"/>
                <w:bCs/>
                <w:sz w:val="16"/>
                <w:szCs w:val="16"/>
              </w:rPr>
              <w:t>(151,973)</w:t>
            </w:r>
          </w:p>
        </w:tc>
      </w:tr>
      <w:tr w:rsidR="0002381D" w:rsidRPr="00987B3B" w14:paraId="6ADB31AF" w14:textId="77777777" w:rsidTr="00270393">
        <w:trPr>
          <w:gridAfter w:val="1"/>
          <w:wAfter w:w="425" w:type="dxa"/>
        </w:trPr>
        <w:tc>
          <w:tcPr>
            <w:tcW w:w="4928" w:type="dxa"/>
          </w:tcPr>
          <w:p w14:paraId="179A7F6E" w14:textId="77777777" w:rsidR="0002381D" w:rsidRPr="00D4158A" w:rsidRDefault="0002381D" w:rsidP="00D4158A">
            <w:pPr>
              <w:spacing w:after="120" w:line="240" w:lineRule="auto"/>
              <w:jc w:val="left"/>
              <w:rPr>
                <w:rFonts w:cstheme="minorHAnsi"/>
                <w:sz w:val="16"/>
                <w:szCs w:val="16"/>
              </w:rPr>
            </w:pPr>
          </w:p>
        </w:tc>
        <w:tc>
          <w:tcPr>
            <w:tcW w:w="709" w:type="dxa"/>
          </w:tcPr>
          <w:p w14:paraId="1D174A46"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hideMark/>
          </w:tcPr>
          <w:p w14:paraId="21891275" w14:textId="77777777" w:rsidR="0002381D" w:rsidRPr="00D4158A" w:rsidRDefault="0002381D" w:rsidP="00D4158A">
            <w:pPr>
              <w:tabs>
                <w:tab w:val="decimal" w:pos="1872"/>
              </w:tabs>
              <w:spacing w:after="120" w:line="240" w:lineRule="auto"/>
              <w:rPr>
                <w:rFonts w:cstheme="minorHAnsi"/>
                <w:sz w:val="16"/>
                <w:szCs w:val="16"/>
              </w:rPr>
            </w:pPr>
            <w:r w:rsidRPr="00D4158A">
              <w:rPr>
                <w:rFonts w:cstheme="minorHAnsi"/>
                <w:sz w:val="16"/>
                <w:szCs w:val="16"/>
              </w:rPr>
              <w:t>_________</w:t>
            </w:r>
          </w:p>
        </w:tc>
        <w:tc>
          <w:tcPr>
            <w:tcW w:w="2410" w:type="dxa"/>
            <w:gridSpan w:val="3"/>
            <w:hideMark/>
          </w:tcPr>
          <w:p w14:paraId="2295E0BB" w14:textId="77777777" w:rsidR="0002381D" w:rsidRPr="00D4158A" w:rsidRDefault="0002381D" w:rsidP="00D4158A">
            <w:pPr>
              <w:tabs>
                <w:tab w:val="decimal" w:pos="1872"/>
              </w:tabs>
              <w:spacing w:after="120" w:line="240" w:lineRule="auto"/>
              <w:rPr>
                <w:rFonts w:cstheme="minorHAnsi"/>
                <w:sz w:val="16"/>
                <w:szCs w:val="16"/>
              </w:rPr>
            </w:pPr>
            <w:r w:rsidRPr="00D4158A">
              <w:rPr>
                <w:rFonts w:cstheme="minorHAnsi"/>
                <w:sz w:val="16"/>
                <w:szCs w:val="16"/>
              </w:rPr>
              <w:t>_________</w:t>
            </w:r>
          </w:p>
        </w:tc>
      </w:tr>
      <w:tr w:rsidR="0002381D" w:rsidRPr="00987B3B" w14:paraId="6E5E57C7" w14:textId="77777777" w:rsidTr="00270393">
        <w:trPr>
          <w:gridAfter w:val="1"/>
          <w:wAfter w:w="425" w:type="dxa"/>
        </w:trPr>
        <w:tc>
          <w:tcPr>
            <w:tcW w:w="4928" w:type="dxa"/>
            <w:hideMark/>
          </w:tcPr>
          <w:p w14:paraId="563C048F" w14:textId="77777777" w:rsidR="0002381D" w:rsidRPr="00D4158A" w:rsidRDefault="0002381D" w:rsidP="00D4158A">
            <w:pPr>
              <w:spacing w:after="120" w:line="240" w:lineRule="auto"/>
              <w:jc w:val="left"/>
              <w:rPr>
                <w:rFonts w:cstheme="minorHAnsi"/>
                <w:sz w:val="16"/>
                <w:szCs w:val="16"/>
              </w:rPr>
            </w:pPr>
            <w:r w:rsidRPr="00D4158A">
              <w:rPr>
                <w:rFonts w:cstheme="minorHAnsi"/>
                <w:b/>
                <w:sz w:val="16"/>
                <w:szCs w:val="16"/>
              </w:rPr>
              <w:t>Gross profit</w:t>
            </w:r>
          </w:p>
        </w:tc>
        <w:tc>
          <w:tcPr>
            <w:tcW w:w="709" w:type="dxa"/>
          </w:tcPr>
          <w:p w14:paraId="5787C228"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hideMark/>
          </w:tcPr>
          <w:p w14:paraId="0E305B11" w14:textId="77777777" w:rsidR="0002381D" w:rsidRPr="00D4158A" w:rsidRDefault="0002381D" w:rsidP="00D4158A">
            <w:pPr>
              <w:tabs>
                <w:tab w:val="decimal" w:pos="1872"/>
              </w:tabs>
              <w:spacing w:after="120" w:line="240" w:lineRule="auto"/>
              <w:rPr>
                <w:rFonts w:cstheme="minorHAnsi"/>
                <w:sz w:val="16"/>
                <w:szCs w:val="16"/>
              </w:rPr>
            </w:pPr>
            <w:r w:rsidRPr="00D4158A">
              <w:rPr>
                <w:rFonts w:cstheme="minorHAnsi"/>
                <w:sz w:val="16"/>
                <w:szCs w:val="16"/>
              </w:rPr>
              <w:t>797,975</w:t>
            </w:r>
          </w:p>
        </w:tc>
        <w:tc>
          <w:tcPr>
            <w:tcW w:w="2410" w:type="dxa"/>
            <w:gridSpan w:val="3"/>
            <w:hideMark/>
          </w:tcPr>
          <w:p w14:paraId="7022492E" w14:textId="77777777" w:rsidR="0002381D" w:rsidRPr="00D4158A" w:rsidRDefault="0002381D" w:rsidP="00D4158A">
            <w:pPr>
              <w:tabs>
                <w:tab w:val="decimal" w:pos="1872"/>
              </w:tabs>
              <w:spacing w:after="120" w:line="240" w:lineRule="auto"/>
              <w:rPr>
                <w:rFonts w:cstheme="minorHAnsi"/>
                <w:sz w:val="16"/>
                <w:szCs w:val="16"/>
              </w:rPr>
            </w:pPr>
            <w:r w:rsidRPr="00D4158A">
              <w:rPr>
                <w:rFonts w:cstheme="minorHAnsi"/>
                <w:sz w:val="16"/>
                <w:szCs w:val="16"/>
              </w:rPr>
              <w:t>608,033</w:t>
            </w:r>
          </w:p>
        </w:tc>
      </w:tr>
      <w:tr w:rsidR="0002381D" w:rsidRPr="00987B3B" w14:paraId="60D9C2D9" w14:textId="77777777" w:rsidTr="00270393">
        <w:trPr>
          <w:gridAfter w:val="1"/>
          <w:wAfter w:w="425" w:type="dxa"/>
        </w:trPr>
        <w:tc>
          <w:tcPr>
            <w:tcW w:w="4928" w:type="dxa"/>
          </w:tcPr>
          <w:p w14:paraId="345A670D" w14:textId="77777777" w:rsidR="0002381D" w:rsidRPr="00D4158A" w:rsidRDefault="0002381D" w:rsidP="00D4158A">
            <w:pPr>
              <w:spacing w:after="120" w:line="240" w:lineRule="auto"/>
              <w:jc w:val="left"/>
              <w:rPr>
                <w:rFonts w:cstheme="minorHAnsi"/>
                <w:sz w:val="16"/>
                <w:szCs w:val="16"/>
              </w:rPr>
            </w:pPr>
          </w:p>
        </w:tc>
        <w:tc>
          <w:tcPr>
            <w:tcW w:w="709" w:type="dxa"/>
          </w:tcPr>
          <w:p w14:paraId="0B303E02"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tcPr>
          <w:p w14:paraId="54C795DD" w14:textId="77777777" w:rsidR="0002381D" w:rsidRPr="00D4158A" w:rsidRDefault="0002381D" w:rsidP="00D4158A">
            <w:pPr>
              <w:tabs>
                <w:tab w:val="decimal" w:pos="1872"/>
              </w:tabs>
              <w:spacing w:after="120" w:line="240" w:lineRule="auto"/>
              <w:rPr>
                <w:rFonts w:cstheme="minorHAnsi"/>
                <w:bCs/>
                <w:sz w:val="16"/>
                <w:szCs w:val="16"/>
              </w:rPr>
            </w:pPr>
          </w:p>
        </w:tc>
        <w:tc>
          <w:tcPr>
            <w:tcW w:w="2410" w:type="dxa"/>
            <w:gridSpan w:val="3"/>
          </w:tcPr>
          <w:p w14:paraId="07CD0F8A" w14:textId="77777777" w:rsidR="0002381D" w:rsidRPr="00D4158A" w:rsidRDefault="0002381D" w:rsidP="00D4158A">
            <w:pPr>
              <w:tabs>
                <w:tab w:val="decimal" w:pos="1872"/>
              </w:tabs>
              <w:spacing w:after="120" w:line="240" w:lineRule="auto"/>
              <w:rPr>
                <w:rFonts w:cstheme="minorHAnsi"/>
                <w:bCs/>
                <w:sz w:val="16"/>
                <w:szCs w:val="16"/>
              </w:rPr>
            </w:pPr>
          </w:p>
        </w:tc>
      </w:tr>
      <w:tr w:rsidR="0002381D" w:rsidRPr="00987B3B" w14:paraId="1684689A" w14:textId="77777777" w:rsidTr="00270393">
        <w:trPr>
          <w:gridAfter w:val="1"/>
          <w:wAfter w:w="425" w:type="dxa"/>
        </w:trPr>
        <w:tc>
          <w:tcPr>
            <w:tcW w:w="4928" w:type="dxa"/>
            <w:hideMark/>
          </w:tcPr>
          <w:p w14:paraId="1D14F4FF"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Administrative expenses</w:t>
            </w:r>
          </w:p>
        </w:tc>
        <w:tc>
          <w:tcPr>
            <w:tcW w:w="709" w:type="dxa"/>
          </w:tcPr>
          <w:p w14:paraId="48079F45"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hideMark/>
          </w:tcPr>
          <w:p w14:paraId="67760297" w14:textId="77777777" w:rsidR="0002381D" w:rsidRPr="00D4158A" w:rsidRDefault="0002381D" w:rsidP="00D4158A">
            <w:pPr>
              <w:tabs>
                <w:tab w:val="decimal" w:pos="1872"/>
              </w:tabs>
              <w:spacing w:after="120" w:line="240" w:lineRule="auto"/>
              <w:rPr>
                <w:rFonts w:cstheme="minorHAnsi"/>
                <w:bCs/>
                <w:sz w:val="16"/>
                <w:szCs w:val="16"/>
              </w:rPr>
            </w:pPr>
            <w:r w:rsidRPr="00D4158A">
              <w:rPr>
                <w:rFonts w:cstheme="minorHAnsi"/>
                <w:bCs/>
                <w:sz w:val="16"/>
                <w:szCs w:val="16"/>
              </w:rPr>
              <w:t>(345,619)</w:t>
            </w:r>
          </w:p>
        </w:tc>
        <w:tc>
          <w:tcPr>
            <w:tcW w:w="2410" w:type="dxa"/>
            <w:gridSpan w:val="3"/>
            <w:hideMark/>
          </w:tcPr>
          <w:p w14:paraId="354E439B" w14:textId="77777777" w:rsidR="0002381D" w:rsidRPr="00D4158A" w:rsidRDefault="0002381D" w:rsidP="00D4158A">
            <w:pPr>
              <w:tabs>
                <w:tab w:val="decimal" w:pos="1872"/>
              </w:tabs>
              <w:spacing w:after="120" w:line="240" w:lineRule="auto"/>
              <w:rPr>
                <w:rFonts w:cstheme="minorHAnsi"/>
                <w:bCs/>
                <w:sz w:val="16"/>
                <w:szCs w:val="16"/>
              </w:rPr>
            </w:pPr>
            <w:r w:rsidRPr="00D4158A">
              <w:rPr>
                <w:rFonts w:cstheme="minorHAnsi"/>
                <w:bCs/>
                <w:sz w:val="16"/>
                <w:szCs w:val="16"/>
              </w:rPr>
              <w:t>(60,726)</w:t>
            </w:r>
          </w:p>
        </w:tc>
      </w:tr>
      <w:tr w:rsidR="0002381D" w:rsidRPr="00987B3B" w14:paraId="3F289642" w14:textId="77777777" w:rsidTr="00270393">
        <w:trPr>
          <w:gridAfter w:val="1"/>
          <w:wAfter w:w="425" w:type="dxa"/>
        </w:trPr>
        <w:tc>
          <w:tcPr>
            <w:tcW w:w="4928" w:type="dxa"/>
          </w:tcPr>
          <w:p w14:paraId="70ADA6DF" w14:textId="77777777" w:rsidR="0002381D" w:rsidRPr="00D4158A" w:rsidRDefault="0002381D" w:rsidP="00D4158A">
            <w:pPr>
              <w:spacing w:after="120" w:line="240" w:lineRule="auto"/>
              <w:jc w:val="left"/>
              <w:rPr>
                <w:rFonts w:cstheme="minorHAnsi"/>
                <w:sz w:val="16"/>
                <w:szCs w:val="16"/>
              </w:rPr>
            </w:pPr>
          </w:p>
        </w:tc>
        <w:tc>
          <w:tcPr>
            <w:tcW w:w="709" w:type="dxa"/>
          </w:tcPr>
          <w:p w14:paraId="50E7AB6D"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tcPr>
          <w:p w14:paraId="62A85C85" w14:textId="77777777" w:rsidR="0002381D" w:rsidRPr="00D4158A" w:rsidRDefault="0002381D" w:rsidP="00D4158A">
            <w:pPr>
              <w:tabs>
                <w:tab w:val="decimal" w:pos="1872"/>
              </w:tabs>
              <w:spacing w:after="120" w:line="240" w:lineRule="auto"/>
              <w:rPr>
                <w:rFonts w:cstheme="minorHAnsi"/>
                <w:b/>
                <w:sz w:val="16"/>
                <w:szCs w:val="16"/>
              </w:rPr>
            </w:pPr>
          </w:p>
        </w:tc>
        <w:tc>
          <w:tcPr>
            <w:tcW w:w="2410" w:type="dxa"/>
            <w:gridSpan w:val="3"/>
          </w:tcPr>
          <w:p w14:paraId="6FF2580B" w14:textId="77777777" w:rsidR="0002381D" w:rsidRPr="00D4158A" w:rsidRDefault="0002381D" w:rsidP="00D4158A">
            <w:pPr>
              <w:tabs>
                <w:tab w:val="decimal" w:pos="1872"/>
              </w:tabs>
              <w:spacing w:after="120" w:line="240" w:lineRule="auto"/>
              <w:rPr>
                <w:rFonts w:cstheme="minorHAnsi"/>
                <w:b/>
                <w:sz w:val="16"/>
                <w:szCs w:val="16"/>
              </w:rPr>
            </w:pPr>
          </w:p>
        </w:tc>
      </w:tr>
      <w:tr w:rsidR="0002381D" w:rsidRPr="00987B3B" w14:paraId="30170182" w14:textId="77777777" w:rsidTr="00270393">
        <w:trPr>
          <w:gridAfter w:val="1"/>
          <w:wAfter w:w="425" w:type="dxa"/>
        </w:trPr>
        <w:tc>
          <w:tcPr>
            <w:tcW w:w="4928" w:type="dxa"/>
            <w:hideMark/>
          </w:tcPr>
          <w:p w14:paraId="131929FC"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Depreciation</w:t>
            </w:r>
          </w:p>
        </w:tc>
        <w:tc>
          <w:tcPr>
            <w:tcW w:w="709" w:type="dxa"/>
          </w:tcPr>
          <w:p w14:paraId="476C7161"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hideMark/>
          </w:tcPr>
          <w:p w14:paraId="26465EFF" w14:textId="77777777" w:rsidR="0002381D" w:rsidRPr="00D4158A" w:rsidRDefault="0002381D" w:rsidP="00D4158A">
            <w:pPr>
              <w:tabs>
                <w:tab w:val="decimal" w:pos="1872"/>
              </w:tabs>
              <w:spacing w:after="120" w:line="240" w:lineRule="auto"/>
              <w:rPr>
                <w:rFonts w:cstheme="minorHAnsi"/>
                <w:sz w:val="16"/>
                <w:szCs w:val="16"/>
              </w:rPr>
            </w:pPr>
            <w:r w:rsidRPr="00D4158A">
              <w:rPr>
                <w:rFonts w:cstheme="minorHAnsi"/>
                <w:sz w:val="16"/>
                <w:szCs w:val="16"/>
              </w:rPr>
              <w:t>(8,493)</w:t>
            </w:r>
          </w:p>
        </w:tc>
        <w:tc>
          <w:tcPr>
            <w:tcW w:w="2410" w:type="dxa"/>
            <w:gridSpan w:val="3"/>
            <w:hideMark/>
          </w:tcPr>
          <w:p w14:paraId="74B71E6C" w14:textId="77777777" w:rsidR="0002381D" w:rsidRPr="00D4158A" w:rsidRDefault="0002381D" w:rsidP="00D4158A">
            <w:pPr>
              <w:tabs>
                <w:tab w:val="decimal" w:pos="1872"/>
              </w:tabs>
              <w:spacing w:after="120" w:line="240" w:lineRule="auto"/>
              <w:rPr>
                <w:rFonts w:cstheme="minorHAnsi"/>
                <w:sz w:val="16"/>
                <w:szCs w:val="16"/>
              </w:rPr>
            </w:pPr>
            <w:r w:rsidRPr="00D4158A">
              <w:rPr>
                <w:rFonts w:cstheme="minorHAnsi"/>
                <w:sz w:val="16"/>
                <w:szCs w:val="16"/>
              </w:rPr>
              <w:t>(3,541)</w:t>
            </w:r>
          </w:p>
        </w:tc>
      </w:tr>
      <w:tr w:rsidR="0002381D" w:rsidRPr="00987B3B" w14:paraId="24F85FF3" w14:textId="77777777" w:rsidTr="00270393">
        <w:trPr>
          <w:gridAfter w:val="1"/>
          <w:wAfter w:w="425" w:type="dxa"/>
        </w:trPr>
        <w:tc>
          <w:tcPr>
            <w:tcW w:w="4928" w:type="dxa"/>
          </w:tcPr>
          <w:p w14:paraId="7DA19DD5" w14:textId="77777777" w:rsidR="0002381D" w:rsidRPr="00D4158A" w:rsidRDefault="0002381D" w:rsidP="00D4158A">
            <w:pPr>
              <w:spacing w:after="120" w:line="240" w:lineRule="auto"/>
              <w:jc w:val="left"/>
              <w:rPr>
                <w:rFonts w:cstheme="minorHAnsi"/>
                <w:sz w:val="16"/>
                <w:szCs w:val="16"/>
              </w:rPr>
            </w:pPr>
          </w:p>
        </w:tc>
        <w:tc>
          <w:tcPr>
            <w:tcW w:w="709" w:type="dxa"/>
          </w:tcPr>
          <w:p w14:paraId="3C30EAC4"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hideMark/>
          </w:tcPr>
          <w:p w14:paraId="3BAB3ABE" w14:textId="77777777" w:rsidR="0002381D" w:rsidRPr="00D4158A" w:rsidRDefault="0002381D" w:rsidP="00D4158A">
            <w:pPr>
              <w:tabs>
                <w:tab w:val="decimal" w:pos="1872"/>
              </w:tabs>
              <w:spacing w:after="120" w:line="240" w:lineRule="auto"/>
              <w:rPr>
                <w:rFonts w:cstheme="minorHAnsi"/>
                <w:b/>
                <w:sz w:val="16"/>
                <w:szCs w:val="16"/>
              </w:rPr>
            </w:pPr>
            <w:r w:rsidRPr="00D4158A">
              <w:rPr>
                <w:rFonts w:cstheme="minorHAnsi"/>
                <w:sz w:val="16"/>
                <w:szCs w:val="16"/>
              </w:rPr>
              <w:t>_________</w:t>
            </w:r>
          </w:p>
        </w:tc>
        <w:tc>
          <w:tcPr>
            <w:tcW w:w="2410" w:type="dxa"/>
            <w:gridSpan w:val="3"/>
            <w:hideMark/>
          </w:tcPr>
          <w:p w14:paraId="32F96730" w14:textId="77777777" w:rsidR="0002381D" w:rsidRPr="00D4158A" w:rsidRDefault="0002381D" w:rsidP="00D4158A">
            <w:pPr>
              <w:tabs>
                <w:tab w:val="decimal" w:pos="1872"/>
              </w:tabs>
              <w:spacing w:after="120" w:line="240" w:lineRule="auto"/>
              <w:rPr>
                <w:rFonts w:cstheme="minorHAnsi"/>
                <w:sz w:val="16"/>
                <w:szCs w:val="16"/>
              </w:rPr>
            </w:pPr>
            <w:r w:rsidRPr="00D4158A">
              <w:rPr>
                <w:rFonts w:cstheme="minorHAnsi"/>
                <w:sz w:val="16"/>
                <w:szCs w:val="16"/>
              </w:rPr>
              <w:t>_________</w:t>
            </w:r>
          </w:p>
        </w:tc>
      </w:tr>
      <w:tr w:rsidR="0002381D" w:rsidRPr="00987B3B" w14:paraId="3275B69E" w14:textId="77777777" w:rsidTr="00270393">
        <w:trPr>
          <w:gridAfter w:val="1"/>
          <w:wAfter w:w="425" w:type="dxa"/>
        </w:trPr>
        <w:tc>
          <w:tcPr>
            <w:tcW w:w="4928" w:type="dxa"/>
          </w:tcPr>
          <w:p w14:paraId="6785BA00" w14:textId="77777777" w:rsidR="0002381D" w:rsidRPr="00D4158A" w:rsidRDefault="0002381D" w:rsidP="00D4158A">
            <w:pPr>
              <w:spacing w:after="120" w:line="240" w:lineRule="auto"/>
              <w:jc w:val="left"/>
              <w:rPr>
                <w:rFonts w:cstheme="minorHAnsi"/>
                <w:sz w:val="16"/>
                <w:szCs w:val="16"/>
              </w:rPr>
            </w:pPr>
          </w:p>
        </w:tc>
        <w:tc>
          <w:tcPr>
            <w:tcW w:w="709" w:type="dxa"/>
          </w:tcPr>
          <w:p w14:paraId="103D9235"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tcPr>
          <w:p w14:paraId="251EA690" w14:textId="77777777" w:rsidR="0002381D" w:rsidRPr="00D4158A" w:rsidRDefault="0002381D" w:rsidP="00D4158A">
            <w:pPr>
              <w:tabs>
                <w:tab w:val="decimal" w:pos="1872"/>
              </w:tabs>
              <w:spacing w:after="120" w:line="240" w:lineRule="auto"/>
              <w:rPr>
                <w:rFonts w:cstheme="minorHAnsi"/>
                <w:b/>
                <w:sz w:val="16"/>
                <w:szCs w:val="16"/>
              </w:rPr>
            </w:pPr>
          </w:p>
        </w:tc>
        <w:tc>
          <w:tcPr>
            <w:tcW w:w="2410" w:type="dxa"/>
            <w:gridSpan w:val="3"/>
          </w:tcPr>
          <w:p w14:paraId="23E8BBB4" w14:textId="77777777" w:rsidR="0002381D" w:rsidRPr="00D4158A" w:rsidRDefault="0002381D" w:rsidP="00D4158A">
            <w:pPr>
              <w:tabs>
                <w:tab w:val="decimal" w:pos="1872"/>
              </w:tabs>
              <w:spacing w:after="120" w:line="240" w:lineRule="auto"/>
              <w:rPr>
                <w:rFonts w:cstheme="minorHAnsi"/>
                <w:b/>
                <w:sz w:val="16"/>
                <w:szCs w:val="16"/>
              </w:rPr>
            </w:pPr>
          </w:p>
        </w:tc>
      </w:tr>
      <w:tr w:rsidR="0002381D" w:rsidRPr="00987B3B" w14:paraId="38339721" w14:textId="77777777" w:rsidTr="00270393">
        <w:trPr>
          <w:gridAfter w:val="1"/>
          <w:wAfter w:w="425" w:type="dxa"/>
        </w:trPr>
        <w:tc>
          <w:tcPr>
            <w:tcW w:w="4928" w:type="dxa"/>
            <w:hideMark/>
          </w:tcPr>
          <w:p w14:paraId="68EB9726" w14:textId="77777777" w:rsidR="0002381D" w:rsidRPr="00D4158A" w:rsidRDefault="0002381D" w:rsidP="00D4158A">
            <w:pPr>
              <w:spacing w:after="120" w:line="240" w:lineRule="auto"/>
              <w:jc w:val="left"/>
              <w:rPr>
                <w:rFonts w:cstheme="minorHAnsi"/>
                <w:sz w:val="16"/>
                <w:szCs w:val="16"/>
              </w:rPr>
            </w:pPr>
            <w:r w:rsidRPr="00D4158A">
              <w:rPr>
                <w:rFonts w:cstheme="minorHAnsi"/>
                <w:b/>
                <w:sz w:val="16"/>
                <w:szCs w:val="16"/>
              </w:rPr>
              <w:t>Profit before tax</w:t>
            </w:r>
          </w:p>
        </w:tc>
        <w:tc>
          <w:tcPr>
            <w:tcW w:w="709" w:type="dxa"/>
            <w:vAlign w:val="bottom"/>
          </w:tcPr>
          <w:p w14:paraId="31127F26"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hideMark/>
          </w:tcPr>
          <w:p w14:paraId="2DA48F53" w14:textId="77777777" w:rsidR="0002381D" w:rsidRPr="00D4158A" w:rsidRDefault="0002381D" w:rsidP="00D4158A">
            <w:pPr>
              <w:tabs>
                <w:tab w:val="decimal" w:pos="1872"/>
              </w:tabs>
              <w:spacing w:after="120" w:line="240" w:lineRule="auto"/>
              <w:rPr>
                <w:rFonts w:cstheme="minorHAnsi"/>
                <w:sz w:val="16"/>
                <w:szCs w:val="16"/>
              </w:rPr>
            </w:pPr>
            <w:r w:rsidRPr="00D4158A">
              <w:rPr>
                <w:rFonts w:cstheme="minorHAnsi"/>
                <w:sz w:val="16"/>
                <w:szCs w:val="16"/>
              </w:rPr>
              <w:t>443,863</w:t>
            </w:r>
          </w:p>
        </w:tc>
        <w:tc>
          <w:tcPr>
            <w:tcW w:w="2410" w:type="dxa"/>
            <w:gridSpan w:val="3"/>
            <w:hideMark/>
          </w:tcPr>
          <w:p w14:paraId="1D1B37AD" w14:textId="77777777" w:rsidR="0002381D" w:rsidRPr="00D4158A" w:rsidRDefault="0002381D" w:rsidP="00D4158A">
            <w:pPr>
              <w:tabs>
                <w:tab w:val="decimal" w:pos="1872"/>
              </w:tabs>
              <w:spacing w:after="120" w:line="240" w:lineRule="auto"/>
              <w:rPr>
                <w:rFonts w:cstheme="minorHAnsi"/>
                <w:sz w:val="16"/>
                <w:szCs w:val="16"/>
              </w:rPr>
            </w:pPr>
            <w:r w:rsidRPr="00D4158A">
              <w:rPr>
                <w:rFonts w:cstheme="minorHAnsi"/>
                <w:sz w:val="16"/>
                <w:szCs w:val="16"/>
              </w:rPr>
              <w:t>543,766</w:t>
            </w:r>
          </w:p>
        </w:tc>
      </w:tr>
      <w:tr w:rsidR="0002381D" w:rsidRPr="00987B3B" w14:paraId="1A3F1229" w14:textId="77777777" w:rsidTr="00270393">
        <w:tc>
          <w:tcPr>
            <w:tcW w:w="4928" w:type="dxa"/>
          </w:tcPr>
          <w:p w14:paraId="2E399811" w14:textId="77777777" w:rsidR="0002381D" w:rsidRPr="00D4158A" w:rsidRDefault="0002381D" w:rsidP="00D4158A">
            <w:pPr>
              <w:spacing w:after="120" w:line="240" w:lineRule="auto"/>
              <w:jc w:val="left"/>
              <w:rPr>
                <w:rFonts w:cstheme="minorHAnsi"/>
                <w:sz w:val="16"/>
                <w:szCs w:val="16"/>
              </w:rPr>
            </w:pPr>
          </w:p>
        </w:tc>
        <w:tc>
          <w:tcPr>
            <w:tcW w:w="709" w:type="dxa"/>
            <w:vAlign w:val="bottom"/>
          </w:tcPr>
          <w:p w14:paraId="728B9E29" w14:textId="77777777" w:rsidR="0002381D" w:rsidRPr="00D4158A" w:rsidRDefault="0002381D" w:rsidP="00D4158A">
            <w:pPr>
              <w:tabs>
                <w:tab w:val="decimal" w:pos="744"/>
              </w:tabs>
              <w:spacing w:after="120" w:line="240" w:lineRule="auto"/>
              <w:rPr>
                <w:rFonts w:cstheme="minorHAnsi"/>
                <w:sz w:val="16"/>
                <w:szCs w:val="16"/>
              </w:rPr>
            </w:pPr>
          </w:p>
        </w:tc>
        <w:tc>
          <w:tcPr>
            <w:tcW w:w="1701" w:type="dxa"/>
            <w:gridSpan w:val="3"/>
            <w:tcBorders>
              <w:left w:val="nil"/>
            </w:tcBorders>
          </w:tcPr>
          <w:p w14:paraId="713F90DD" w14:textId="77777777" w:rsidR="0002381D" w:rsidRPr="00D4158A" w:rsidRDefault="0002381D" w:rsidP="00D4158A">
            <w:pPr>
              <w:tabs>
                <w:tab w:val="decimal" w:pos="1872"/>
              </w:tabs>
              <w:spacing w:after="120" w:line="240" w:lineRule="auto"/>
              <w:rPr>
                <w:rFonts w:cstheme="minorHAnsi"/>
                <w:b/>
                <w:sz w:val="16"/>
                <w:szCs w:val="16"/>
              </w:rPr>
            </w:pPr>
          </w:p>
        </w:tc>
        <w:tc>
          <w:tcPr>
            <w:tcW w:w="2551" w:type="dxa"/>
            <w:gridSpan w:val="3"/>
          </w:tcPr>
          <w:p w14:paraId="2EA565CC" w14:textId="77777777" w:rsidR="0002381D" w:rsidRPr="00D4158A" w:rsidRDefault="0002381D" w:rsidP="00D4158A">
            <w:pPr>
              <w:tabs>
                <w:tab w:val="decimal" w:pos="1872"/>
              </w:tabs>
              <w:spacing w:after="120" w:line="240" w:lineRule="auto"/>
              <w:rPr>
                <w:rFonts w:cstheme="minorHAnsi"/>
                <w:b/>
                <w:sz w:val="16"/>
                <w:szCs w:val="16"/>
              </w:rPr>
            </w:pPr>
          </w:p>
        </w:tc>
      </w:tr>
      <w:tr w:rsidR="0002381D" w:rsidRPr="00987B3B" w14:paraId="2B685FA8" w14:textId="77777777" w:rsidTr="00270393">
        <w:trPr>
          <w:gridAfter w:val="1"/>
          <w:wAfter w:w="425" w:type="dxa"/>
        </w:trPr>
        <w:tc>
          <w:tcPr>
            <w:tcW w:w="4928" w:type="dxa"/>
            <w:hideMark/>
          </w:tcPr>
          <w:p w14:paraId="00A87A94"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 xml:space="preserve">Income tax expense </w:t>
            </w:r>
          </w:p>
        </w:tc>
        <w:tc>
          <w:tcPr>
            <w:tcW w:w="709" w:type="dxa"/>
            <w:vAlign w:val="bottom"/>
            <w:hideMark/>
          </w:tcPr>
          <w:p w14:paraId="5A731E69" w14:textId="77777777" w:rsidR="0002381D" w:rsidRPr="00D4158A" w:rsidRDefault="0002381D" w:rsidP="00D4158A">
            <w:pPr>
              <w:tabs>
                <w:tab w:val="decimal" w:pos="744"/>
              </w:tabs>
              <w:spacing w:after="120" w:line="240" w:lineRule="auto"/>
              <w:rPr>
                <w:rFonts w:cstheme="minorHAnsi"/>
                <w:sz w:val="16"/>
                <w:szCs w:val="16"/>
              </w:rPr>
            </w:pPr>
            <w:r w:rsidRPr="00D4158A">
              <w:rPr>
                <w:rFonts w:cstheme="minorHAnsi"/>
                <w:sz w:val="16"/>
                <w:szCs w:val="16"/>
              </w:rPr>
              <w:t>9</w:t>
            </w:r>
          </w:p>
        </w:tc>
        <w:tc>
          <w:tcPr>
            <w:tcW w:w="1417" w:type="dxa"/>
            <w:gridSpan w:val="2"/>
            <w:tcBorders>
              <w:left w:val="nil"/>
            </w:tcBorders>
            <w:hideMark/>
          </w:tcPr>
          <w:p w14:paraId="0D628727" w14:textId="77777777" w:rsidR="0002381D" w:rsidRPr="00D4158A" w:rsidRDefault="0002381D" w:rsidP="00D4158A">
            <w:pPr>
              <w:tabs>
                <w:tab w:val="decimal" w:pos="1452"/>
              </w:tabs>
              <w:spacing w:after="120" w:line="240" w:lineRule="auto"/>
              <w:rPr>
                <w:rFonts w:cstheme="minorHAnsi"/>
                <w:bCs/>
                <w:sz w:val="16"/>
                <w:szCs w:val="16"/>
              </w:rPr>
            </w:pPr>
            <w:r w:rsidRPr="00D4158A">
              <w:rPr>
                <w:rFonts w:cstheme="minorHAnsi"/>
                <w:bCs/>
                <w:sz w:val="16"/>
                <w:szCs w:val="16"/>
              </w:rPr>
              <w:t>(67,973)</w:t>
            </w:r>
          </w:p>
        </w:tc>
        <w:tc>
          <w:tcPr>
            <w:tcW w:w="2410" w:type="dxa"/>
            <w:gridSpan w:val="3"/>
            <w:hideMark/>
          </w:tcPr>
          <w:p w14:paraId="17E79C6A" w14:textId="77777777" w:rsidR="0002381D" w:rsidRPr="00D4158A" w:rsidRDefault="0002381D" w:rsidP="00D4158A">
            <w:pPr>
              <w:tabs>
                <w:tab w:val="decimal" w:pos="1872"/>
              </w:tabs>
              <w:spacing w:after="120" w:line="240" w:lineRule="auto"/>
              <w:rPr>
                <w:rFonts w:cstheme="minorHAnsi"/>
                <w:bCs/>
                <w:sz w:val="16"/>
                <w:szCs w:val="16"/>
              </w:rPr>
            </w:pPr>
            <w:r w:rsidRPr="00D4158A">
              <w:rPr>
                <w:rFonts w:cstheme="minorHAnsi"/>
                <w:bCs/>
                <w:sz w:val="16"/>
                <w:szCs w:val="16"/>
              </w:rPr>
              <w:t>(73,868)</w:t>
            </w:r>
          </w:p>
        </w:tc>
      </w:tr>
      <w:tr w:rsidR="0002381D" w:rsidRPr="00987B3B" w14:paraId="70CD9A53" w14:textId="77777777" w:rsidTr="00270393">
        <w:trPr>
          <w:gridAfter w:val="1"/>
          <w:wAfter w:w="425" w:type="dxa"/>
        </w:trPr>
        <w:tc>
          <w:tcPr>
            <w:tcW w:w="4928" w:type="dxa"/>
          </w:tcPr>
          <w:p w14:paraId="5E2A7F01" w14:textId="77777777" w:rsidR="0002381D" w:rsidRPr="00D4158A" w:rsidRDefault="0002381D" w:rsidP="00D4158A">
            <w:pPr>
              <w:spacing w:after="120" w:line="240" w:lineRule="auto"/>
              <w:jc w:val="left"/>
              <w:rPr>
                <w:rFonts w:cstheme="minorHAnsi"/>
                <w:sz w:val="16"/>
                <w:szCs w:val="16"/>
              </w:rPr>
            </w:pPr>
          </w:p>
        </w:tc>
        <w:tc>
          <w:tcPr>
            <w:tcW w:w="709" w:type="dxa"/>
          </w:tcPr>
          <w:p w14:paraId="1F573470"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hideMark/>
          </w:tcPr>
          <w:p w14:paraId="6F8375D1" w14:textId="77777777" w:rsidR="0002381D" w:rsidRPr="00D4158A" w:rsidRDefault="0002381D" w:rsidP="00D4158A">
            <w:pPr>
              <w:tabs>
                <w:tab w:val="decimal" w:pos="1452"/>
              </w:tabs>
              <w:spacing w:after="120" w:line="240" w:lineRule="auto"/>
              <w:rPr>
                <w:rFonts w:cstheme="minorHAnsi"/>
                <w:b/>
                <w:sz w:val="16"/>
                <w:szCs w:val="16"/>
              </w:rPr>
            </w:pPr>
            <w:r w:rsidRPr="00D4158A">
              <w:rPr>
                <w:rFonts w:cstheme="minorHAnsi"/>
                <w:sz w:val="16"/>
                <w:szCs w:val="16"/>
              </w:rPr>
              <w:t>_________</w:t>
            </w:r>
          </w:p>
        </w:tc>
        <w:tc>
          <w:tcPr>
            <w:tcW w:w="2410" w:type="dxa"/>
            <w:gridSpan w:val="3"/>
            <w:hideMark/>
          </w:tcPr>
          <w:p w14:paraId="214BB78F" w14:textId="77777777" w:rsidR="0002381D" w:rsidRPr="00D4158A" w:rsidRDefault="0002381D" w:rsidP="00D4158A">
            <w:pPr>
              <w:tabs>
                <w:tab w:val="decimal" w:pos="1872"/>
              </w:tabs>
              <w:spacing w:after="120" w:line="240" w:lineRule="auto"/>
              <w:rPr>
                <w:rFonts w:cstheme="minorHAnsi"/>
                <w:sz w:val="16"/>
                <w:szCs w:val="16"/>
              </w:rPr>
            </w:pPr>
            <w:r w:rsidRPr="00D4158A">
              <w:rPr>
                <w:rFonts w:cstheme="minorHAnsi"/>
                <w:sz w:val="16"/>
                <w:szCs w:val="16"/>
              </w:rPr>
              <w:t>_________</w:t>
            </w:r>
          </w:p>
        </w:tc>
      </w:tr>
      <w:tr w:rsidR="0002381D" w:rsidRPr="00987B3B" w14:paraId="651AE0AE" w14:textId="77777777" w:rsidTr="00270393">
        <w:trPr>
          <w:gridAfter w:val="1"/>
          <w:wAfter w:w="425" w:type="dxa"/>
        </w:trPr>
        <w:tc>
          <w:tcPr>
            <w:tcW w:w="4928" w:type="dxa"/>
          </w:tcPr>
          <w:p w14:paraId="1AA656E5" w14:textId="77777777" w:rsidR="0002381D" w:rsidRPr="00D4158A" w:rsidRDefault="0002381D" w:rsidP="00D4158A">
            <w:pPr>
              <w:spacing w:after="120" w:line="240" w:lineRule="auto"/>
              <w:jc w:val="left"/>
              <w:rPr>
                <w:rFonts w:cstheme="minorHAnsi"/>
                <w:sz w:val="16"/>
                <w:szCs w:val="16"/>
              </w:rPr>
            </w:pPr>
          </w:p>
        </w:tc>
        <w:tc>
          <w:tcPr>
            <w:tcW w:w="709" w:type="dxa"/>
          </w:tcPr>
          <w:p w14:paraId="7A6042AA"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tcPr>
          <w:p w14:paraId="59EA6BCB" w14:textId="77777777" w:rsidR="0002381D" w:rsidRPr="00D4158A" w:rsidRDefault="0002381D" w:rsidP="00D4158A">
            <w:pPr>
              <w:tabs>
                <w:tab w:val="decimal" w:pos="1452"/>
              </w:tabs>
              <w:spacing w:after="120" w:line="240" w:lineRule="auto"/>
              <w:rPr>
                <w:rFonts w:cstheme="minorHAnsi"/>
                <w:b/>
                <w:sz w:val="16"/>
                <w:szCs w:val="16"/>
              </w:rPr>
            </w:pPr>
          </w:p>
        </w:tc>
        <w:tc>
          <w:tcPr>
            <w:tcW w:w="2410" w:type="dxa"/>
            <w:gridSpan w:val="3"/>
          </w:tcPr>
          <w:p w14:paraId="1136244A" w14:textId="77777777" w:rsidR="0002381D" w:rsidRPr="00D4158A" w:rsidRDefault="0002381D" w:rsidP="00D4158A">
            <w:pPr>
              <w:tabs>
                <w:tab w:val="decimal" w:pos="1872"/>
              </w:tabs>
              <w:spacing w:after="120" w:line="240" w:lineRule="auto"/>
              <w:rPr>
                <w:rFonts w:cstheme="minorHAnsi"/>
                <w:b/>
                <w:sz w:val="16"/>
                <w:szCs w:val="16"/>
              </w:rPr>
            </w:pPr>
          </w:p>
        </w:tc>
      </w:tr>
      <w:tr w:rsidR="0002381D" w:rsidRPr="00987B3B" w14:paraId="75717A46" w14:textId="77777777" w:rsidTr="00270393">
        <w:trPr>
          <w:gridAfter w:val="1"/>
          <w:wAfter w:w="425" w:type="dxa"/>
        </w:trPr>
        <w:tc>
          <w:tcPr>
            <w:tcW w:w="4928" w:type="dxa"/>
            <w:hideMark/>
          </w:tcPr>
          <w:p w14:paraId="532A5D15" w14:textId="77777777" w:rsidR="0002381D" w:rsidRPr="00D4158A" w:rsidRDefault="0002381D" w:rsidP="00D4158A">
            <w:pPr>
              <w:spacing w:after="120" w:line="240" w:lineRule="auto"/>
              <w:jc w:val="left"/>
              <w:rPr>
                <w:rFonts w:cstheme="minorHAnsi"/>
                <w:sz w:val="16"/>
                <w:szCs w:val="16"/>
              </w:rPr>
            </w:pPr>
            <w:r w:rsidRPr="00D4158A">
              <w:rPr>
                <w:rFonts w:cstheme="minorHAnsi"/>
                <w:b/>
                <w:sz w:val="16"/>
                <w:szCs w:val="16"/>
              </w:rPr>
              <w:t>Profit after tax</w:t>
            </w:r>
          </w:p>
        </w:tc>
        <w:tc>
          <w:tcPr>
            <w:tcW w:w="709" w:type="dxa"/>
            <w:vAlign w:val="bottom"/>
          </w:tcPr>
          <w:p w14:paraId="1B41E1B9"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hideMark/>
          </w:tcPr>
          <w:p w14:paraId="497D29AF" w14:textId="77777777" w:rsidR="0002381D" w:rsidRPr="00D4158A" w:rsidRDefault="0002381D" w:rsidP="00D4158A">
            <w:pPr>
              <w:tabs>
                <w:tab w:val="decimal" w:pos="1452"/>
              </w:tabs>
              <w:spacing w:after="120" w:line="240" w:lineRule="auto"/>
              <w:rPr>
                <w:rFonts w:cstheme="minorHAnsi"/>
                <w:b/>
                <w:sz w:val="16"/>
                <w:szCs w:val="16"/>
              </w:rPr>
            </w:pPr>
            <w:r w:rsidRPr="00D4158A">
              <w:rPr>
                <w:rFonts w:cstheme="minorHAnsi"/>
                <w:b/>
                <w:sz w:val="16"/>
                <w:szCs w:val="16"/>
              </w:rPr>
              <w:t>375,890</w:t>
            </w:r>
          </w:p>
        </w:tc>
        <w:tc>
          <w:tcPr>
            <w:tcW w:w="2410" w:type="dxa"/>
            <w:gridSpan w:val="3"/>
            <w:hideMark/>
          </w:tcPr>
          <w:p w14:paraId="61B4F03F" w14:textId="77777777" w:rsidR="0002381D" w:rsidRPr="00D4158A" w:rsidRDefault="0002381D" w:rsidP="00D4158A">
            <w:pPr>
              <w:tabs>
                <w:tab w:val="decimal" w:pos="1872"/>
              </w:tabs>
              <w:spacing w:after="120" w:line="240" w:lineRule="auto"/>
              <w:rPr>
                <w:rFonts w:cstheme="minorHAnsi"/>
                <w:b/>
                <w:sz w:val="16"/>
                <w:szCs w:val="16"/>
              </w:rPr>
            </w:pPr>
            <w:r w:rsidRPr="00D4158A">
              <w:rPr>
                <w:rFonts w:cstheme="minorHAnsi"/>
                <w:b/>
                <w:sz w:val="16"/>
                <w:szCs w:val="16"/>
              </w:rPr>
              <w:t>469,898</w:t>
            </w:r>
          </w:p>
        </w:tc>
      </w:tr>
      <w:tr w:rsidR="0002381D" w:rsidRPr="00987B3B" w14:paraId="5F975980" w14:textId="77777777" w:rsidTr="00270393">
        <w:trPr>
          <w:gridAfter w:val="1"/>
          <w:wAfter w:w="425" w:type="dxa"/>
        </w:trPr>
        <w:tc>
          <w:tcPr>
            <w:tcW w:w="4928" w:type="dxa"/>
          </w:tcPr>
          <w:p w14:paraId="1D6CC405" w14:textId="77777777" w:rsidR="0002381D" w:rsidRPr="00D4158A" w:rsidRDefault="0002381D" w:rsidP="00D4158A">
            <w:pPr>
              <w:spacing w:after="120" w:line="240" w:lineRule="auto"/>
              <w:jc w:val="left"/>
              <w:rPr>
                <w:rFonts w:cstheme="minorHAnsi"/>
                <w:sz w:val="16"/>
                <w:szCs w:val="16"/>
              </w:rPr>
            </w:pPr>
          </w:p>
        </w:tc>
        <w:tc>
          <w:tcPr>
            <w:tcW w:w="709" w:type="dxa"/>
            <w:vAlign w:val="bottom"/>
          </w:tcPr>
          <w:p w14:paraId="70A8BF91"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tcPr>
          <w:p w14:paraId="14CA1005" w14:textId="77777777" w:rsidR="0002381D" w:rsidRPr="00D4158A" w:rsidRDefault="0002381D" w:rsidP="00D4158A">
            <w:pPr>
              <w:tabs>
                <w:tab w:val="decimal" w:pos="1452"/>
              </w:tabs>
              <w:spacing w:after="120" w:line="240" w:lineRule="auto"/>
              <w:rPr>
                <w:rFonts w:cstheme="minorHAnsi"/>
                <w:sz w:val="16"/>
                <w:szCs w:val="16"/>
              </w:rPr>
            </w:pPr>
          </w:p>
        </w:tc>
        <w:tc>
          <w:tcPr>
            <w:tcW w:w="2410" w:type="dxa"/>
            <w:gridSpan w:val="3"/>
          </w:tcPr>
          <w:p w14:paraId="26D54A7D" w14:textId="77777777" w:rsidR="0002381D" w:rsidRPr="00D4158A" w:rsidRDefault="0002381D" w:rsidP="00D4158A">
            <w:pPr>
              <w:tabs>
                <w:tab w:val="decimal" w:pos="1872"/>
              </w:tabs>
              <w:spacing w:after="120" w:line="240" w:lineRule="auto"/>
              <w:rPr>
                <w:rFonts w:cstheme="minorHAnsi"/>
                <w:sz w:val="16"/>
                <w:szCs w:val="16"/>
                <w:highlight w:val="yellow"/>
              </w:rPr>
            </w:pPr>
          </w:p>
        </w:tc>
      </w:tr>
      <w:tr w:rsidR="0002381D" w:rsidRPr="00987B3B" w14:paraId="1F157945" w14:textId="77777777" w:rsidTr="00270393">
        <w:trPr>
          <w:gridAfter w:val="1"/>
          <w:wAfter w:w="425" w:type="dxa"/>
        </w:trPr>
        <w:tc>
          <w:tcPr>
            <w:tcW w:w="4928" w:type="dxa"/>
            <w:hideMark/>
          </w:tcPr>
          <w:p w14:paraId="4C517744"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Other comprehensive income for the financial period</w:t>
            </w:r>
          </w:p>
        </w:tc>
        <w:tc>
          <w:tcPr>
            <w:tcW w:w="709" w:type="dxa"/>
            <w:vAlign w:val="bottom"/>
          </w:tcPr>
          <w:p w14:paraId="6C593787"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hideMark/>
          </w:tcPr>
          <w:p w14:paraId="35B42F5A" w14:textId="77777777" w:rsidR="0002381D" w:rsidRPr="00D4158A" w:rsidRDefault="0002381D" w:rsidP="00D4158A">
            <w:pPr>
              <w:tabs>
                <w:tab w:val="decimal" w:pos="1452"/>
              </w:tabs>
              <w:spacing w:after="120" w:line="240" w:lineRule="auto"/>
              <w:rPr>
                <w:rFonts w:cstheme="minorHAnsi"/>
                <w:b/>
                <w:sz w:val="16"/>
                <w:szCs w:val="16"/>
              </w:rPr>
            </w:pPr>
            <w:r w:rsidRPr="00D4158A">
              <w:rPr>
                <w:rFonts w:cstheme="minorHAnsi"/>
                <w:b/>
                <w:sz w:val="16"/>
                <w:szCs w:val="16"/>
              </w:rPr>
              <w:t>-</w:t>
            </w:r>
          </w:p>
        </w:tc>
        <w:tc>
          <w:tcPr>
            <w:tcW w:w="2410" w:type="dxa"/>
            <w:gridSpan w:val="3"/>
            <w:hideMark/>
          </w:tcPr>
          <w:p w14:paraId="5C896C88" w14:textId="77777777" w:rsidR="0002381D" w:rsidRPr="00D4158A" w:rsidRDefault="0002381D" w:rsidP="00D4158A">
            <w:pPr>
              <w:tabs>
                <w:tab w:val="decimal" w:pos="1872"/>
              </w:tabs>
              <w:spacing w:after="120" w:line="240" w:lineRule="auto"/>
              <w:rPr>
                <w:rFonts w:cstheme="minorHAnsi"/>
                <w:b/>
                <w:sz w:val="16"/>
                <w:szCs w:val="16"/>
              </w:rPr>
            </w:pPr>
            <w:r w:rsidRPr="00D4158A">
              <w:rPr>
                <w:rFonts w:cstheme="minorHAnsi"/>
                <w:b/>
                <w:sz w:val="16"/>
                <w:szCs w:val="16"/>
              </w:rPr>
              <w:t>-</w:t>
            </w:r>
          </w:p>
        </w:tc>
      </w:tr>
      <w:tr w:rsidR="0002381D" w:rsidRPr="00987B3B" w14:paraId="166B8CAD" w14:textId="77777777" w:rsidTr="00270393">
        <w:trPr>
          <w:gridAfter w:val="1"/>
          <w:wAfter w:w="425" w:type="dxa"/>
        </w:trPr>
        <w:tc>
          <w:tcPr>
            <w:tcW w:w="4928" w:type="dxa"/>
          </w:tcPr>
          <w:p w14:paraId="15DA1A12" w14:textId="77777777" w:rsidR="0002381D" w:rsidRPr="00D4158A" w:rsidRDefault="0002381D" w:rsidP="00D4158A">
            <w:pPr>
              <w:spacing w:after="120" w:line="240" w:lineRule="auto"/>
              <w:jc w:val="left"/>
              <w:rPr>
                <w:rFonts w:cstheme="minorHAnsi"/>
                <w:sz w:val="16"/>
                <w:szCs w:val="16"/>
              </w:rPr>
            </w:pPr>
          </w:p>
        </w:tc>
        <w:tc>
          <w:tcPr>
            <w:tcW w:w="709" w:type="dxa"/>
          </w:tcPr>
          <w:p w14:paraId="6B26DB62"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hideMark/>
          </w:tcPr>
          <w:p w14:paraId="4CBB3D4E" w14:textId="77777777" w:rsidR="0002381D" w:rsidRPr="00D4158A" w:rsidRDefault="0002381D" w:rsidP="00D4158A">
            <w:pPr>
              <w:tabs>
                <w:tab w:val="decimal" w:pos="1452"/>
              </w:tabs>
              <w:spacing w:after="120" w:line="240" w:lineRule="auto"/>
              <w:rPr>
                <w:rFonts w:cstheme="minorHAnsi"/>
                <w:b/>
                <w:sz w:val="16"/>
                <w:szCs w:val="16"/>
              </w:rPr>
            </w:pPr>
            <w:r w:rsidRPr="00D4158A">
              <w:rPr>
                <w:rFonts w:cstheme="minorHAnsi"/>
                <w:sz w:val="16"/>
                <w:szCs w:val="16"/>
              </w:rPr>
              <w:t>_________</w:t>
            </w:r>
          </w:p>
        </w:tc>
        <w:tc>
          <w:tcPr>
            <w:tcW w:w="2410" w:type="dxa"/>
            <w:gridSpan w:val="3"/>
            <w:hideMark/>
          </w:tcPr>
          <w:p w14:paraId="462BB92B" w14:textId="77777777" w:rsidR="0002381D" w:rsidRPr="00D4158A" w:rsidRDefault="0002381D" w:rsidP="00D4158A">
            <w:pPr>
              <w:tabs>
                <w:tab w:val="decimal" w:pos="1872"/>
              </w:tabs>
              <w:spacing w:after="120" w:line="240" w:lineRule="auto"/>
              <w:rPr>
                <w:rFonts w:cstheme="minorHAnsi"/>
                <w:sz w:val="16"/>
                <w:szCs w:val="16"/>
              </w:rPr>
            </w:pPr>
            <w:r w:rsidRPr="00D4158A">
              <w:rPr>
                <w:rFonts w:cstheme="minorHAnsi"/>
                <w:sz w:val="16"/>
                <w:szCs w:val="16"/>
              </w:rPr>
              <w:t>_________</w:t>
            </w:r>
          </w:p>
        </w:tc>
      </w:tr>
      <w:tr w:rsidR="0002381D" w:rsidRPr="00987B3B" w14:paraId="708923FE" w14:textId="77777777" w:rsidTr="00270393">
        <w:trPr>
          <w:gridAfter w:val="1"/>
          <w:wAfter w:w="425" w:type="dxa"/>
        </w:trPr>
        <w:tc>
          <w:tcPr>
            <w:tcW w:w="4928" w:type="dxa"/>
          </w:tcPr>
          <w:p w14:paraId="37008B76" w14:textId="77777777" w:rsidR="0002381D" w:rsidRPr="00D4158A" w:rsidRDefault="0002381D" w:rsidP="00D4158A">
            <w:pPr>
              <w:spacing w:after="120" w:line="240" w:lineRule="auto"/>
              <w:jc w:val="left"/>
              <w:rPr>
                <w:rFonts w:cstheme="minorHAnsi"/>
                <w:sz w:val="16"/>
                <w:szCs w:val="16"/>
              </w:rPr>
            </w:pPr>
          </w:p>
        </w:tc>
        <w:tc>
          <w:tcPr>
            <w:tcW w:w="709" w:type="dxa"/>
          </w:tcPr>
          <w:p w14:paraId="2AF2F3B4"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tcPr>
          <w:p w14:paraId="457BFEF5" w14:textId="77777777" w:rsidR="0002381D" w:rsidRPr="00D4158A" w:rsidRDefault="0002381D" w:rsidP="00D4158A">
            <w:pPr>
              <w:tabs>
                <w:tab w:val="decimal" w:pos="1452"/>
              </w:tabs>
              <w:spacing w:after="120" w:line="240" w:lineRule="auto"/>
              <w:rPr>
                <w:rFonts w:cstheme="minorHAnsi"/>
                <w:b/>
                <w:sz w:val="16"/>
                <w:szCs w:val="16"/>
              </w:rPr>
            </w:pPr>
          </w:p>
        </w:tc>
        <w:tc>
          <w:tcPr>
            <w:tcW w:w="2410" w:type="dxa"/>
            <w:gridSpan w:val="3"/>
          </w:tcPr>
          <w:p w14:paraId="40F0CA2E" w14:textId="77777777" w:rsidR="0002381D" w:rsidRPr="00D4158A" w:rsidRDefault="0002381D" w:rsidP="00D4158A">
            <w:pPr>
              <w:tabs>
                <w:tab w:val="decimal" w:pos="1872"/>
              </w:tabs>
              <w:spacing w:after="120" w:line="240" w:lineRule="auto"/>
              <w:rPr>
                <w:rFonts w:cstheme="minorHAnsi"/>
                <w:b/>
                <w:sz w:val="16"/>
                <w:szCs w:val="16"/>
              </w:rPr>
            </w:pPr>
          </w:p>
        </w:tc>
      </w:tr>
      <w:tr w:rsidR="0002381D" w:rsidRPr="00987B3B" w14:paraId="2F6CA93D" w14:textId="77777777" w:rsidTr="00270393">
        <w:trPr>
          <w:gridAfter w:val="1"/>
          <w:wAfter w:w="425" w:type="dxa"/>
        </w:trPr>
        <w:tc>
          <w:tcPr>
            <w:tcW w:w="4928" w:type="dxa"/>
            <w:hideMark/>
          </w:tcPr>
          <w:p w14:paraId="5836CCF2" w14:textId="77777777" w:rsidR="0002381D" w:rsidRPr="00D4158A" w:rsidRDefault="0002381D" w:rsidP="00D4158A">
            <w:pPr>
              <w:spacing w:after="120" w:line="240" w:lineRule="auto"/>
              <w:jc w:val="left"/>
              <w:rPr>
                <w:rFonts w:cstheme="minorHAnsi"/>
                <w:sz w:val="16"/>
                <w:szCs w:val="16"/>
              </w:rPr>
            </w:pPr>
            <w:r w:rsidRPr="00D4158A">
              <w:rPr>
                <w:rFonts w:cstheme="minorHAnsi"/>
                <w:b/>
                <w:sz w:val="16"/>
                <w:szCs w:val="16"/>
              </w:rPr>
              <w:t>Profit for the financial period</w:t>
            </w:r>
          </w:p>
        </w:tc>
        <w:tc>
          <w:tcPr>
            <w:tcW w:w="709" w:type="dxa"/>
          </w:tcPr>
          <w:p w14:paraId="49613B8D"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hideMark/>
          </w:tcPr>
          <w:p w14:paraId="32366FAF" w14:textId="77777777" w:rsidR="0002381D" w:rsidRPr="00D4158A" w:rsidRDefault="0002381D" w:rsidP="00D4158A">
            <w:pPr>
              <w:tabs>
                <w:tab w:val="decimal" w:pos="1452"/>
              </w:tabs>
              <w:spacing w:after="120" w:line="240" w:lineRule="auto"/>
              <w:rPr>
                <w:rFonts w:cstheme="minorHAnsi"/>
                <w:b/>
                <w:sz w:val="16"/>
                <w:szCs w:val="16"/>
              </w:rPr>
            </w:pPr>
            <w:r w:rsidRPr="00D4158A">
              <w:rPr>
                <w:rFonts w:cstheme="minorHAnsi"/>
                <w:b/>
                <w:sz w:val="16"/>
                <w:szCs w:val="16"/>
              </w:rPr>
              <w:t>375,890</w:t>
            </w:r>
          </w:p>
        </w:tc>
        <w:tc>
          <w:tcPr>
            <w:tcW w:w="2410" w:type="dxa"/>
            <w:gridSpan w:val="3"/>
            <w:hideMark/>
          </w:tcPr>
          <w:p w14:paraId="6D674FC8" w14:textId="77777777" w:rsidR="0002381D" w:rsidRPr="00D4158A" w:rsidRDefault="0002381D" w:rsidP="00D4158A">
            <w:pPr>
              <w:tabs>
                <w:tab w:val="decimal" w:pos="1872"/>
              </w:tabs>
              <w:spacing w:after="120" w:line="240" w:lineRule="auto"/>
              <w:rPr>
                <w:rFonts w:cstheme="minorHAnsi"/>
                <w:b/>
                <w:sz w:val="16"/>
                <w:szCs w:val="16"/>
              </w:rPr>
            </w:pPr>
            <w:r w:rsidRPr="00D4158A">
              <w:rPr>
                <w:rFonts w:cstheme="minorHAnsi"/>
                <w:b/>
                <w:sz w:val="16"/>
                <w:szCs w:val="16"/>
              </w:rPr>
              <w:t>469,898</w:t>
            </w:r>
          </w:p>
        </w:tc>
      </w:tr>
      <w:tr w:rsidR="0002381D" w:rsidRPr="00987B3B" w14:paraId="35464DBC" w14:textId="77777777" w:rsidTr="00270393">
        <w:trPr>
          <w:gridAfter w:val="1"/>
          <w:wAfter w:w="425" w:type="dxa"/>
          <w:trHeight w:val="201"/>
        </w:trPr>
        <w:tc>
          <w:tcPr>
            <w:tcW w:w="4928" w:type="dxa"/>
          </w:tcPr>
          <w:p w14:paraId="76A54D1E" w14:textId="77777777" w:rsidR="0002381D" w:rsidRPr="00D4158A" w:rsidRDefault="0002381D" w:rsidP="00D4158A">
            <w:pPr>
              <w:spacing w:after="120" w:line="240" w:lineRule="auto"/>
              <w:jc w:val="left"/>
              <w:rPr>
                <w:rFonts w:cstheme="minorHAnsi"/>
                <w:sz w:val="16"/>
                <w:szCs w:val="16"/>
              </w:rPr>
            </w:pPr>
          </w:p>
        </w:tc>
        <w:tc>
          <w:tcPr>
            <w:tcW w:w="709" w:type="dxa"/>
          </w:tcPr>
          <w:p w14:paraId="3E8C6E6F" w14:textId="77777777" w:rsidR="0002381D" w:rsidRPr="00D4158A" w:rsidRDefault="0002381D" w:rsidP="00D4158A">
            <w:pPr>
              <w:tabs>
                <w:tab w:val="decimal" w:pos="744"/>
              </w:tabs>
              <w:spacing w:after="120" w:line="240" w:lineRule="auto"/>
              <w:rPr>
                <w:rFonts w:cstheme="minorHAnsi"/>
                <w:sz w:val="16"/>
                <w:szCs w:val="16"/>
              </w:rPr>
            </w:pPr>
          </w:p>
        </w:tc>
        <w:tc>
          <w:tcPr>
            <w:tcW w:w="1417" w:type="dxa"/>
            <w:gridSpan w:val="2"/>
            <w:tcBorders>
              <w:left w:val="nil"/>
            </w:tcBorders>
            <w:hideMark/>
          </w:tcPr>
          <w:p w14:paraId="2C757FF4" w14:textId="77777777" w:rsidR="0002381D" w:rsidRPr="00D4158A" w:rsidRDefault="0002381D" w:rsidP="00D4158A">
            <w:pPr>
              <w:tabs>
                <w:tab w:val="decimal" w:pos="1452"/>
              </w:tabs>
              <w:spacing w:after="120" w:line="240" w:lineRule="auto"/>
              <w:rPr>
                <w:rFonts w:cstheme="minorHAnsi"/>
                <w:b/>
                <w:sz w:val="16"/>
                <w:szCs w:val="16"/>
              </w:rPr>
            </w:pPr>
            <w:r w:rsidRPr="00D4158A">
              <w:rPr>
                <w:rFonts w:cstheme="minorHAnsi"/>
                <w:sz w:val="16"/>
                <w:szCs w:val="16"/>
                <w:u w:val="double"/>
              </w:rPr>
              <w:t>_________</w:t>
            </w:r>
          </w:p>
        </w:tc>
        <w:tc>
          <w:tcPr>
            <w:tcW w:w="2410" w:type="dxa"/>
            <w:gridSpan w:val="3"/>
            <w:hideMark/>
          </w:tcPr>
          <w:p w14:paraId="32BA6F23" w14:textId="77777777" w:rsidR="0002381D" w:rsidRPr="00D4158A" w:rsidRDefault="0002381D" w:rsidP="00D4158A">
            <w:pPr>
              <w:tabs>
                <w:tab w:val="decimal" w:pos="1872"/>
              </w:tabs>
              <w:spacing w:after="120" w:line="240" w:lineRule="auto"/>
              <w:rPr>
                <w:rFonts w:cstheme="minorHAnsi"/>
                <w:sz w:val="16"/>
                <w:szCs w:val="16"/>
                <w:u w:val="double"/>
              </w:rPr>
            </w:pPr>
            <w:r w:rsidRPr="00D4158A">
              <w:rPr>
                <w:rFonts w:cstheme="minorHAnsi"/>
                <w:sz w:val="16"/>
                <w:szCs w:val="16"/>
                <w:u w:val="double"/>
              </w:rPr>
              <w:t>_________</w:t>
            </w:r>
          </w:p>
        </w:tc>
      </w:tr>
    </w:tbl>
    <w:p w14:paraId="6520EBBA" w14:textId="77777777" w:rsidR="0002381D" w:rsidRPr="00D4158A" w:rsidRDefault="0002381D" w:rsidP="00D4158A">
      <w:pPr>
        <w:spacing w:after="120" w:line="240" w:lineRule="auto"/>
        <w:jc w:val="left"/>
        <w:rPr>
          <w:rFonts w:cstheme="minorHAnsi"/>
          <w:b/>
          <w:sz w:val="16"/>
          <w:szCs w:val="16"/>
        </w:rPr>
      </w:pPr>
    </w:p>
    <w:p w14:paraId="3B0034E2" w14:textId="77777777" w:rsidR="0002381D" w:rsidRPr="00D4158A" w:rsidRDefault="0002381D" w:rsidP="00D4158A">
      <w:pPr>
        <w:spacing w:after="120" w:line="240" w:lineRule="auto"/>
        <w:jc w:val="left"/>
        <w:rPr>
          <w:rFonts w:cstheme="minorHAnsi"/>
          <w:b/>
          <w:sz w:val="16"/>
          <w:szCs w:val="16"/>
        </w:rPr>
      </w:pPr>
    </w:p>
    <w:p w14:paraId="11F994AD" w14:textId="77777777" w:rsidR="0002381D" w:rsidRPr="00D4158A" w:rsidRDefault="0002381D" w:rsidP="00D4158A">
      <w:pPr>
        <w:spacing w:after="120" w:line="240" w:lineRule="auto"/>
        <w:jc w:val="left"/>
        <w:rPr>
          <w:rFonts w:cstheme="minorHAnsi"/>
          <w:b/>
          <w:sz w:val="16"/>
          <w:szCs w:val="16"/>
        </w:rPr>
      </w:pPr>
      <w:r w:rsidRPr="00D4158A">
        <w:rPr>
          <w:rFonts w:cstheme="minorHAnsi"/>
          <w:b/>
          <w:sz w:val="16"/>
          <w:szCs w:val="16"/>
        </w:rPr>
        <w:br w:type="page"/>
      </w:r>
    </w:p>
    <w:p w14:paraId="2EC96AC5" w14:textId="77777777" w:rsidR="0002381D" w:rsidRPr="00D4158A" w:rsidRDefault="0002381D" w:rsidP="00D4158A">
      <w:pPr>
        <w:tabs>
          <w:tab w:val="decimal" w:pos="4253"/>
          <w:tab w:val="decimal" w:pos="5670"/>
          <w:tab w:val="decimal" w:pos="7088"/>
          <w:tab w:val="decimal" w:pos="8505"/>
          <w:tab w:val="decimal" w:pos="9923"/>
        </w:tabs>
        <w:spacing w:after="120" w:line="240" w:lineRule="auto"/>
        <w:rPr>
          <w:rFonts w:cstheme="minorHAnsi"/>
          <w:b/>
          <w:sz w:val="16"/>
          <w:szCs w:val="16"/>
        </w:rPr>
      </w:pPr>
      <w:r w:rsidRPr="00D4158A">
        <w:rPr>
          <w:rFonts w:cstheme="minorHAnsi"/>
          <w:b/>
          <w:sz w:val="16"/>
          <w:szCs w:val="16"/>
        </w:rPr>
        <w:lastRenderedPageBreak/>
        <w:t>Statement of financial position</w:t>
      </w:r>
    </w:p>
    <w:p w14:paraId="0011CAB5" w14:textId="77777777" w:rsidR="0002381D" w:rsidRPr="00D4158A" w:rsidRDefault="0002381D" w:rsidP="00D4158A">
      <w:pPr>
        <w:tabs>
          <w:tab w:val="decimal" w:pos="4253"/>
          <w:tab w:val="decimal" w:pos="5670"/>
          <w:tab w:val="decimal" w:pos="7088"/>
          <w:tab w:val="decimal" w:pos="8505"/>
          <w:tab w:val="decimal" w:pos="9923"/>
        </w:tabs>
        <w:spacing w:after="120" w:line="240" w:lineRule="auto"/>
        <w:rPr>
          <w:rFonts w:cstheme="minorHAnsi"/>
          <w:sz w:val="16"/>
          <w:szCs w:val="16"/>
        </w:rPr>
      </w:pPr>
      <w:r w:rsidRPr="00D4158A">
        <w:rPr>
          <w:rFonts w:cstheme="minorHAnsi"/>
          <w:b/>
          <w:sz w:val="16"/>
          <w:szCs w:val="16"/>
        </w:rPr>
        <w:t>At 31 October 2019</w:t>
      </w:r>
    </w:p>
    <w:p w14:paraId="459A2BA4" w14:textId="77777777" w:rsidR="0002381D" w:rsidRPr="00D4158A" w:rsidRDefault="0002381D" w:rsidP="00D4158A">
      <w:pPr>
        <w:pBdr>
          <w:bottom w:val="single" w:sz="6" w:space="1" w:color="auto"/>
        </w:pBdr>
        <w:spacing w:after="120" w:line="240" w:lineRule="auto"/>
        <w:jc w:val="right"/>
        <w:rPr>
          <w:rFonts w:cstheme="minorHAnsi"/>
          <w:sz w:val="16"/>
          <w:szCs w:val="16"/>
        </w:rPr>
      </w:pPr>
    </w:p>
    <w:p w14:paraId="4688FAA9" w14:textId="77777777" w:rsidR="0002381D" w:rsidRPr="00D4158A" w:rsidRDefault="0002381D" w:rsidP="00D4158A">
      <w:pPr>
        <w:tabs>
          <w:tab w:val="decimal" w:pos="4253"/>
          <w:tab w:val="decimal" w:pos="5670"/>
          <w:tab w:val="decimal" w:pos="7088"/>
          <w:tab w:val="decimal" w:pos="8505"/>
          <w:tab w:val="decimal" w:pos="9923"/>
        </w:tabs>
        <w:spacing w:after="120" w:line="240" w:lineRule="auto"/>
        <w:rPr>
          <w:rFonts w:cstheme="minorHAnsi"/>
          <w:b/>
          <w:sz w:val="16"/>
          <w:szCs w:val="16"/>
        </w:rPr>
      </w:pPr>
    </w:p>
    <w:tbl>
      <w:tblPr>
        <w:tblW w:w="9885" w:type="dxa"/>
        <w:tblInd w:w="-108" w:type="dxa"/>
        <w:tblLayout w:type="fixed"/>
        <w:tblLook w:val="04A0" w:firstRow="1" w:lastRow="0" w:firstColumn="1" w:lastColumn="0" w:noHBand="0" w:noVBand="1"/>
      </w:tblPr>
      <w:tblGrid>
        <w:gridCol w:w="4503"/>
        <w:gridCol w:w="992"/>
        <w:gridCol w:w="1559"/>
        <w:gridCol w:w="142"/>
        <w:gridCol w:w="1417"/>
        <w:gridCol w:w="1272"/>
      </w:tblGrid>
      <w:tr w:rsidR="0002381D" w:rsidRPr="00987B3B" w14:paraId="7636B5BE" w14:textId="77777777" w:rsidTr="00270393">
        <w:trPr>
          <w:gridAfter w:val="1"/>
          <w:wAfter w:w="1272" w:type="dxa"/>
        </w:trPr>
        <w:tc>
          <w:tcPr>
            <w:tcW w:w="4503" w:type="dxa"/>
          </w:tcPr>
          <w:p w14:paraId="100502D5" w14:textId="77777777" w:rsidR="0002381D" w:rsidRPr="00D4158A" w:rsidRDefault="0002381D" w:rsidP="00D4158A">
            <w:pPr>
              <w:spacing w:after="120" w:line="240" w:lineRule="auto"/>
              <w:jc w:val="left"/>
              <w:rPr>
                <w:rFonts w:cstheme="minorHAnsi"/>
                <w:i/>
                <w:sz w:val="16"/>
                <w:szCs w:val="16"/>
              </w:rPr>
            </w:pPr>
          </w:p>
        </w:tc>
        <w:tc>
          <w:tcPr>
            <w:tcW w:w="992" w:type="dxa"/>
            <w:hideMark/>
          </w:tcPr>
          <w:p w14:paraId="2B4A6C43" w14:textId="77777777" w:rsidR="0002381D" w:rsidRPr="00D4158A" w:rsidRDefault="0002381D" w:rsidP="00D4158A">
            <w:pPr>
              <w:tabs>
                <w:tab w:val="decimal" w:pos="497"/>
              </w:tabs>
              <w:spacing w:after="120" w:line="240" w:lineRule="auto"/>
              <w:jc w:val="left"/>
              <w:rPr>
                <w:rFonts w:cstheme="minorHAnsi"/>
                <w:b/>
                <w:sz w:val="16"/>
                <w:szCs w:val="16"/>
              </w:rPr>
            </w:pPr>
            <w:r w:rsidRPr="00D4158A">
              <w:rPr>
                <w:rFonts w:cstheme="minorHAnsi"/>
                <w:b/>
                <w:sz w:val="16"/>
                <w:szCs w:val="16"/>
              </w:rPr>
              <w:t>Note</w:t>
            </w:r>
          </w:p>
        </w:tc>
        <w:tc>
          <w:tcPr>
            <w:tcW w:w="1559" w:type="dxa"/>
            <w:hideMark/>
          </w:tcPr>
          <w:p w14:paraId="612819BC" w14:textId="10997816" w:rsidR="0002381D" w:rsidRPr="00D4158A" w:rsidRDefault="00B575FC" w:rsidP="00D4158A">
            <w:pPr>
              <w:spacing w:after="120" w:line="240" w:lineRule="auto"/>
              <w:ind w:right="173"/>
              <w:jc w:val="right"/>
              <w:rPr>
                <w:rFonts w:cstheme="minorHAnsi"/>
                <w:b/>
                <w:sz w:val="16"/>
                <w:szCs w:val="16"/>
              </w:rPr>
            </w:pPr>
            <w:r>
              <w:rPr>
                <w:rFonts w:cstheme="minorHAnsi"/>
                <w:b/>
                <w:sz w:val="16"/>
                <w:szCs w:val="16"/>
              </w:rPr>
              <w:t xml:space="preserve"> </w:t>
            </w:r>
            <w:r w:rsidR="0002381D" w:rsidRPr="00D4158A">
              <w:rPr>
                <w:rFonts w:cstheme="minorHAnsi"/>
                <w:b/>
                <w:sz w:val="16"/>
                <w:szCs w:val="16"/>
              </w:rPr>
              <w:t xml:space="preserve">31 Oct </w:t>
            </w:r>
          </w:p>
          <w:p w14:paraId="5A702181" w14:textId="77777777" w:rsidR="0002381D" w:rsidRPr="00D4158A" w:rsidRDefault="0002381D" w:rsidP="00D4158A">
            <w:pPr>
              <w:tabs>
                <w:tab w:val="decimal" w:pos="1173"/>
              </w:tabs>
              <w:spacing w:after="120" w:line="240" w:lineRule="auto"/>
              <w:rPr>
                <w:rFonts w:cstheme="minorHAnsi"/>
                <w:b/>
                <w:sz w:val="16"/>
                <w:szCs w:val="16"/>
              </w:rPr>
            </w:pPr>
            <w:r w:rsidRPr="00D4158A">
              <w:rPr>
                <w:rFonts w:cstheme="minorHAnsi"/>
                <w:b/>
                <w:sz w:val="16"/>
                <w:szCs w:val="16"/>
              </w:rPr>
              <w:t>2019</w:t>
            </w:r>
          </w:p>
          <w:p w14:paraId="1AC23466" w14:textId="77777777" w:rsidR="0002381D" w:rsidRPr="00D4158A" w:rsidRDefault="0002381D" w:rsidP="00D4158A">
            <w:pPr>
              <w:tabs>
                <w:tab w:val="decimal" w:pos="1173"/>
              </w:tabs>
              <w:spacing w:after="120" w:line="240" w:lineRule="auto"/>
              <w:rPr>
                <w:rFonts w:cstheme="minorHAnsi"/>
                <w:b/>
                <w:sz w:val="16"/>
                <w:szCs w:val="16"/>
              </w:rPr>
            </w:pPr>
            <w:r w:rsidRPr="00D4158A">
              <w:rPr>
                <w:rFonts w:cstheme="minorHAnsi"/>
                <w:b/>
                <w:sz w:val="16"/>
                <w:szCs w:val="16"/>
              </w:rPr>
              <w:t>Unaudited</w:t>
            </w:r>
          </w:p>
          <w:p w14:paraId="2760DB10" w14:textId="77777777" w:rsidR="0002381D" w:rsidRPr="00D4158A" w:rsidRDefault="0002381D" w:rsidP="00D4158A">
            <w:pPr>
              <w:tabs>
                <w:tab w:val="decimal" w:pos="1173"/>
              </w:tabs>
              <w:spacing w:after="120" w:line="240" w:lineRule="auto"/>
              <w:rPr>
                <w:rFonts w:cstheme="minorHAnsi"/>
                <w:b/>
                <w:sz w:val="16"/>
                <w:szCs w:val="16"/>
              </w:rPr>
            </w:pPr>
            <w:r w:rsidRPr="00D4158A">
              <w:rPr>
                <w:rFonts w:cstheme="minorHAnsi"/>
                <w:b/>
                <w:sz w:val="16"/>
                <w:szCs w:val="16"/>
              </w:rPr>
              <w:t>RM</w:t>
            </w:r>
          </w:p>
        </w:tc>
        <w:tc>
          <w:tcPr>
            <w:tcW w:w="1559" w:type="dxa"/>
            <w:gridSpan w:val="2"/>
            <w:hideMark/>
          </w:tcPr>
          <w:p w14:paraId="49C0BC85" w14:textId="77777777" w:rsidR="0002381D" w:rsidRPr="00D4158A" w:rsidRDefault="0002381D" w:rsidP="00D4158A">
            <w:pPr>
              <w:tabs>
                <w:tab w:val="decimal" w:pos="1307"/>
              </w:tabs>
              <w:spacing w:after="120" w:line="240" w:lineRule="auto"/>
              <w:ind w:right="177"/>
              <w:rPr>
                <w:rFonts w:cstheme="minorHAnsi"/>
                <w:b/>
                <w:sz w:val="16"/>
                <w:szCs w:val="16"/>
              </w:rPr>
            </w:pPr>
            <w:r w:rsidRPr="00D4158A">
              <w:rPr>
                <w:rFonts w:cstheme="minorHAnsi"/>
                <w:b/>
                <w:sz w:val="16"/>
                <w:szCs w:val="16"/>
              </w:rPr>
              <w:t>30 April</w:t>
            </w:r>
          </w:p>
          <w:p w14:paraId="020D0DA4" w14:textId="77777777" w:rsidR="0002381D" w:rsidRPr="00D4158A" w:rsidRDefault="0002381D" w:rsidP="00D4158A">
            <w:pPr>
              <w:tabs>
                <w:tab w:val="decimal" w:pos="1307"/>
              </w:tabs>
              <w:spacing w:after="120" w:line="240" w:lineRule="auto"/>
              <w:rPr>
                <w:rFonts w:cstheme="minorHAnsi"/>
                <w:b/>
                <w:sz w:val="16"/>
                <w:szCs w:val="16"/>
              </w:rPr>
            </w:pPr>
            <w:r w:rsidRPr="00D4158A">
              <w:rPr>
                <w:rFonts w:cstheme="minorHAnsi"/>
                <w:b/>
                <w:sz w:val="16"/>
                <w:szCs w:val="16"/>
              </w:rPr>
              <w:t>2019</w:t>
            </w:r>
          </w:p>
          <w:p w14:paraId="49D0FF74" w14:textId="77777777" w:rsidR="0002381D" w:rsidRPr="00D4158A" w:rsidRDefault="0002381D" w:rsidP="00D4158A">
            <w:pPr>
              <w:tabs>
                <w:tab w:val="decimal" w:pos="1307"/>
              </w:tabs>
              <w:spacing w:after="120" w:line="240" w:lineRule="auto"/>
              <w:rPr>
                <w:rFonts w:cstheme="minorHAnsi"/>
                <w:b/>
                <w:sz w:val="16"/>
                <w:szCs w:val="16"/>
              </w:rPr>
            </w:pPr>
            <w:r w:rsidRPr="00D4158A">
              <w:rPr>
                <w:rFonts w:cstheme="minorHAnsi"/>
                <w:b/>
                <w:sz w:val="16"/>
                <w:szCs w:val="16"/>
              </w:rPr>
              <w:t>Audited</w:t>
            </w:r>
          </w:p>
          <w:p w14:paraId="71E4EBCB" w14:textId="77777777" w:rsidR="0002381D" w:rsidRPr="00D4158A" w:rsidRDefault="0002381D" w:rsidP="00D4158A">
            <w:pPr>
              <w:tabs>
                <w:tab w:val="decimal" w:pos="1307"/>
              </w:tabs>
              <w:spacing w:after="120" w:line="240" w:lineRule="auto"/>
              <w:rPr>
                <w:rFonts w:cstheme="minorHAnsi"/>
                <w:b/>
                <w:sz w:val="16"/>
                <w:szCs w:val="16"/>
              </w:rPr>
            </w:pPr>
            <w:r w:rsidRPr="00D4158A">
              <w:rPr>
                <w:rFonts w:cstheme="minorHAnsi"/>
                <w:b/>
                <w:sz w:val="16"/>
                <w:szCs w:val="16"/>
              </w:rPr>
              <w:t>RM</w:t>
            </w:r>
          </w:p>
        </w:tc>
      </w:tr>
      <w:tr w:rsidR="0002381D" w:rsidRPr="00987B3B" w14:paraId="298AA5BA" w14:textId="77777777" w:rsidTr="00270393">
        <w:tc>
          <w:tcPr>
            <w:tcW w:w="4503" w:type="dxa"/>
          </w:tcPr>
          <w:p w14:paraId="2BE7228D" w14:textId="77777777" w:rsidR="0002381D" w:rsidRPr="00D4158A" w:rsidRDefault="0002381D" w:rsidP="00D4158A">
            <w:pPr>
              <w:spacing w:after="120" w:line="240" w:lineRule="auto"/>
              <w:jc w:val="left"/>
              <w:rPr>
                <w:rFonts w:cstheme="minorHAnsi"/>
                <w:sz w:val="16"/>
                <w:szCs w:val="16"/>
              </w:rPr>
            </w:pPr>
          </w:p>
        </w:tc>
        <w:tc>
          <w:tcPr>
            <w:tcW w:w="992" w:type="dxa"/>
          </w:tcPr>
          <w:p w14:paraId="5D253DAF" w14:textId="77777777" w:rsidR="0002381D" w:rsidRPr="00D4158A" w:rsidRDefault="0002381D" w:rsidP="00D4158A">
            <w:pPr>
              <w:tabs>
                <w:tab w:val="decimal" w:pos="497"/>
              </w:tabs>
              <w:spacing w:after="120" w:line="240" w:lineRule="auto"/>
              <w:jc w:val="left"/>
              <w:rPr>
                <w:rFonts w:cstheme="minorHAnsi"/>
                <w:b/>
                <w:sz w:val="16"/>
                <w:szCs w:val="16"/>
              </w:rPr>
            </w:pPr>
          </w:p>
        </w:tc>
        <w:tc>
          <w:tcPr>
            <w:tcW w:w="1559" w:type="dxa"/>
          </w:tcPr>
          <w:p w14:paraId="78BC40D5" w14:textId="77777777" w:rsidR="0002381D" w:rsidRPr="00D4158A" w:rsidRDefault="0002381D" w:rsidP="00D4158A">
            <w:pPr>
              <w:tabs>
                <w:tab w:val="decimal" w:pos="1173"/>
              </w:tabs>
              <w:spacing w:after="120" w:line="240" w:lineRule="auto"/>
              <w:rPr>
                <w:rFonts w:cstheme="minorHAnsi"/>
                <w:b/>
                <w:sz w:val="16"/>
                <w:szCs w:val="16"/>
              </w:rPr>
            </w:pPr>
          </w:p>
        </w:tc>
        <w:tc>
          <w:tcPr>
            <w:tcW w:w="2831" w:type="dxa"/>
            <w:gridSpan w:val="3"/>
          </w:tcPr>
          <w:p w14:paraId="6910188C" w14:textId="77777777" w:rsidR="0002381D" w:rsidRPr="00D4158A" w:rsidRDefault="0002381D" w:rsidP="00D4158A">
            <w:pPr>
              <w:tabs>
                <w:tab w:val="decimal" w:pos="1307"/>
              </w:tabs>
              <w:spacing w:after="120" w:line="240" w:lineRule="auto"/>
              <w:rPr>
                <w:rFonts w:cstheme="minorHAnsi"/>
                <w:b/>
                <w:sz w:val="16"/>
                <w:szCs w:val="16"/>
              </w:rPr>
            </w:pPr>
          </w:p>
        </w:tc>
      </w:tr>
      <w:tr w:rsidR="0002381D" w:rsidRPr="00987B3B" w14:paraId="1C08F579" w14:textId="77777777" w:rsidTr="00270393">
        <w:tc>
          <w:tcPr>
            <w:tcW w:w="4503" w:type="dxa"/>
            <w:hideMark/>
          </w:tcPr>
          <w:p w14:paraId="47049581" w14:textId="77777777" w:rsidR="0002381D" w:rsidRPr="00D4158A" w:rsidRDefault="0002381D" w:rsidP="00D4158A">
            <w:pPr>
              <w:spacing w:after="120" w:line="240" w:lineRule="auto"/>
              <w:jc w:val="left"/>
              <w:rPr>
                <w:rFonts w:cstheme="minorHAnsi"/>
                <w:b/>
                <w:sz w:val="16"/>
                <w:szCs w:val="16"/>
              </w:rPr>
            </w:pPr>
            <w:r w:rsidRPr="00D4158A">
              <w:rPr>
                <w:rFonts w:cstheme="minorHAnsi"/>
                <w:b/>
                <w:sz w:val="16"/>
                <w:szCs w:val="16"/>
              </w:rPr>
              <w:t>Non-current assets</w:t>
            </w:r>
          </w:p>
        </w:tc>
        <w:tc>
          <w:tcPr>
            <w:tcW w:w="992" w:type="dxa"/>
          </w:tcPr>
          <w:p w14:paraId="15E853E7" w14:textId="77777777" w:rsidR="0002381D" w:rsidRPr="00D4158A" w:rsidRDefault="0002381D" w:rsidP="00D4158A">
            <w:pPr>
              <w:tabs>
                <w:tab w:val="decimal" w:pos="497"/>
              </w:tabs>
              <w:spacing w:after="120" w:line="240" w:lineRule="auto"/>
              <w:jc w:val="left"/>
              <w:rPr>
                <w:rFonts w:cstheme="minorHAnsi"/>
                <w:sz w:val="16"/>
                <w:szCs w:val="16"/>
              </w:rPr>
            </w:pPr>
          </w:p>
        </w:tc>
        <w:tc>
          <w:tcPr>
            <w:tcW w:w="1559" w:type="dxa"/>
          </w:tcPr>
          <w:p w14:paraId="0CE776D3" w14:textId="77777777" w:rsidR="0002381D" w:rsidRPr="00D4158A" w:rsidRDefault="0002381D" w:rsidP="00D4158A">
            <w:pPr>
              <w:tabs>
                <w:tab w:val="decimal" w:pos="1173"/>
              </w:tabs>
              <w:spacing w:after="120" w:line="240" w:lineRule="auto"/>
              <w:rPr>
                <w:rFonts w:cstheme="minorHAnsi"/>
                <w:b/>
                <w:sz w:val="16"/>
                <w:szCs w:val="16"/>
              </w:rPr>
            </w:pPr>
          </w:p>
        </w:tc>
        <w:tc>
          <w:tcPr>
            <w:tcW w:w="2831" w:type="dxa"/>
            <w:gridSpan w:val="3"/>
          </w:tcPr>
          <w:p w14:paraId="26C62F15" w14:textId="77777777" w:rsidR="0002381D" w:rsidRPr="00D4158A" w:rsidRDefault="0002381D" w:rsidP="00D4158A">
            <w:pPr>
              <w:tabs>
                <w:tab w:val="decimal" w:pos="1307"/>
              </w:tabs>
              <w:spacing w:after="120" w:line="240" w:lineRule="auto"/>
              <w:rPr>
                <w:rFonts w:cstheme="minorHAnsi"/>
                <w:b/>
                <w:sz w:val="16"/>
                <w:szCs w:val="16"/>
              </w:rPr>
            </w:pPr>
          </w:p>
        </w:tc>
      </w:tr>
      <w:tr w:rsidR="0002381D" w:rsidRPr="00987B3B" w14:paraId="0E4DE92E" w14:textId="77777777" w:rsidTr="00270393">
        <w:tc>
          <w:tcPr>
            <w:tcW w:w="4503" w:type="dxa"/>
            <w:hideMark/>
          </w:tcPr>
          <w:p w14:paraId="1EBDE951"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Plant and equipment</w:t>
            </w:r>
          </w:p>
        </w:tc>
        <w:tc>
          <w:tcPr>
            <w:tcW w:w="992" w:type="dxa"/>
            <w:hideMark/>
          </w:tcPr>
          <w:p w14:paraId="76AC9167" w14:textId="77777777" w:rsidR="0002381D" w:rsidRPr="00D4158A" w:rsidRDefault="0002381D" w:rsidP="00D4158A">
            <w:pPr>
              <w:tabs>
                <w:tab w:val="decimal" w:pos="497"/>
              </w:tabs>
              <w:spacing w:after="120" w:line="240" w:lineRule="auto"/>
              <w:jc w:val="left"/>
              <w:rPr>
                <w:rFonts w:cstheme="minorHAnsi"/>
                <w:sz w:val="16"/>
                <w:szCs w:val="16"/>
              </w:rPr>
            </w:pPr>
            <w:r w:rsidRPr="00D4158A">
              <w:rPr>
                <w:rFonts w:cstheme="minorHAnsi"/>
                <w:sz w:val="16"/>
                <w:szCs w:val="16"/>
              </w:rPr>
              <w:t>4</w:t>
            </w:r>
          </w:p>
        </w:tc>
        <w:tc>
          <w:tcPr>
            <w:tcW w:w="1701" w:type="dxa"/>
            <w:gridSpan w:val="2"/>
            <w:hideMark/>
          </w:tcPr>
          <w:p w14:paraId="55531979" w14:textId="77777777" w:rsidR="0002381D" w:rsidRPr="00D4158A" w:rsidRDefault="0002381D" w:rsidP="00D4158A">
            <w:pPr>
              <w:tabs>
                <w:tab w:val="decimal" w:pos="1173"/>
              </w:tabs>
              <w:spacing w:after="120" w:line="240" w:lineRule="auto"/>
              <w:rPr>
                <w:rFonts w:cstheme="minorHAnsi"/>
                <w:sz w:val="16"/>
                <w:szCs w:val="16"/>
              </w:rPr>
            </w:pPr>
            <w:r w:rsidRPr="00D4158A">
              <w:rPr>
                <w:rFonts w:cstheme="minorHAnsi"/>
                <w:sz w:val="16"/>
                <w:szCs w:val="16"/>
              </w:rPr>
              <w:t>81,709</w:t>
            </w:r>
          </w:p>
        </w:tc>
        <w:tc>
          <w:tcPr>
            <w:tcW w:w="2689" w:type="dxa"/>
            <w:gridSpan w:val="2"/>
            <w:hideMark/>
          </w:tcPr>
          <w:p w14:paraId="700516F0" w14:textId="77777777" w:rsidR="0002381D" w:rsidRPr="00D4158A" w:rsidRDefault="0002381D" w:rsidP="00D4158A">
            <w:pPr>
              <w:tabs>
                <w:tab w:val="decimal" w:pos="1307"/>
              </w:tabs>
              <w:spacing w:after="120" w:line="240" w:lineRule="auto"/>
              <w:rPr>
                <w:rFonts w:cstheme="minorHAnsi"/>
                <w:sz w:val="16"/>
                <w:szCs w:val="16"/>
              </w:rPr>
            </w:pPr>
            <w:r w:rsidRPr="00D4158A">
              <w:rPr>
                <w:rFonts w:cstheme="minorHAnsi"/>
                <w:sz w:val="16"/>
                <w:szCs w:val="16"/>
              </w:rPr>
              <w:t>57,478</w:t>
            </w:r>
          </w:p>
        </w:tc>
      </w:tr>
      <w:tr w:rsidR="0002381D" w:rsidRPr="00987B3B" w14:paraId="235FDE83" w14:textId="77777777" w:rsidTr="00270393">
        <w:trPr>
          <w:trHeight w:val="472"/>
        </w:trPr>
        <w:tc>
          <w:tcPr>
            <w:tcW w:w="4503" w:type="dxa"/>
          </w:tcPr>
          <w:p w14:paraId="5DF74414"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Intangible assets</w:t>
            </w:r>
          </w:p>
          <w:p w14:paraId="71FBA035" w14:textId="77777777" w:rsidR="0002381D" w:rsidRPr="00D4158A" w:rsidRDefault="0002381D" w:rsidP="00D4158A">
            <w:pPr>
              <w:spacing w:after="120" w:line="240" w:lineRule="auto"/>
              <w:jc w:val="left"/>
              <w:rPr>
                <w:rFonts w:cstheme="minorHAnsi"/>
                <w:sz w:val="16"/>
                <w:szCs w:val="16"/>
              </w:rPr>
            </w:pPr>
          </w:p>
        </w:tc>
        <w:tc>
          <w:tcPr>
            <w:tcW w:w="992" w:type="dxa"/>
            <w:hideMark/>
          </w:tcPr>
          <w:p w14:paraId="5D3E1580" w14:textId="77777777" w:rsidR="0002381D" w:rsidRPr="00D4158A" w:rsidRDefault="0002381D" w:rsidP="00D4158A">
            <w:pPr>
              <w:tabs>
                <w:tab w:val="decimal" w:pos="497"/>
              </w:tabs>
              <w:spacing w:after="120" w:line="240" w:lineRule="auto"/>
              <w:jc w:val="left"/>
              <w:rPr>
                <w:rFonts w:cstheme="minorHAnsi"/>
                <w:sz w:val="16"/>
                <w:szCs w:val="16"/>
              </w:rPr>
            </w:pPr>
            <w:r w:rsidRPr="00D4158A">
              <w:rPr>
                <w:rFonts w:cstheme="minorHAnsi"/>
                <w:sz w:val="16"/>
                <w:szCs w:val="16"/>
              </w:rPr>
              <w:t>5</w:t>
            </w:r>
          </w:p>
        </w:tc>
        <w:tc>
          <w:tcPr>
            <w:tcW w:w="1701" w:type="dxa"/>
            <w:gridSpan w:val="2"/>
            <w:hideMark/>
          </w:tcPr>
          <w:p w14:paraId="31CBC045" w14:textId="77777777" w:rsidR="0002381D" w:rsidRPr="00D4158A" w:rsidRDefault="0002381D" w:rsidP="00D4158A">
            <w:pPr>
              <w:tabs>
                <w:tab w:val="decimal" w:pos="1173"/>
              </w:tabs>
              <w:spacing w:after="120" w:line="240" w:lineRule="auto"/>
              <w:rPr>
                <w:rFonts w:cstheme="minorHAnsi"/>
                <w:bCs/>
                <w:sz w:val="16"/>
                <w:szCs w:val="16"/>
              </w:rPr>
            </w:pPr>
            <w:r w:rsidRPr="00D4158A">
              <w:rPr>
                <w:rFonts w:cstheme="minorHAnsi"/>
                <w:bCs/>
                <w:sz w:val="16"/>
                <w:szCs w:val="16"/>
              </w:rPr>
              <w:t>228,097</w:t>
            </w:r>
          </w:p>
          <w:p w14:paraId="709BD8B3" w14:textId="77777777" w:rsidR="0002381D" w:rsidRPr="00D4158A" w:rsidRDefault="0002381D" w:rsidP="00D4158A">
            <w:pPr>
              <w:tabs>
                <w:tab w:val="decimal" w:pos="1173"/>
              </w:tabs>
              <w:spacing w:after="120" w:line="240" w:lineRule="auto"/>
              <w:rPr>
                <w:rFonts w:cstheme="minorHAnsi"/>
                <w:bCs/>
                <w:sz w:val="16"/>
                <w:szCs w:val="16"/>
              </w:rPr>
            </w:pPr>
            <w:r w:rsidRPr="00D4158A">
              <w:rPr>
                <w:rFonts w:cstheme="minorHAnsi"/>
                <w:sz w:val="16"/>
                <w:szCs w:val="16"/>
              </w:rPr>
              <w:t>_________</w:t>
            </w:r>
          </w:p>
        </w:tc>
        <w:tc>
          <w:tcPr>
            <w:tcW w:w="2689" w:type="dxa"/>
            <w:gridSpan w:val="2"/>
            <w:hideMark/>
          </w:tcPr>
          <w:p w14:paraId="25D54FBA" w14:textId="77777777" w:rsidR="0002381D" w:rsidRPr="00D4158A" w:rsidRDefault="0002381D" w:rsidP="00D4158A">
            <w:pPr>
              <w:tabs>
                <w:tab w:val="decimal" w:pos="1307"/>
              </w:tabs>
              <w:spacing w:after="120" w:line="240" w:lineRule="auto"/>
              <w:rPr>
                <w:rFonts w:cstheme="minorHAnsi"/>
                <w:sz w:val="16"/>
                <w:szCs w:val="16"/>
              </w:rPr>
            </w:pPr>
            <w:r w:rsidRPr="00D4158A">
              <w:rPr>
                <w:rFonts w:cstheme="minorHAnsi"/>
                <w:sz w:val="16"/>
                <w:szCs w:val="16"/>
              </w:rPr>
              <w:t>260,682</w:t>
            </w:r>
          </w:p>
          <w:p w14:paraId="0360606D" w14:textId="77777777" w:rsidR="0002381D" w:rsidRPr="00D4158A" w:rsidRDefault="0002381D" w:rsidP="00D4158A">
            <w:pPr>
              <w:tabs>
                <w:tab w:val="decimal" w:pos="1307"/>
              </w:tabs>
              <w:spacing w:after="120" w:line="240" w:lineRule="auto"/>
              <w:rPr>
                <w:rFonts w:cstheme="minorHAnsi"/>
                <w:sz w:val="16"/>
                <w:szCs w:val="16"/>
              </w:rPr>
            </w:pPr>
            <w:r w:rsidRPr="00D4158A">
              <w:rPr>
                <w:rFonts w:cstheme="minorHAnsi"/>
                <w:sz w:val="16"/>
                <w:szCs w:val="16"/>
              </w:rPr>
              <w:t>_________</w:t>
            </w:r>
          </w:p>
        </w:tc>
      </w:tr>
      <w:tr w:rsidR="0002381D" w:rsidRPr="00987B3B" w14:paraId="19E53B03" w14:textId="77777777" w:rsidTr="00270393">
        <w:tc>
          <w:tcPr>
            <w:tcW w:w="4503" w:type="dxa"/>
          </w:tcPr>
          <w:p w14:paraId="2FE801CF" w14:textId="77777777" w:rsidR="0002381D" w:rsidRPr="00D4158A" w:rsidRDefault="0002381D" w:rsidP="00D4158A">
            <w:pPr>
              <w:spacing w:after="120" w:line="240" w:lineRule="auto"/>
              <w:jc w:val="left"/>
              <w:rPr>
                <w:rFonts w:cstheme="minorHAnsi"/>
                <w:sz w:val="16"/>
                <w:szCs w:val="16"/>
              </w:rPr>
            </w:pPr>
          </w:p>
        </w:tc>
        <w:tc>
          <w:tcPr>
            <w:tcW w:w="992" w:type="dxa"/>
          </w:tcPr>
          <w:p w14:paraId="729A4135" w14:textId="77777777" w:rsidR="0002381D" w:rsidRPr="00D4158A" w:rsidRDefault="0002381D" w:rsidP="00D4158A">
            <w:pPr>
              <w:tabs>
                <w:tab w:val="decimal" w:pos="497"/>
              </w:tabs>
              <w:spacing w:after="120" w:line="240" w:lineRule="auto"/>
              <w:jc w:val="left"/>
              <w:rPr>
                <w:rFonts w:cstheme="minorHAnsi"/>
                <w:sz w:val="16"/>
                <w:szCs w:val="16"/>
              </w:rPr>
            </w:pPr>
          </w:p>
        </w:tc>
        <w:tc>
          <w:tcPr>
            <w:tcW w:w="1701" w:type="dxa"/>
            <w:gridSpan w:val="2"/>
            <w:hideMark/>
          </w:tcPr>
          <w:p w14:paraId="22C47462" w14:textId="77777777" w:rsidR="0002381D" w:rsidRPr="00D4158A" w:rsidRDefault="0002381D" w:rsidP="00D4158A">
            <w:pPr>
              <w:tabs>
                <w:tab w:val="decimal" w:pos="1173"/>
              </w:tabs>
              <w:spacing w:after="120" w:line="240" w:lineRule="auto"/>
              <w:rPr>
                <w:rFonts w:cstheme="minorHAnsi"/>
                <w:sz w:val="16"/>
                <w:szCs w:val="16"/>
              </w:rPr>
            </w:pPr>
            <w:r w:rsidRPr="00D4158A">
              <w:rPr>
                <w:rFonts w:cstheme="minorHAnsi"/>
                <w:sz w:val="16"/>
                <w:szCs w:val="16"/>
              </w:rPr>
              <w:t>309,806</w:t>
            </w:r>
          </w:p>
          <w:p w14:paraId="65B19D41" w14:textId="77777777" w:rsidR="0002381D" w:rsidRPr="00D4158A" w:rsidRDefault="0002381D" w:rsidP="00D4158A">
            <w:pPr>
              <w:tabs>
                <w:tab w:val="decimal" w:pos="1173"/>
              </w:tabs>
              <w:spacing w:after="120" w:line="240" w:lineRule="auto"/>
              <w:rPr>
                <w:rFonts w:cstheme="minorHAnsi"/>
                <w:bCs/>
                <w:sz w:val="16"/>
                <w:szCs w:val="16"/>
              </w:rPr>
            </w:pPr>
            <w:r w:rsidRPr="00D4158A">
              <w:rPr>
                <w:rFonts w:cstheme="minorHAnsi"/>
                <w:sz w:val="16"/>
                <w:szCs w:val="16"/>
              </w:rPr>
              <w:t>_________</w:t>
            </w:r>
          </w:p>
        </w:tc>
        <w:tc>
          <w:tcPr>
            <w:tcW w:w="2689" w:type="dxa"/>
            <w:gridSpan w:val="2"/>
            <w:hideMark/>
          </w:tcPr>
          <w:p w14:paraId="69EAB5A8" w14:textId="77777777" w:rsidR="0002381D" w:rsidRPr="00D4158A" w:rsidRDefault="0002381D" w:rsidP="00D4158A">
            <w:pPr>
              <w:tabs>
                <w:tab w:val="decimal" w:pos="1307"/>
              </w:tabs>
              <w:spacing w:after="120" w:line="240" w:lineRule="auto"/>
              <w:rPr>
                <w:rFonts w:cstheme="minorHAnsi"/>
                <w:sz w:val="16"/>
                <w:szCs w:val="16"/>
              </w:rPr>
            </w:pPr>
            <w:r w:rsidRPr="00D4158A">
              <w:rPr>
                <w:rFonts w:cstheme="minorHAnsi"/>
                <w:sz w:val="16"/>
                <w:szCs w:val="16"/>
              </w:rPr>
              <w:t>318,160</w:t>
            </w:r>
          </w:p>
          <w:p w14:paraId="6C47CF36" w14:textId="77777777" w:rsidR="0002381D" w:rsidRPr="00D4158A" w:rsidRDefault="0002381D" w:rsidP="00D4158A">
            <w:pPr>
              <w:tabs>
                <w:tab w:val="decimal" w:pos="1307"/>
              </w:tabs>
              <w:spacing w:after="120" w:line="240" w:lineRule="auto"/>
              <w:rPr>
                <w:rFonts w:cstheme="minorHAnsi"/>
                <w:sz w:val="16"/>
                <w:szCs w:val="16"/>
              </w:rPr>
            </w:pPr>
            <w:r w:rsidRPr="00D4158A">
              <w:rPr>
                <w:rFonts w:cstheme="minorHAnsi"/>
                <w:sz w:val="16"/>
                <w:szCs w:val="16"/>
              </w:rPr>
              <w:t>_________</w:t>
            </w:r>
          </w:p>
        </w:tc>
      </w:tr>
      <w:tr w:rsidR="0002381D" w:rsidRPr="00987B3B" w14:paraId="3A0A2C08" w14:textId="77777777" w:rsidTr="00270393">
        <w:tc>
          <w:tcPr>
            <w:tcW w:w="4503" w:type="dxa"/>
            <w:hideMark/>
          </w:tcPr>
          <w:p w14:paraId="0A15A741" w14:textId="77777777" w:rsidR="0002381D" w:rsidRPr="00D4158A" w:rsidRDefault="0002381D" w:rsidP="00D4158A">
            <w:pPr>
              <w:spacing w:after="120" w:line="240" w:lineRule="auto"/>
              <w:jc w:val="left"/>
              <w:rPr>
                <w:rFonts w:cstheme="minorHAnsi"/>
                <w:b/>
                <w:sz w:val="16"/>
                <w:szCs w:val="16"/>
              </w:rPr>
            </w:pPr>
            <w:r w:rsidRPr="00D4158A">
              <w:rPr>
                <w:rFonts w:cstheme="minorHAnsi"/>
                <w:b/>
                <w:sz w:val="16"/>
                <w:szCs w:val="16"/>
              </w:rPr>
              <w:t>Current assets</w:t>
            </w:r>
          </w:p>
        </w:tc>
        <w:tc>
          <w:tcPr>
            <w:tcW w:w="992" w:type="dxa"/>
          </w:tcPr>
          <w:p w14:paraId="7BBE0ED3" w14:textId="77777777" w:rsidR="0002381D" w:rsidRPr="00D4158A" w:rsidRDefault="0002381D" w:rsidP="00D4158A">
            <w:pPr>
              <w:tabs>
                <w:tab w:val="decimal" w:pos="497"/>
              </w:tabs>
              <w:spacing w:after="120" w:line="240" w:lineRule="auto"/>
              <w:jc w:val="left"/>
              <w:rPr>
                <w:rFonts w:cstheme="minorHAnsi"/>
                <w:sz w:val="16"/>
                <w:szCs w:val="16"/>
                <w:highlight w:val="yellow"/>
              </w:rPr>
            </w:pPr>
          </w:p>
        </w:tc>
        <w:tc>
          <w:tcPr>
            <w:tcW w:w="1701" w:type="dxa"/>
            <w:gridSpan w:val="2"/>
          </w:tcPr>
          <w:p w14:paraId="454BA6EB" w14:textId="77777777" w:rsidR="0002381D" w:rsidRPr="00D4158A" w:rsidRDefault="0002381D" w:rsidP="00D4158A">
            <w:pPr>
              <w:tabs>
                <w:tab w:val="decimal" w:pos="1173"/>
              </w:tabs>
              <w:spacing w:after="120" w:line="240" w:lineRule="auto"/>
              <w:rPr>
                <w:rFonts w:cstheme="minorHAnsi"/>
                <w:b/>
                <w:sz w:val="16"/>
                <w:szCs w:val="16"/>
              </w:rPr>
            </w:pPr>
          </w:p>
        </w:tc>
        <w:tc>
          <w:tcPr>
            <w:tcW w:w="2689" w:type="dxa"/>
            <w:gridSpan w:val="2"/>
          </w:tcPr>
          <w:p w14:paraId="024F5F5D" w14:textId="77777777" w:rsidR="0002381D" w:rsidRPr="00D4158A" w:rsidRDefault="0002381D" w:rsidP="00D4158A">
            <w:pPr>
              <w:tabs>
                <w:tab w:val="decimal" w:pos="1307"/>
              </w:tabs>
              <w:spacing w:after="120" w:line="240" w:lineRule="auto"/>
              <w:rPr>
                <w:rFonts w:cstheme="minorHAnsi"/>
                <w:b/>
                <w:sz w:val="16"/>
                <w:szCs w:val="16"/>
              </w:rPr>
            </w:pPr>
          </w:p>
        </w:tc>
      </w:tr>
      <w:tr w:rsidR="0002381D" w:rsidRPr="00987B3B" w14:paraId="4CAAE314" w14:textId="77777777" w:rsidTr="00270393">
        <w:tc>
          <w:tcPr>
            <w:tcW w:w="4503" w:type="dxa"/>
            <w:hideMark/>
          </w:tcPr>
          <w:p w14:paraId="3348000F"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Trade &amp; other receivables</w:t>
            </w:r>
          </w:p>
        </w:tc>
        <w:tc>
          <w:tcPr>
            <w:tcW w:w="992" w:type="dxa"/>
            <w:hideMark/>
          </w:tcPr>
          <w:p w14:paraId="6C36FF10" w14:textId="77777777" w:rsidR="0002381D" w:rsidRPr="00D4158A" w:rsidRDefault="0002381D" w:rsidP="00D4158A">
            <w:pPr>
              <w:tabs>
                <w:tab w:val="decimal" w:pos="497"/>
              </w:tabs>
              <w:spacing w:after="120" w:line="240" w:lineRule="auto"/>
              <w:jc w:val="left"/>
              <w:rPr>
                <w:rFonts w:cstheme="minorHAnsi"/>
                <w:sz w:val="16"/>
                <w:szCs w:val="16"/>
              </w:rPr>
            </w:pPr>
            <w:r w:rsidRPr="00D4158A">
              <w:rPr>
                <w:rFonts w:cstheme="minorHAnsi"/>
                <w:sz w:val="16"/>
                <w:szCs w:val="16"/>
              </w:rPr>
              <w:t>6</w:t>
            </w:r>
          </w:p>
        </w:tc>
        <w:tc>
          <w:tcPr>
            <w:tcW w:w="1701" w:type="dxa"/>
            <w:gridSpan w:val="2"/>
            <w:hideMark/>
          </w:tcPr>
          <w:p w14:paraId="14E3EAD2" w14:textId="77777777" w:rsidR="0002381D" w:rsidRPr="00D4158A" w:rsidRDefault="0002381D" w:rsidP="00D4158A">
            <w:pPr>
              <w:tabs>
                <w:tab w:val="decimal" w:pos="1173"/>
              </w:tabs>
              <w:spacing w:after="120" w:line="240" w:lineRule="auto"/>
              <w:rPr>
                <w:rFonts w:cstheme="minorHAnsi"/>
                <w:sz w:val="16"/>
                <w:szCs w:val="16"/>
              </w:rPr>
            </w:pPr>
            <w:r w:rsidRPr="00D4158A">
              <w:rPr>
                <w:rFonts w:cstheme="minorHAnsi"/>
                <w:sz w:val="16"/>
                <w:szCs w:val="16"/>
              </w:rPr>
              <w:t>724,500</w:t>
            </w:r>
          </w:p>
        </w:tc>
        <w:tc>
          <w:tcPr>
            <w:tcW w:w="2689" w:type="dxa"/>
            <w:gridSpan w:val="2"/>
            <w:hideMark/>
          </w:tcPr>
          <w:p w14:paraId="06B4443F" w14:textId="77777777" w:rsidR="0002381D" w:rsidRPr="00D4158A" w:rsidRDefault="0002381D" w:rsidP="00D4158A">
            <w:pPr>
              <w:tabs>
                <w:tab w:val="decimal" w:pos="1307"/>
              </w:tabs>
              <w:spacing w:after="120" w:line="240" w:lineRule="auto"/>
              <w:rPr>
                <w:rFonts w:cstheme="minorHAnsi"/>
                <w:b/>
                <w:sz w:val="16"/>
                <w:szCs w:val="16"/>
              </w:rPr>
            </w:pPr>
            <w:r w:rsidRPr="00D4158A">
              <w:rPr>
                <w:rFonts w:cstheme="minorHAnsi"/>
                <w:sz w:val="16"/>
                <w:szCs w:val="16"/>
              </w:rPr>
              <w:t>16,500</w:t>
            </w:r>
          </w:p>
        </w:tc>
      </w:tr>
      <w:tr w:rsidR="0002381D" w:rsidRPr="00987B3B" w14:paraId="6BBFFA2F" w14:textId="77777777" w:rsidTr="00270393">
        <w:tc>
          <w:tcPr>
            <w:tcW w:w="4503" w:type="dxa"/>
            <w:hideMark/>
          </w:tcPr>
          <w:p w14:paraId="52D646F6"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Cash and cash equivalents</w:t>
            </w:r>
          </w:p>
        </w:tc>
        <w:tc>
          <w:tcPr>
            <w:tcW w:w="992" w:type="dxa"/>
          </w:tcPr>
          <w:p w14:paraId="016D3D43" w14:textId="77777777" w:rsidR="0002381D" w:rsidRPr="00D4158A" w:rsidRDefault="0002381D" w:rsidP="00D4158A">
            <w:pPr>
              <w:tabs>
                <w:tab w:val="decimal" w:pos="497"/>
              </w:tabs>
              <w:spacing w:after="120" w:line="240" w:lineRule="auto"/>
              <w:rPr>
                <w:rFonts w:cstheme="minorHAnsi"/>
                <w:sz w:val="16"/>
                <w:szCs w:val="16"/>
              </w:rPr>
            </w:pPr>
          </w:p>
        </w:tc>
        <w:tc>
          <w:tcPr>
            <w:tcW w:w="1701" w:type="dxa"/>
            <w:gridSpan w:val="2"/>
            <w:hideMark/>
          </w:tcPr>
          <w:p w14:paraId="56D3EA69" w14:textId="77777777" w:rsidR="0002381D" w:rsidRPr="00D4158A" w:rsidRDefault="0002381D" w:rsidP="00D4158A">
            <w:pPr>
              <w:tabs>
                <w:tab w:val="decimal" w:pos="1173"/>
              </w:tabs>
              <w:spacing w:after="120" w:line="240" w:lineRule="auto"/>
              <w:rPr>
                <w:rFonts w:cstheme="minorHAnsi"/>
                <w:sz w:val="16"/>
                <w:szCs w:val="16"/>
              </w:rPr>
            </w:pPr>
            <w:r w:rsidRPr="00D4158A">
              <w:rPr>
                <w:rFonts w:cstheme="minorHAnsi"/>
                <w:sz w:val="16"/>
                <w:szCs w:val="16"/>
              </w:rPr>
              <w:t>450,764</w:t>
            </w:r>
          </w:p>
        </w:tc>
        <w:tc>
          <w:tcPr>
            <w:tcW w:w="2689" w:type="dxa"/>
            <w:gridSpan w:val="2"/>
            <w:hideMark/>
          </w:tcPr>
          <w:p w14:paraId="1AD4AB65" w14:textId="77777777" w:rsidR="0002381D" w:rsidRPr="00D4158A" w:rsidRDefault="0002381D" w:rsidP="00D4158A">
            <w:pPr>
              <w:tabs>
                <w:tab w:val="decimal" w:pos="1307"/>
              </w:tabs>
              <w:spacing w:after="120" w:line="240" w:lineRule="auto"/>
              <w:rPr>
                <w:rFonts w:cstheme="minorHAnsi"/>
                <w:sz w:val="16"/>
                <w:szCs w:val="16"/>
              </w:rPr>
            </w:pPr>
            <w:r w:rsidRPr="00D4158A">
              <w:rPr>
                <w:rFonts w:cstheme="minorHAnsi"/>
                <w:sz w:val="16"/>
                <w:szCs w:val="16"/>
              </w:rPr>
              <w:t>328,563</w:t>
            </w:r>
          </w:p>
        </w:tc>
      </w:tr>
      <w:tr w:rsidR="0002381D" w:rsidRPr="00987B3B" w14:paraId="1A6754C0" w14:textId="77777777" w:rsidTr="00270393">
        <w:tc>
          <w:tcPr>
            <w:tcW w:w="4503" w:type="dxa"/>
          </w:tcPr>
          <w:p w14:paraId="3EEDDBA1" w14:textId="77777777" w:rsidR="0002381D" w:rsidRPr="00D4158A" w:rsidRDefault="0002381D" w:rsidP="00D4158A">
            <w:pPr>
              <w:spacing w:after="120" w:line="240" w:lineRule="auto"/>
              <w:jc w:val="left"/>
              <w:rPr>
                <w:rFonts w:cstheme="minorHAnsi"/>
                <w:sz w:val="16"/>
                <w:szCs w:val="16"/>
              </w:rPr>
            </w:pPr>
          </w:p>
        </w:tc>
        <w:tc>
          <w:tcPr>
            <w:tcW w:w="992" w:type="dxa"/>
          </w:tcPr>
          <w:p w14:paraId="460F8163" w14:textId="77777777" w:rsidR="0002381D" w:rsidRPr="00D4158A" w:rsidRDefault="0002381D" w:rsidP="00D4158A">
            <w:pPr>
              <w:tabs>
                <w:tab w:val="decimal" w:pos="497"/>
              </w:tabs>
              <w:spacing w:after="120" w:line="240" w:lineRule="auto"/>
              <w:rPr>
                <w:rFonts w:cstheme="minorHAnsi"/>
                <w:sz w:val="16"/>
                <w:szCs w:val="16"/>
              </w:rPr>
            </w:pPr>
          </w:p>
        </w:tc>
        <w:tc>
          <w:tcPr>
            <w:tcW w:w="1701" w:type="dxa"/>
            <w:gridSpan w:val="2"/>
            <w:hideMark/>
          </w:tcPr>
          <w:p w14:paraId="5BE37AE5" w14:textId="77777777" w:rsidR="0002381D" w:rsidRPr="00D4158A" w:rsidRDefault="0002381D" w:rsidP="00D4158A">
            <w:pPr>
              <w:tabs>
                <w:tab w:val="decimal" w:pos="1173"/>
              </w:tabs>
              <w:spacing w:after="120" w:line="240" w:lineRule="auto"/>
              <w:rPr>
                <w:rFonts w:cstheme="minorHAnsi"/>
                <w:b/>
                <w:sz w:val="16"/>
                <w:szCs w:val="16"/>
              </w:rPr>
            </w:pPr>
            <w:r w:rsidRPr="00D4158A">
              <w:rPr>
                <w:rFonts w:cstheme="minorHAnsi"/>
                <w:sz w:val="16"/>
                <w:szCs w:val="16"/>
              </w:rPr>
              <w:t>_________</w:t>
            </w:r>
          </w:p>
        </w:tc>
        <w:tc>
          <w:tcPr>
            <w:tcW w:w="2689" w:type="dxa"/>
            <w:gridSpan w:val="2"/>
            <w:hideMark/>
          </w:tcPr>
          <w:p w14:paraId="40EE8B6B" w14:textId="77777777" w:rsidR="0002381D" w:rsidRPr="00D4158A" w:rsidRDefault="0002381D" w:rsidP="00D4158A">
            <w:pPr>
              <w:tabs>
                <w:tab w:val="decimal" w:pos="1307"/>
              </w:tabs>
              <w:spacing w:after="120" w:line="240" w:lineRule="auto"/>
              <w:rPr>
                <w:rFonts w:cstheme="minorHAnsi"/>
                <w:b/>
                <w:sz w:val="16"/>
                <w:szCs w:val="16"/>
              </w:rPr>
            </w:pPr>
            <w:r w:rsidRPr="00D4158A">
              <w:rPr>
                <w:rFonts w:cstheme="minorHAnsi"/>
                <w:sz w:val="16"/>
                <w:szCs w:val="16"/>
              </w:rPr>
              <w:t>_________</w:t>
            </w:r>
          </w:p>
        </w:tc>
      </w:tr>
      <w:tr w:rsidR="0002381D" w:rsidRPr="00987B3B" w14:paraId="6D6BDBD4" w14:textId="77777777" w:rsidTr="00270393">
        <w:tc>
          <w:tcPr>
            <w:tcW w:w="4503" w:type="dxa"/>
          </w:tcPr>
          <w:p w14:paraId="092B0B2B" w14:textId="77777777" w:rsidR="0002381D" w:rsidRPr="00D4158A" w:rsidRDefault="0002381D" w:rsidP="00D4158A">
            <w:pPr>
              <w:spacing w:after="120" w:line="240" w:lineRule="auto"/>
              <w:jc w:val="left"/>
              <w:rPr>
                <w:rFonts w:cstheme="minorHAnsi"/>
                <w:sz w:val="16"/>
                <w:szCs w:val="16"/>
              </w:rPr>
            </w:pPr>
          </w:p>
        </w:tc>
        <w:tc>
          <w:tcPr>
            <w:tcW w:w="992" w:type="dxa"/>
          </w:tcPr>
          <w:p w14:paraId="535813B0" w14:textId="77777777" w:rsidR="0002381D" w:rsidRPr="00D4158A" w:rsidRDefault="0002381D" w:rsidP="00D4158A">
            <w:pPr>
              <w:tabs>
                <w:tab w:val="decimal" w:pos="497"/>
              </w:tabs>
              <w:spacing w:after="120" w:line="240" w:lineRule="auto"/>
              <w:jc w:val="left"/>
              <w:rPr>
                <w:rFonts w:cstheme="minorHAnsi"/>
                <w:sz w:val="16"/>
                <w:szCs w:val="16"/>
              </w:rPr>
            </w:pPr>
          </w:p>
        </w:tc>
        <w:tc>
          <w:tcPr>
            <w:tcW w:w="1701" w:type="dxa"/>
            <w:gridSpan w:val="2"/>
            <w:hideMark/>
          </w:tcPr>
          <w:p w14:paraId="74F82113" w14:textId="77777777" w:rsidR="0002381D" w:rsidRPr="00D4158A" w:rsidRDefault="0002381D" w:rsidP="00D4158A">
            <w:pPr>
              <w:tabs>
                <w:tab w:val="decimal" w:pos="1173"/>
              </w:tabs>
              <w:spacing w:after="120" w:line="240" w:lineRule="auto"/>
              <w:rPr>
                <w:rFonts w:cstheme="minorHAnsi"/>
                <w:sz w:val="16"/>
                <w:szCs w:val="16"/>
              </w:rPr>
            </w:pPr>
            <w:r w:rsidRPr="00D4158A">
              <w:rPr>
                <w:rFonts w:cstheme="minorHAnsi"/>
                <w:sz w:val="16"/>
                <w:szCs w:val="16"/>
              </w:rPr>
              <w:t>1,175,264</w:t>
            </w:r>
          </w:p>
        </w:tc>
        <w:tc>
          <w:tcPr>
            <w:tcW w:w="2689" w:type="dxa"/>
            <w:gridSpan w:val="2"/>
            <w:hideMark/>
          </w:tcPr>
          <w:p w14:paraId="6E19C372" w14:textId="77777777" w:rsidR="0002381D" w:rsidRPr="00D4158A" w:rsidRDefault="0002381D" w:rsidP="00D4158A">
            <w:pPr>
              <w:tabs>
                <w:tab w:val="decimal" w:pos="1307"/>
              </w:tabs>
              <w:spacing w:after="120" w:line="240" w:lineRule="auto"/>
              <w:rPr>
                <w:rFonts w:cstheme="minorHAnsi"/>
                <w:sz w:val="16"/>
                <w:szCs w:val="16"/>
              </w:rPr>
            </w:pPr>
            <w:r w:rsidRPr="00D4158A">
              <w:rPr>
                <w:rFonts w:cstheme="minorHAnsi"/>
                <w:sz w:val="16"/>
                <w:szCs w:val="16"/>
              </w:rPr>
              <w:t>345,063</w:t>
            </w:r>
          </w:p>
        </w:tc>
      </w:tr>
      <w:tr w:rsidR="0002381D" w:rsidRPr="00987B3B" w14:paraId="0DE0A7CF" w14:textId="77777777" w:rsidTr="00270393">
        <w:tc>
          <w:tcPr>
            <w:tcW w:w="4503" w:type="dxa"/>
          </w:tcPr>
          <w:p w14:paraId="5DDD581D" w14:textId="77777777" w:rsidR="0002381D" w:rsidRPr="00D4158A" w:rsidRDefault="0002381D" w:rsidP="00D4158A">
            <w:pPr>
              <w:spacing w:after="120" w:line="240" w:lineRule="auto"/>
              <w:jc w:val="left"/>
              <w:rPr>
                <w:rFonts w:cstheme="minorHAnsi"/>
                <w:sz w:val="16"/>
                <w:szCs w:val="16"/>
              </w:rPr>
            </w:pPr>
          </w:p>
        </w:tc>
        <w:tc>
          <w:tcPr>
            <w:tcW w:w="992" w:type="dxa"/>
          </w:tcPr>
          <w:p w14:paraId="0F8A335E" w14:textId="77777777" w:rsidR="0002381D" w:rsidRPr="00D4158A" w:rsidRDefault="0002381D" w:rsidP="00D4158A">
            <w:pPr>
              <w:tabs>
                <w:tab w:val="decimal" w:pos="497"/>
              </w:tabs>
              <w:spacing w:after="120" w:line="240" w:lineRule="auto"/>
              <w:jc w:val="left"/>
              <w:rPr>
                <w:rFonts w:cstheme="minorHAnsi"/>
                <w:sz w:val="16"/>
                <w:szCs w:val="16"/>
              </w:rPr>
            </w:pPr>
          </w:p>
        </w:tc>
        <w:tc>
          <w:tcPr>
            <w:tcW w:w="1701" w:type="dxa"/>
            <w:gridSpan w:val="2"/>
            <w:hideMark/>
          </w:tcPr>
          <w:p w14:paraId="43E16707" w14:textId="77777777" w:rsidR="0002381D" w:rsidRPr="00D4158A" w:rsidRDefault="0002381D" w:rsidP="00D4158A">
            <w:pPr>
              <w:tabs>
                <w:tab w:val="decimal" w:pos="1173"/>
              </w:tabs>
              <w:spacing w:after="120" w:line="240" w:lineRule="auto"/>
              <w:rPr>
                <w:rFonts w:cstheme="minorHAnsi"/>
                <w:b/>
                <w:sz w:val="16"/>
                <w:szCs w:val="16"/>
              </w:rPr>
            </w:pPr>
            <w:r w:rsidRPr="00D4158A">
              <w:rPr>
                <w:rFonts w:cstheme="minorHAnsi"/>
                <w:sz w:val="16"/>
                <w:szCs w:val="16"/>
              </w:rPr>
              <w:t>_________</w:t>
            </w:r>
          </w:p>
        </w:tc>
        <w:tc>
          <w:tcPr>
            <w:tcW w:w="2689" w:type="dxa"/>
            <w:gridSpan w:val="2"/>
            <w:hideMark/>
          </w:tcPr>
          <w:p w14:paraId="393A5521" w14:textId="77777777" w:rsidR="0002381D" w:rsidRPr="00D4158A" w:rsidRDefault="0002381D" w:rsidP="00D4158A">
            <w:pPr>
              <w:tabs>
                <w:tab w:val="decimal" w:pos="1307"/>
              </w:tabs>
              <w:spacing w:after="120" w:line="240" w:lineRule="auto"/>
              <w:rPr>
                <w:rFonts w:cstheme="minorHAnsi"/>
                <w:b/>
                <w:sz w:val="16"/>
                <w:szCs w:val="16"/>
              </w:rPr>
            </w:pPr>
            <w:r w:rsidRPr="00D4158A">
              <w:rPr>
                <w:rFonts w:cstheme="minorHAnsi"/>
                <w:sz w:val="16"/>
                <w:szCs w:val="16"/>
              </w:rPr>
              <w:t>_________</w:t>
            </w:r>
          </w:p>
        </w:tc>
      </w:tr>
      <w:tr w:rsidR="0002381D" w:rsidRPr="00987B3B" w14:paraId="6B28F651" w14:textId="77777777" w:rsidTr="00270393">
        <w:tc>
          <w:tcPr>
            <w:tcW w:w="4503" w:type="dxa"/>
          </w:tcPr>
          <w:p w14:paraId="7E927B59" w14:textId="77777777" w:rsidR="0002381D" w:rsidRPr="00D4158A" w:rsidRDefault="0002381D" w:rsidP="00D4158A">
            <w:pPr>
              <w:spacing w:after="120" w:line="240" w:lineRule="auto"/>
              <w:jc w:val="left"/>
              <w:rPr>
                <w:rFonts w:cstheme="minorHAnsi"/>
                <w:sz w:val="16"/>
                <w:szCs w:val="16"/>
              </w:rPr>
            </w:pPr>
          </w:p>
        </w:tc>
        <w:tc>
          <w:tcPr>
            <w:tcW w:w="992" w:type="dxa"/>
          </w:tcPr>
          <w:p w14:paraId="54930CA7" w14:textId="77777777" w:rsidR="0002381D" w:rsidRPr="00D4158A" w:rsidRDefault="0002381D" w:rsidP="00D4158A">
            <w:pPr>
              <w:tabs>
                <w:tab w:val="decimal" w:pos="497"/>
              </w:tabs>
              <w:spacing w:after="120" w:line="240" w:lineRule="auto"/>
              <w:jc w:val="left"/>
              <w:rPr>
                <w:rFonts w:cstheme="minorHAnsi"/>
                <w:sz w:val="16"/>
                <w:szCs w:val="16"/>
              </w:rPr>
            </w:pPr>
          </w:p>
        </w:tc>
        <w:tc>
          <w:tcPr>
            <w:tcW w:w="1701" w:type="dxa"/>
            <w:gridSpan w:val="2"/>
          </w:tcPr>
          <w:p w14:paraId="28593E4F" w14:textId="77777777" w:rsidR="0002381D" w:rsidRPr="00D4158A" w:rsidRDefault="0002381D" w:rsidP="00D4158A">
            <w:pPr>
              <w:tabs>
                <w:tab w:val="decimal" w:pos="1173"/>
              </w:tabs>
              <w:spacing w:after="120" w:line="240" w:lineRule="auto"/>
              <w:rPr>
                <w:rFonts w:cstheme="minorHAnsi"/>
                <w:b/>
                <w:sz w:val="16"/>
                <w:szCs w:val="16"/>
              </w:rPr>
            </w:pPr>
          </w:p>
        </w:tc>
        <w:tc>
          <w:tcPr>
            <w:tcW w:w="2689" w:type="dxa"/>
            <w:gridSpan w:val="2"/>
          </w:tcPr>
          <w:p w14:paraId="02B815CC" w14:textId="77777777" w:rsidR="0002381D" w:rsidRPr="00D4158A" w:rsidRDefault="0002381D" w:rsidP="00D4158A">
            <w:pPr>
              <w:tabs>
                <w:tab w:val="decimal" w:pos="1307"/>
              </w:tabs>
              <w:spacing w:after="120" w:line="240" w:lineRule="auto"/>
              <w:rPr>
                <w:rFonts w:cstheme="minorHAnsi"/>
                <w:sz w:val="16"/>
                <w:szCs w:val="16"/>
              </w:rPr>
            </w:pPr>
          </w:p>
        </w:tc>
      </w:tr>
      <w:tr w:rsidR="0002381D" w:rsidRPr="00987B3B" w14:paraId="4736F6AD" w14:textId="77777777" w:rsidTr="00270393">
        <w:tc>
          <w:tcPr>
            <w:tcW w:w="4503" w:type="dxa"/>
          </w:tcPr>
          <w:p w14:paraId="1D7E7F03" w14:textId="77777777" w:rsidR="0002381D" w:rsidRPr="00D4158A" w:rsidRDefault="0002381D" w:rsidP="00D4158A">
            <w:pPr>
              <w:spacing w:after="120" w:line="240" w:lineRule="auto"/>
              <w:jc w:val="left"/>
              <w:rPr>
                <w:rFonts w:cstheme="minorHAnsi"/>
                <w:sz w:val="16"/>
                <w:szCs w:val="16"/>
              </w:rPr>
            </w:pPr>
          </w:p>
        </w:tc>
        <w:tc>
          <w:tcPr>
            <w:tcW w:w="992" w:type="dxa"/>
          </w:tcPr>
          <w:p w14:paraId="18DB4AC4" w14:textId="77777777" w:rsidR="0002381D" w:rsidRPr="00D4158A" w:rsidRDefault="0002381D" w:rsidP="00D4158A">
            <w:pPr>
              <w:tabs>
                <w:tab w:val="decimal" w:pos="497"/>
              </w:tabs>
              <w:spacing w:after="120" w:line="240" w:lineRule="auto"/>
              <w:jc w:val="left"/>
              <w:rPr>
                <w:rFonts w:cstheme="minorHAnsi"/>
                <w:sz w:val="16"/>
                <w:szCs w:val="16"/>
              </w:rPr>
            </w:pPr>
          </w:p>
        </w:tc>
        <w:tc>
          <w:tcPr>
            <w:tcW w:w="1701" w:type="dxa"/>
            <w:gridSpan w:val="2"/>
            <w:hideMark/>
          </w:tcPr>
          <w:p w14:paraId="2FD00F48" w14:textId="77777777" w:rsidR="0002381D" w:rsidRPr="00D4158A" w:rsidRDefault="0002381D" w:rsidP="00D4158A">
            <w:pPr>
              <w:tabs>
                <w:tab w:val="decimal" w:pos="1173"/>
              </w:tabs>
              <w:spacing w:after="120" w:line="240" w:lineRule="auto"/>
              <w:rPr>
                <w:rFonts w:cstheme="minorHAnsi"/>
                <w:b/>
                <w:sz w:val="16"/>
                <w:szCs w:val="16"/>
              </w:rPr>
            </w:pPr>
            <w:r w:rsidRPr="00D4158A">
              <w:rPr>
                <w:rFonts w:cstheme="minorHAnsi"/>
                <w:sz w:val="16"/>
                <w:szCs w:val="16"/>
              </w:rPr>
              <w:t>1,485,070</w:t>
            </w:r>
          </w:p>
        </w:tc>
        <w:tc>
          <w:tcPr>
            <w:tcW w:w="2689" w:type="dxa"/>
            <w:gridSpan w:val="2"/>
            <w:hideMark/>
          </w:tcPr>
          <w:p w14:paraId="5BE6FAF9" w14:textId="77777777" w:rsidR="0002381D" w:rsidRPr="00D4158A" w:rsidRDefault="0002381D" w:rsidP="00D4158A">
            <w:pPr>
              <w:tabs>
                <w:tab w:val="decimal" w:pos="1307"/>
              </w:tabs>
              <w:spacing w:after="120" w:line="240" w:lineRule="auto"/>
              <w:rPr>
                <w:rFonts w:cstheme="minorHAnsi"/>
                <w:sz w:val="16"/>
                <w:szCs w:val="16"/>
              </w:rPr>
            </w:pPr>
            <w:r w:rsidRPr="00D4158A">
              <w:rPr>
                <w:rFonts w:cstheme="minorHAnsi"/>
                <w:sz w:val="16"/>
                <w:szCs w:val="16"/>
              </w:rPr>
              <w:t>663,223</w:t>
            </w:r>
          </w:p>
        </w:tc>
      </w:tr>
      <w:tr w:rsidR="0002381D" w:rsidRPr="00987B3B" w14:paraId="61972015" w14:textId="77777777" w:rsidTr="00270393">
        <w:tc>
          <w:tcPr>
            <w:tcW w:w="4503" w:type="dxa"/>
            <w:hideMark/>
          </w:tcPr>
          <w:p w14:paraId="22A22AFC" w14:textId="77777777" w:rsidR="0002381D" w:rsidRPr="00D4158A" w:rsidRDefault="0002381D" w:rsidP="00D4158A">
            <w:pPr>
              <w:spacing w:after="120" w:line="240" w:lineRule="auto"/>
              <w:jc w:val="left"/>
              <w:rPr>
                <w:rFonts w:cstheme="minorHAnsi"/>
                <w:b/>
                <w:sz w:val="16"/>
                <w:szCs w:val="16"/>
              </w:rPr>
            </w:pPr>
            <w:r w:rsidRPr="00D4158A">
              <w:rPr>
                <w:rFonts w:cstheme="minorHAnsi"/>
                <w:b/>
                <w:sz w:val="16"/>
                <w:szCs w:val="16"/>
              </w:rPr>
              <w:t>Current liabilities</w:t>
            </w:r>
          </w:p>
          <w:p w14:paraId="4257BABF"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Creditors: amounts falling due within one year</w:t>
            </w:r>
          </w:p>
        </w:tc>
        <w:tc>
          <w:tcPr>
            <w:tcW w:w="992" w:type="dxa"/>
          </w:tcPr>
          <w:p w14:paraId="3AA409E1" w14:textId="77777777" w:rsidR="0002381D" w:rsidRPr="00D4158A" w:rsidRDefault="0002381D" w:rsidP="00D4158A">
            <w:pPr>
              <w:tabs>
                <w:tab w:val="decimal" w:pos="497"/>
              </w:tabs>
              <w:spacing w:after="120" w:line="240" w:lineRule="auto"/>
              <w:jc w:val="left"/>
              <w:rPr>
                <w:rFonts w:cstheme="minorHAnsi"/>
                <w:b/>
                <w:sz w:val="16"/>
                <w:szCs w:val="16"/>
              </w:rPr>
            </w:pPr>
          </w:p>
        </w:tc>
        <w:tc>
          <w:tcPr>
            <w:tcW w:w="1701" w:type="dxa"/>
            <w:gridSpan w:val="2"/>
          </w:tcPr>
          <w:p w14:paraId="421BC412" w14:textId="77777777" w:rsidR="0002381D" w:rsidRPr="00D4158A" w:rsidRDefault="0002381D" w:rsidP="00D4158A">
            <w:pPr>
              <w:tabs>
                <w:tab w:val="decimal" w:pos="1173"/>
              </w:tabs>
              <w:spacing w:after="120" w:line="240" w:lineRule="auto"/>
              <w:rPr>
                <w:rFonts w:cstheme="minorHAnsi"/>
                <w:b/>
                <w:sz w:val="16"/>
                <w:szCs w:val="16"/>
              </w:rPr>
            </w:pPr>
          </w:p>
        </w:tc>
        <w:tc>
          <w:tcPr>
            <w:tcW w:w="2689" w:type="dxa"/>
            <w:gridSpan w:val="2"/>
          </w:tcPr>
          <w:p w14:paraId="3E3DBD62" w14:textId="77777777" w:rsidR="0002381D" w:rsidRPr="00D4158A" w:rsidRDefault="0002381D" w:rsidP="00D4158A">
            <w:pPr>
              <w:tabs>
                <w:tab w:val="decimal" w:pos="1307"/>
              </w:tabs>
              <w:spacing w:after="120" w:line="240" w:lineRule="auto"/>
              <w:rPr>
                <w:rFonts w:cstheme="minorHAnsi"/>
                <w:b/>
                <w:sz w:val="16"/>
                <w:szCs w:val="16"/>
              </w:rPr>
            </w:pPr>
          </w:p>
        </w:tc>
      </w:tr>
      <w:tr w:rsidR="0002381D" w:rsidRPr="00987B3B" w14:paraId="6F509B8A" w14:textId="77777777" w:rsidTr="00270393">
        <w:tc>
          <w:tcPr>
            <w:tcW w:w="4503" w:type="dxa"/>
            <w:hideMark/>
          </w:tcPr>
          <w:p w14:paraId="7DB6AA67"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Other payables and accruals</w:t>
            </w:r>
          </w:p>
        </w:tc>
        <w:tc>
          <w:tcPr>
            <w:tcW w:w="992" w:type="dxa"/>
            <w:hideMark/>
          </w:tcPr>
          <w:p w14:paraId="63B43D62" w14:textId="77777777" w:rsidR="0002381D" w:rsidRPr="00D4158A" w:rsidRDefault="0002381D" w:rsidP="00D4158A">
            <w:pPr>
              <w:tabs>
                <w:tab w:val="decimal" w:pos="497"/>
              </w:tabs>
              <w:spacing w:after="120" w:line="240" w:lineRule="auto"/>
              <w:rPr>
                <w:rFonts w:cstheme="minorHAnsi"/>
                <w:sz w:val="16"/>
                <w:szCs w:val="16"/>
              </w:rPr>
            </w:pPr>
            <w:r w:rsidRPr="00D4158A">
              <w:rPr>
                <w:rFonts w:cstheme="minorHAnsi"/>
                <w:sz w:val="16"/>
                <w:szCs w:val="16"/>
              </w:rPr>
              <w:t>7</w:t>
            </w:r>
          </w:p>
        </w:tc>
        <w:tc>
          <w:tcPr>
            <w:tcW w:w="1701" w:type="dxa"/>
            <w:gridSpan w:val="2"/>
            <w:hideMark/>
          </w:tcPr>
          <w:p w14:paraId="14A3BE22" w14:textId="77777777" w:rsidR="0002381D" w:rsidRPr="00D4158A" w:rsidRDefault="0002381D" w:rsidP="00D4158A">
            <w:pPr>
              <w:tabs>
                <w:tab w:val="decimal" w:pos="1173"/>
              </w:tabs>
              <w:spacing w:after="120" w:line="240" w:lineRule="auto"/>
              <w:rPr>
                <w:rFonts w:cstheme="minorHAnsi"/>
                <w:sz w:val="16"/>
                <w:szCs w:val="16"/>
              </w:rPr>
            </w:pPr>
            <w:r w:rsidRPr="00D4158A">
              <w:rPr>
                <w:rFonts w:cstheme="minorHAnsi"/>
                <w:sz w:val="16"/>
                <w:szCs w:val="16"/>
              </w:rPr>
              <w:t>(629,619)</w:t>
            </w:r>
          </w:p>
        </w:tc>
        <w:tc>
          <w:tcPr>
            <w:tcW w:w="2689" w:type="dxa"/>
            <w:gridSpan w:val="2"/>
            <w:hideMark/>
          </w:tcPr>
          <w:p w14:paraId="68C1D68C" w14:textId="77777777" w:rsidR="0002381D" w:rsidRPr="00D4158A" w:rsidRDefault="0002381D" w:rsidP="00D4158A">
            <w:pPr>
              <w:tabs>
                <w:tab w:val="decimal" w:pos="1307"/>
              </w:tabs>
              <w:spacing w:after="120" w:line="240" w:lineRule="auto"/>
              <w:rPr>
                <w:rFonts w:cstheme="minorHAnsi"/>
                <w:b/>
                <w:sz w:val="16"/>
                <w:szCs w:val="16"/>
              </w:rPr>
            </w:pPr>
            <w:r w:rsidRPr="00D4158A">
              <w:rPr>
                <w:rFonts w:cstheme="minorHAnsi"/>
                <w:sz w:val="16"/>
                <w:szCs w:val="16"/>
              </w:rPr>
              <w:t>(183,662)</w:t>
            </w:r>
          </w:p>
        </w:tc>
      </w:tr>
      <w:tr w:rsidR="0002381D" w:rsidRPr="00987B3B" w14:paraId="21F167D9" w14:textId="77777777" w:rsidTr="00270393">
        <w:tc>
          <w:tcPr>
            <w:tcW w:w="4503" w:type="dxa"/>
          </w:tcPr>
          <w:p w14:paraId="026BDF71" w14:textId="77777777" w:rsidR="0002381D" w:rsidRPr="00D4158A" w:rsidRDefault="0002381D" w:rsidP="00D4158A">
            <w:pPr>
              <w:spacing w:after="120" w:line="240" w:lineRule="auto"/>
              <w:jc w:val="left"/>
              <w:rPr>
                <w:rFonts w:cstheme="minorHAnsi"/>
                <w:sz w:val="16"/>
                <w:szCs w:val="16"/>
              </w:rPr>
            </w:pPr>
          </w:p>
        </w:tc>
        <w:tc>
          <w:tcPr>
            <w:tcW w:w="992" w:type="dxa"/>
          </w:tcPr>
          <w:p w14:paraId="7F67B183" w14:textId="77777777" w:rsidR="0002381D" w:rsidRPr="00D4158A" w:rsidRDefault="0002381D" w:rsidP="00D4158A">
            <w:pPr>
              <w:tabs>
                <w:tab w:val="decimal" w:pos="497"/>
              </w:tabs>
              <w:spacing w:after="120" w:line="240" w:lineRule="auto"/>
              <w:jc w:val="left"/>
              <w:rPr>
                <w:rFonts w:cstheme="minorHAnsi"/>
                <w:sz w:val="16"/>
                <w:szCs w:val="16"/>
                <w:highlight w:val="yellow"/>
              </w:rPr>
            </w:pPr>
          </w:p>
        </w:tc>
        <w:tc>
          <w:tcPr>
            <w:tcW w:w="1701" w:type="dxa"/>
            <w:gridSpan w:val="2"/>
            <w:hideMark/>
          </w:tcPr>
          <w:p w14:paraId="4811E906" w14:textId="77777777" w:rsidR="0002381D" w:rsidRPr="00D4158A" w:rsidRDefault="0002381D" w:rsidP="00D4158A">
            <w:pPr>
              <w:tabs>
                <w:tab w:val="decimal" w:pos="1173"/>
              </w:tabs>
              <w:spacing w:after="120" w:line="240" w:lineRule="auto"/>
              <w:rPr>
                <w:rFonts w:cstheme="minorHAnsi"/>
                <w:b/>
                <w:sz w:val="16"/>
                <w:szCs w:val="16"/>
              </w:rPr>
            </w:pPr>
            <w:r w:rsidRPr="00D4158A">
              <w:rPr>
                <w:rFonts w:cstheme="minorHAnsi"/>
                <w:sz w:val="16"/>
                <w:szCs w:val="16"/>
              </w:rPr>
              <w:t>_________</w:t>
            </w:r>
          </w:p>
        </w:tc>
        <w:tc>
          <w:tcPr>
            <w:tcW w:w="2689" w:type="dxa"/>
            <w:gridSpan w:val="2"/>
            <w:hideMark/>
          </w:tcPr>
          <w:p w14:paraId="72257474" w14:textId="77777777" w:rsidR="0002381D" w:rsidRPr="00D4158A" w:rsidRDefault="0002381D" w:rsidP="00D4158A">
            <w:pPr>
              <w:tabs>
                <w:tab w:val="decimal" w:pos="1307"/>
              </w:tabs>
              <w:spacing w:after="120" w:line="240" w:lineRule="auto"/>
              <w:rPr>
                <w:rFonts w:cstheme="minorHAnsi"/>
                <w:sz w:val="16"/>
                <w:szCs w:val="16"/>
              </w:rPr>
            </w:pPr>
            <w:r w:rsidRPr="00D4158A">
              <w:rPr>
                <w:rFonts w:cstheme="minorHAnsi"/>
                <w:sz w:val="16"/>
                <w:szCs w:val="16"/>
              </w:rPr>
              <w:t>_________</w:t>
            </w:r>
          </w:p>
        </w:tc>
      </w:tr>
      <w:tr w:rsidR="0002381D" w:rsidRPr="00987B3B" w14:paraId="35DC756C" w14:textId="77777777" w:rsidTr="00270393">
        <w:tc>
          <w:tcPr>
            <w:tcW w:w="4503" w:type="dxa"/>
          </w:tcPr>
          <w:p w14:paraId="4529C447" w14:textId="77777777" w:rsidR="0002381D" w:rsidRPr="00D4158A" w:rsidRDefault="0002381D" w:rsidP="00D4158A">
            <w:pPr>
              <w:spacing w:after="120" w:line="240" w:lineRule="auto"/>
              <w:jc w:val="left"/>
              <w:rPr>
                <w:rFonts w:cstheme="minorHAnsi"/>
                <w:sz w:val="16"/>
                <w:szCs w:val="16"/>
              </w:rPr>
            </w:pPr>
          </w:p>
        </w:tc>
        <w:tc>
          <w:tcPr>
            <w:tcW w:w="992" w:type="dxa"/>
          </w:tcPr>
          <w:p w14:paraId="6E5BA677" w14:textId="77777777" w:rsidR="0002381D" w:rsidRPr="00D4158A" w:rsidRDefault="0002381D" w:rsidP="00D4158A">
            <w:pPr>
              <w:tabs>
                <w:tab w:val="decimal" w:pos="497"/>
              </w:tabs>
              <w:spacing w:after="120" w:line="240" w:lineRule="auto"/>
              <w:rPr>
                <w:rFonts w:cstheme="minorHAnsi"/>
                <w:b/>
                <w:sz w:val="16"/>
                <w:szCs w:val="16"/>
                <w:highlight w:val="yellow"/>
              </w:rPr>
            </w:pPr>
          </w:p>
        </w:tc>
        <w:tc>
          <w:tcPr>
            <w:tcW w:w="1701" w:type="dxa"/>
            <w:gridSpan w:val="2"/>
          </w:tcPr>
          <w:p w14:paraId="4D0E18CB" w14:textId="77777777" w:rsidR="0002381D" w:rsidRPr="00D4158A" w:rsidRDefault="0002381D" w:rsidP="00D4158A">
            <w:pPr>
              <w:tabs>
                <w:tab w:val="decimal" w:pos="1173"/>
              </w:tabs>
              <w:spacing w:after="120" w:line="240" w:lineRule="auto"/>
              <w:rPr>
                <w:rFonts w:cstheme="minorHAnsi"/>
                <w:b/>
                <w:sz w:val="16"/>
                <w:szCs w:val="16"/>
              </w:rPr>
            </w:pPr>
          </w:p>
        </w:tc>
        <w:tc>
          <w:tcPr>
            <w:tcW w:w="2689" w:type="dxa"/>
            <w:gridSpan w:val="2"/>
          </w:tcPr>
          <w:p w14:paraId="30D9FD70" w14:textId="77777777" w:rsidR="0002381D" w:rsidRPr="00D4158A" w:rsidRDefault="0002381D" w:rsidP="00D4158A">
            <w:pPr>
              <w:tabs>
                <w:tab w:val="decimal" w:pos="1307"/>
              </w:tabs>
              <w:spacing w:after="120" w:line="240" w:lineRule="auto"/>
              <w:rPr>
                <w:rFonts w:cstheme="minorHAnsi"/>
                <w:b/>
                <w:sz w:val="16"/>
                <w:szCs w:val="16"/>
              </w:rPr>
            </w:pPr>
          </w:p>
        </w:tc>
      </w:tr>
      <w:tr w:rsidR="0002381D" w:rsidRPr="00987B3B" w14:paraId="5FEB2B95" w14:textId="77777777" w:rsidTr="00270393">
        <w:tc>
          <w:tcPr>
            <w:tcW w:w="4503" w:type="dxa"/>
            <w:hideMark/>
          </w:tcPr>
          <w:p w14:paraId="659191DD" w14:textId="77777777" w:rsidR="0002381D" w:rsidRPr="00D4158A" w:rsidRDefault="0002381D" w:rsidP="00D4158A">
            <w:pPr>
              <w:spacing w:after="120" w:line="240" w:lineRule="auto"/>
              <w:jc w:val="left"/>
              <w:rPr>
                <w:rFonts w:cstheme="minorHAnsi"/>
                <w:b/>
                <w:sz w:val="16"/>
                <w:szCs w:val="16"/>
              </w:rPr>
            </w:pPr>
            <w:r w:rsidRPr="00D4158A">
              <w:rPr>
                <w:rFonts w:cstheme="minorHAnsi"/>
                <w:b/>
                <w:sz w:val="16"/>
                <w:szCs w:val="16"/>
              </w:rPr>
              <w:t>Net assets</w:t>
            </w:r>
          </w:p>
        </w:tc>
        <w:tc>
          <w:tcPr>
            <w:tcW w:w="992" w:type="dxa"/>
          </w:tcPr>
          <w:p w14:paraId="1C95BF20" w14:textId="77777777" w:rsidR="0002381D" w:rsidRPr="00D4158A" w:rsidRDefault="0002381D" w:rsidP="00D4158A">
            <w:pPr>
              <w:tabs>
                <w:tab w:val="decimal" w:pos="497"/>
              </w:tabs>
              <w:spacing w:after="120" w:line="240" w:lineRule="auto"/>
              <w:rPr>
                <w:rFonts w:cstheme="minorHAnsi"/>
                <w:sz w:val="16"/>
                <w:szCs w:val="16"/>
                <w:highlight w:val="yellow"/>
              </w:rPr>
            </w:pPr>
          </w:p>
        </w:tc>
        <w:tc>
          <w:tcPr>
            <w:tcW w:w="1701" w:type="dxa"/>
            <w:gridSpan w:val="2"/>
            <w:hideMark/>
          </w:tcPr>
          <w:p w14:paraId="37D2016C" w14:textId="77777777" w:rsidR="0002381D" w:rsidRPr="00D4158A" w:rsidRDefault="0002381D" w:rsidP="00D4158A">
            <w:pPr>
              <w:tabs>
                <w:tab w:val="decimal" w:pos="1173"/>
              </w:tabs>
              <w:spacing w:after="120" w:line="240" w:lineRule="auto"/>
              <w:rPr>
                <w:rFonts w:cstheme="minorHAnsi"/>
                <w:b/>
                <w:sz w:val="16"/>
                <w:szCs w:val="16"/>
              </w:rPr>
            </w:pPr>
            <w:r w:rsidRPr="00D4158A">
              <w:rPr>
                <w:rFonts w:cstheme="minorHAnsi"/>
                <w:b/>
                <w:sz w:val="16"/>
                <w:szCs w:val="16"/>
              </w:rPr>
              <w:t>855,451</w:t>
            </w:r>
          </w:p>
        </w:tc>
        <w:tc>
          <w:tcPr>
            <w:tcW w:w="2689" w:type="dxa"/>
            <w:gridSpan w:val="2"/>
            <w:hideMark/>
          </w:tcPr>
          <w:p w14:paraId="0E8D5B10" w14:textId="77777777" w:rsidR="0002381D" w:rsidRPr="00D4158A" w:rsidRDefault="0002381D" w:rsidP="00D4158A">
            <w:pPr>
              <w:tabs>
                <w:tab w:val="decimal" w:pos="1307"/>
              </w:tabs>
              <w:spacing w:after="120" w:line="240" w:lineRule="auto"/>
              <w:rPr>
                <w:rFonts w:cstheme="minorHAnsi"/>
                <w:b/>
                <w:sz w:val="16"/>
                <w:szCs w:val="16"/>
              </w:rPr>
            </w:pPr>
            <w:r w:rsidRPr="00D4158A">
              <w:rPr>
                <w:rFonts w:cstheme="minorHAnsi"/>
                <w:b/>
                <w:sz w:val="16"/>
                <w:szCs w:val="16"/>
              </w:rPr>
              <w:t>479,561</w:t>
            </w:r>
          </w:p>
        </w:tc>
      </w:tr>
      <w:tr w:rsidR="0002381D" w:rsidRPr="00987B3B" w14:paraId="79861965" w14:textId="77777777" w:rsidTr="00270393">
        <w:tc>
          <w:tcPr>
            <w:tcW w:w="4503" w:type="dxa"/>
          </w:tcPr>
          <w:p w14:paraId="5BF3EADD" w14:textId="77777777" w:rsidR="0002381D" w:rsidRPr="00D4158A" w:rsidRDefault="0002381D" w:rsidP="00D4158A">
            <w:pPr>
              <w:spacing w:after="120" w:line="240" w:lineRule="auto"/>
              <w:jc w:val="left"/>
              <w:rPr>
                <w:rFonts w:cstheme="minorHAnsi"/>
                <w:sz w:val="16"/>
                <w:szCs w:val="16"/>
              </w:rPr>
            </w:pPr>
          </w:p>
        </w:tc>
        <w:tc>
          <w:tcPr>
            <w:tcW w:w="992" w:type="dxa"/>
          </w:tcPr>
          <w:p w14:paraId="3786042A" w14:textId="77777777" w:rsidR="0002381D" w:rsidRPr="00D4158A" w:rsidRDefault="0002381D" w:rsidP="00D4158A">
            <w:pPr>
              <w:tabs>
                <w:tab w:val="decimal" w:pos="497"/>
              </w:tabs>
              <w:spacing w:after="120" w:line="240" w:lineRule="auto"/>
              <w:jc w:val="left"/>
              <w:rPr>
                <w:rFonts w:cstheme="minorHAnsi"/>
                <w:sz w:val="16"/>
                <w:szCs w:val="16"/>
                <w:highlight w:val="yellow"/>
              </w:rPr>
            </w:pPr>
          </w:p>
        </w:tc>
        <w:tc>
          <w:tcPr>
            <w:tcW w:w="1701" w:type="dxa"/>
            <w:gridSpan w:val="2"/>
            <w:hideMark/>
          </w:tcPr>
          <w:p w14:paraId="2B5A9DF8" w14:textId="77777777" w:rsidR="0002381D" w:rsidRPr="00D4158A" w:rsidRDefault="0002381D" w:rsidP="00D4158A">
            <w:pPr>
              <w:tabs>
                <w:tab w:val="decimal" w:pos="1173"/>
              </w:tabs>
              <w:spacing w:after="120" w:line="240" w:lineRule="auto"/>
              <w:rPr>
                <w:rFonts w:cstheme="minorHAnsi"/>
                <w:b/>
                <w:sz w:val="16"/>
                <w:szCs w:val="16"/>
              </w:rPr>
            </w:pPr>
            <w:r w:rsidRPr="00D4158A">
              <w:rPr>
                <w:rFonts w:cstheme="minorHAnsi"/>
                <w:sz w:val="16"/>
                <w:szCs w:val="16"/>
                <w:u w:val="double"/>
              </w:rPr>
              <w:t>_________</w:t>
            </w:r>
          </w:p>
        </w:tc>
        <w:tc>
          <w:tcPr>
            <w:tcW w:w="2689" w:type="dxa"/>
            <w:gridSpan w:val="2"/>
            <w:hideMark/>
          </w:tcPr>
          <w:p w14:paraId="4E6AFD59" w14:textId="77777777" w:rsidR="0002381D" w:rsidRPr="00D4158A" w:rsidRDefault="0002381D" w:rsidP="00D4158A">
            <w:pPr>
              <w:tabs>
                <w:tab w:val="decimal" w:pos="1307"/>
              </w:tabs>
              <w:spacing w:after="120" w:line="240" w:lineRule="auto"/>
              <w:rPr>
                <w:rFonts w:cstheme="minorHAnsi"/>
                <w:sz w:val="16"/>
                <w:szCs w:val="16"/>
              </w:rPr>
            </w:pPr>
            <w:r w:rsidRPr="00D4158A">
              <w:rPr>
                <w:rFonts w:cstheme="minorHAnsi"/>
                <w:sz w:val="16"/>
                <w:szCs w:val="16"/>
                <w:u w:val="double"/>
              </w:rPr>
              <w:t>_________</w:t>
            </w:r>
          </w:p>
        </w:tc>
      </w:tr>
      <w:tr w:rsidR="0002381D" w:rsidRPr="00987B3B" w14:paraId="7D64ABA8" w14:textId="77777777" w:rsidTr="00270393">
        <w:tc>
          <w:tcPr>
            <w:tcW w:w="4503" w:type="dxa"/>
          </w:tcPr>
          <w:p w14:paraId="28891E45" w14:textId="77777777" w:rsidR="0002381D" w:rsidRPr="00D4158A" w:rsidRDefault="0002381D" w:rsidP="00D4158A">
            <w:pPr>
              <w:spacing w:after="120" w:line="240" w:lineRule="auto"/>
              <w:jc w:val="left"/>
              <w:rPr>
                <w:rFonts w:cstheme="minorHAnsi"/>
                <w:sz w:val="16"/>
                <w:szCs w:val="16"/>
              </w:rPr>
            </w:pPr>
          </w:p>
        </w:tc>
        <w:tc>
          <w:tcPr>
            <w:tcW w:w="992" w:type="dxa"/>
          </w:tcPr>
          <w:p w14:paraId="2F5B0A2B" w14:textId="77777777" w:rsidR="0002381D" w:rsidRPr="00D4158A" w:rsidRDefault="0002381D" w:rsidP="00D4158A">
            <w:pPr>
              <w:tabs>
                <w:tab w:val="decimal" w:pos="497"/>
              </w:tabs>
              <w:spacing w:after="120" w:line="240" w:lineRule="auto"/>
              <w:jc w:val="left"/>
              <w:rPr>
                <w:rFonts w:cstheme="minorHAnsi"/>
                <w:sz w:val="16"/>
                <w:szCs w:val="16"/>
                <w:highlight w:val="yellow"/>
              </w:rPr>
            </w:pPr>
          </w:p>
        </w:tc>
        <w:tc>
          <w:tcPr>
            <w:tcW w:w="1701" w:type="dxa"/>
            <w:gridSpan w:val="2"/>
          </w:tcPr>
          <w:p w14:paraId="52A1E9F0" w14:textId="77777777" w:rsidR="0002381D" w:rsidRPr="00D4158A" w:rsidRDefault="0002381D" w:rsidP="00D4158A">
            <w:pPr>
              <w:tabs>
                <w:tab w:val="decimal" w:pos="1173"/>
              </w:tabs>
              <w:spacing w:after="120" w:line="240" w:lineRule="auto"/>
              <w:rPr>
                <w:rFonts w:cstheme="minorHAnsi"/>
                <w:b/>
                <w:sz w:val="16"/>
                <w:szCs w:val="16"/>
              </w:rPr>
            </w:pPr>
          </w:p>
        </w:tc>
        <w:tc>
          <w:tcPr>
            <w:tcW w:w="2689" w:type="dxa"/>
            <w:gridSpan w:val="2"/>
          </w:tcPr>
          <w:p w14:paraId="28987F9E" w14:textId="77777777" w:rsidR="0002381D" w:rsidRPr="00D4158A" w:rsidRDefault="0002381D" w:rsidP="00D4158A">
            <w:pPr>
              <w:tabs>
                <w:tab w:val="decimal" w:pos="1307"/>
              </w:tabs>
              <w:spacing w:after="120" w:line="240" w:lineRule="auto"/>
              <w:rPr>
                <w:rFonts w:cstheme="minorHAnsi"/>
                <w:b/>
                <w:sz w:val="16"/>
                <w:szCs w:val="16"/>
              </w:rPr>
            </w:pPr>
          </w:p>
        </w:tc>
      </w:tr>
      <w:tr w:rsidR="0002381D" w:rsidRPr="00987B3B" w14:paraId="75EBA2E6" w14:textId="77777777" w:rsidTr="00270393">
        <w:tc>
          <w:tcPr>
            <w:tcW w:w="4503" w:type="dxa"/>
            <w:hideMark/>
          </w:tcPr>
          <w:p w14:paraId="1A1A5561" w14:textId="77777777" w:rsidR="0002381D" w:rsidRPr="00D4158A" w:rsidRDefault="0002381D" w:rsidP="00D4158A">
            <w:pPr>
              <w:spacing w:after="120" w:line="240" w:lineRule="auto"/>
              <w:jc w:val="left"/>
              <w:rPr>
                <w:rFonts w:cstheme="minorHAnsi"/>
                <w:b/>
                <w:sz w:val="16"/>
                <w:szCs w:val="16"/>
              </w:rPr>
            </w:pPr>
            <w:r w:rsidRPr="00D4158A">
              <w:rPr>
                <w:rFonts w:cstheme="minorHAnsi"/>
                <w:b/>
                <w:sz w:val="16"/>
                <w:szCs w:val="16"/>
              </w:rPr>
              <w:t>Shareholders’ equity</w:t>
            </w:r>
          </w:p>
        </w:tc>
        <w:tc>
          <w:tcPr>
            <w:tcW w:w="992" w:type="dxa"/>
          </w:tcPr>
          <w:p w14:paraId="7F4A1BC3" w14:textId="77777777" w:rsidR="0002381D" w:rsidRPr="00D4158A" w:rsidRDefault="0002381D" w:rsidP="00D4158A">
            <w:pPr>
              <w:tabs>
                <w:tab w:val="decimal" w:pos="497"/>
              </w:tabs>
              <w:spacing w:after="120" w:line="240" w:lineRule="auto"/>
              <w:jc w:val="left"/>
              <w:rPr>
                <w:rFonts w:cstheme="minorHAnsi"/>
                <w:sz w:val="16"/>
                <w:szCs w:val="16"/>
                <w:highlight w:val="yellow"/>
              </w:rPr>
            </w:pPr>
          </w:p>
        </w:tc>
        <w:tc>
          <w:tcPr>
            <w:tcW w:w="1701" w:type="dxa"/>
            <w:gridSpan w:val="2"/>
          </w:tcPr>
          <w:p w14:paraId="59180A83" w14:textId="77777777" w:rsidR="0002381D" w:rsidRPr="00D4158A" w:rsidRDefault="0002381D" w:rsidP="00D4158A">
            <w:pPr>
              <w:tabs>
                <w:tab w:val="decimal" w:pos="1173"/>
              </w:tabs>
              <w:spacing w:after="120" w:line="240" w:lineRule="auto"/>
              <w:rPr>
                <w:rFonts w:cstheme="minorHAnsi"/>
                <w:b/>
                <w:sz w:val="16"/>
                <w:szCs w:val="16"/>
              </w:rPr>
            </w:pPr>
          </w:p>
        </w:tc>
        <w:tc>
          <w:tcPr>
            <w:tcW w:w="2689" w:type="dxa"/>
            <w:gridSpan w:val="2"/>
          </w:tcPr>
          <w:p w14:paraId="0A583B67" w14:textId="77777777" w:rsidR="0002381D" w:rsidRPr="00D4158A" w:rsidRDefault="0002381D" w:rsidP="00D4158A">
            <w:pPr>
              <w:tabs>
                <w:tab w:val="decimal" w:pos="1307"/>
              </w:tabs>
              <w:spacing w:after="120" w:line="240" w:lineRule="auto"/>
              <w:rPr>
                <w:rFonts w:cstheme="minorHAnsi"/>
                <w:b/>
                <w:sz w:val="16"/>
                <w:szCs w:val="16"/>
              </w:rPr>
            </w:pPr>
          </w:p>
        </w:tc>
      </w:tr>
      <w:tr w:rsidR="0002381D" w:rsidRPr="00987B3B" w14:paraId="32663BED" w14:textId="77777777" w:rsidTr="00270393">
        <w:tc>
          <w:tcPr>
            <w:tcW w:w="4503" w:type="dxa"/>
            <w:hideMark/>
          </w:tcPr>
          <w:p w14:paraId="6BD55281"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Share capital</w:t>
            </w:r>
          </w:p>
          <w:p w14:paraId="71CB0FED"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Capital contribution</w:t>
            </w:r>
          </w:p>
        </w:tc>
        <w:tc>
          <w:tcPr>
            <w:tcW w:w="992" w:type="dxa"/>
          </w:tcPr>
          <w:p w14:paraId="162EFB0D" w14:textId="77777777" w:rsidR="0002381D" w:rsidRPr="00D4158A" w:rsidRDefault="0002381D" w:rsidP="00D4158A">
            <w:pPr>
              <w:tabs>
                <w:tab w:val="decimal" w:pos="497"/>
              </w:tabs>
              <w:spacing w:after="120" w:line="240" w:lineRule="auto"/>
              <w:jc w:val="left"/>
              <w:rPr>
                <w:rFonts w:cstheme="minorHAnsi"/>
                <w:sz w:val="16"/>
                <w:szCs w:val="16"/>
                <w:highlight w:val="yellow"/>
              </w:rPr>
            </w:pPr>
          </w:p>
        </w:tc>
        <w:tc>
          <w:tcPr>
            <w:tcW w:w="1701" w:type="dxa"/>
            <w:gridSpan w:val="2"/>
            <w:hideMark/>
          </w:tcPr>
          <w:p w14:paraId="2361D041" w14:textId="77777777" w:rsidR="0002381D" w:rsidRPr="00D4158A" w:rsidRDefault="0002381D" w:rsidP="00D4158A">
            <w:pPr>
              <w:tabs>
                <w:tab w:val="decimal" w:pos="1167"/>
              </w:tabs>
              <w:spacing w:after="120" w:line="240" w:lineRule="auto"/>
              <w:rPr>
                <w:rFonts w:cstheme="minorHAnsi"/>
                <w:sz w:val="16"/>
                <w:szCs w:val="16"/>
              </w:rPr>
            </w:pPr>
            <w:r w:rsidRPr="00D4158A">
              <w:rPr>
                <w:rFonts w:cstheme="minorHAnsi"/>
                <w:sz w:val="16"/>
                <w:szCs w:val="16"/>
              </w:rPr>
              <w:t>100</w:t>
            </w:r>
          </w:p>
          <w:p w14:paraId="7A7F1FBB" w14:textId="77777777" w:rsidR="0002381D" w:rsidRPr="00D4158A" w:rsidRDefault="0002381D" w:rsidP="00D4158A">
            <w:pPr>
              <w:tabs>
                <w:tab w:val="decimal" w:pos="1173"/>
              </w:tabs>
              <w:spacing w:after="120" w:line="240" w:lineRule="auto"/>
              <w:rPr>
                <w:rFonts w:cstheme="minorHAnsi"/>
                <w:sz w:val="16"/>
                <w:szCs w:val="16"/>
              </w:rPr>
            </w:pPr>
            <w:r w:rsidRPr="00D4158A">
              <w:rPr>
                <w:rFonts w:cstheme="minorHAnsi"/>
                <w:sz w:val="16"/>
                <w:szCs w:val="16"/>
              </w:rPr>
              <w:t>50,000</w:t>
            </w:r>
          </w:p>
        </w:tc>
        <w:tc>
          <w:tcPr>
            <w:tcW w:w="2689" w:type="dxa"/>
            <w:gridSpan w:val="2"/>
            <w:hideMark/>
          </w:tcPr>
          <w:p w14:paraId="79F14C21" w14:textId="77777777" w:rsidR="0002381D" w:rsidRPr="00D4158A" w:rsidRDefault="0002381D" w:rsidP="00D4158A">
            <w:pPr>
              <w:tabs>
                <w:tab w:val="decimal" w:pos="1307"/>
              </w:tabs>
              <w:spacing w:after="120" w:line="240" w:lineRule="auto"/>
              <w:rPr>
                <w:rFonts w:cstheme="minorHAnsi"/>
                <w:sz w:val="16"/>
                <w:szCs w:val="16"/>
              </w:rPr>
            </w:pPr>
            <w:r w:rsidRPr="00D4158A">
              <w:rPr>
                <w:rFonts w:cstheme="minorHAnsi"/>
                <w:sz w:val="16"/>
                <w:szCs w:val="16"/>
              </w:rPr>
              <w:t>100</w:t>
            </w:r>
          </w:p>
          <w:p w14:paraId="3902904A" w14:textId="77777777" w:rsidR="0002381D" w:rsidRPr="00D4158A" w:rsidRDefault="0002381D" w:rsidP="00D4158A">
            <w:pPr>
              <w:tabs>
                <w:tab w:val="decimal" w:pos="1307"/>
              </w:tabs>
              <w:spacing w:after="120" w:line="240" w:lineRule="auto"/>
              <w:rPr>
                <w:rFonts w:cstheme="minorHAnsi"/>
                <w:b/>
                <w:sz w:val="16"/>
                <w:szCs w:val="16"/>
              </w:rPr>
            </w:pPr>
            <w:r w:rsidRPr="00D4158A">
              <w:rPr>
                <w:rFonts w:cstheme="minorHAnsi"/>
                <w:sz w:val="16"/>
                <w:szCs w:val="16"/>
              </w:rPr>
              <w:t>50,000</w:t>
            </w:r>
          </w:p>
        </w:tc>
      </w:tr>
      <w:tr w:rsidR="0002381D" w:rsidRPr="00987B3B" w14:paraId="7ABB0242" w14:textId="77777777" w:rsidTr="00270393">
        <w:tc>
          <w:tcPr>
            <w:tcW w:w="4503" w:type="dxa"/>
            <w:hideMark/>
          </w:tcPr>
          <w:p w14:paraId="1715D329"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Retained earnings</w:t>
            </w:r>
          </w:p>
        </w:tc>
        <w:tc>
          <w:tcPr>
            <w:tcW w:w="992" w:type="dxa"/>
          </w:tcPr>
          <w:p w14:paraId="3B527A20" w14:textId="77777777" w:rsidR="0002381D" w:rsidRPr="00D4158A" w:rsidRDefault="0002381D" w:rsidP="00D4158A">
            <w:pPr>
              <w:tabs>
                <w:tab w:val="decimal" w:pos="497"/>
              </w:tabs>
              <w:spacing w:after="120" w:line="240" w:lineRule="auto"/>
              <w:rPr>
                <w:rFonts w:cstheme="minorHAnsi"/>
                <w:sz w:val="16"/>
                <w:szCs w:val="16"/>
              </w:rPr>
            </w:pPr>
          </w:p>
        </w:tc>
        <w:tc>
          <w:tcPr>
            <w:tcW w:w="1701" w:type="dxa"/>
            <w:gridSpan w:val="2"/>
            <w:hideMark/>
          </w:tcPr>
          <w:p w14:paraId="6623FA3C" w14:textId="77777777" w:rsidR="0002381D" w:rsidRPr="00D4158A" w:rsidRDefault="0002381D" w:rsidP="00D4158A">
            <w:pPr>
              <w:tabs>
                <w:tab w:val="decimal" w:pos="1173"/>
              </w:tabs>
              <w:spacing w:after="120" w:line="240" w:lineRule="auto"/>
              <w:rPr>
                <w:rFonts w:cstheme="minorHAnsi"/>
                <w:sz w:val="16"/>
                <w:szCs w:val="16"/>
              </w:rPr>
            </w:pPr>
            <w:r w:rsidRPr="00D4158A">
              <w:rPr>
                <w:rFonts w:cstheme="minorHAnsi"/>
                <w:sz w:val="16"/>
                <w:szCs w:val="16"/>
              </w:rPr>
              <w:t>805,351</w:t>
            </w:r>
          </w:p>
        </w:tc>
        <w:tc>
          <w:tcPr>
            <w:tcW w:w="2689" w:type="dxa"/>
            <w:gridSpan w:val="2"/>
            <w:hideMark/>
          </w:tcPr>
          <w:p w14:paraId="0D43BD1F" w14:textId="77777777" w:rsidR="0002381D" w:rsidRPr="00D4158A" w:rsidRDefault="0002381D" w:rsidP="00D4158A">
            <w:pPr>
              <w:tabs>
                <w:tab w:val="decimal" w:pos="1307"/>
              </w:tabs>
              <w:spacing w:after="120" w:line="240" w:lineRule="auto"/>
              <w:rPr>
                <w:rFonts w:cstheme="minorHAnsi"/>
                <w:sz w:val="16"/>
                <w:szCs w:val="16"/>
              </w:rPr>
            </w:pPr>
            <w:r w:rsidRPr="00D4158A">
              <w:rPr>
                <w:rFonts w:cstheme="minorHAnsi"/>
                <w:sz w:val="16"/>
                <w:szCs w:val="16"/>
              </w:rPr>
              <w:t>429,461</w:t>
            </w:r>
          </w:p>
        </w:tc>
      </w:tr>
      <w:tr w:rsidR="0002381D" w:rsidRPr="00987B3B" w14:paraId="6997EB6A" w14:textId="77777777" w:rsidTr="00270393">
        <w:tc>
          <w:tcPr>
            <w:tcW w:w="4503" w:type="dxa"/>
          </w:tcPr>
          <w:p w14:paraId="7352A06D" w14:textId="77777777" w:rsidR="0002381D" w:rsidRPr="00D4158A" w:rsidRDefault="0002381D" w:rsidP="00D4158A">
            <w:pPr>
              <w:spacing w:after="120" w:line="240" w:lineRule="auto"/>
              <w:jc w:val="left"/>
              <w:rPr>
                <w:rFonts w:cstheme="minorHAnsi"/>
                <w:sz w:val="16"/>
                <w:szCs w:val="16"/>
              </w:rPr>
            </w:pPr>
          </w:p>
        </w:tc>
        <w:tc>
          <w:tcPr>
            <w:tcW w:w="992" w:type="dxa"/>
          </w:tcPr>
          <w:p w14:paraId="43E15894" w14:textId="77777777" w:rsidR="0002381D" w:rsidRPr="00D4158A" w:rsidRDefault="0002381D" w:rsidP="00D4158A">
            <w:pPr>
              <w:tabs>
                <w:tab w:val="decimal" w:pos="497"/>
              </w:tabs>
              <w:spacing w:after="120" w:line="240" w:lineRule="auto"/>
              <w:rPr>
                <w:rFonts w:cstheme="minorHAnsi"/>
                <w:sz w:val="16"/>
                <w:szCs w:val="16"/>
              </w:rPr>
            </w:pPr>
          </w:p>
        </w:tc>
        <w:tc>
          <w:tcPr>
            <w:tcW w:w="1701" w:type="dxa"/>
            <w:gridSpan w:val="2"/>
            <w:hideMark/>
          </w:tcPr>
          <w:p w14:paraId="370FFDA8" w14:textId="77777777" w:rsidR="0002381D" w:rsidRPr="00D4158A" w:rsidRDefault="0002381D" w:rsidP="00D4158A">
            <w:pPr>
              <w:tabs>
                <w:tab w:val="decimal" w:pos="1173"/>
              </w:tabs>
              <w:spacing w:after="120" w:line="240" w:lineRule="auto"/>
              <w:rPr>
                <w:rFonts w:cstheme="minorHAnsi"/>
                <w:sz w:val="16"/>
                <w:szCs w:val="16"/>
              </w:rPr>
            </w:pPr>
            <w:r w:rsidRPr="00D4158A">
              <w:rPr>
                <w:rFonts w:cstheme="minorHAnsi"/>
                <w:sz w:val="16"/>
                <w:szCs w:val="16"/>
              </w:rPr>
              <w:t>_________</w:t>
            </w:r>
          </w:p>
        </w:tc>
        <w:tc>
          <w:tcPr>
            <w:tcW w:w="2689" w:type="dxa"/>
            <w:gridSpan w:val="2"/>
            <w:hideMark/>
          </w:tcPr>
          <w:p w14:paraId="7B82F257" w14:textId="77777777" w:rsidR="0002381D" w:rsidRPr="00D4158A" w:rsidRDefault="0002381D" w:rsidP="00D4158A">
            <w:pPr>
              <w:tabs>
                <w:tab w:val="decimal" w:pos="1307"/>
              </w:tabs>
              <w:spacing w:after="120" w:line="240" w:lineRule="auto"/>
              <w:rPr>
                <w:rFonts w:cstheme="minorHAnsi"/>
                <w:sz w:val="16"/>
                <w:szCs w:val="16"/>
              </w:rPr>
            </w:pPr>
            <w:r w:rsidRPr="00D4158A">
              <w:rPr>
                <w:rFonts w:cstheme="minorHAnsi"/>
                <w:sz w:val="16"/>
                <w:szCs w:val="16"/>
              </w:rPr>
              <w:t>_________</w:t>
            </w:r>
          </w:p>
        </w:tc>
      </w:tr>
      <w:tr w:rsidR="0002381D" w:rsidRPr="00987B3B" w14:paraId="0FF70D6C" w14:textId="77777777" w:rsidTr="00270393">
        <w:tc>
          <w:tcPr>
            <w:tcW w:w="4503" w:type="dxa"/>
            <w:hideMark/>
          </w:tcPr>
          <w:p w14:paraId="7F9F3910" w14:textId="77777777" w:rsidR="0002381D" w:rsidRPr="00D4158A" w:rsidRDefault="0002381D" w:rsidP="00D4158A">
            <w:pPr>
              <w:spacing w:after="120" w:line="240" w:lineRule="auto"/>
              <w:jc w:val="left"/>
              <w:rPr>
                <w:rFonts w:cstheme="minorHAnsi"/>
                <w:b/>
                <w:sz w:val="16"/>
                <w:szCs w:val="16"/>
              </w:rPr>
            </w:pPr>
            <w:r w:rsidRPr="00D4158A">
              <w:rPr>
                <w:rFonts w:cstheme="minorHAnsi"/>
                <w:b/>
                <w:sz w:val="16"/>
                <w:szCs w:val="16"/>
              </w:rPr>
              <w:t>Total shareholders’ equity</w:t>
            </w:r>
          </w:p>
        </w:tc>
        <w:tc>
          <w:tcPr>
            <w:tcW w:w="992" w:type="dxa"/>
          </w:tcPr>
          <w:p w14:paraId="1A5D2728" w14:textId="77777777" w:rsidR="0002381D" w:rsidRPr="00D4158A" w:rsidRDefault="0002381D" w:rsidP="00D4158A">
            <w:pPr>
              <w:tabs>
                <w:tab w:val="decimal" w:pos="497"/>
              </w:tabs>
              <w:spacing w:after="120" w:line="240" w:lineRule="auto"/>
              <w:jc w:val="left"/>
              <w:rPr>
                <w:rFonts w:cstheme="minorHAnsi"/>
                <w:b/>
                <w:sz w:val="16"/>
                <w:szCs w:val="16"/>
              </w:rPr>
            </w:pPr>
          </w:p>
        </w:tc>
        <w:tc>
          <w:tcPr>
            <w:tcW w:w="1701" w:type="dxa"/>
            <w:gridSpan w:val="2"/>
            <w:hideMark/>
          </w:tcPr>
          <w:p w14:paraId="02B3E541" w14:textId="77777777" w:rsidR="0002381D" w:rsidRPr="00D4158A" w:rsidRDefault="0002381D" w:rsidP="00D4158A">
            <w:pPr>
              <w:tabs>
                <w:tab w:val="decimal" w:pos="1173"/>
              </w:tabs>
              <w:spacing w:after="120" w:line="240" w:lineRule="auto"/>
              <w:rPr>
                <w:rFonts w:cstheme="minorHAnsi"/>
                <w:b/>
                <w:sz w:val="16"/>
                <w:szCs w:val="16"/>
              </w:rPr>
            </w:pPr>
            <w:r w:rsidRPr="00D4158A">
              <w:rPr>
                <w:rFonts w:cstheme="minorHAnsi"/>
                <w:b/>
                <w:sz w:val="16"/>
                <w:szCs w:val="16"/>
              </w:rPr>
              <w:t>855,451</w:t>
            </w:r>
          </w:p>
        </w:tc>
        <w:tc>
          <w:tcPr>
            <w:tcW w:w="2689" w:type="dxa"/>
            <w:gridSpan w:val="2"/>
            <w:hideMark/>
          </w:tcPr>
          <w:p w14:paraId="4A6E992C" w14:textId="77777777" w:rsidR="0002381D" w:rsidRPr="00D4158A" w:rsidRDefault="0002381D" w:rsidP="00D4158A">
            <w:pPr>
              <w:tabs>
                <w:tab w:val="decimal" w:pos="1307"/>
              </w:tabs>
              <w:spacing w:after="120" w:line="240" w:lineRule="auto"/>
              <w:rPr>
                <w:rFonts w:cstheme="minorHAnsi"/>
                <w:b/>
                <w:sz w:val="16"/>
                <w:szCs w:val="16"/>
              </w:rPr>
            </w:pPr>
            <w:r w:rsidRPr="00D4158A">
              <w:rPr>
                <w:rFonts w:cstheme="minorHAnsi"/>
                <w:b/>
                <w:sz w:val="16"/>
                <w:szCs w:val="16"/>
              </w:rPr>
              <w:t>479,561</w:t>
            </w:r>
          </w:p>
        </w:tc>
      </w:tr>
      <w:tr w:rsidR="0002381D" w:rsidRPr="00987B3B" w14:paraId="1A838065" w14:textId="77777777" w:rsidTr="00270393">
        <w:trPr>
          <w:trHeight w:val="70"/>
        </w:trPr>
        <w:tc>
          <w:tcPr>
            <w:tcW w:w="4503" w:type="dxa"/>
          </w:tcPr>
          <w:p w14:paraId="13CAA9F3" w14:textId="77777777" w:rsidR="0002381D" w:rsidRPr="00D4158A" w:rsidRDefault="0002381D" w:rsidP="00D4158A">
            <w:pPr>
              <w:spacing w:after="120" w:line="240" w:lineRule="auto"/>
              <w:jc w:val="left"/>
              <w:rPr>
                <w:rFonts w:cstheme="minorHAnsi"/>
                <w:sz w:val="16"/>
                <w:szCs w:val="16"/>
              </w:rPr>
            </w:pPr>
          </w:p>
        </w:tc>
        <w:tc>
          <w:tcPr>
            <w:tcW w:w="992" w:type="dxa"/>
          </w:tcPr>
          <w:p w14:paraId="60E68E37" w14:textId="77777777" w:rsidR="0002381D" w:rsidRPr="00D4158A" w:rsidRDefault="0002381D" w:rsidP="00D4158A">
            <w:pPr>
              <w:tabs>
                <w:tab w:val="decimal" w:pos="497"/>
              </w:tabs>
              <w:spacing w:after="120" w:line="240" w:lineRule="auto"/>
              <w:jc w:val="left"/>
              <w:rPr>
                <w:rFonts w:cstheme="minorHAnsi"/>
                <w:sz w:val="16"/>
                <w:szCs w:val="16"/>
              </w:rPr>
            </w:pPr>
          </w:p>
        </w:tc>
        <w:tc>
          <w:tcPr>
            <w:tcW w:w="1701" w:type="dxa"/>
            <w:gridSpan w:val="2"/>
            <w:hideMark/>
          </w:tcPr>
          <w:p w14:paraId="07EAC401" w14:textId="77777777" w:rsidR="0002381D" w:rsidRPr="00D4158A" w:rsidRDefault="0002381D" w:rsidP="00D4158A">
            <w:pPr>
              <w:tabs>
                <w:tab w:val="decimal" w:pos="1173"/>
              </w:tabs>
              <w:spacing w:after="120" w:line="240" w:lineRule="auto"/>
              <w:rPr>
                <w:rFonts w:cstheme="minorHAnsi"/>
                <w:b/>
                <w:sz w:val="16"/>
                <w:szCs w:val="16"/>
              </w:rPr>
            </w:pPr>
            <w:r w:rsidRPr="00D4158A">
              <w:rPr>
                <w:rFonts w:cstheme="minorHAnsi"/>
                <w:sz w:val="16"/>
                <w:szCs w:val="16"/>
                <w:u w:val="double"/>
              </w:rPr>
              <w:t>_________</w:t>
            </w:r>
          </w:p>
        </w:tc>
        <w:tc>
          <w:tcPr>
            <w:tcW w:w="2689" w:type="dxa"/>
            <w:gridSpan w:val="2"/>
            <w:hideMark/>
          </w:tcPr>
          <w:p w14:paraId="546DFCAE" w14:textId="3753CBE0" w:rsidR="0002381D" w:rsidRPr="00D4158A" w:rsidRDefault="0002381D" w:rsidP="00D4158A">
            <w:pPr>
              <w:tabs>
                <w:tab w:val="decimal" w:pos="1307"/>
              </w:tabs>
              <w:spacing w:after="120" w:line="240" w:lineRule="auto"/>
              <w:rPr>
                <w:rFonts w:cstheme="minorHAnsi"/>
                <w:b/>
                <w:sz w:val="16"/>
                <w:szCs w:val="16"/>
              </w:rPr>
            </w:pPr>
            <w:r w:rsidRPr="00D4158A">
              <w:rPr>
                <w:rFonts w:cstheme="minorHAnsi"/>
                <w:sz w:val="16"/>
                <w:szCs w:val="16"/>
                <w:u w:val="double"/>
              </w:rPr>
              <w:t>________</w:t>
            </w:r>
          </w:p>
        </w:tc>
      </w:tr>
    </w:tbl>
    <w:p w14:paraId="41E16CB9" w14:textId="77777777" w:rsidR="0002381D" w:rsidRPr="00D4158A" w:rsidRDefault="0002381D" w:rsidP="00D4158A">
      <w:pPr>
        <w:spacing w:after="120" w:line="240" w:lineRule="auto"/>
        <w:rPr>
          <w:rFonts w:cstheme="minorHAnsi"/>
          <w:b/>
          <w:szCs w:val="20"/>
        </w:rPr>
      </w:pPr>
    </w:p>
    <w:p w14:paraId="0014BA5F" w14:textId="77777777" w:rsidR="0002381D" w:rsidRPr="00D4158A" w:rsidRDefault="0002381D" w:rsidP="00D4158A">
      <w:pPr>
        <w:spacing w:after="120" w:line="240" w:lineRule="auto"/>
        <w:jc w:val="left"/>
        <w:rPr>
          <w:rFonts w:cstheme="minorHAnsi"/>
          <w:b/>
          <w:szCs w:val="20"/>
        </w:rPr>
      </w:pPr>
      <w:r w:rsidRPr="00D4158A">
        <w:rPr>
          <w:rFonts w:cstheme="minorHAnsi"/>
          <w:b/>
          <w:szCs w:val="20"/>
        </w:rPr>
        <w:br w:type="page"/>
      </w:r>
    </w:p>
    <w:p w14:paraId="363E74BA" w14:textId="77777777" w:rsidR="0002381D" w:rsidRPr="00D4158A" w:rsidRDefault="0002381D" w:rsidP="00D4158A">
      <w:pPr>
        <w:spacing w:after="120" w:line="240" w:lineRule="auto"/>
        <w:rPr>
          <w:rFonts w:cstheme="minorHAnsi"/>
          <w:b/>
          <w:szCs w:val="20"/>
        </w:rPr>
      </w:pPr>
      <w:r w:rsidRPr="00D4158A">
        <w:rPr>
          <w:rFonts w:cstheme="minorHAnsi"/>
          <w:b/>
          <w:szCs w:val="20"/>
        </w:rPr>
        <w:lastRenderedPageBreak/>
        <w:t>Statement of changes in equity</w:t>
      </w:r>
    </w:p>
    <w:p w14:paraId="1510CF7A" w14:textId="77777777" w:rsidR="0002381D" w:rsidRPr="00D4158A" w:rsidRDefault="0002381D" w:rsidP="00D4158A">
      <w:pPr>
        <w:spacing w:after="120" w:line="240" w:lineRule="auto"/>
        <w:rPr>
          <w:rFonts w:cstheme="minorHAnsi"/>
          <w:szCs w:val="20"/>
        </w:rPr>
      </w:pPr>
      <w:r w:rsidRPr="00D4158A">
        <w:rPr>
          <w:rFonts w:cstheme="minorHAnsi"/>
          <w:b/>
          <w:szCs w:val="20"/>
        </w:rPr>
        <w:t>For the six months ended 31 October 2019</w:t>
      </w:r>
    </w:p>
    <w:p w14:paraId="40F43C82" w14:textId="77777777" w:rsidR="0002381D" w:rsidRPr="00D4158A" w:rsidRDefault="0002381D" w:rsidP="00D4158A">
      <w:pPr>
        <w:pBdr>
          <w:bottom w:val="single" w:sz="6" w:space="1" w:color="auto"/>
        </w:pBdr>
        <w:spacing w:after="120" w:line="240" w:lineRule="auto"/>
        <w:jc w:val="right"/>
        <w:rPr>
          <w:rFonts w:cstheme="minorHAnsi"/>
          <w:szCs w:val="20"/>
        </w:rPr>
      </w:pPr>
    </w:p>
    <w:p w14:paraId="74C2221D" w14:textId="77777777" w:rsidR="0002381D" w:rsidRPr="00D4158A" w:rsidRDefault="0002381D" w:rsidP="00D4158A">
      <w:pPr>
        <w:tabs>
          <w:tab w:val="decimal" w:pos="8504"/>
          <w:tab w:val="decimal" w:pos="9921"/>
        </w:tabs>
        <w:spacing w:after="120" w:line="240" w:lineRule="auto"/>
        <w:rPr>
          <w:rFonts w:cstheme="minorHAnsi"/>
          <w:szCs w:val="20"/>
        </w:rPr>
      </w:pPr>
    </w:p>
    <w:tbl>
      <w:tblPr>
        <w:tblW w:w="9885" w:type="dxa"/>
        <w:tblInd w:w="-108" w:type="dxa"/>
        <w:tblLayout w:type="fixed"/>
        <w:tblLook w:val="04A0" w:firstRow="1" w:lastRow="0" w:firstColumn="1" w:lastColumn="0" w:noHBand="0" w:noVBand="1"/>
      </w:tblPr>
      <w:tblGrid>
        <w:gridCol w:w="3369"/>
        <w:gridCol w:w="1700"/>
        <w:gridCol w:w="1276"/>
        <w:gridCol w:w="1560"/>
        <w:gridCol w:w="1417"/>
        <w:gridCol w:w="563"/>
      </w:tblGrid>
      <w:tr w:rsidR="0002381D" w:rsidRPr="00987B3B" w14:paraId="429DAC12" w14:textId="77777777" w:rsidTr="00270393">
        <w:tc>
          <w:tcPr>
            <w:tcW w:w="3369" w:type="dxa"/>
          </w:tcPr>
          <w:p w14:paraId="56A39909" w14:textId="77777777" w:rsidR="0002381D" w:rsidRPr="00D4158A" w:rsidRDefault="0002381D" w:rsidP="00D4158A">
            <w:pPr>
              <w:spacing w:after="120" w:line="240" w:lineRule="auto"/>
              <w:jc w:val="left"/>
              <w:rPr>
                <w:rFonts w:cstheme="minorHAnsi"/>
                <w:sz w:val="16"/>
                <w:szCs w:val="16"/>
              </w:rPr>
            </w:pPr>
          </w:p>
        </w:tc>
        <w:tc>
          <w:tcPr>
            <w:tcW w:w="1700" w:type="dxa"/>
          </w:tcPr>
          <w:p w14:paraId="5D32DAB0" w14:textId="77777777" w:rsidR="0002381D" w:rsidRPr="00D4158A" w:rsidRDefault="0002381D" w:rsidP="00D4158A">
            <w:pPr>
              <w:tabs>
                <w:tab w:val="decimal" w:pos="1230"/>
              </w:tabs>
              <w:spacing w:after="120" w:line="240" w:lineRule="auto"/>
              <w:rPr>
                <w:rFonts w:cstheme="minorHAnsi"/>
                <w:b/>
                <w:bCs/>
                <w:snapToGrid w:val="0"/>
                <w:color w:val="000000"/>
                <w:sz w:val="16"/>
                <w:szCs w:val="16"/>
              </w:rPr>
            </w:pPr>
          </w:p>
        </w:tc>
        <w:tc>
          <w:tcPr>
            <w:tcW w:w="1276" w:type="dxa"/>
          </w:tcPr>
          <w:p w14:paraId="02FC8BC6" w14:textId="77777777" w:rsidR="0002381D" w:rsidRPr="00D4158A" w:rsidRDefault="0002381D" w:rsidP="00D4158A">
            <w:pPr>
              <w:tabs>
                <w:tab w:val="decimal" w:pos="1230"/>
              </w:tabs>
              <w:spacing w:after="120" w:line="240" w:lineRule="auto"/>
              <w:rPr>
                <w:rFonts w:cstheme="minorHAnsi"/>
                <w:b/>
                <w:bCs/>
                <w:color w:val="000000"/>
                <w:sz w:val="16"/>
                <w:szCs w:val="16"/>
              </w:rPr>
            </w:pPr>
          </w:p>
        </w:tc>
        <w:tc>
          <w:tcPr>
            <w:tcW w:w="1560" w:type="dxa"/>
            <w:hideMark/>
          </w:tcPr>
          <w:p w14:paraId="2D8AEBBE" w14:textId="1C840A04" w:rsidR="0002381D" w:rsidRPr="00D4158A" w:rsidRDefault="0002381D" w:rsidP="00D4158A">
            <w:pPr>
              <w:tabs>
                <w:tab w:val="decimal" w:pos="1230"/>
              </w:tabs>
              <w:spacing w:after="120" w:line="240" w:lineRule="auto"/>
              <w:rPr>
                <w:rFonts w:cstheme="minorHAnsi"/>
                <w:b/>
                <w:bCs/>
                <w:color w:val="000000"/>
                <w:sz w:val="16"/>
                <w:szCs w:val="16"/>
              </w:rPr>
            </w:pPr>
            <w:r w:rsidRPr="00D4158A">
              <w:rPr>
                <w:rFonts w:cstheme="minorHAnsi"/>
                <w:b/>
                <w:bCs/>
                <w:color w:val="000000"/>
                <w:sz w:val="16"/>
                <w:szCs w:val="16"/>
              </w:rPr>
              <w:t>Distributable</w:t>
            </w:r>
          </w:p>
        </w:tc>
        <w:tc>
          <w:tcPr>
            <w:tcW w:w="1980" w:type="dxa"/>
            <w:gridSpan w:val="2"/>
          </w:tcPr>
          <w:p w14:paraId="4582B66F" w14:textId="77777777" w:rsidR="0002381D" w:rsidRPr="00D4158A" w:rsidRDefault="0002381D" w:rsidP="00D4158A">
            <w:pPr>
              <w:tabs>
                <w:tab w:val="decimal" w:pos="1230"/>
              </w:tabs>
              <w:spacing w:after="120" w:line="240" w:lineRule="auto"/>
              <w:rPr>
                <w:rFonts w:cstheme="minorHAnsi"/>
                <w:b/>
                <w:bCs/>
                <w:color w:val="000000"/>
                <w:sz w:val="16"/>
                <w:szCs w:val="16"/>
              </w:rPr>
            </w:pPr>
          </w:p>
        </w:tc>
      </w:tr>
      <w:tr w:rsidR="0002381D" w:rsidRPr="00987B3B" w14:paraId="32AA9B43" w14:textId="77777777" w:rsidTr="00270393">
        <w:tc>
          <w:tcPr>
            <w:tcW w:w="3369" w:type="dxa"/>
          </w:tcPr>
          <w:p w14:paraId="35DF1006" w14:textId="77777777" w:rsidR="0002381D" w:rsidRPr="00D4158A" w:rsidRDefault="0002381D" w:rsidP="00D4158A">
            <w:pPr>
              <w:spacing w:after="120" w:line="240" w:lineRule="auto"/>
              <w:jc w:val="left"/>
              <w:rPr>
                <w:rFonts w:cstheme="minorHAnsi"/>
                <w:sz w:val="16"/>
                <w:szCs w:val="16"/>
              </w:rPr>
            </w:pPr>
          </w:p>
        </w:tc>
        <w:tc>
          <w:tcPr>
            <w:tcW w:w="1700" w:type="dxa"/>
            <w:hideMark/>
          </w:tcPr>
          <w:p w14:paraId="497675B8" w14:textId="77777777" w:rsidR="0002381D" w:rsidRPr="00D4158A" w:rsidRDefault="0002381D" w:rsidP="00D4158A">
            <w:pPr>
              <w:tabs>
                <w:tab w:val="decimal" w:pos="1230"/>
              </w:tabs>
              <w:spacing w:after="120" w:line="240" w:lineRule="auto"/>
              <w:rPr>
                <w:rFonts w:cstheme="minorHAnsi"/>
                <w:b/>
                <w:bCs/>
                <w:snapToGrid w:val="0"/>
                <w:color w:val="000000"/>
                <w:sz w:val="16"/>
                <w:szCs w:val="16"/>
              </w:rPr>
            </w:pPr>
            <w:r w:rsidRPr="00D4158A">
              <w:rPr>
                <w:rFonts w:cstheme="minorHAnsi"/>
                <w:b/>
                <w:bCs/>
                <w:snapToGrid w:val="0"/>
                <w:color w:val="000000"/>
                <w:sz w:val="16"/>
                <w:szCs w:val="16"/>
              </w:rPr>
              <w:t>Share</w:t>
            </w:r>
          </w:p>
        </w:tc>
        <w:tc>
          <w:tcPr>
            <w:tcW w:w="1276" w:type="dxa"/>
            <w:hideMark/>
          </w:tcPr>
          <w:p w14:paraId="608EEEE1" w14:textId="77777777" w:rsidR="0002381D" w:rsidRPr="00D4158A" w:rsidRDefault="0002381D" w:rsidP="00D4158A">
            <w:pPr>
              <w:tabs>
                <w:tab w:val="decimal" w:pos="1230"/>
              </w:tabs>
              <w:spacing w:after="120" w:line="240" w:lineRule="auto"/>
              <w:rPr>
                <w:rFonts w:cstheme="minorHAnsi"/>
                <w:b/>
                <w:bCs/>
                <w:color w:val="000000"/>
                <w:sz w:val="16"/>
                <w:szCs w:val="16"/>
              </w:rPr>
            </w:pPr>
            <w:r w:rsidRPr="00D4158A">
              <w:rPr>
                <w:rFonts w:cstheme="minorHAnsi"/>
                <w:b/>
                <w:bCs/>
                <w:color w:val="000000"/>
                <w:sz w:val="16"/>
                <w:szCs w:val="16"/>
              </w:rPr>
              <w:t>Capital</w:t>
            </w:r>
          </w:p>
        </w:tc>
        <w:tc>
          <w:tcPr>
            <w:tcW w:w="1560" w:type="dxa"/>
            <w:hideMark/>
          </w:tcPr>
          <w:p w14:paraId="666F222D" w14:textId="77777777" w:rsidR="0002381D" w:rsidRPr="00D4158A" w:rsidRDefault="0002381D" w:rsidP="00D4158A">
            <w:pPr>
              <w:tabs>
                <w:tab w:val="decimal" w:pos="1230"/>
              </w:tabs>
              <w:spacing w:after="120" w:line="240" w:lineRule="auto"/>
              <w:rPr>
                <w:rFonts w:cstheme="minorHAnsi"/>
                <w:b/>
                <w:bCs/>
                <w:color w:val="000000"/>
                <w:sz w:val="16"/>
                <w:szCs w:val="16"/>
              </w:rPr>
            </w:pPr>
            <w:r w:rsidRPr="00D4158A">
              <w:rPr>
                <w:rFonts w:cstheme="minorHAnsi"/>
                <w:b/>
                <w:bCs/>
                <w:color w:val="000000"/>
                <w:sz w:val="16"/>
                <w:szCs w:val="16"/>
              </w:rPr>
              <w:t>Retained</w:t>
            </w:r>
          </w:p>
        </w:tc>
        <w:tc>
          <w:tcPr>
            <w:tcW w:w="1980" w:type="dxa"/>
            <w:gridSpan w:val="2"/>
          </w:tcPr>
          <w:p w14:paraId="507EFC87" w14:textId="77777777" w:rsidR="0002381D" w:rsidRPr="00D4158A" w:rsidRDefault="0002381D" w:rsidP="00D4158A">
            <w:pPr>
              <w:tabs>
                <w:tab w:val="decimal" w:pos="1230"/>
              </w:tabs>
              <w:spacing w:after="120" w:line="240" w:lineRule="auto"/>
              <w:rPr>
                <w:rFonts w:cstheme="minorHAnsi"/>
                <w:b/>
                <w:bCs/>
                <w:color w:val="000000"/>
                <w:sz w:val="16"/>
                <w:szCs w:val="16"/>
              </w:rPr>
            </w:pPr>
          </w:p>
        </w:tc>
      </w:tr>
      <w:tr w:rsidR="0002381D" w:rsidRPr="00987B3B" w14:paraId="5F8A12CE" w14:textId="77777777" w:rsidTr="00270393">
        <w:trPr>
          <w:gridAfter w:val="1"/>
          <w:wAfter w:w="563" w:type="dxa"/>
        </w:trPr>
        <w:tc>
          <w:tcPr>
            <w:tcW w:w="3369" w:type="dxa"/>
          </w:tcPr>
          <w:p w14:paraId="56133979" w14:textId="77777777" w:rsidR="0002381D" w:rsidRPr="00D4158A" w:rsidRDefault="0002381D" w:rsidP="00D4158A">
            <w:pPr>
              <w:spacing w:after="120" w:line="240" w:lineRule="auto"/>
              <w:jc w:val="left"/>
              <w:rPr>
                <w:rFonts w:cstheme="minorHAnsi"/>
                <w:sz w:val="16"/>
                <w:szCs w:val="16"/>
              </w:rPr>
            </w:pPr>
          </w:p>
        </w:tc>
        <w:tc>
          <w:tcPr>
            <w:tcW w:w="1700" w:type="dxa"/>
            <w:hideMark/>
          </w:tcPr>
          <w:p w14:paraId="3A90B285" w14:textId="77777777" w:rsidR="0002381D" w:rsidRPr="00D4158A" w:rsidRDefault="0002381D" w:rsidP="00D4158A">
            <w:pPr>
              <w:tabs>
                <w:tab w:val="decimal" w:pos="1230"/>
              </w:tabs>
              <w:spacing w:after="120" w:line="240" w:lineRule="auto"/>
              <w:rPr>
                <w:rFonts w:cstheme="minorHAnsi"/>
                <w:b/>
                <w:sz w:val="16"/>
                <w:szCs w:val="16"/>
              </w:rPr>
            </w:pPr>
            <w:r w:rsidRPr="00D4158A">
              <w:rPr>
                <w:rFonts w:cstheme="minorHAnsi"/>
                <w:b/>
                <w:sz w:val="16"/>
                <w:szCs w:val="16"/>
              </w:rPr>
              <w:t>Capital</w:t>
            </w:r>
          </w:p>
        </w:tc>
        <w:tc>
          <w:tcPr>
            <w:tcW w:w="1276" w:type="dxa"/>
            <w:hideMark/>
          </w:tcPr>
          <w:p w14:paraId="5C1D70CE" w14:textId="77777777" w:rsidR="0002381D" w:rsidRPr="00D4158A" w:rsidRDefault="0002381D" w:rsidP="00D4158A">
            <w:pPr>
              <w:tabs>
                <w:tab w:val="decimal" w:pos="1230"/>
              </w:tabs>
              <w:spacing w:after="120" w:line="240" w:lineRule="auto"/>
              <w:rPr>
                <w:rFonts w:cstheme="minorHAnsi"/>
                <w:b/>
                <w:sz w:val="16"/>
                <w:szCs w:val="16"/>
              </w:rPr>
            </w:pPr>
            <w:r w:rsidRPr="00D4158A">
              <w:rPr>
                <w:rFonts w:cstheme="minorHAnsi"/>
                <w:b/>
                <w:sz w:val="16"/>
                <w:szCs w:val="16"/>
              </w:rPr>
              <w:t>Contribution</w:t>
            </w:r>
          </w:p>
        </w:tc>
        <w:tc>
          <w:tcPr>
            <w:tcW w:w="1560" w:type="dxa"/>
            <w:hideMark/>
          </w:tcPr>
          <w:p w14:paraId="707D7C87" w14:textId="77777777" w:rsidR="0002381D" w:rsidRPr="00D4158A" w:rsidRDefault="0002381D" w:rsidP="00D4158A">
            <w:pPr>
              <w:tabs>
                <w:tab w:val="decimal" w:pos="1230"/>
              </w:tabs>
              <w:spacing w:after="120" w:line="240" w:lineRule="auto"/>
              <w:rPr>
                <w:rFonts w:cstheme="minorHAnsi"/>
                <w:b/>
                <w:sz w:val="16"/>
                <w:szCs w:val="16"/>
              </w:rPr>
            </w:pPr>
            <w:r w:rsidRPr="00D4158A">
              <w:rPr>
                <w:rFonts w:cstheme="minorHAnsi"/>
                <w:b/>
                <w:sz w:val="16"/>
                <w:szCs w:val="16"/>
              </w:rPr>
              <w:t>Earnings</w:t>
            </w:r>
          </w:p>
        </w:tc>
        <w:tc>
          <w:tcPr>
            <w:tcW w:w="1417" w:type="dxa"/>
            <w:hideMark/>
          </w:tcPr>
          <w:p w14:paraId="191F4440" w14:textId="77777777" w:rsidR="0002381D" w:rsidRPr="00D4158A" w:rsidRDefault="0002381D" w:rsidP="00D4158A">
            <w:pPr>
              <w:tabs>
                <w:tab w:val="decimal" w:pos="1230"/>
              </w:tabs>
              <w:spacing w:after="120" w:line="240" w:lineRule="auto"/>
              <w:rPr>
                <w:rFonts w:cstheme="minorHAnsi"/>
                <w:b/>
                <w:sz w:val="16"/>
                <w:szCs w:val="16"/>
              </w:rPr>
            </w:pPr>
            <w:r w:rsidRPr="00D4158A">
              <w:rPr>
                <w:rFonts w:cstheme="minorHAnsi"/>
                <w:b/>
                <w:sz w:val="16"/>
                <w:szCs w:val="16"/>
              </w:rPr>
              <w:t>Total</w:t>
            </w:r>
          </w:p>
        </w:tc>
      </w:tr>
      <w:tr w:rsidR="0002381D" w:rsidRPr="00987B3B" w14:paraId="079F31CF" w14:textId="77777777" w:rsidTr="00270393">
        <w:trPr>
          <w:gridAfter w:val="1"/>
          <w:wAfter w:w="563" w:type="dxa"/>
        </w:trPr>
        <w:tc>
          <w:tcPr>
            <w:tcW w:w="3369" w:type="dxa"/>
          </w:tcPr>
          <w:p w14:paraId="4F005495" w14:textId="77777777" w:rsidR="0002381D" w:rsidRPr="00D4158A" w:rsidRDefault="0002381D" w:rsidP="00D4158A">
            <w:pPr>
              <w:spacing w:after="120" w:line="240" w:lineRule="auto"/>
              <w:jc w:val="left"/>
              <w:rPr>
                <w:rFonts w:cstheme="minorHAnsi"/>
                <w:color w:val="000000"/>
                <w:sz w:val="16"/>
                <w:szCs w:val="16"/>
              </w:rPr>
            </w:pPr>
          </w:p>
        </w:tc>
        <w:tc>
          <w:tcPr>
            <w:tcW w:w="1700" w:type="dxa"/>
            <w:hideMark/>
          </w:tcPr>
          <w:p w14:paraId="5AB9B99C" w14:textId="77777777" w:rsidR="0002381D" w:rsidRPr="00D4158A" w:rsidRDefault="0002381D" w:rsidP="00D4158A">
            <w:pPr>
              <w:tabs>
                <w:tab w:val="decimal" w:pos="1230"/>
              </w:tabs>
              <w:spacing w:after="120" w:line="240" w:lineRule="auto"/>
              <w:rPr>
                <w:rFonts w:cstheme="minorHAnsi"/>
                <w:b/>
                <w:sz w:val="16"/>
                <w:szCs w:val="16"/>
              </w:rPr>
            </w:pPr>
            <w:r w:rsidRPr="00D4158A">
              <w:rPr>
                <w:rFonts w:cstheme="minorHAnsi"/>
                <w:b/>
                <w:sz w:val="16"/>
                <w:szCs w:val="16"/>
              </w:rPr>
              <w:t>RM</w:t>
            </w:r>
          </w:p>
        </w:tc>
        <w:tc>
          <w:tcPr>
            <w:tcW w:w="1276" w:type="dxa"/>
            <w:hideMark/>
          </w:tcPr>
          <w:p w14:paraId="22127B94" w14:textId="77777777" w:rsidR="0002381D" w:rsidRPr="00D4158A" w:rsidRDefault="0002381D" w:rsidP="00D4158A">
            <w:pPr>
              <w:tabs>
                <w:tab w:val="decimal" w:pos="1230"/>
              </w:tabs>
              <w:spacing w:after="120" w:line="240" w:lineRule="auto"/>
              <w:rPr>
                <w:rFonts w:cstheme="minorHAnsi"/>
                <w:b/>
                <w:sz w:val="16"/>
                <w:szCs w:val="16"/>
              </w:rPr>
            </w:pPr>
            <w:r w:rsidRPr="00D4158A">
              <w:rPr>
                <w:rFonts w:cstheme="minorHAnsi"/>
                <w:b/>
                <w:sz w:val="16"/>
                <w:szCs w:val="16"/>
              </w:rPr>
              <w:t>RM</w:t>
            </w:r>
          </w:p>
        </w:tc>
        <w:tc>
          <w:tcPr>
            <w:tcW w:w="1560" w:type="dxa"/>
            <w:hideMark/>
          </w:tcPr>
          <w:p w14:paraId="3A1B9171" w14:textId="77777777" w:rsidR="0002381D" w:rsidRPr="00D4158A" w:rsidRDefault="0002381D" w:rsidP="00D4158A">
            <w:pPr>
              <w:tabs>
                <w:tab w:val="decimal" w:pos="1230"/>
              </w:tabs>
              <w:spacing w:after="120" w:line="240" w:lineRule="auto"/>
              <w:rPr>
                <w:rFonts w:cstheme="minorHAnsi"/>
                <w:b/>
                <w:sz w:val="16"/>
                <w:szCs w:val="16"/>
              </w:rPr>
            </w:pPr>
            <w:r w:rsidRPr="00D4158A">
              <w:rPr>
                <w:rFonts w:cstheme="minorHAnsi"/>
                <w:b/>
                <w:sz w:val="16"/>
                <w:szCs w:val="16"/>
              </w:rPr>
              <w:t>RM</w:t>
            </w:r>
          </w:p>
        </w:tc>
        <w:tc>
          <w:tcPr>
            <w:tcW w:w="1417" w:type="dxa"/>
            <w:hideMark/>
          </w:tcPr>
          <w:p w14:paraId="4EA76A20" w14:textId="77777777" w:rsidR="0002381D" w:rsidRPr="00D4158A" w:rsidRDefault="0002381D" w:rsidP="00D4158A">
            <w:pPr>
              <w:tabs>
                <w:tab w:val="decimal" w:pos="1230"/>
              </w:tabs>
              <w:spacing w:after="120" w:line="240" w:lineRule="auto"/>
              <w:rPr>
                <w:rFonts w:cstheme="minorHAnsi"/>
                <w:b/>
                <w:sz w:val="16"/>
                <w:szCs w:val="16"/>
              </w:rPr>
            </w:pPr>
            <w:r w:rsidRPr="00D4158A">
              <w:rPr>
                <w:rFonts w:cstheme="minorHAnsi"/>
                <w:b/>
                <w:sz w:val="16"/>
                <w:szCs w:val="16"/>
              </w:rPr>
              <w:t>RM</w:t>
            </w:r>
          </w:p>
        </w:tc>
      </w:tr>
      <w:tr w:rsidR="0002381D" w:rsidRPr="00987B3B" w14:paraId="0BC70387" w14:textId="77777777" w:rsidTr="00270393">
        <w:trPr>
          <w:gridAfter w:val="1"/>
          <w:wAfter w:w="563" w:type="dxa"/>
        </w:trPr>
        <w:tc>
          <w:tcPr>
            <w:tcW w:w="3369" w:type="dxa"/>
            <w:hideMark/>
          </w:tcPr>
          <w:p w14:paraId="126001C0" w14:textId="77777777" w:rsidR="0002381D" w:rsidRPr="00D4158A" w:rsidRDefault="0002381D" w:rsidP="00D4158A">
            <w:pPr>
              <w:spacing w:after="120" w:line="240" w:lineRule="auto"/>
              <w:jc w:val="left"/>
              <w:rPr>
                <w:rFonts w:cstheme="minorHAnsi"/>
                <w:color w:val="000000"/>
                <w:sz w:val="16"/>
                <w:szCs w:val="16"/>
              </w:rPr>
            </w:pPr>
            <w:r w:rsidRPr="00D4158A">
              <w:rPr>
                <w:rFonts w:cstheme="minorHAnsi"/>
                <w:color w:val="000000"/>
                <w:sz w:val="16"/>
                <w:szCs w:val="16"/>
              </w:rPr>
              <w:t>As at 17 April 2018 (Date of incorporation)</w:t>
            </w:r>
          </w:p>
        </w:tc>
        <w:tc>
          <w:tcPr>
            <w:tcW w:w="1700" w:type="dxa"/>
            <w:hideMark/>
          </w:tcPr>
          <w:p w14:paraId="082FCC90"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100</w:t>
            </w:r>
          </w:p>
        </w:tc>
        <w:tc>
          <w:tcPr>
            <w:tcW w:w="1276" w:type="dxa"/>
            <w:hideMark/>
          </w:tcPr>
          <w:p w14:paraId="2CC7716D"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50,000</w:t>
            </w:r>
          </w:p>
        </w:tc>
        <w:tc>
          <w:tcPr>
            <w:tcW w:w="1560" w:type="dxa"/>
            <w:hideMark/>
          </w:tcPr>
          <w:p w14:paraId="7A573684"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w:t>
            </w:r>
          </w:p>
        </w:tc>
        <w:tc>
          <w:tcPr>
            <w:tcW w:w="1417" w:type="dxa"/>
            <w:hideMark/>
          </w:tcPr>
          <w:p w14:paraId="7ED35093"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50,100</w:t>
            </w:r>
          </w:p>
        </w:tc>
      </w:tr>
      <w:tr w:rsidR="0002381D" w:rsidRPr="00987B3B" w14:paraId="4570914B" w14:textId="77777777" w:rsidTr="00270393">
        <w:trPr>
          <w:gridAfter w:val="1"/>
          <w:wAfter w:w="563" w:type="dxa"/>
        </w:trPr>
        <w:tc>
          <w:tcPr>
            <w:tcW w:w="3369" w:type="dxa"/>
            <w:hideMark/>
          </w:tcPr>
          <w:p w14:paraId="55FB599F" w14:textId="77777777" w:rsidR="0002381D" w:rsidRPr="00D4158A" w:rsidRDefault="0002381D" w:rsidP="00D4158A">
            <w:pPr>
              <w:spacing w:after="120" w:line="240" w:lineRule="auto"/>
              <w:jc w:val="left"/>
              <w:rPr>
                <w:rFonts w:cstheme="minorHAnsi"/>
                <w:color w:val="000000"/>
                <w:sz w:val="16"/>
                <w:szCs w:val="16"/>
              </w:rPr>
            </w:pPr>
            <w:r w:rsidRPr="00D4158A">
              <w:rPr>
                <w:rFonts w:cstheme="minorHAnsi"/>
                <w:color w:val="000000"/>
                <w:sz w:val="16"/>
                <w:szCs w:val="16"/>
              </w:rPr>
              <w:t>Total comprehensive income for the financial period</w:t>
            </w:r>
          </w:p>
        </w:tc>
        <w:tc>
          <w:tcPr>
            <w:tcW w:w="1700" w:type="dxa"/>
            <w:hideMark/>
          </w:tcPr>
          <w:p w14:paraId="26AA05D3"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w:t>
            </w:r>
          </w:p>
        </w:tc>
        <w:tc>
          <w:tcPr>
            <w:tcW w:w="1276" w:type="dxa"/>
            <w:hideMark/>
          </w:tcPr>
          <w:p w14:paraId="63AE3A0E"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w:t>
            </w:r>
          </w:p>
        </w:tc>
        <w:tc>
          <w:tcPr>
            <w:tcW w:w="1560" w:type="dxa"/>
            <w:hideMark/>
          </w:tcPr>
          <w:p w14:paraId="2DF61316"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429,461</w:t>
            </w:r>
          </w:p>
        </w:tc>
        <w:tc>
          <w:tcPr>
            <w:tcW w:w="1417" w:type="dxa"/>
            <w:hideMark/>
          </w:tcPr>
          <w:p w14:paraId="54471153"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429,461</w:t>
            </w:r>
          </w:p>
        </w:tc>
      </w:tr>
      <w:tr w:rsidR="0002381D" w:rsidRPr="00987B3B" w14:paraId="4FE67D44" w14:textId="77777777" w:rsidTr="00270393">
        <w:trPr>
          <w:gridAfter w:val="1"/>
          <w:wAfter w:w="563" w:type="dxa"/>
        </w:trPr>
        <w:tc>
          <w:tcPr>
            <w:tcW w:w="3369" w:type="dxa"/>
          </w:tcPr>
          <w:p w14:paraId="0A82B28E" w14:textId="77777777" w:rsidR="0002381D" w:rsidRPr="00D4158A" w:rsidRDefault="0002381D" w:rsidP="00D4158A">
            <w:pPr>
              <w:spacing w:after="120" w:line="240" w:lineRule="auto"/>
              <w:jc w:val="left"/>
              <w:rPr>
                <w:rFonts w:cstheme="minorHAnsi"/>
                <w:color w:val="000000"/>
                <w:sz w:val="16"/>
                <w:szCs w:val="16"/>
              </w:rPr>
            </w:pPr>
          </w:p>
        </w:tc>
        <w:tc>
          <w:tcPr>
            <w:tcW w:w="1700" w:type="dxa"/>
            <w:hideMark/>
          </w:tcPr>
          <w:p w14:paraId="5308AFED"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_________</w:t>
            </w:r>
          </w:p>
        </w:tc>
        <w:tc>
          <w:tcPr>
            <w:tcW w:w="1276" w:type="dxa"/>
            <w:hideMark/>
          </w:tcPr>
          <w:p w14:paraId="0F51F5BC"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_________</w:t>
            </w:r>
          </w:p>
        </w:tc>
        <w:tc>
          <w:tcPr>
            <w:tcW w:w="1560" w:type="dxa"/>
            <w:hideMark/>
          </w:tcPr>
          <w:p w14:paraId="564CF095"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_________</w:t>
            </w:r>
          </w:p>
        </w:tc>
        <w:tc>
          <w:tcPr>
            <w:tcW w:w="1417" w:type="dxa"/>
            <w:hideMark/>
          </w:tcPr>
          <w:p w14:paraId="60B66250"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_________</w:t>
            </w:r>
          </w:p>
        </w:tc>
      </w:tr>
      <w:tr w:rsidR="0002381D" w:rsidRPr="00987B3B" w14:paraId="2419C41A" w14:textId="77777777" w:rsidTr="00270393">
        <w:trPr>
          <w:gridAfter w:val="1"/>
          <w:wAfter w:w="563" w:type="dxa"/>
        </w:trPr>
        <w:tc>
          <w:tcPr>
            <w:tcW w:w="3369" w:type="dxa"/>
            <w:hideMark/>
          </w:tcPr>
          <w:p w14:paraId="58492DAA" w14:textId="77777777" w:rsidR="0002381D" w:rsidRPr="00D4158A" w:rsidRDefault="0002381D" w:rsidP="00D4158A">
            <w:pPr>
              <w:spacing w:after="120" w:line="240" w:lineRule="auto"/>
              <w:jc w:val="left"/>
              <w:rPr>
                <w:rFonts w:cstheme="minorHAnsi"/>
                <w:color w:val="000000"/>
                <w:sz w:val="16"/>
                <w:szCs w:val="16"/>
              </w:rPr>
            </w:pPr>
            <w:r w:rsidRPr="00D4158A">
              <w:rPr>
                <w:rFonts w:cstheme="minorHAnsi"/>
                <w:color w:val="000000"/>
                <w:sz w:val="16"/>
                <w:szCs w:val="16"/>
              </w:rPr>
              <w:t>As at 30 April 2019</w:t>
            </w:r>
          </w:p>
        </w:tc>
        <w:tc>
          <w:tcPr>
            <w:tcW w:w="1700" w:type="dxa"/>
            <w:hideMark/>
          </w:tcPr>
          <w:p w14:paraId="0A69CA59"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100</w:t>
            </w:r>
          </w:p>
        </w:tc>
        <w:tc>
          <w:tcPr>
            <w:tcW w:w="1276" w:type="dxa"/>
            <w:hideMark/>
          </w:tcPr>
          <w:p w14:paraId="178467EA"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50,000</w:t>
            </w:r>
          </w:p>
        </w:tc>
        <w:tc>
          <w:tcPr>
            <w:tcW w:w="1560" w:type="dxa"/>
            <w:hideMark/>
          </w:tcPr>
          <w:p w14:paraId="4D933C98"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429,461</w:t>
            </w:r>
          </w:p>
        </w:tc>
        <w:tc>
          <w:tcPr>
            <w:tcW w:w="1417" w:type="dxa"/>
            <w:hideMark/>
          </w:tcPr>
          <w:p w14:paraId="24888317"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479,561</w:t>
            </w:r>
          </w:p>
        </w:tc>
      </w:tr>
      <w:tr w:rsidR="0002381D" w:rsidRPr="00987B3B" w14:paraId="18BB7477" w14:textId="77777777" w:rsidTr="00270393">
        <w:trPr>
          <w:gridAfter w:val="1"/>
          <w:wAfter w:w="563" w:type="dxa"/>
        </w:trPr>
        <w:tc>
          <w:tcPr>
            <w:tcW w:w="3369" w:type="dxa"/>
          </w:tcPr>
          <w:p w14:paraId="0B84DC82" w14:textId="77777777" w:rsidR="0002381D" w:rsidRPr="00D4158A" w:rsidRDefault="0002381D" w:rsidP="00D4158A">
            <w:pPr>
              <w:spacing w:after="120" w:line="240" w:lineRule="auto"/>
              <w:jc w:val="left"/>
              <w:rPr>
                <w:rFonts w:cstheme="minorHAnsi"/>
                <w:color w:val="000000"/>
                <w:sz w:val="16"/>
                <w:szCs w:val="16"/>
              </w:rPr>
            </w:pPr>
          </w:p>
        </w:tc>
        <w:tc>
          <w:tcPr>
            <w:tcW w:w="1700" w:type="dxa"/>
            <w:hideMark/>
          </w:tcPr>
          <w:p w14:paraId="030C3083" w14:textId="77777777" w:rsidR="0002381D" w:rsidRPr="00D4158A" w:rsidRDefault="0002381D" w:rsidP="00D4158A">
            <w:pPr>
              <w:tabs>
                <w:tab w:val="decimal" w:pos="1230"/>
              </w:tabs>
              <w:spacing w:after="120" w:line="240" w:lineRule="auto"/>
              <w:rPr>
                <w:rFonts w:cstheme="minorHAnsi"/>
                <w:b/>
                <w:sz w:val="16"/>
                <w:szCs w:val="16"/>
              </w:rPr>
            </w:pPr>
            <w:r w:rsidRPr="00D4158A">
              <w:rPr>
                <w:rFonts w:cstheme="minorHAnsi"/>
                <w:sz w:val="16"/>
                <w:szCs w:val="16"/>
                <w:u w:val="double"/>
              </w:rPr>
              <w:t>_________</w:t>
            </w:r>
          </w:p>
        </w:tc>
        <w:tc>
          <w:tcPr>
            <w:tcW w:w="1276" w:type="dxa"/>
            <w:hideMark/>
          </w:tcPr>
          <w:p w14:paraId="05ADB76F" w14:textId="77777777" w:rsidR="0002381D" w:rsidRPr="00D4158A" w:rsidRDefault="0002381D" w:rsidP="00D4158A">
            <w:pPr>
              <w:tabs>
                <w:tab w:val="decimal" w:pos="1230"/>
              </w:tabs>
              <w:spacing w:after="120" w:line="240" w:lineRule="auto"/>
              <w:rPr>
                <w:rFonts w:cstheme="minorHAnsi"/>
                <w:sz w:val="16"/>
                <w:szCs w:val="16"/>
                <w:u w:val="double"/>
              </w:rPr>
            </w:pPr>
            <w:r w:rsidRPr="00D4158A">
              <w:rPr>
                <w:rFonts w:cstheme="minorHAnsi"/>
                <w:sz w:val="16"/>
                <w:szCs w:val="16"/>
                <w:u w:val="double"/>
              </w:rPr>
              <w:t>_________</w:t>
            </w:r>
          </w:p>
        </w:tc>
        <w:tc>
          <w:tcPr>
            <w:tcW w:w="1560" w:type="dxa"/>
            <w:hideMark/>
          </w:tcPr>
          <w:p w14:paraId="7462C662" w14:textId="77777777" w:rsidR="0002381D" w:rsidRPr="00D4158A" w:rsidRDefault="0002381D" w:rsidP="00D4158A">
            <w:pPr>
              <w:tabs>
                <w:tab w:val="decimal" w:pos="1230"/>
              </w:tabs>
              <w:spacing w:after="120" w:line="240" w:lineRule="auto"/>
              <w:rPr>
                <w:rFonts w:cstheme="minorHAnsi"/>
                <w:b/>
                <w:sz w:val="16"/>
                <w:szCs w:val="16"/>
              </w:rPr>
            </w:pPr>
            <w:r w:rsidRPr="00D4158A">
              <w:rPr>
                <w:rFonts w:cstheme="minorHAnsi"/>
                <w:sz w:val="16"/>
                <w:szCs w:val="16"/>
                <w:u w:val="double"/>
              </w:rPr>
              <w:t>_________</w:t>
            </w:r>
          </w:p>
        </w:tc>
        <w:tc>
          <w:tcPr>
            <w:tcW w:w="1417" w:type="dxa"/>
            <w:hideMark/>
          </w:tcPr>
          <w:p w14:paraId="0C61A31E" w14:textId="77777777" w:rsidR="0002381D" w:rsidRPr="00D4158A" w:rsidRDefault="0002381D" w:rsidP="00D4158A">
            <w:pPr>
              <w:tabs>
                <w:tab w:val="decimal" w:pos="1230"/>
              </w:tabs>
              <w:spacing w:after="120" w:line="240" w:lineRule="auto"/>
              <w:rPr>
                <w:rFonts w:cstheme="minorHAnsi"/>
                <w:b/>
                <w:sz w:val="16"/>
                <w:szCs w:val="16"/>
              </w:rPr>
            </w:pPr>
            <w:r w:rsidRPr="00D4158A">
              <w:rPr>
                <w:rFonts w:cstheme="minorHAnsi"/>
                <w:sz w:val="16"/>
                <w:szCs w:val="16"/>
                <w:u w:val="double"/>
              </w:rPr>
              <w:t>_________</w:t>
            </w:r>
          </w:p>
        </w:tc>
      </w:tr>
    </w:tbl>
    <w:p w14:paraId="6A6FC668" w14:textId="77777777" w:rsidR="0002381D" w:rsidRPr="00D4158A" w:rsidRDefault="0002381D" w:rsidP="00D4158A">
      <w:pPr>
        <w:spacing w:after="120" w:line="240" w:lineRule="auto"/>
        <w:rPr>
          <w:rFonts w:cstheme="minorHAnsi"/>
          <w:b/>
          <w:sz w:val="16"/>
          <w:szCs w:val="16"/>
        </w:rPr>
      </w:pPr>
    </w:p>
    <w:tbl>
      <w:tblPr>
        <w:tblW w:w="9885" w:type="dxa"/>
        <w:tblInd w:w="-108" w:type="dxa"/>
        <w:tblLayout w:type="fixed"/>
        <w:tblLook w:val="04A0" w:firstRow="1" w:lastRow="0" w:firstColumn="1" w:lastColumn="0" w:noHBand="0" w:noVBand="1"/>
      </w:tblPr>
      <w:tblGrid>
        <w:gridCol w:w="3369"/>
        <w:gridCol w:w="1559"/>
        <w:gridCol w:w="1841"/>
        <w:gridCol w:w="1136"/>
        <w:gridCol w:w="1980"/>
      </w:tblGrid>
      <w:tr w:rsidR="0002381D" w:rsidRPr="00987B3B" w14:paraId="74BCD134" w14:textId="77777777" w:rsidTr="00270393">
        <w:tc>
          <w:tcPr>
            <w:tcW w:w="3369" w:type="dxa"/>
            <w:hideMark/>
          </w:tcPr>
          <w:p w14:paraId="5D1B6111" w14:textId="77777777" w:rsidR="0002381D" w:rsidRPr="00D4158A" w:rsidRDefault="0002381D" w:rsidP="00D4158A">
            <w:pPr>
              <w:spacing w:after="120" w:line="240" w:lineRule="auto"/>
              <w:jc w:val="left"/>
              <w:rPr>
                <w:rFonts w:cstheme="minorHAnsi"/>
                <w:color w:val="000000"/>
                <w:sz w:val="16"/>
                <w:szCs w:val="16"/>
              </w:rPr>
            </w:pPr>
            <w:r w:rsidRPr="00D4158A">
              <w:rPr>
                <w:rFonts w:cstheme="minorHAnsi"/>
                <w:color w:val="000000"/>
                <w:sz w:val="16"/>
                <w:szCs w:val="16"/>
              </w:rPr>
              <w:t>Total comprehensive income for the financial period</w:t>
            </w:r>
          </w:p>
        </w:tc>
        <w:tc>
          <w:tcPr>
            <w:tcW w:w="1559" w:type="dxa"/>
          </w:tcPr>
          <w:p w14:paraId="7E67A87B" w14:textId="77777777" w:rsidR="0002381D" w:rsidRPr="00D4158A" w:rsidRDefault="0002381D" w:rsidP="00D4158A">
            <w:pPr>
              <w:tabs>
                <w:tab w:val="decimal" w:pos="1230"/>
              </w:tabs>
              <w:spacing w:after="120" w:line="240" w:lineRule="auto"/>
              <w:rPr>
                <w:rFonts w:cstheme="minorHAnsi"/>
                <w:sz w:val="16"/>
                <w:szCs w:val="16"/>
              </w:rPr>
            </w:pPr>
          </w:p>
          <w:p w14:paraId="69B778AF"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w:t>
            </w:r>
          </w:p>
        </w:tc>
        <w:tc>
          <w:tcPr>
            <w:tcW w:w="1841" w:type="dxa"/>
          </w:tcPr>
          <w:p w14:paraId="3E9DB11C" w14:textId="77777777" w:rsidR="0002381D" w:rsidRPr="00D4158A" w:rsidRDefault="0002381D" w:rsidP="00D4158A">
            <w:pPr>
              <w:tabs>
                <w:tab w:val="decimal" w:pos="1230"/>
              </w:tabs>
              <w:spacing w:after="120" w:line="240" w:lineRule="auto"/>
              <w:rPr>
                <w:rFonts w:cstheme="minorHAnsi"/>
                <w:sz w:val="16"/>
                <w:szCs w:val="16"/>
              </w:rPr>
            </w:pPr>
          </w:p>
          <w:p w14:paraId="42A0495A"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w:t>
            </w:r>
          </w:p>
        </w:tc>
        <w:tc>
          <w:tcPr>
            <w:tcW w:w="1136" w:type="dxa"/>
          </w:tcPr>
          <w:p w14:paraId="1A2AD4CB" w14:textId="77777777" w:rsidR="0002381D" w:rsidRPr="00D4158A" w:rsidRDefault="0002381D" w:rsidP="00D4158A">
            <w:pPr>
              <w:tabs>
                <w:tab w:val="decimal" w:pos="1230"/>
              </w:tabs>
              <w:spacing w:after="120" w:line="240" w:lineRule="auto"/>
              <w:rPr>
                <w:rFonts w:cstheme="minorHAnsi"/>
                <w:sz w:val="16"/>
                <w:szCs w:val="16"/>
              </w:rPr>
            </w:pPr>
          </w:p>
          <w:p w14:paraId="78323414"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375,890</w:t>
            </w:r>
          </w:p>
        </w:tc>
        <w:tc>
          <w:tcPr>
            <w:tcW w:w="1980" w:type="dxa"/>
          </w:tcPr>
          <w:p w14:paraId="3904D648" w14:textId="77777777" w:rsidR="0002381D" w:rsidRPr="00D4158A" w:rsidRDefault="0002381D" w:rsidP="00D4158A">
            <w:pPr>
              <w:tabs>
                <w:tab w:val="decimal" w:pos="1230"/>
              </w:tabs>
              <w:spacing w:after="120" w:line="240" w:lineRule="auto"/>
              <w:rPr>
                <w:rFonts w:cstheme="minorHAnsi"/>
                <w:sz w:val="16"/>
                <w:szCs w:val="16"/>
              </w:rPr>
            </w:pPr>
          </w:p>
          <w:p w14:paraId="099D5B1B"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375,890</w:t>
            </w:r>
          </w:p>
        </w:tc>
      </w:tr>
      <w:tr w:rsidR="0002381D" w:rsidRPr="00987B3B" w14:paraId="18959AC5" w14:textId="77777777" w:rsidTr="00270393">
        <w:tc>
          <w:tcPr>
            <w:tcW w:w="3369" w:type="dxa"/>
          </w:tcPr>
          <w:p w14:paraId="0AB2B327" w14:textId="77777777" w:rsidR="0002381D" w:rsidRPr="00D4158A" w:rsidRDefault="0002381D" w:rsidP="00D4158A">
            <w:pPr>
              <w:spacing w:after="120" w:line="240" w:lineRule="auto"/>
              <w:jc w:val="left"/>
              <w:rPr>
                <w:rFonts w:cstheme="minorHAnsi"/>
                <w:color w:val="000000"/>
                <w:sz w:val="16"/>
                <w:szCs w:val="16"/>
              </w:rPr>
            </w:pPr>
          </w:p>
        </w:tc>
        <w:tc>
          <w:tcPr>
            <w:tcW w:w="1559" w:type="dxa"/>
            <w:hideMark/>
          </w:tcPr>
          <w:p w14:paraId="048F8B01"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_________</w:t>
            </w:r>
          </w:p>
        </w:tc>
        <w:tc>
          <w:tcPr>
            <w:tcW w:w="1841" w:type="dxa"/>
            <w:hideMark/>
          </w:tcPr>
          <w:p w14:paraId="11D462CF"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_________</w:t>
            </w:r>
          </w:p>
        </w:tc>
        <w:tc>
          <w:tcPr>
            <w:tcW w:w="1136" w:type="dxa"/>
            <w:hideMark/>
          </w:tcPr>
          <w:p w14:paraId="1BDF5094"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_________</w:t>
            </w:r>
          </w:p>
        </w:tc>
        <w:tc>
          <w:tcPr>
            <w:tcW w:w="1980" w:type="dxa"/>
            <w:hideMark/>
          </w:tcPr>
          <w:p w14:paraId="61230C24"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_________</w:t>
            </w:r>
          </w:p>
        </w:tc>
      </w:tr>
      <w:tr w:rsidR="0002381D" w:rsidRPr="00987B3B" w14:paraId="6A3B98E2" w14:textId="77777777" w:rsidTr="00270393">
        <w:tc>
          <w:tcPr>
            <w:tcW w:w="3369" w:type="dxa"/>
          </w:tcPr>
          <w:p w14:paraId="3E5F3B4D" w14:textId="77777777" w:rsidR="0002381D" w:rsidRPr="00D4158A" w:rsidRDefault="0002381D" w:rsidP="00D4158A">
            <w:pPr>
              <w:spacing w:after="120" w:line="240" w:lineRule="auto"/>
              <w:jc w:val="left"/>
              <w:rPr>
                <w:rFonts w:cstheme="minorHAnsi"/>
                <w:color w:val="000000"/>
                <w:sz w:val="16"/>
                <w:szCs w:val="16"/>
              </w:rPr>
            </w:pPr>
          </w:p>
        </w:tc>
        <w:tc>
          <w:tcPr>
            <w:tcW w:w="1559" w:type="dxa"/>
          </w:tcPr>
          <w:p w14:paraId="6672DA9A" w14:textId="77777777" w:rsidR="0002381D" w:rsidRPr="00D4158A" w:rsidRDefault="0002381D" w:rsidP="00D4158A">
            <w:pPr>
              <w:tabs>
                <w:tab w:val="decimal" w:pos="1230"/>
              </w:tabs>
              <w:spacing w:after="120" w:line="240" w:lineRule="auto"/>
              <w:rPr>
                <w:rFonts w:cstheme="minorHAnsi"/>
                <w:sz w:val="16"/>
                <w:szCs w:val="16"/>
              </w:rPr>
            </w:pPr>
          </w:p>
        </w:tc>
        <w:tc>
          <w:tcPr>
            <w:tcW w:w="1841" w:type="dxa"/>
          </w:tcPr>
          <w:p w14:paraId="5F3939C8" w14:textId="77777777" w:rsidR="0002381D" w:rsidRPr="00D4158A" w:rsidRDefault="0002381D" w:rsidP="00D4158A">
            <w:pPr>
              <w:tabs>
                <w:tab w:val="decimal" w:pos="1230"/>
              </w:tabs>
              <w:spacing w:after="120" w:line="240" w:lineRule="auto"/>
              <w:rPr>
                <w:rFonts w:cstheme="minorHAnsi"/>
                <w:sz w:val="16"/>
                <w:szCs w:val="16"/>
              </w:rPr>
            </w:pPr>
          </w:p>
        </w:tc>
        <w:tc>
          <w:tcPr>
            <w:tcW w:w="1136" w:type="dxa"/>
          </w:tcPr>
          <w:p w14:paraId="316AA6D1" w14:textId="77777777" w:rsidR="0002381D" w:rsidRPr="00D4158A" w:rsidRDefault="0002381D" w:rsidP="00D4158A">
            <w:pPr>
              <w:tabs>
                <w:tab w:val="decimal" w:pos="1230"/>
              </w:tabs>
              <w:spacing w:after="120" w:line="240" w:lineRule="auto"/>
              <w:rPr>
                <w:rFonts w:cstheme="minorHAnsi"/>
                <w:sz w:val="16"/>
                <w:szCs w:val="16"/>
              </w:rPr>
            </w:pPr>
          </w:p>
        </w:tc>
        <w:tc>
          <w:tcPr>
            <w:tcW w:w="1980" w:type="dxa"/>
          </w:tcPr>
          <w:p w14:paraId="638E6EC0" w14:textId="77777777" w:rsidR="0002381D" w:rsidRPr="00D4158A" w:rsidRDefault="0002381D" w:rsidP="00D4158A">
            <w:pPr>
              <w:tabs>
                <w:tab w:val="decimal" w:pos="1230"/>
              </w:tabs>
              <w:spacing w:after="120" w:line="240" w:lineRule="auto"/>
              <w:rPr>
                <w:rFonts w:cstheme="minorHAnsi"/>
                <w:sz w:val="16"/>
                <w:szCs w:val="16"/>
              </w:rPr>
            </w:pPr>
          </w:p>
        </w:tc>
      </w:tr>
      <w:tr w:rsidR="0002381D" w:rsidRPr="00987B3B" w14:paraId="28335ACA" w14:textId="77777777" w:rsidTr="00270393">
        <w:tc>
          <w:tcPr>
            <w:tcW w:w="3369" w:type="dxa"/>
            <w:hideMark/>
          </w:tcPr>
          <w:p w14:paraId="0B650DD7" w14:textId="77777777" w:rsidR="0002381D" w:rsidRPr="00D4158A" w:rsidRDefault="0002381D" w:rsidP="00D4158A">
            <w:pPr>
              <w:spacing w:after="120" w:line="240" w:lineRule="auto"/>
              <w:jc w:val="left"/>
              <w:rPr>
                <w:rFonts w:cstheme="minorHAnsi"/>
                <w:color w:val="000000"/>
                <w:sz w:val="16"/>
                <w:szCs w:val="16"/>
              </w:rPr>
            </w:pPr>
            <w:r w:rsidRPr="00D4158A">
              <w:rPr>
                <w:rFonts w:cstheme="minorHAnsi"/>
                <w:color w:val="000000"/>
                <w:sz w:val="16"/>
                <w:szCs w:val="16"/>
              </w:rPr>
              <w:t>As at 31 October 2019</w:t>
            </w:r>
          </w:p>
        </w:tc>
        <w:tc>
          <w:tcPr>
            <w:tcW w:w="1559" w:type="dxa"/>
            <w:hideMark/>
          </w:tcPr>
          <w:p w14:paraId="3ED0AE9F"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100</w:t>
            </w:r>
          </w:p>
        </w:tc>
        <w:tc>
          <w:tcPr>
            <w:tcW w:w="1841" w:type="dxa"/>
            <w:hideMark/>
          </w:tcPr>
          <w:p w14:paraId="66C7E878"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50,000</w:t>
            </w:r>
          </w:p>
        </w:tc>
        <w:tc>
          <w:tcPr>
            <w:tcW w:w="1136" w:type="dxa"/>
            <w:hideMark/>
          </w:tcPr>
          <w:p w14:paraId="1E2E3437"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805,351</w:t>
            </w:r>
          </w:p>
        </w:tc>
        <w:tc>
          <w:tcPr>
            <w:tcW w:w="1980" w:type="dxa"/>
            <w:hideMark/>
          </w:tcPr>
          <w:p w14:paraId="6D95D5AE" w14:textId="77777777" w:rsidR="0002381D" w:rsidRPr="00D4158A" w:rsidRDefault="0002381D" w:rsidP="00D4158A">
            <w:pPr>
              <w:tabs>
                <w:tab w:val="decimal" w:pos="1230"/>
              </w:tabs>
              <w:spacing w:after="120" w:line="240" w:lineRule="auto"/>
              <w:rPr>
                <w:rFonts w:cstheme="minorHAnsi"/>
                <w:sz w:val="16"/>
                <w:szCs w:val="16"/>
              </w:rPr>
            </w:pPr>
            <w:r w:rsidRPr="00D4158A">
              <w:rPr>
                <w:rFonts w:cstheme="minorHAnsi"/>
                <w:sz w:val="16"/>
                <w:szCs w:val="16"/>
              </w:rPr>
              <w:t>855,451</w:t>
            </w:r>
          </w:p>
        </w:tc>
      </w:tr>
      <w:tr w:rsidR="0002381D" w:rsidRPr="00987B3B" w14:paraId="23757E93" w14:textId="77777777" w:rsidTr="00270393">
        <w:tc>
          <w:tcPr>
            <w:tcW w:w="3369" w:type="dxa"/>
          </w:tcPr>
          <w:p w14:paraId="552EC47C" w14:textId="77777777" w:rsidR="0002381D" w:rsidRPr="00D4158A" w:rsidRDefault="0002381D" w:rsidP="00D4158A">
            <w:pPr>
              <w:spacing w:after="120" w:line="240" w:lineRule="auto"/>
              <w:jc w:val="left"/>
              <w:rPr>
                <w:rFonts w:cstheme="minorHAnsi"/>
                <w:color w:val="000000"/>
                <w:sz w:val="16"/>
                <w:szCs w:val="16"/>
              </w:rPr>
            </w:pPr>
          </w:p>
        </w:tc>
        <w:tc>
          <w:tcPr>
            <w:tcW w:w="1559" w:type="dxa"/>
            <w:hideMark/>
          </w:tcPr>
          <w:p w14:paraId="7E349F5C" w14:textId="77777777" w:rsidR="0002381D" w:rsidRPr="00D4158A" w:rsidRDefault="0002381D" w:rsidP="00D4158A">
            <w:pPr>
              <w:tabs>
                <w:tab w:val="decimal" w:pos="1230"/>
              </w:tabs>
              <w:spacing w:after="120" w:line="240" w:lineRule="auto"/>
              <w:rPr>
                <w:rFonts w:cstheme="minorHAnsi"/>
                <w:b/>
                <w:sz w:val="16"/>
                <w:szCs w:val="16"/>
              </w:rPr>
            </w:pPr>
            <w:r w:rsidRPr="00D4158A">
              <w:rPr>
                <w:rFonts w:cstheme="minorHAnsi"/>
                <w:sz w:val="16"/>
                <w:szCs w:val="16"/>
                <w:u w:val="double"/>
              </w:rPr>
              <w:t>_________</w:t>
            </w:r>
          </w:p>
        </w:tc>
        <w:tc>
          <w:tcPr>
            <w:tcW w:w="1841" w:type="dxa"/>
            <w:hideMark/>
          </w:tcPr>
          <w:p w14:paraId="43D29637" w14:textId="77777777" w:rsidR="0002381D" w:rsidRPr="00D4158A" w:rsidRDefault="0002381D" w:rsidP="00D4158A">
            <w:pPr>
              <w:tabs>
                <w:tab w:val="decimal" w:pos="1230"/>
              </w:tabs>
              <w:spacing w:after="120" w:line="240" w:lineRule="auto"/>
              <w:rPr>
                <w:rFonts w:cstheme="minorHAnsi"/>
                <w:sz w:val="16"/>
                <w:szCs w:val="16"/>
                <w:u w:val="double"/>
              </w:rPr>
            </w:pPr>
            <w:r w:rsidRPr="00D4158A">
              <w:rPr>
                <w:rFonts w:cstheme="minorHAnsi"/>
                <w:sz w:val="16"/>
                <w:szCs w:val="16"/>
                <w:u w:val="double"/>
              </w:rPr>
              <w:t>_________</w:t>
            </w:r>
          </w:p>
        </w:tc>
        <w:tc>
          <w:tcPr>
            <w:tcW w:w="1136" w:type="dxa"/>
            <w:hideMark/>
          </w:tcPr>
          <w:p w14:paraId="00D99752" w14:textId="77777777" w:rsidR="0002381D" w:rsidRPr="00D4158A" w:rsidRDefault="0002381D" w:rsidP="00D4158A">
            <w:pPr>
              <w:tabs>
                <w:tab w:val="decimal" w:pos="1230"/>
              </w:tabs>
              <w:spacing w:after="120" w:line="240" w:lineRule="auto"/>
              <w:rPr>
                <w:rFonts w:cstheme="minorHAnsi"/>
                <w:b/>
                <w:sz w:val="16"/>
                <w:szCs w:val="16"/>
              </w:rPr>
            </w:pPr>
            <w:r w:rsidRPr="00D4158A">
              <w:rPr>
                <w:rFonts w:cstheme="minorHAnsi"/>
                <w:sz w:val="16"/>
                <w:szCs w:val="16"/>
                <w:u w:val="double"/>
              </w:rPr>
              <w:t>_________</w:t>
            </w:r>
          </w:p>
        </w:tc>
        <w:tc>
          <w:tcPr>
            <w:tcW w:w="1980" w:type="dxa"/>
            <w:hideMark/>
          </w:tcPr>
          <w:p w14:paraId="368EE860" w14:textId="77777777" w:rsidR="0002381D" w:rsidRPr="00D4158A" w:rsidRDefault="0002381D" w:rsidP="00D4158A">
            <w:pPr>
              <w:tabs>
                <w:tab w:val="decimal" w:pos="1230"/>
              </w:tabs>
              <w:spacing w:after="120" w:line="240" w:lineRule="auto"/>
              <w:rPr>
                <w:rFonts w:cstheme="minorHAnsi"/>
                <w:b/>
                <w:sz w:val="16"/>
                <w:szCs w:val="16"/>
              </w:rPr>
            </w:pPr>
            <w:r w:rsidRPr="00D4158A">
              <w:rPr>
                <w:rFonts w:cstheme="minorHAnsi"/>
                <w:sz w:val="16"/>
                <w:szCs w:val="16"/>
                <w:u w:val="double"/>
              </w:rPr>
              <w:t>_________</w:t>
            </w:r>
          </w:p>
        </w:tc>
      </w:tr>
    </w:tbl>
    <w:p w14:paraId="6D858838" w14:textId="77777777" w:rsidR="0002381D" w:rsidRPr="00D4158A" w:rsidRDefault="0002381D" w:rsidP="00D4158A">
      <w:pPr>
        <w:spacing w:after="120" w:line="240" w:lineRule="auto"/>
        <w:jc w:val="left"/>
        <w:rPr>
          <w:rFonts w:cstheme="minorHAnsi"/>
          <w:szCs w:val="20"/>
        </w:rPr>
      </w:pPr>
    </w:p>
    <w:p w14:paraId="36C7BCBD" w14:textId="77777777" w:rsidR="0002381D" w:rsidRPr="00D4158A" w:rsidRDefault="0002381D" w:rsidP="00D4158A">
      <w:pPr>
        <w:spacing w:after="120" w:line="240" w:lineRule="auto"/>
        <w:jc w:val="left"/>
        <w:rPr>
          <w:rFonts w:cstheme="minorHAnsi"/>
          <w:szCs w:val="20"/>
        </w:rPr>
      </w:pPr>
    </w:p>
    <w:p w14:paraId="27A063D2" w14:textId="77777777" w:rsidR="0002381D" w:rsidRPr="00D4158A" w:rsidRDefault="0002381D" w:rsidP="00D4158A">
      <w:pPr>
        <w:spacing w:after="120" w:line="240" w:lineRule="auto"/>
        <w:jc w:val="left"/>
        <w:rPr>
          <w:rFonts w:cstheme="minorHAnsi"/>
          <w:szCs w:val="20"/>
        </w:rPr>
      </w:pPr>
      <w:r w:rsidRPr="00D4158A">
        <w:rPr>
          <w:rFonts w:cstheme="minorHAnsi"/>
          <w:szCs w:val="20"/>
        </w:rPr>
        <w:t>The capital contribution represents computer equipment with a cost value of RM50,000, provided to Alchemist on incorporation.</w:t>
      </w:r>
      <w:r w:rsidRPr="00D4158A">
        <w:rPr>
          <w:rFonts w:cstheme="minorHAnsi"/>
          <w:szCs w:val="20"/>
        </w:rPr>
        <w:br w:type="page"/>
      </w:r>
    </w:p>
    <w:p w14:paraId="4F223BDD" w14:textId="77777777" w:rsidR="0002381D" w:rsidRPr="00D4158A" w:rsidRDefault="0002381D" w:rsidP="00D4158A">
      <w:pPr>
        <w:spacing w:after="120" w:line="240" w:lineRule="auto"/>
        <w:rPr>
          <w:rFonts w:cstheme="minorHAnsi"/>
          <w:b/>
          <w:szCs w:val="20"/>
        </w:rPr>
      </w:pPr>
      <w:r w:rsidRPr="00D4158A">
        <w:rPr>
          <w:rFonts w:cstheme="minorHAnsi"/>
          <w:b/>
          <w:szCs w:val="20"/>
        </w:rPr>
        <w:lastRenderedPageBreak/>
        <w:t>Statement of cash flows</w:t>
      </w:r>
    </w:p>
    <w:p w14:paraId="6F5F7F8C" w14:textId="77777777" w:rsidR="0002381D" w:rsidRPr="00D4158A" w:rsidRDefault="0002381D" w:rsidP="00D4158A">
      <w:pPr>
        <w:spacing w:after="120" w:line="240" w:lineRule="auto"/>
        <w:rPr>
          <w:rFonts w:cstheme="minorHAnsi"/>
          <w:szCs w:val="20"/>
        </w:rPr>
      </w:pPr>
      <w:r w:rsidRPr="00D4158A">
        <w:rPr>
          <w:rFonts w:cstheme="minorHAnsi"/>
          <w:b/>
          <w:szCs w:val="20"/>
        </w:rPr>
        <w:t>For the six months ended 31 October 2019</w:t>
      </w:r>
    </w:p>
    <w:p w14:paraId="3DAD1E23" w14:textId="77777777" w:rsidR="0002381D" w:rsidRPr="00D4158A" w:rsidRDefault="0002381D" w:rsidP="00D4158A">
      <w:pPr>
        <w:pBdr>
          <w:bottom w:val="single" w:sz="6" w:space="1" w:color="auto"/>
        </w:pBdr>
        <w:spacing w:after="120" w:line="240" w:lineRule="auto"/>
        <w:jc w:val="right"/>
        <w:rPr>
          <w:rFonts w:cstheme="minorHAnsi"/>
          <w:szCs w:val="20"/>
        </w:rPr>
      </w:pPr>
    </w:p>
    <w:p w14:paraId="3569FD5B" w14:textId="77777777" w:rsidR="0002381D" w:rsidRPr="00D4158A" w:rsidRDefault="0002381D" w:rsidP="00D4158A">
      <w:pPr>
        <w:spacing w:after="120" w:line="240" w:lineRule="auto"/>
        <w:rPr>
          <w:rFonts w:cstheme="minorHAnsi"/>
          <w:sz w:val="16"/>
          <w:szCs w:val="16"/>
        </w:rPr>
      </w:pPr>
    </w:p>
    <w:tbl>
      <w:tblPr>
        <w:tblW w:w="9180" w:type="dxa"/>
        <w:tblInd w:w="-108" w:type="dxa"/>
        <w:tblLayout w:type="fixed"/>
        <w:tblLook w:val="04A0" w:firstRow="1" w:lastRow="0" w:firstColumn="1" w:lastColumn="0" w:noHBand="0" w:noVBand="1"/>
      </w:tblPr>
      <w:tblGrid>
        <w:gridCol w:w="5778"/>
        <w:gridCol w:w="423"/>
        <w:gridCol w:w="1278"/>
        <w:gridCol w:w="564"/>
        <w:gridCol w:w="1137"/>
      </w:tblGrid>
      <w:tr w:rsidR="0002381D" w:rsidRPr="00987B3B" w14:paraId="23579F2B" w14:textId="77777777" w:rsidTr="00270393">
        <w:tc>
          <w:tcPr>
            <w:tcW w:w="5778" w:type="dxa"/>
          </w:tcPr>
          <w:p w14:paraId="3E296154" w14:textId="77777777" w:rsidR="0002381D" w:rsidRPr="00D4158A" w:rsidRDefault="0002381D" w:rsidP="00D4158A">
            <w:pPr>
              <w:spacing w:after="120" w:line="240" w:lineRule="auto"/>
              <w:jc w:val="left"/>
              <w:rPr>
                <w:rFonts w:cstheme="minorHAnsi"/>
                <w:b/>
                <w:sz w:val="16"/>
                <w:szCs w:val="16"/>
              </w:rPr>
            </w:pPr>
          </w:p>
        </w:tc>
        <w:tc>
          <w:tcPr>
            <w:tcW w:w="2265" w:type="dxa"/>
            <w:gridSpan w:val="3"/>
            <w:hideMark/>
          </w:tcPr>
          <w:p w14:paraId="5487A21D"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2019</w:t>
            </w:r>
          </w:p>
          <w:p w14:paraId="72632120"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Unaudited</w:t>
            </w:r>
          </w:p>
          <w:p w14:paraId="5FFACCB9"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RM</w:t>
            </w:r>
          </w:p>
        </w:tc>
        <w:tc>
          <w:tcPr>
            <w:tcW w:w="1137" w:type="dxa"/>
            <w:hideMark/>
          </w:tcPr>
          <w:p w14:paraId="338CB80A"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2018</w:t>
            </w:r>
          </w:p>
          <w:p w14:paraId="387D2183"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Unaudited</w:t>
            </w:r>
          </w:p>
          <w:p w14:paraId="337B7C2D"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RM</w:t>
            </w:r>
          </w:p>
        </w:tc>
      </w:tr>
      <w:tr w:rsidR="0002381D" w:rsidRPr="00987B3B" w14:paraId="2FDDE7F9" w14:textId="77777777" w:rsidTr="00270393">
        <w:tc>
          <w:tcPr>
            <w:tcW w:w="5778" w:type="dxa"/>
            <w:hideMark/>
          </w:tcPr>
          <w:p w14:paraId="247B867E" w14:textId="77777777" w:rsidR="0002381D" w:rsidRPr="00D4158A" w:rsidRDefault="0002381D" w:rsidP="00D4158A">
            <w:pPr>
              <w:spacing w:after="120" w:line="240" w:lineRule="auto"/>
              <w:jc w:val="left"/>
              <w:rPr>
                <w:rFonts w:cstheme="minorHAnsi"/>
                <w:b/>
                <w:sz w:val="16"/>
                <w:szCs w:val="16"/>
              </w:rPr>
            </w:pPr>
            <w:r w:rsidRPr="00D4158A">
              <w:rPr>
                <w:rFonts w:cstheme="minorHAnsi"/>
                <w:b/>
                <w:sz w:val="16"/>
                <w:szCs w:val="16"/>
              </w:rPr>
              <w:t>Cash flows from operating activities</w:t>
            </w:r>
          </w:p>
        </w:tc>
        <w:tc>
          <w:tcPr>
            <w:tcW w:w="2265" w:type="dxa"/>
            <w:gridSpan w:val="3"/>
          </w:tcPr>
          <w:p w14:paraId="31E366FE" w14:textId="77777777" w:rsidR="0002381D" w:rsidRPr="00D4158A" w:rsidRDefault="0002381D" w:rsidP="00D4158A">
            <w:pPr>
              <w:tabs>
                <w:tab w:val="decimal" w:pos="1457"/>
              </w:tabs>
              <w:spacing w:after="120" w:line="240" w:lineRule="auto"/>
              <w:rPr>
                <w:rFonts w:cstheme="minorHAnsi"/>
                <w:b/>
                <w:sz w:val="16"/>
                <w:szCs w:val="16"/>
              </w:rPr>
            </w:pPr>
          </w:p>
        </w:tc>
        <w:tc>
          <w:tcPr>
            <w:tcW w:w="1137" w:type="dxa"/>
          </w:tcPr>
          <w:p w14:paraId="7BF2E23B" w14:textId="77777777" w:rsidR="0002381D" w:rsidRPr="00D4158A" w:rsidRDefault="0002381D" w:rsidP="00D4158A">
            <w:pPr>
              <w:tabs>
                <w:tab w:val="decimal" w:pos="1457"/>
              </w:tabs>
              <w:spacing w:after="120" w:line="240" w:lineRule="auto"/>
              <w:rPr>
                <w:rFonts w:cstheme="minorHAnsi"/>
                <w:b/>
                <w:sz w:val="16"/>
                <w:szCs w:val="16"/>
              </w:rPr>
            </w:pPr>
          </w:p>
        </w:tc>
      </w:tr>
      <w:tr w:rsidR="0002381D" w:rsidRPr="00987B3B" w14:paraId="7E310351" w14:textId="77777777" w:rsidTr="00270393">
        <w:tc>
          <w:tcPr>
            <w:tcW w:w="5778" w:type="dxa"/>
            <w:hideMark/>
          </w:tcPr>
          <w:p w14:paraId="6F18FCB8" w14:textId="77777777" w:rsidR="0002381D" w:rsidRPr="00D4158A" w:rsidRDefault="0002381D" w:rsidP="00D4158A">
            <w:pPr>
              <w:spacing w:after="120" w:line="240" w:lineRule="auto"/>
              <w:jc w:val="left"/>
              <w:rPr>
                <w:rFonts w:cstheme="minorHAnsi"/>
                <w:b/>
                <w:sz w:val="16"/>
                <w:szCs w:val="16"/>
              </w:rPr>
            </w:pPr>
            <w:r w:rsidRPr="00D4158A">
              <w:rPr>
                <w:rFonts w:cstheme="minorHAnsi"/>
                <w:b/>
                <w:sz w:val="16"/>
                <w:szCs w:val="16"/>
              </w:rPr>
              <w:t>Profit before tax</w:t>
            </w:r>
          </w:p>
        </w:tc>
        <w:tc>
          <w:tcPr>
            <w:tcW w:w="2265" w:type="dxa"/>
            <w:gridSpan w:val="3"/>
            <w:hideMark/>
          </w:tcPr>
          <w:p w14:paraId="2CA400B4"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443,863</w:t>
            </w:r>
          </w:p>
        </w:tc>
        <w:tc>
          <w:tcPr>
            <w:tcW w:w="1137" w:type="dxa"/>
            <w:hideMark/>
          </w:tcPr>
          <w:p w14:paraId="2ABBB58F"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543,766</w:t>
            </w:r>
          </w:p>
        </w:tc>
      </w:tr>
      <w:tr w:rsidR="0002381D" w:rsidRPr="00987B3B" w14:paraId="598EC191" w14:textId="77777777" w:rsidTr="00270393">
        <w:tc>
          <w:tcPr>
            <w:tcW w:w="5778" w:type="dxa"/>
            <w:hideMark/>
          </w:tcPr>
          <w:p w14:paraId="3959287F"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Adjustments for:</w:t>
            </w:r>
          </w:p>
        </w:tc>
        <w:tc>
          <w:tcPr>
            <w:tcW w:w="2265" w:type="dxa"/>
            <w:gridSpan w:val="3"/>
          </w:tcPr>
          <w:p w14:paraId="2C736389" w14:textId="77777777" w:rsidR="0002381D" w:rsidRPr="00D4158A" w:rsidRDefault="0002381D" w:rsidP="00D4158A">
            <w:pPr>
              <w:tabs>
                <w:tab w:val="decimal" w:pos="1457"/>
              </w:tabs>
              <w:spacing w:after="120" w:line="240" w:lineRule="auto"/>
              <w:rPr>
                <w:rFonts w:cstheme="minorHAnsi"/>
                <w:b/>
                <w:sz w:val="16"/>
                <w:szCs w:val="16"/>
              </w:rPr>
            </w:pPr>
          </w:p>
        </w:tc>
        <w:tc>
          <w:tcPr>
            <w:tcW w:w="1137" w:type="dxa"/>
          </w:tcPr>
          <w:p w14:paraId="61BE389D" w14:textId="77777777" w:rsidR="0002381D" w:rsidRPr="00D4158A" w:rsidRDefault="0002381D" w:rsidP="00D4158A">
            <w:pPr>
              <w:tabs>
                <w:tab w:val="decimal" w:pos="1457"/>
              </w:tabs>
              <w:spacing w:after="120" w:line="240" w:lineRule="auto"/>
              <w:rPr>
                <w:rFonts w:cstheme="minorHAnsi"/>
                <w:b/>
                <w:sz w:val="16"/>
                <w:szCs w:val="16"/>
              </w:rPr>
            </w:pPr>
          </w:p>
        </w:tc>
      </w:tr>
      <w:tr w:rsidR="0002381D" w:rsidRPr="00987B3B" w14:paraId="371CF461" w14:textId="77777777" w:rsidTr="00270393">
        <w:tc>
          <w:tcPr>
            <w:tcW w:w="5778" w:type="dxa"/>
            <w:hideMark/>
          </w:tcPr>
          <w:p w14:paraId="54A4AC0B"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Depreciation of plant and equipment</w:t>
            </w:r>
          </w:p>
        </w:tc>
        <w:tc>
          <w:tcPr>
            <w:tcW w:w="2265" w:type="dxa"/>
            <w:gridSpan w:val="3"/>
            <w:hideMark/>
          </w:tcPr>
          <w:p w14:paraId="4C691011"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8,493</w:t>
            </w:r>
          </w:p>
        </w:tc>
        <w:tc>
          <w:tcPr>
            <w:tcW w:w="1137" w:type="dxa"/>
            <w:hideMark/>
          </w:tcPr>
          <w:p w14:paraId="759A2F7E"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3,540</w:t>
            </w:r>
          </w:p>
        </w:tc>
      </w:tr>
      <w:tr w:rsidR="0002381D" w:rsidRPr="00987B3B" w14:paraId="201439CB" w14:textId="77777777" w:rsidTr="00270393">
        <w:tc>
          <w:tcPr>
            <w:tcW w:w="5778" w:type="dxa"/>
            <w:hideMark/>
          </w:tcPr>
          <w:p w14:paraId="6CD7ED99"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Amortisation of intangible assets</w:t>
            </w:r>
          </w:p>
        </w:tc>
        <w:tc>
          <w:tcPr>
            <w:tcW w:w="2265" w:type="dxa"/>
            <w:gridSpan w:val="3"/>
            <w:hideMark/>
          </w:tcPr>
          <w:p w14:paraId="32C307E9"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32,585</w:t>
            </w:r>
          </w:p>
        </w:tc>
        <w:tc>
          <w:tcPr>
            <w:tcW w:w="1137" w:type="dxa"/>
            <w:hideMark/>
          </w:tcPr>
          <w:p w14:paraId="7F133CE6"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21,131</w:t>
            </w:r>
          </w:p>
        </w:tc>
      </w:tr>
      <w:tr w:rsidR="0002381D" w:rsidRPr="00987B3B" w14:paraId="166B6A6A" w14:textId="77777777" w:rsidTr="00270393">
        <w:tc>
          <w:tcPr>
            <w:tcW w:w="5778" w:type="dxa"/>
            <w:hideMark/>
          </w:tcPr>
          <w:p w14:paraId="42F9EC80"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Increase in trade and other receivables</w:t>
            </w:r>
          </w:p>
        </w:tc>
        <w:tc>
          <w:tcPr>
            <w:tcW w:w="2265" w:type="dxa"/>
            <w:gridSpan w:val="3"/>
            <w:hideMark/>
          </w:tcPr>
          <w:p w14:paraId="08F2B67B" w14:textId="77777777" w:rsidR="0002381D" w:rsidRPr="00D4158A" w:rsidRDefault="0002381D" w:rsidP="00D4158A">
            <w:pPr>
              <w:tabs>
                <w:tab w:val="decimal" w:pos="1457"/>
              </w:tabs>
              <w:spacing w:after="120" w:line="240" w:lineRule="auto"/>
              <w:jc w:val="left"/>
              <w:rPr>
                <w:rFonts w:cstheme="minorHAnsi"/>
                <w:sz w:val="16"/>
                <w:szCs w:val="16"/>
              </w:rPr>
            </w:pPr>
            <w:r w:rsidRPr="00D4158A">
              <w:rPr>
                <w:rFonts w:cstheme="minorHAnsi"/>
                <w:sz w:val="16"/>
                <w:szCs w:val="16"/>
              </w:rPr>
              <w:t>(708,000)</w:t>
            </w:r>
          </w:p>
        </w:tc>
        <w:tc>
          <w:tcPr>
            <w:tcW w:w="1137" w:type="dxa"/>
            <w:hideMark/>
          </w:tcPr>
          <w:p w14:paraId="624F4733" w14:textId="77777777" w:rsidR="0002381D" w:rsidRPr="00D4158A" w:rsidRDefault="0002381D" w:rsidP="00D4158A">
            <w:pPr>
              <w:tabs>
                <w:tab w:val="decimal" w:pos="1457"/>
              </w:tabs>
              <w:spacing w:after="120" w:line="240" w:lineRule="auto"/>
              <w:jc w:val="left"/>
              <w:rPr>
                <w:rFonts w:cstheme="minorHAnsi"/>
                <w:sz w:val="16"/>
                <w:szCs w:val="16"/>
              </w:rPr>
            </w:pPr>
            <w:r w:rsidRPr="00D4158A">
              <w:rPr>
                <w:rFonts w:cstheme="minorHAnsi"/>
                <w:sz w:val="16"/>
                <w:szCs w:val="16"/>
              </w:rPr>
              <w:t>(226,500)</w:t>
            </w:r>
          </w:p>
        </w:tc>
      </w:tr>
      <w:tr w:rsidR="0002381D" w:rsidRPr="00987B3B" w14:paraId="2E43082B" w14:textId="77777777" w:rsidTr="00270393">
        <w:tc>
          <w:tcPr>
            <w:tcW w:w="5778" w:type="dxa"/>
            <w:hideMark/>
          </w:tcPr>
          <w:p w14:paraId="31DE13CA"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Increase in other payables and accruals</w:t>
            </w:r>
          </w:p>
        </w:tc>
        <w:tc>
          <w:tcPr>
            <w:tcW w:w="2265" w:type="dxa"/>
            <w:gridSpan w:val="3"/>
            <w:hideMark/>
          </w:tcPr>
          <w:p w14:paraId="2FA9F776"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377,984</w:t>
            </w:r>
          </w:p>
        </w:tc>
        <w:tc>
          <w:tcPr>
            <w:tcW w:w="1137" w:type="dxa"/>
            <w:hideMark/>
          </w:tcPr>
          <w:p w14:paraId="268743DC"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66,983</w:t>
            </w:r>
          </w:p>
        </w:tc>
      </w:tr>
      <w:tr w:rsidR="0002381D" w:rsidRPr="00987B3B" w14:paraId="69211562" w14:textId="77777777" w:rsidTr="00270393">
        <w:tc>
          <w:tcPr>
            <w:tcW w:w="5778" w:type="dxa"/>
          </w:tcPr>
          <w:p w14:paraId="5C9D2AC4" w14:textId="77777777" w:rsidR="0002381D" w:rsidRPr="00D4158A" w:rsidRDefault="0002381D" w:rsidP="00D4158A">
            <w:pPr>
              <w:spacing w:after="120" w:line="240" w:lineRule="auto"/>
              <w:jc w:val="left"/>
              <w:rPr>
                <w:rFonts w:cstheme="minorHAnsi"/>
                <w:sz w:val="16"/>
                <w:szCs w:val="16"/>
              </w:rPr>
            </w:pPr>
          </w:p>
        </w:tc>
        <w:tc>
          <w:tcPr>
            <w:tcW w:w="2265" w:type="dxa"/>
            <w:gridSpan w:val="3"/>
            <w:hideMark/>
          </w:tcPr>
          <w:p w14:paraId="147E968B"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_________</w:t>
            </w:r>
          </w:p>
        </w:tc>
        <w:tc>
          <w:tcPr>
            <w:tcW w:w="1137" w:type="dxa"/>
            <w:hideMark/>
          </w:tcPr>
          <w:p w14:paraId="57621734" w14:textId="77777777" w:rsidR="0002381D" w:rsidRPr="00D4158A" w:rsidRDefault="0002381D" w:rsidP="00D4158A">
            <w:pPr>
              <w:tabs>
                <w:tab w:val="decimal" w:pos="1457"/>
              </w:tabs>
              <w:spacing w:after="120" w:line="240" w:lineRule="auto"/>
              <w:rPr>
                <w:rFonts w:cstheme="minorHAnsi"/>
                <w:b/>
                <w:sz w:val="16"/>
                <w:szCs w:val="16"/>
                <w:u w:val="single"/>
              </w:rPr>
            </w:pPr>
            <w:r w:rsidRPr="00D4158A">
              <w:rPr>
                <w:rFonts w:cstheme="minorHAnsi"/>
                <w:sz w:val="16"/>
                <w:szCs w:val="16"/>
              </w:rPr>
              <w:t>_________</w:t>
            </w:r>
          </w:p>
        </w:tc>
      </w:tr>
      <w:tr w:rsidR="0002381D" w:rsidRPr="00987B3B" w14:paraId="71798C57" w14:textId="77777777" w:rsidTr="00270393">
        <w:tc>
          <w:tcPr>
            <w:tcW w:w="5778" w:type="dxa"/>
            <w:vAlign w:val="bottom"/>
            <w:hideMark/>
          </w:tcPr>
          <w:p w14:paraId="74419116" w14:textId="77777777" w:rsidR="0002381D" w:rsidRPr="00D4158A" w:rsidRDefault="0002381D" w:rsidP="00D4158A">
            <w:pPr>
              <w:spacing w:after="120" w:line="240" w:lineRule="auto"/>
              <w:jc w:val="left"/>
              <w:rPr>
                <w:rFonts w:cstheme="minorHAnsi"/>
                <w:sz w:val="16"/>
                <w:szCs w:val="16"/>
              </w:rPr>
            </w:pPr>
            <w:r w:rsidRPr="00D4158A">
              <w:rPr>
                <w:rFonts w:cstheme="minorHAnsi"/>
                <w:b/>
                <w:i/>
                <w:sz w:val="16"/>
                <w:szCs w:val="16"/>
              </w:rPr>
              <w:t>Net cash generated from operating activities</w:t>
            </w:r>
          </w:p>
        </w:tc>
        <w:tc>
          <w:tcPr>
            <w:tcW w:w="2265" w:type="dxa"/>
            <w:gridSpan w:val="3"/>
            <w:vAlign w:val="bottom"/>
            <w:hideMark/>
          </w:tcPr>
          <w:p w14:paraId="1267DE26"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154,925</w:t>
            </w:r>
          </w:p>
        </w:tc>
        <w:tc>
          <w:tcPr>
            <w:tcW w:w="1137" w:type="dxa"/>
            <w:vAlign w:val="bottom"/>
            <w:hideMark/>
          </w:tcPr>
          <w:p w14:paraId="35C213AC"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408,920</w:t>
            </w:r>
          </w:p>
        </w:tc>
      </w:tr>
      <w:tr w:rsidR="0002381D" w:rsidRPr="00987B3B" w14:paraId="303CF613" w14:textId="77777777" w:rsidTr="00270393">
        <w:tc>
          <w:tcPr>
            <w:tcW w:w="5778" w:type="dxa"/>
            <w:vAlign w:val="bottom"/>
          </w:tcPr>
          <w:p w14:paraId="5F09E428" w14:textId="77777777" w:rsidR="0002381D" w:rsidRPr="00D4158A" w:rsidRDefault="0002381D" w:rsidP="00D4158A">
            <w:pPr>
              <w:spacing w:after="120" w:line="240" w:lineRule="auto"/>
              <w:jc w:val="left"/>
              <w:rPr>
                <w:rFonts w:cstheme="minorHAnsi"/>
                <w:b/>
                <w:i/>
                <w:sz w:val="16"/>
                <w:szCs w:val="16"/>
              </w:rPr>
            </w:pPr>
          </w:p>
        </w:tc>
        <w:tc>
          <w:tcPr>
            <w:tcW w:w="2265" w:type="dxa"/>
            <w:gridSpan w:val="3"/>
            <w:vAlign w:val="bottom"/>
            <w:hideMark/>
          </w:tcPr>
          <w:p w14:paraId="1982CACB"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_________</w:t>
            </w:r>
          </w:p>
        </w:tc>
        <w:tc>
          <w:tcPr>
            <w:tcW w:w="1137" w:type="dxa"/>
            <w:vAlign w:val="bottom"/>
            <w:hideMark/>
          </w:tcPr>
          <w:p w14:paraId="49AA95AD"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sz w:val="16"/>
                <w:szCs w:val="16"/>
              </w:rPr>
              <w:t>_________</w:t>
            </w:r>
          </w:p>
        </w:tc>
      </w:tr>
      <w:tr w:rsidR="0002381D" w:rsidRPr="00987B3B" w14:paraId="49E6CC3B" w14:textId="77777777" w:rsidTr="00270393">
        <w:trPr>
          <w:trHeight w:val="169"/>
        </w:trPr>
        <w:tc>
          <w:tcPr>
            <w:tcW w:w="5778" w:type="dxa"/>
          </w:tcPr>
          <w:p w14:paraId="2DB903C8" w14:textId="77777777" w:rsidR="0002381D" w:rsidRPr="00D4158A" w:rsidRDefault="0002381D" w:rsidP="00D4158A">
            <w:pPr>
              <w:spacing w:after="120" w:line="240" w:lineRule="auto"/>
              <w:jc w:val="left"/>
              <w:rPr>
                <w:rFonts w:cstheme="minorHAnsi"/>
                <w:b/>
                <w:sz w:val="16"/>
                <w:szCs w:val="16"/>
              </w:rPr>
            </w:pPr>
          </w:p>
        </w:tc>
        <w:tc>
          <w:tcPr>
            <w:tcW w:w="2265" w:type="dxa"/>
            <w:gridSpan w:val="3"/>
          </w:tcPr>
          <w:p w14:paraId="2DD2D112" w14:textId="77777777" w:rsidR="0002381D" w:rsidRPr="00D4158A" w:rsidRDefault="0002381D" w:rsidP="00D4158A">
            <w:pPr>
              <w:tabs>
                <w:tab w:val="decimal" w:pos="1457"/>
              </w:tabs>
              <w:spacing w:after="120" w:line="240" w:lineRule="auto"/>
              <w:rPr>
                <w:rFonts w:cstheme="minorHAnsi"/>
                <w:b/>
                <w:sz w:val="16"/>
                <w:szCs w:val="16"/>
              </w:rPr>
            </w:pPr>
          </w:p>
        </w:tc>
        <w:tc>
          <w:tcPr>
            <w:tcW w:w="1137" w:type="dxa"/>
          </w:tcPr>
          <w:p w14:paraId="0BAB68F9" w14:textId="77777777" w:rsidR="0002381D" w:rsidRPr="00D4158A" w:rsidRDefault="0002381D" w:rsidP="00D4158A">
            <w:pPr>
              <w:tabs>
                <w:tab w:val="decimal" w:pos="1457"/>
              </w:tabs>
              <w:spacing w:after="120" w:line="240" w:lineRule="auto"/>
              <w:rPr>
                <w:rFonts w:cstheme="minorHAnsi"/>
                <w:b/>
                <w:sz w:val="16"/>
                <w:szCs w:val="16"/>
                <w:highlight w:val="yellow"/>
              </w:rPr>
            </w:pPr>
          </w:p>
        </w:tc>
      </w:tr>
      <w:tr w:rsidR="0002381D" w:rsidRPr="00987B3B" w14:paraId="49B1534B" w14:textId="77777777" w:rsidTr="00270393">
        <w:trPr>
          <w:trHeight w:val="271"/>
        </w:trPr>
        <w:tc>
          <w:tcPr>
            <w:tcW w:w="5778" w:type="dxa"/>
            <w:hideMark/>
          </w:tcPr>
          <w:p w14:paraId="3635E0FB" w14:textId="77777777" w:rsidR="0002381D" w:rsidRPr="00D4158A" w:rsidRDefault="0002381D" w:rsidP="00D4158A">
            <w:pPr>
              <w:spacing w:after="120" w:line="240" w:lineRule="auto"/>
              <w:jc w:val="left"/>
              <w:rPr>
                <w:rFonts w:cstheme="minorHAnsi"/>
                <w:sz w:val="16"/>
                <w:szCs w:val="16"/>
              </w:rPr>
            </w:pPr>
            <w:r w:rsidRPr="00D4158A">
              <w:rPr>
                <w:rFonts w:cstheme="minorHAnsi"/>
                <w:b/>
                <w:sz w:val="16"/>
                <w:szCs w:val="16"/>
              </w:rPr>
              <w:t>Cash flows from investing activities</w:t>
            </w:r>
          </w:p>
        </w:tc>
        <w:tc>
          <w:tcPr>
            <w:tcW w:w="2265" w:type="dxa"/>
            <w:gridSpan w:val="3"/>
          </w:tcPr>
          <w:p w14:paraId="4C04C617" w14:textId="77777777" w:rsidR="0002381D" w:rsidRPr="00D4158A" w:rsidRDefault="0002381D" w:rsidP="00D4158A">
            <w:pPr>
              <w:tabs>
                <w:tab w:val="decimal" w:pos="1457"/>
              </w:tabs>
              <w:spacing w:after="120" w:line="240" w:lineRule="auto"/>
              <w:jc w:val="left"/>
              <w:rPr>
                <w:rFonts w:cstheme="minorHAnsi"/>
                <w:b/>
                <w:sz w:val="16"/>
                <w:szCs w:val="16"/>
              </w:rPr>
            </w:pPr>
          </w:p>
        </w:tc>
        <w:tc>
          <w:tcPr>
            <w:tcW w:w="1137" w:type="dxa"/>
          </w:tcPr>
          <w:p w14:paraId="6E303014" w14:textId="77777777" w:rsidR="0002381D" w:rsidRPr="00D4158A" w:rsidRDefault="0002381D" w:rsidP="00D4158A">
            <w:pPr>
              <w:tabs>
                <w:tab w:val="decimal" w:pos="1457"/>
              </w:tabs>
              <w:spacing w:after="120" w:line="240" w:lineRule="auto"/>
              <w:jc w:val="left"/>
              <w:rPr>
                <w:rFonts w:cstheme="minorHAnsi"/>
                <w:b/>
                <w:sz w:val="16"/>
                <w:szCs w:val="16"/>
                <w:highlight w:val="yellow"/>
              </w:rPr>
            </w:pPr>
          </w:p>
        </w:tc>
      </w:tr>
      <w:tr w:rsidR="0002381D" w:rsidRPr="00987B3B" w14:paraId="60199520" w14:textId="77777777" w:rsidTr="00270393">
        <w:tc>
          <w:tcPr>
            <w:tcW w:w="5778" w:type="dxa"/>
            <w:hideMark/>
          </w:tcPr>
          <w:p w14:paraId="32D550F8"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Purchase of plant and equipment</w:t>
            </w:r>
          </w:p>
        </w:tc>
        <w:tc>
          <w:tcPr>
            <w:tcW w:w="2265" w:type="dxa"/>
            <w:gridSpan w:val="3"/>
            <w:hideMark/>
          </w:tcPr>
          <w:p w14:paraId="3C900313"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(32,724)</w:t>
            </w:r>
          </w:p>
        </w:tc>
        <w:tc>
          <w:tcPr>
            <w:tcW w:w="1137" w:type="dxa"/>
            <w:hideMark/>
          </w:tcPr>
          <w:p w14:paraId="7BD2C697"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(54,254)</w:t>
            </w:r>
          </w:p>
        </w:tc>
      </w:tr>
      <w:tr w:rsidR="0002381D" w:rsidRPr="00987B3B" w14:paraId="480547D5" w14:textId="77777777" w:rsidTr="00270393">
        <w:tc>
          <w:tcPr>
            <w:tcW w:w="5778" w:type="dxa"/>
            <w:hideMark/>
          </w:tcPr>
          <w:p w14:paraId="507AD9A5"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Purchase of intangible assets</w:t>
            </w:r>
          </w:p>
        </w:tc>
        <w:tc>
          <w:tcPr>
            <w:tcW w:w="2265" w:type="dxa"/>
            <w:gridSpan w:val="3"/>
            <w:hideMark/>
          </w:tcPr>
          <w:p w14:paraId="13FC73CC"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w:t>
            </w:r>
          </w:p>
        </w:tc>
        <w:tc>
          <w:tcPr>
            <w:tcW w:w="1137" w:type="dxa"/>
            <w:hideMark/>
          </w:tcPr>
          <w:p w14:paraId="56F31F51"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(319,852)</w:t>
            </w:r>
          </w:p>
        </w:tc>
      </w:tr>
      <w:tr w:rsidR="0002381D" w:rsidRPr="00987B3B" w14:paraId="316E1A7C" w14:textId="77777777" w:rsidTr="00270393">
        <w:tc>
          <w:tcPr>
            <w:tcW w:w="5778" w:type="dxa"/>
          </w:tcPr>
          <w:p w14:paraId="0DA19551" w14:textId="77777777" w:rsidR="0002381D" w:rsidRPr="00D4158A" w:rsidRDefault="0002381D" w:rsidP="00D4158A">
            <w:pPr>
              <w:spacing w:after="120" w:line="240" w:lineRule="auto"/>
              <w:jc w:val="left"/>
              <w:rPr>
                <w:rFonts w:cstheme="minorHAnsi"/>
                <w:sz w:val="16"/>
                <w:szCs w:val="16"/>
              </w:rPr>
            </w:pPr>
          </w:p>
        </w:tc>
        <w:tc>
          <w:tcPr>
            <w:tcW w:w="2265" w:type="dxa"/>
            <w:gridSpan w:val="3"/>
            <w:hideMark/>
          </w:tcPr>
          <w:p w14:paraId="0AE9FD3A"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_________</w:t>
            </w:r>
          </w:p>
        </w:tc>
        <w:tc>
          <w:tcPr>
            <w:tcW w:w="1137" w:type="dxa"/>
            <w:hideMark/>
          </w:tcPr>
          <w:p w14:paraId="4DA44168"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sz w:val="16"/>
                <w:szCs w:val="16"/>
              </w:rPr>
              <w:t>_________</w:t>
            </w:r>
          </w:p>
        </w:tc>
      </w:tr>
      <w:tr w:rsidR="0002381D" w:rsidRPr="00987B3B" w14:paraId="57DC38C5" w14:textId="77777777" w:rsidTr="00270393">
        <w:tc>
          <w:tcPr>
            <w:tcW w:w="5778" w:type="dxa"/>
          </w:tcPr>
          <w:p w14:paraId="67FAC982" w14:textId="77777777" w:rsidR="0002381D" w:rsidRPr="00D4158A" w:rsidRDefault="0002381D" w:rsidP="00D4158A">
            <w:pPr>
              <w:spacing w:after="120" w:line="240" w:lineRule="auto"/>
              <w:jc w:val="left"/>
              <w:rPr>
                <w:rFonts w:cstheme="minorHAnsi"/>
                <w:sz w:val="16"/>
                <w:szCs w:val="16"/>
              </w:rPr>
            </w:pPr>
          </w:p>
        </w:tc>
        <w:tc>
          <w:tcPr>
            <w:tcW w:w="2265" w:type="dxa"/>
            <w:gridSpan w:val="3"/>
          </w:tcPr>
          <w:p w14:paraId="1B115E7D" w14:textId="77777777" w:rsidR="0002381D" w:rsidRPr="00D4158A" w:rsidRDefault="0002381D" w:rsidP="00D4158A">
            <w:pPr>
              <w:tabs>
                <w:tab w:val="decimal" w:pos="1457"/>
              </w:tabs>
              <w:spacing w:after="120" w:line="240" w:lineRule="auto"/>
              <w:rPr>
                <w:rFonts w:cstheme="minorHAnsi"/>
                <w:b/>
                <w:sz w:val="16"/>
                <w:szCs w:val="16"/>
              </w:rPr>
            </w:pPr>
          </w:p>
        </w:tc>
        <w:tc>
          <w:tcPr>
            <w:tcW w:w="1137" w:type="dxa"/>
          </w:tcPr>
          <w:p w14:paraId="0462A839" w14:textId="77777777" w:rsidR="0002381D" w:rsidRPr="00D4158A" w:rsidRDefault="0002381D" w:rsidP="00D4158A">
            <w:pPr>
              <w:tabs>
                <w:tab w:val="decimal" w:pos="1457"/>
              </w:tabs>
              <w:spacing w:after="120" w:line="240" w:lineRule="auto"/>
              <w:rPr>
                <w:rFonts w:cstheme="minorHAnsi"/>
                <w:b/>
                <w:sz w:val="16"/>
                <w:szCs w:val="16"/>
              </w:rPr>
            </w:pPr>
          </w:p>
        </w:tc>
      </w:tr>
      <w:tr w:rsidR="0002381D" w:rsidRPr="00987B3B" w14:paraId="1E4FED05" w14:textId="77777777" w:rsidTr="00270393">
        <w:tc>
          <w:tcPr>
            <w:tcW w:w="5778" w:type="dxa"/>
            <w:hideMark/>
          </w:tcPr>
          <w:p w14:paraId="367AC1E5" w14:textId="77777777" w:rsidR="0002381D" w:rsidRPr="00D4158A" w:rsidRDefault="0002381D" w:rsidP="00D4158A">
            <w:pPr>
              <w:spacing w:after="120" w:line="240" w:lineRule="auto"/>
              <w:jc w:val="left"/>
              <w:rPr>
                <w:rFonts w:cstheme="minorHAnsi"/>
                <w:b/>
                <w:i/>
                <w:sz w:val="16"/>
                <w:szCs w:val="16"/>
              </w:rPr>
            </w:pPr>
            <w:r w:rsidRPr="00D4158A">
              <w:rPr>
                <w:rFonts w:cstheme="minorHAnsi"/>
                <w:b/>
                <w:i/>
                <w:sz w:val="16"/>
                <w:szCs w:val="16"/>
              </w:rPr>
              <w:t>Net cash used in investing activities</w:t>
            </w:r>
          </w:p>
        </w:tc>
        <w:tc>
          <w:tcPr>
            <w:tcW w:w="2265" w:type="dxa"/>
            <w:gridSpan w:val="3"/>
            <w:hideMark/>
          </w:tcPr>
          <w:p w14:paraId="1E6D505A"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(32,724)</w:t>
            </w:r>
          </w:p>
        </w:tc>
        <w:tc>
          <w:tcPr>
            <w:tcW w:w="1137" w:type="dxa"/>
            <w:hideMark/>
          </w:tcPr>
          <w:p w14:paraId="62B03E39"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(374,106)</w:t>
            </w:r>
          </w:p>
        </w:tc>
      </w:tr>
      <w:tr w:rsidR="0002381D" w:rsidRPr="00987B3B" w14:paraId="1932A1EA" w14:textId="77777777" w:rsidTr="00270393">
        <w:tc>
          <w:tcPr>
            <w:tcW w:w="5778" w:type="dxa"/>
          </w:tcPr>
          <w:p w14:paraId="7B44AA43" w14:textId="77777777" w:rsidR="0002381D" w:rsidRPr="00D4158A" w:rsidRDefault="0002381D" w:rsidP="00D4158A">
            <w:pPr>
              <w:spacing w:after="120" w:line="240" w:lineRule="auto"/>
              <w:jc w:val="left"/>
              <w:rPr>
                <w:rFonts w:cstheme="minorHAnsi"/>
                <w:b/>
                <w:i/>
                <w:sz w:val="16"/>
                <w:szCs w:val="16"/>
              </w:rPr>
            </w:pPr>
          </w:p>
        </w:tc>
        <w:tc>
          <w:tcPr>
            <w:tcW w:w="2265" w:type="dxa"/>
            <w:gridSpan w:val="3"/>
            <w:hideMark/>
          </w:tcPr>
          <w:p w14:paraId="1444B731"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_________</w:t>
            </w:r>
          </w:p>
        </w:tc>
        <w:tc>
          <w:tcPr>
            <w:tcW w:w="1137" w:type="dxa"/>
            <w:hideMark/>
          </w:tcPr>
          <w:p w14:paraId="2B34872D"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sz w:val="16"/>
                <w:szCs w:val="16"/>
              </w:rPr>
              <w:t>_________</w:t>
            </w:r>
          </w:p>
        </w:tc>
      </w:tr>
      <w:tr w:rsidR="0002381D" w:rsidRPr="00987B3B" w14:paraId="1FA58B9D" w14:textId="77777777" w:rsidTr="00270393">
        <w:tc>
          <w:tcPr>
            <w:tcW w:w="5778" w:type="dxa"/>
          </w:tcPr>
          <w:p w14:paraId="467A5C4F" w14:textId="77777777" w:rsidR="0002381D" w:rsidRPr="00D4158A" w:rsidRDefault="0002381D" w:rsidP="00D4158A">
            <w:pPr>
              <w:spacing w:after="120" w:line="240" w:lineRule="auto"/>
              <w:jc w:val="left"/>
              <w:rPr>
                <w:rFonts w:cstheme="minorHAnsi"/>
                <w:b/>
                <w:i/>
                <w:sz w:val="16"/>
                <w:szCs w:val="16"/>
              </w:rPr>
            </w:pPr>
          </w:p>
        </w:tc>
        <w:tc>
          <w:tcPr>
            <w:tcW w:w="2265" w:type="dxa"/>
            <w:gridSpan w:val="3"/>
          </w:tcPr>
          <w:p w14:paraId="5F34156B" w14:textId="77777777" w:rsidR="0002381D" w:rsidRPr="00D4158A" w:rsidRDefault="0002381D" w:rsidP="00D4158A">
            <w:pPr>
              <w:tabs>
                <w:tab w:val="decimal" w:pos="1457"/>
              </w:tabs>
              <w:spacing w:after="120" w:line="240" w:lineRule="auto"/>
              <w:rPr>
                <w:rFonts w:cstheme="minorHAnsi"/>
                <w:b/>
                <w:sz w:val="16"/>
                <w:szCs w:val="16"/>
              </w:rPr>
            </w:pPr>
          </w:p>
        </w:tc>
        <w:tc>
          <w:tcPr>
            <w:tcW w:w="1137" w:type="dxa"/>
          </w:tcPr>
          <w:p w14:paraId="6C269817" w14:textId="77777777" w:rsidR="0002381D" w:rsidRPr="00D4158A" w:rsidRDefault="0002381D" w:rsidP="00D4158A">
            <w:pPr>
              <w:tabs>
                <w:tab w:val="decimal" w:pos="1457"/>
              </w:tabs>
              <w:spacing w:after="120" w:line="240" w:lineRule="auto"/>
              <w:rPr>
                <w:rFonts w:cstheme="minorHAnsi"/>
                <w:b/>
                <w:sz w:val="16"/>
                <w:szCs w:val="16"/>
              </w:rPr>
            </w:pPr>
          </w:p>
        </w:tc>
      </w:tr>
      <w:tr w:rsidR="0002381D" w:rsidRPr="00987B3B" w14:paraId="74B14374" w14:textId="77777777" w:rsidTr="00270393">
        <w:tc>
          <w:tcPr>
            <w:tcW w:w="5778" w:type="dxa"/>
            <w:hideMark/>
          </w:tcPr>
          <w:p w14:paraId="2CE9D72F" w14:textId="77777777" w:rsidR="0002381D" w:rsidRPr="00D4158A" w:rsidRDefault="0002381D" w:rsidP="00D4158A">
            <w:pPr>
              <w:spacing w:after="120" w:line="240" w:lineRule="auto"/>
              <w:jc w:val="left"/>
              <w:rPr>
                <w:rFonts w:cstheme="minorHAnsi"/>
                <w:sz w:val="16"/>
                <w:szCs w:val="16"/>
              </w:rPr>
            </w:pPr>
            <w:r w:rsidRPr="00D4158A">
              <w:rPr>
                <w:rFonts w:cstheme="minorHAnsi"/>
                <w:b/>
                <w:sz w:val="16"/>
                <w:szCs w:val="16"/>
              </w:rPr>
              <w:t>Cash flows from financing activities</w:t>
            </w:r>
          </w:p>
        </w:tc>
        <w:tc>
          <w:tcPr>
            <w:tcW w:w="2265" w:type="dxa"/>
            <w:gridSpan w:val="3"/>
          </w:tcPr>
          <w:p w14:paraId="21F0F50D" w14:textId="77777777" w:rsidR="0002381D" w:rsidRPr="00D4158A" w:rsidRDefault="0002381D" w:rsidP="00D4158A">
            <w:pPr>
              <w:tabs>
                <w:tab w:val="decimal" w:pos="1457"/>
              </w:tabs>
              <w:spacing w:after="120" w:line="240" w:lineRule="auto"/>
              <w:rPr>
                <w:rFonts w:cstheme="minorHAnsi"/>
                <w:sz w:val="16"/>
                <w:szCs w:val="16"/>
              </w:rPr>
            </w:pPr>
          </w:p>
        </w:tc>
        <w:tc>
          <w:tcPr>
            <w:tcW w:w="1137" w:type="dxa"/>
          </w:tcPr>
          <w:p w14:paraId="33F5B86F" w14:textId="77777777" w:rsidR="0002381D" w:rsidRPr="00D4158A" w:rsidRDefault="0002381D" w:rsidP="00D4158A">
            <w:pPr>
              <w:tabs>
                <w:tab w:val="decimal" w:pos="1457"/>
              </w:tabs>
              <w:spacing w:after="120" w:line="240" w:lineRule="auto"/>
              <w:rPr>
                <w:rFonts w:cstheme="minorHAnsi"/>
                <w:sz w:val="16"/>
                <w:szCs w:val="16"/>
              </w:rPr>
            </w:pPr>
          </w:p>
        </w:tc>
      </w:tr>
      <w:tr w:rsidR="0002381D" w:rsidRPr="00987B3B" w14:paraId="7061B9BD" w14:textId="77777777" w:rsidTr="00270393">
        <w:tc>
          <w:tcPr>
            <w:tcW w:w="5778" w:type="dxa"/>
            <w:hideMark/>
          </w:tcPr>
          <w:p w14:paraId="4F759DC5"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Injection of share capital</w:t>
            </w:r>
          </w:p>
        </w:tc>
        <w:tc>
          <w:tcPr>
            <w:tcW w:w="2265" w:type="dxa"/>
            <w:gridSpan w:val="3"/>
            <w:hideMark/>
          </w:tcPr>
          <w:p w14:paraId="6E32664E" w14:textId="77777777" w:rsidR="0002381D" w:rsidRPr="00D4158A" w:rsidRDefault="0002381D" w:rsidP="00D4158A">
            <w:pPr>
              <w:tabs>
                <w:tab w:val="decimal" w:pos="1457"/>
              </w:tabs>
              <w:spacing w:after="120" w:line="240" w:lineRule="auto"/>
              <w:jc w:val="left"/>
              <w:rPr>
                <w:rFonts w:cstheme="minorHAnsi"/>
                <w:sz w:val="16"/>
                <w:szCs w:val="16"/>
              </w:rPr>
            </w:pPr>
            <w:r w:rsidRPr="00D4158A">
              <w:rPr>
                <w:rFonts w:cstheme="minorHAnsi"/>
                <w:sz w:val="16"/>
                <w:szCs w:val="16"/>
              </w:rPr>
              <w:t>-</w:t>
            </w:r>
          </w:p>
        </w:tc>
        <w:tc>
          <w:tcPr>
            <w:tcW w:w="1137" w:type="dxa"/>
            <w:hideMark/>
          </w:tcPr>
          <w:p w14:paraId="1E8BB314" w14:textId="77777777" w:rsidR="0002381D" w:rsidRPr="00D4158A" w:rsidRDefault="0002381D" w:rsidP="00D4158A">
            <w:pPr>
              <w:tabs>
                <w:tab w:val="decimal" w:pos="1457"/>
              </w:tabs>
              <w:spacing w:after="120" w:line="240" w:lineRule="auto"/>
              <w:jc w:val="left"/>
              <w:rPr>
                <w:rFonts w:cstheme="minorHAnsi"/>
                <w:sz w:val="16"/>
                <w:szCs w:val="16"/>
              </w:rPr>
            </w:pPr>
            <w:r w:rsidRPr="00D4158A">
              <w:rPr>
                <w:rFonts w:cstheme="minorHAnsi"/>
                <w:sz w:val="16"/>
                <w:szCs w:val="16"/>
              </w:rPr>
              <w:t>100</w:t>
            </w:r>
          </w:p>
        </w:tc>
      </w:tr>
      <w:tr w:rsidR="0002381D" w:rsidRPr="00987B3B" w14:paraId="75281877" w14:textId="77777777" w:rsidTr="00270393">
        <w:tc>
          <w:tcPr>
            <w:tcW w:w="5778" w:type="dxa"/>
            <w:hideMark/>
          </w:tcPr>
          <w:p w14:paraId="701F7FB1" w14:textId="77777777" w:rsidR="0002381D" w:rsidRPr="00D4158A" w:rsidRDefault="0002381D" w:rsidP="00D4158A">
            <w:pPr>
              <w:spacing w:after="120" w:line="240" w:lineRule="auto"/>
              <w:jc w:val="left"/>
              <w:rPr>
                <w:rFonts w:cstheme="minorHAnsi"/>
                <w:sz w:val="16"/>
                <w:szCs w:val="16"/>
              </w:rPr>
            </w:pPr>
            <w:r w:rsidRPr="00D4158A">
              <w:rPr>
                <w:rFonts w:cstheme="minorHAnsi"/>
                <w:sz w:val="16"/>
                <w:szCs w:val="16"/>
              </w:rPr>
              <w:t>Capital contribution</w:t>
            </w:r>
          </w:p>
        </w:tc>
        <w:tc>
          <w:tcPr>
            <w:tcW w:w="2265" w:type="dxa"/>
            <w:gridSpan w:val="3"/>
            <w:hideMark/>
          </w:tcPr>
          <w:p w14:paraId="0372A935" w14:textId="77777777" w:rsidR="0002381D" w:rsidRPr="00D4158A" w:rsidRDefault="0002381D" w:rsidP="00D4158A">
            <w:pPr>
              <w:tabs>
                <w:tab w:val="decimal" w:pos="1457"/>
              </w:tabs>
              <w:spacing w:after="120" w:line="240" w:lineRule="auto"/>
              <w:jc w:val="left"/>
              <w:rPr>
                <w:rFonts w:cstheme="minorHAnsi"/>
                <w:sz w:val="16"/>
                <w:szCs w:val="16"/>
              </w:rPr>
            </w:pPr>
            <w:r w:rsidRPr="00D4158A">
              <w:rPr>
                <w:rFonts w:cstheme="minorHAnsi"/>
                <w:sz w:val="16"/>
                <w:szCs w:val="16"/>
              </w:rPr>
              <w:t>-</w:t>
            </w:r>
          </w:p>
        </w:tc>
        <w:tc>
          <w:tcPr>
            <w:tcW w:w="1137" w:type="dxa"/>
            <w:hideMark/>
          </w:tcPr>
          <w:p w14:paraId="60D20C20" w14:textId="77777777" w:rsidR="0002381D" w:rsidRPr="00D4158A" w:rsidRDefault="0002381D" w:rsidP="00D4158A">
            <w:pPr>
              <w:tabs>
                <w:tab w:val="decimal" w:pos="1457"/>
              </w:tabs>
              <w:spacing w:after="120" w:line="240" w:lineRule="auto"/>
              <w:jc w:val="left"/>
              <w:rPr>
                <w:rFonts w:cstheme="minorHAnsi"/>
                <w:sz w:val="16"/>
                <w:szCs w:val="16"/>
              </w:rPr>
            </w:pPr>
            <w:r w:rsidRPr="00D4158A">
              <w:rPr>
                <w:rFonts w:cstheme="minorHAnsi"/>
                <w:sz w:val="16"/>
                <w:szCs w:val="16"/>
              </w:rPr>
              <w:t>43,200</w:t>
            </w:r>
          </w:p>
        </w:tc>
      </w:tr>
      <w:tr w:rsidR="0002381D" w:rsidRPr="00987B3B" w14:paraId="521D1206" w14:textId="77777777" w:rsidTr="00270393">
        <w:tc>
          <w:tcPr>
            <w:tcW w:w="5778" w:type="dxa"/>
          </w:tcPr>
          <w:p w14:paraId="1E3F7C34" w14:textId="77777777" w:rsidR="0002381D" w:rsidRPr="00D4158A" w:rsidRDefault="0002381D" w:rsidP="00D4158A">
            <w:pPr>
              <w:spacing w:after="120" w:line="240" w:lineRule="auto"/>
              <w:jc w:val="left"/>
              <w:rPr>
                <w:rFonts w:cstheme="minorHAnsi"/>
                <w:sz w:val="16"/>
                <w:szCs w:val="16"/>
              </w:rPr>
            </w:pPr>
          </w:p>
        </w:tc>
        <w:tc>
          <w:tcPr>
            <w:tcW w:w="2265" w:type="dxa"/>
            <w:gridSpan w:val="3"/>
            <w:hideMark/>
          </w:tcPr>
          <w:p w14:paraId="048C8AD2"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_________</w:t>
            </w:r>
          </w:p>
        </w:tc>
        <w:tc>
          <w:tcPr>
            <w:tcW w:w="1137" w:type="dxa"/>
            <w:hideMark/>
          </w:tcPr>
          <w:p w14:paraId="1EB6490C"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sz w:val="16"/>
                <w:szCs w:val="16"/>
              </w:rPr>
              <w:t>_________</w:t>
            </w:r>
          </w:p>
        </w:tc>
      </w:tr>
      <w:tr w:rsidR="0002381D" w:rsidRPr="00987B3B" w14:paraId="7B4B6C59" w14:textId="77777777" w:rsidTr="00270393">
        <w:tc>
          <w:tcPr>
            <w:tcW w:w="5778" w:type="dxa"/>
          </w:tcPr>
          <w:p w14:paraId="404940A7" w14:textId="77777777" w:rsidR="0002381D" w:rsidRPr="00D4158A" w:rsidRDefault="0002381D" w:rsidP="00D4158A">
            <w:pPr>
              <w:spacing w:after="120" w:line="240" w:lineRule="auto"/>
              <w:jc w:val="left"/>
              <w:rPr>
                <w:rFonts w:cstheme="minorHAnsi"/>
                <w:sz w:val="16"/>
                <w:szCs w:val="16"/>
              </w:rPr>
            </w:pPr>
          </w:p>
        </w:tc>
        <w:tc>
          <w:tcPr>
            <w:tcW w:w="2265" w:type="dxa"/>
            <w:gridSpan w:val="3"/>
          </w:tcPr>
          <w:p w14:paraId="554223A7" w14:textId="77777777" w:rsidR="0002381D" w:rsidRPr="00D4158A" w:rsidRDefault="0002381D" w:rsidP="00D4158A">
            <w:pPr>
              <w:tabs>
                <w:tab w:val="decimal" w:pos="1457"/>
              </w:tabs>
              <w:spacing w:after="120" w:line="240" w:lineRule="auto"/>
              <w:rPr>
                <w:rFonts w:cstheme="minorHAnsi"/>
                <w:b/>
                <w:sz w:val="16"/>
                <w:szCs w:val="16"/>
              </w:rPr>
            </w:pPr>
          </w:p>
        </w:tc>
        <w:tc>
          <w:tcPr>
            <w:tcW w:w="1137" w:type="dxa"/>
          </w:tcPr>
          <w:p w14:paraId="655EA777" w14:textId="77777777" w:rsidR="0002381D" w:rsidRPr="00D4158A" w:rsidRDefault="0002381D" w:rsidP="00D4158A">
            <w:pPr>
              <w:tabs>
                <w:tab w:val="decimal" w:pos="1457"/>
              </w:tabs>
              <w:spacing w:after="120" w:line="240" w:lineRule="auto"/>
              <w:rPr>
                <w:rFonts w:cstheme="minorHAnsi"/>
                <w:b/>
                <w:sz w:val="16"/>
                <w:szCs w:val="16"/>
              </w:rPr>
            </w:pPr>
          </w:p>
        </w:tc>
      </w:tr>
      <w:tr w:rsidR="0002381D" w:rsidRPr="00987B3B" w14:paraId="43302F5C" w14:textId="77777777" w:rsidTr="00270393">
        <w:tc>
          <w:tcPr>
            <w:tcW w:w="5778" w:type="dxa"/>
            <w:hideMark/>
          </w:tcPr>
          <w:p w14:paraId="178896A8" w14:textId="77777777" w:rsidR="0002381D" w:rsidRPr="00D4158A" w:rsidRDefault="0002381D" w:rsidP="00D4158A">
            <w:pPr>
              <w:spacing w:after="120" w:line="240" w:lineRule="auto"/>
              <w:jc w:val="left"/>
              <w:rPr>
                <w:rFonts w:cstheme="minorHAnsi"/>
                <w:b/>
                <w:i/>
                <w:sz w:val="16"/>
                <w:szCs w:val="16"/>
              </w:rPr>
            </w:pPr>
            <w:r w:rsidRPr="00D4158A">
              <w:rPr>
                <w:rFonts w:cstheme="minorHAnsi"/>
                <w:b/>
                <w:i/>
                <w:sz w:val="16"/>
                <w:szCs w:val="16"/>
              </w:rPr>
              <w:t>Net cash used in financing activities</w:t>
            </w:r>
          </w:p>
        </w:tc>
        <w:tc>
          <w:tcPr>
            <w:tcW w:w="2265" w:type="dxa"/>
            <w:gridSpan w:val="3"/>
            <w:hideMark/>
          </w:tcPr>
          <w:p w14:paraId="6E087C7A"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w:t>
            </w:r>
          </w:p>
        </w:tc>
        <w:tc>
          <w:tcPr>
            <w:tcW w:w="1137" w:type="dxa"/>
            <w:hideMark/>
          </w:tcPr>
          <w:p w14:paraId="569C3F2B"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43,300</w:t>
            </w:r>
          </w:p>
        </w:tc>
      </w:tr>
      <w:tr w:rsidR="0002381D" w:rsidRPr="00987B3B" w14:paraId="46A5CF76" w14:textId="77777777" w:rsidTr="00270393">
        <w:tc>
          <w:tcPr>
            <w:tcW w:w="5778" w:type="dxa"/>
          </w:tcPr>
          <w:p w14:paraId="2A95B4FD" w14:textId="77777777" w:rsidR="0002381D" w:rsidRPr="00D4158A" w:rsidRDefault="0002381D" w:rsidP="00D4158A">
            <w:pPr>
              <w:spacing w:after="120" w:line="240" w:lineRule="auto"/>
              <w:jc w:val="left"/>
              <w:rPr>
                <w:rFonts w:cstheme="minorHAnsi"/>
                <w:sz w:val="16"/>
                <w:szCs w:val="16"/>
              </w:rPr>
            </w:pPr>
          </w:p>
        </w:tc>
        <w:tc>
          <w:tcPr>
            <w:tcW w:w="2265" w:type="dxa"/>
            <w:gridSpan w:val="3"/>
            <w:hideMark/>
          </w:tcPr>
          <w:p w14:paraId="4C4D1C36"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_________</w:t>
            </w:r>
          </w:p>
        </w:tc>
        <w:tc>
          <w:tcPr>
            <w:tcW w:w="1137" w:type="dxa"/>
            <w:hideMark/>
          </w:tcPr>
          <w:p w14:paraId="45401657"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_________</w:t>
            </w:r>
          </w:p>
        </w:tc>
      </w:tr>
      <w:tr w:rsidR="0002381D" w:rsidRPr="00987B3B" w14:paraId="6BEC5235" w14:textId="77777777" w:rsidTr="00270393">
        <w:tc>
          <w:tcPr>
            <w:tcW w:w="5778" w:type="dxa"/>
          </w:tcPr>
          <w:p w14:paraId="6214C31F" w14:textId="77777777" w:rsidR="0002381D" w:rsidRPr="00D4158A" w:rsidRDefault="0002381D" w:rsidP="00D4158A">
            <w:pPr>
              <w:spacing w:after="120" w:line="240" w:lineRule="auto"/>
              <w:jc w:val="left"/>
              <w:rPr>
                <w:rFonts w:cstheme="minorHAnsi"/>
                <w:sz w:val="16"/>
                <w:szCs w:val="16"/>
              </w:rPr>
            </w:pPr>
          </w:p>
        </w:tc>
        <w:tc>
          <w:tcPr>
            <w:tcW w:w="2265" w:type="dxa"/>
            <w:gridSpan w:val="3"/>
          </w:tcPr>
          <w:p w14:paraId="518E739F" w14:textId="77777777" w:rsidR="0002381D" w:rsidRPr="00D4158A" w:rsidRDefault="0002381D" w:rsidP="00D4158A">
            <w:pPr>
              <w:tabs>
                <w:tab w:val="decimal" w:pos="1457"/>
              </w:tabs>
              <w:spacing w:after="120" w:line="240" w:lineRule="auto"/>
              <w:rPr>
                <w:rFonts w:cstheme="minorHAnsi"/>
                <w:sz w:val="16"/>
                <w:szCs w:val="16"/>
              </w:rPr>
            </w:pPr>
          </w:p>
        </w:tc>
        <w:tc>
          <w:tcPr>
            <w:tcW w:w="1137" w:type="dxa"/>
          </w:tcPr>
          <w:p w14:paraId="60F68229" w14:textId="77777777" w:rsidR="0002381D" w:rsidRPr="00D4158A" w:rsidRDefault="0002381D" w:rsidP="00D4158A">
            <w:pPr>
              <w:tabs>
                <w:tab w:val="decimal" w:pos="1457"/>
              </w:tabs>
              <w:spacing w:after="120" w:line="240" w:lineRule="auto"/>
              <w:rPr>
                <w:rFonts w:cstheme="minorHAnsi"/>
                <w:sz w:val="16"/>
                <w:szCs w:val="16"/>
              </w:rPr>
            </w:pPr>
          </w:p>
        </w:tc>
      </w:tr>
      <w:tr w:rsidR="0002381D" w:rsidRPr="00987B3B" w14:paraId="06AD2193" w14:textId="77777777" w:rsidTr="00270393">
        <w:tc>
          <w:tcPr>
            <w:tcW w:w="5778" w:type="dxa"/>
            <w:hideMark/>
          </w:tcPr>
          <w:p w14:paraId="641AA9FF" w14:textId="77777777" w:rsidR="0002381D" w:rsidRPr="00D4158A" w:rsidRDefault="0002381D" w:rsidP="00D4158A">
            <w:pPr>
              <w:spacing w:after="120" w:line="240" w:lineRule="auto"/>
              <w:jc w:val="left"/>
              <w:rPr>
                <w:rFonts w:cstheme="minorHAnsi"/>
                <w:b/>
                <w:sz w:val="16"/>
                <w:szCs w:val="16"/>
              </w:rPr>
            </w:pPr>
            <w:r w:rsidRPr="00D4158A">
              <w:rPr>
                <w:rFonts w:cstheme="minorHAnsi"/>
                <w:b/>
                <w:sz w:val="16"/>
                <w:szCs w:val="16"/>
              </w:rPr>
              <w:t>Net increase in cash and cash equivalents</w:t>
            </w:r>
          </w:p>
        </w:tc>
        <w:tc>
          <w:tcPr>
            <w:tcW w:w="2265" w:type="dxa"/>
            <w:gridSpan w:val="3"/>
            <w:hideMark/>
          </w:tcPr>
          <w:p w14:paraId="6DF88775"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122,201</w:t>
            </w:r>
          </w:p>
        </w:tc>
        <w:tc>
          <w:tcPr>
            <w:tcW w:w="1137" w:type="dxa"/>
            <w:hideMark/>
          </w:tcPr>
          <w:p w14:paraId="72717BF4"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78,114</w:t>
            </w:r>
          </w:p>
        </w:tc>
      </w:tr>
      <w:tr w:rsidR="0002381D" w:rsidRPr="00987B3B" w14:paraId="7CEDC52B" w14:textId="77777777" w:rsidTr="00270393">
        <w:tc>
          <w:tcPr>
            <w:tcW w:w="5778" w:type="dxa"/>
          </w:tcPr>
          <w:p w14:paraId="3AEDC777" w14:textId="77777777" w:rsidR="0002381D" w:rsidRPr="00D4158A" w:rsidRDefault="0002381D" w:rsidP="00D4158A">
            <w:pPr>
              <w:spacing w:after="120" w:line="240" w:lineRule="auto"/>
              <w:jc w:val="left"/>
              <w:rPr>
                <w:rFonts w:cstheme="minorHAnsi"/>
                <w:sz w:val="16"/>
                <w:szCs w:val="16"/>
              </w:rPr>
            </w:pPr>
          </w:p>
        </w:tc>
        <w:tc>
          <w:tcPr>
            <w:tcW w:w="2265" w:type="dxa"/>
            <w:gridSpan w:val="3"/>
            <w:hideMark/>
          </w:tcPr>
          <w:p w14:paraId="4F09E982"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_________</w:t>
            </w:r>
          </w:p>
        </w:tc>
        <w:tc>
          <w:tcPr>
            <w:tcW w:w="1137" w:type="dxa"/>
            <w:hideMark/>
          </w:tcPr>
          <w:p w14:paraId="4A5012CB"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_________</w:t>
            </w:r>
          </w:p>
        </w:tc>
      </w:tr>
      <w:tr w:rsidR="0002381D" w:rsidRPr="00987B3B" w14:paraId="6FB19BE8" w14:textId="77777777" w:rsidTr="00270393">
        <w:tc>
          <w:tcPr>
            <w:tcW w:w="5778" w:type="dxa"/>
          </w:tcPr>
          <w:p w14:paraId="48B1F124" w14:textId="77777777" w:rsidR="0002381D" w:rsidRPr="00D4158A" w:rsidRDefault="0002381D" w:rsidP="00D4158A">
            <w:pPr>
              <w:spacing w:after="120" w:line="240" w:lineRule="auto"/>
              <w:jc w:val="left"/>
              <w:rPr>
                <w:rFonts w:cstheme="minorHAnsi"/>
                <w:sz w:val="16"/>
                <w:szCs w:val="16"/>
              </w:rPr>
            </w:pPr>
          </w:p>
        </w:tc>
        <w:tc>
          <w:tcPr>
            <w:tcW w:w="2265" w:type="dxa"/>
            <w:gridSpan w:val="3"/>
          </w:tcPr>
          <w:p w14:paraId="6D7CC8EB" w14:textId="77777777" w:rsidR="0002381D" w:rsidRPr="00D4158A" w:rsidRDefault="0002381D" w:rsidP="00D4158A">
            <w:pPr>
              <w:tabs>
                <w:tab w:val="decimal" w:pos="1457"/>
              </w:tabs>
              <w:spacing w:after="120" w:line="240" w:lineRule="auto"/>
              <w:rPr>
                <w:rFonts w:cstheme="minorHAnsi"/>
                <w:sz w:val="16"/>
                <w:szCs w:val="16"/>
              </w:rPr>
            </w:pPr>
          </w:p>
        </w:tc>
        <w:tc>
          <w:tcPr>
            <w:tcW w:w="1137" w:type="dxa"/>
          </w:tcPr>
          <w:p w14:paraId="6734CD37" w14:textId="77777777" w:rsidR="0002381D" w:rsidRPr="00D4158A" w:rsidRDefault="0002381D" w:rsidP="00D4158A">
            <w:pPr>
              <w:tabs>
                <w:tab w:val="decimal" w:pos="1457"/>
              </w:tabs>
              <w:spacing w:after="120" w:line="240" w:lineRule="auto"/>
              <w:rPr>
                <w:rFonts w:cstheme="minorHAnsi"/>
                <w:sz w:val="16"/>
                <w:szCs w:val="16"/>
              </w:rPr>
            </w:pPr>
          </w:p>
        </w:tc>
      </w:tr>
      <w:tr w:rsidR="0002381D" w:rsidRPr="00987B3B" w14:paraId="242F925A" w14:textId="77777777" w:rsidTr="00270393">
        <w:tc>
          <w:tcPr>
            <w:tcW w:w="5778" w:type="dxa"/>
            <w:hideMark/>
          </w:tcPr>
          <w:p w14:paraId="0BB706D3" w14:textId="77777777" w:rsidR="0002381D" w:rsidRPr="00D4158A" w:rsidRDefault="0002381D" w:rsidP="00D4158A">
            <w:pPr>
              <w:spacing w:after="120" w:line="240" w:lineRule="auto"/>
              <w:jc w:val="left"/>
              <w:rPr>
                <w:rFonts w:cstheme="minorHAnsi"/>
                <w:b/>
                <w:sz w:val="16"/>
                <w:szCs w:val="16"/>
              </w:rPr>
            </w:pPr>
            <w:r w:rsidRPr="00D4158A">
              <w:rPr>
                <w:rFonts w:cstheme="minorHAnsi"/>
                <w:b/>
                <w:sz w:val="16"/>
                <w:szCs w:val="16"/>
              </w:rPr>
              <w:t>Cash and cash equivalents at the beginning of the financial period</w:t>
            </w:r>
          </w:p>
        </w:tc>
        <w:tc>
          <w:tcPr>
            <w:tcW w:w="2265" w:type="dxa"/>
            <w:gridSpan w:val="3"/>
          </w:tcPr>
          <w:p w14:paraId="078D83BA" w14:textId="77777777" w:rsidR="0002381D" w:rsidRPr="00D4158A" w:rsidRDefault="0002381D" w:rsidP="00D4158A">
            <w:pPr>
              <w:tabs>
                <w:tab w:val="decimal" w:pos="1457"/>
              </w:tabs>
              <w:spacing w:after="120" w:line="240" w:lineRule="auto"/>
              <w:rPr>
                <w:rFonts w:cstheme="minorHAnsi"/>
                <w:sz w:val="16"/>
                <w:szCs w:val="16"/>
              </w:rPr>
            </w:pPr>
          </w:p>
          <w:p w14:paraId="5B033D73"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328,563</w:t>
            </w:r>
          </w:p>
        </w:tc>
        <w:tc>
          <w:tcPr>
            <w:tcW w:w="1137" w:type="dxa"/>
          </w:tcPr>
          <w:p w14:paraId="26595E8A" w14:textId="77777777" w:rsidR="0002381D" w:rsidRPr="00D4158A" w:rsidRDefault="0002381D" w:rsidP="00D4158A">
            <w:pPr>
              <w:tabs>
                <w:tab w:val="decimal" w:pos="1457"/>
              </w:tabs>
              <w:spacing w:after="120" w:line="240" w:lineRule="auto"/>
              <w:rPr>
                <w:rFonts w:cstheme="minorHAnsi"/>
                <w:sz w:val="16"/>
                <w:szCs w:val="16"/>
              </w:rPr>
            </w:pPr>
          </w:p>
          <w:p w14:paraId="4D8C8DFA" w14:textId="77777777" w:rsidR="0002381D" w:rsidRPr="00D4158A" w:rsidRDefault="0002381D" w:rsidP="00D4158A">
            <w:pPr>
              <w:tabs>
                <w:tab w:val="decimal" w:pos="1457"/>
              </w:tabs>
              <w:spacing w:after="120" w:line="240" w:lineRule="auto"/>
              <w:rPr>
                <w:rFonts w:cstheme="minorHAnsi"/>
                <w:sz w:val="16"/>
                <w:szCs w:val="16"/>
              </w:rPr>
            </w:pPr>
            <w:r w:rsidRPr="00D4158A">
              <w:rPr>
                <w:rFonts w:cstheme="minorHAnsi"/>
                <w:sz w:val="16"/>
                <w:szCs w:val="16"/>
              </w:rPr>
              <w:t>-</w:t>
            </w:r>
          </w:p>
        </w:tc>
      </w:tr>
      <w:tr w:rsidR="0002381D" w:rsidRPr="00987B3B" w14:paraId="2E08477A" w14:textId="77777777" w:rsidTr="00270393">
        <w:tc>
          <w:tcPr>
            <w:tcW w:w="5778" w:type="dxa"/>
          </w:tcPr>
          <w:p w14:paraId="500E5B10" w14:textId="77777777" w:rsidR="0002381D" w:rsidRPr="00D4158A" w:rsidRDefault="0002381D" w:rsidP="00D4158A">
            <w:pPr>
              <w:spacing w:after="120" w:line="240" w:lineRule="auto"/>
              <w:jc w:val="left"/>
              <w:rPr>
                <w:rFonts w:cstheme="minorHAnsi"/>
                <w:b/>
                <w:sz w:val="16"/>
                <w:szCs w:val="16"/>
              </w:rPr>
            </w:pPr>
          </w:p>
        </w:tc>
        <w:tc>
          <w:tcPr>
            <w:tcW w:w="2265" w:type="dxa"/>
            <w:gridSpan w:val="3"/>
            <w:hideMark/>
          </w:tcPr>
          <w:p w14:paraId="51C862E2"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sz w:val="16"/>
                <w:szCs w:val="16"/>
              </w:rPr>
              <w:t>_________</w:t>
            </w:r>
          </w:p>
        </w:tc>
        <w:tc>
          <w:tcPr>
            <w:tcW w:w="1137" w:type="dxa"/>
            <w:hideMark/>
          </w:tcPr>
          <w:p w14:paraId="0F864B6D"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sz w:val="16"/>
                <w:szCs w:val="16"/>
              </w:rPr>
              <w:t>_________</w:t>
            </w:r>
          </w:p>
        </w:tc>
      </w:tr>
      <w:tr w:rsidR="0002381D" w:rsidRPr="00987B3B" w14:paraId="28F01042" w14:textId="77777777" w:rsidTr="00270393">
        <w:tc>
          <w:tcPr>
            <w:tcW w:w="5778" w:type="dxa"/>
          </w:tcPr>
          <w:p w14:paraId="0EAAD39D" w14:textId="77777777" w:rsidR="0002381D" w:rsidRPr="00D4158A" w:rsidRDefault="0002381D" w:rsidP="00D4158A">
            <w:pPr>
              <w:spacing w:after="120" w:line="240" w:lineRule="auto"/>
              <w:jc w:val="left"/>
              <w:rPr>
                <w:rFonts w:cstheme="minorHAnsi"/>
                <w:b/>
                <w:sz w:val="16"/>
                <w:szCs w:val="16"/>
              </w:rPr>
            </w:pPr>
          </w:p>
        </w:tc>
        <w:tc>
          <w:tcPr>
            <w:tcW w:w="1701" w:type="dxa"/>
            <w:gridSpan w:val="2"/>
          </w:tcPr>
          <w:p w14:paraId="4A84DBAB" w14:textId="77777777" w:rsidR="0002381D" w:rsidRPr="00D4158A" w:rsidRDefault="0002381D" w:rsidP="00D4158A">
            <w:pPr>
              <w:tabs>
                <w:tab w:val="decimal" w:pos="1457"/>
              </w:tabs>
              <w:spacing w:after="120" w:line="240" w:lineRule="auto"/>
              <w:rPr>
                <w:rFonts w:cstheme="minorHAnsi"/>
                <w:b/>
                <w:sz w:val="16"/>
                <w:szCs w:val="16"/>
              </w:rPr>
            </w:pPr>
          </w:p>
        </w:tc>
        <w:tc>
          <w:tcPr>
            <w:tcW w:w="1701" w:type="dxa"/>
            <w:gridSpan w:val="2"/>
          </w:tcPr>
          <w:p w14:paraId="65EBFA59" w14:textId="77777777" w:rsidR="0002381D" w:rsidRPr="00D4158A" w:rsidRDefault="0002381D" w:rsidP="00D4158A">
            <w:pPr>
              <w:tabs>
                <w:tab w:val="decimal" w:pos="1457"/>
              </w:tabs>
              <w:spacing w:after="120" w:line="240" w:lineRule="auto"/>
              <w:rPr>
                <w:rFonts w:cstheme="minorHAnsi"/>
                <w:b/>
                <w:sz w:val="16"/>
                <w:szCs w:val="16"/>
              </w:rPr>
            </w:pPr>
          </w:p>
        </w:tc>
      </w:tr>
      <w:tr w:rsidR="0002381D" w:rsidRPr="00987B3B" w14:paraId="76C3F1FD" w14:textId="77777777" w:rsidTr="00270393">
        <w:tc>
          <w:tcPr>
            <w:tcW w:w="5778" w:type="dxa"/>
            <w:hideMark/>
          </w:tcPr>
          <w:p w14:paraId="1CAC8B58" w14:textId="77777777" w:rsidR="0002381D" w:rsidRPr="00D4158A" w:rsidRDefault="0002381D" w:rsidP="00D4158A">
            <w:pPr>
              <w:spacing w:after="120" w:line="240" w:lineRule="auto"/>
              <w:jc w:val="left"/>
              <w:rPr>
                <w:rFonts w:cstheme="minorHAnsi"/>
                <w:b/>
                <w:sz w:val="16"/>
                <w:szCs w:val="16"/>
              </w:rPr>
            </w:pPr>
            <w:r w:rsidRPr="00D4158A">
              <w:rPr>
                <w:rFonts w:cstheme="minorHAnsi"/>
                <w:b/>
                <w:sz w:val="16"/>
                <w:szCs w:val="16"/>
              </w:rPr>
              <w:t>Cash and cash equivalents at the end of the financial period</w:t>
            </w:r>
          </w:p>
        </w:tc>
        <w:tc>
          <w:tcPr>
            <w:tcW w:w="1701" w:type="dxa"/>
            <w:gridSpan w:val="2"/>
            <w:hideMark/>
          </w:tcPr>
          <w:p w14:paraId="226A80DE"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450,764</w:t>
            </w:r>
          </w:p>
        </w:tc>
        <w:tc>
          <w:tcPr>
            <w:tcW w:w="1701" w:type="dxa"/>
            <w:gridSpan w:val="2"/>
            <w:hideMark/>
          </w:tcPr>
          <w:p w14:paraId="6ADE8C94"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78,114</w:t>
            </w:r>
          </w:p>
        </w:tc>
      </w:tr>
      <w:tr w:rsidR="0002381D" w:rsidRPr="00987B3B" w14:paraId="19E8BE2F" w14:textId="77777777" w:rsidTr="00270393">
        <w:tc>
          <w:tcPr>
            <w:tcW w:w="6201" w:type="dxa"/>
            <w:gridSpan w:val="2"/>
          </w:tcPr>
          <w:p w14:paraId="56276A39" w14:textId="77777777" w:rsidR="0002381D" w:rsidRPr="00D4158A" w:rsidRDefault="0002381D" w:rsidP="00D4158A">
            <w:pPr>
              <w:spacing w:after="120" w:line="240" w:lineRule="auto"/>
              <w:jc w:val="left"/>
              <w:rPr>
                <w:rFonts w:cstheme="minorHAnsi"/>
                <w:sz w:val="16"/>
                <w:szCs w:val="16"/>
              </w:rPr>
            </w:pPr>
          </w:p>
        </w:tc>
        <w:tc>
          <w:tcPr>
            <w:tcW w:w="1278" w:type="dxa"/>
            <w:hideMark/>
          </w:tcPr>
          <w:p w14:paraId="4122FB87"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________</w:t>
            </w:r>
          </w:p>
        </w:tc>
        <w:tc>
          <w:tcPr>
            <w:tcW w:w="1701" w:type="dxa"/>
            <w:gridSpan w:val="2"/>
            <w:hideMark/>
          </w:tcPr>
          <w:p w14:paraId="76183651" w14:textId="77777777" w:rsidR="0002381D" w:rsidRPr="00D4158A" w:rsidRDefault="0002381D" w:rsidP="00D4158A">
            <w:pPr>
              <w:tabs>
                <w:tab w:val="decimal" w:pos="1457"/>
              </w:tabs>
              <w:spacing w:after="120" w:line="240" w:lineRule="auto"/>
              <w:rPr>
                <w:rFonts w:cstheme="minorHAnsi"/>
                <w:b/>
                <w:sz w:val="16"/>
                <w:szCs w:val="16"/>
              </w:rPr>
            </w:pPr>
            <w:r w:rsidRPr="00D4158A">
              <w:rPr>
                <w:rFonts w:cstheme="minorHAnsi"/>
                <w:b/>
                <w:sz w:val="16"/>
                <w:szCs w:val="16"/>
              </w:rPr>
              <w:t>________</w:t>
            </w:r>
          </w:p>
        </w:tc>
      </w:tr>
    </w:tbl>
    <w:p w14:paraId="658C6C4D" w14:textId="77777777" w:rsidR="0002381D" w:rsidRPr="00D4158A" w:rsidRDefault="0002381D" w:rsidP="00D4158A">
      <w:pPr>
        <w:spacing w:after="120" w:line="240" w:lineRule="auto"/>
        <w:rPr>
          <w:rFonts w:cstheme="minorHAnsi"/>
          <w:b/>
          <w:caps/>
          <w:szCs w:val="20"/>
        </w:rPr>
      </w:pPr>
      <w:r w:rsidRPr="00D4158A">
        <w:rPr>
          <w:rFonts w:cstheme="minorHAnsi"/>
          <w:b/>
          <w:caps/>
          <w:szCs w:val="20"/>
        </w:rPr>
        <w:lastRenderedPageBreak/>
        <w:t>n</w:t>
      </w:r>
      <w:r w:rsidRPr="00D4158A">
        <w:rPr>
          <w:rFonts w:cstheme="minorHAnsi"/>
          <w:b/>
          <w:szCs w:val="20"/>
        </w:rPr>
        <w:t>otes to the financial information</w:t>
      </w:r>
    </w:p>
    <w:p w14:paraId="5723C4E6" w14:textId="77777777" w:rsidR="0002381D" w:rsidRPr="00D4158A" w:rsidRDefault="0002381D" w:rsidP="00D4158A">
      <w:pPr>
        <w:spacing w:after="120" w:line="240" w:lineRule="auto"/>
        <w:rPr>
          <w:rFonts w:cstheme="minorHAnsi"/>
          <w:b/>
          <w:caps/>
          <w:szCs w:val="20"/>
        </w:rPr>
      </w:pPr>
      <w:r w:rsidRPr="00D4158A">
        <w:rPr>
          <w:rFonts w:cstheme="minorHAnsi"/>
          <w:b/>
          <w:caps/>
          <w:szCs w:val="20"/>
        </w:rPr>
        <w:t>F</w:t>
      </w:r>
      <w:r w:rsidRPr="00D4158A">
        <w:rPr>
          <w:rFonts w:cstheme="minorHAnsi"/>
          <w:b/>
          <w:szCs w:val="20"/>
        </w:rPr>
        <w:t>or the six months ended 31 October 2019</w:t>
      </w:r>
    </w:p>
    <w:p w14:paraId="1245A039" w14:textId="77777777" w:rsidR="0002381D" w:rsidRPr="00D4158A" w:rsidRDefault="0002381D" w:rsidP="00D4158A">
      <w:pPr>
        <w:pBdr>
          <w:bottom w:val="single" w:sz="6" w:space="1" w:color="auto"/>
        </w:pBdr>
        <w:spacing w:after="120" w:line="240" w:lineRule="auto"/>
        <w:jc w:val="right"/>
        <w:rPr>
          <w:rFonts w:cstheme="minorHAnsi"/>
          <w:szCs w:val="20"/>
        </w:rPr>
      </w:pPr>
    </w:p>
    <w:p w14:paraId="14205711" w14:textId="77777777" w:rsidR="0002381D" w:rsidRPr="00D4158A" w:rsidRDefault="0002381D" w:rsidP="00D4158A">
      <w:pPr>
        <w:spacing w:after="120" w:line="240" w:lineRule="auto"/>
        <w:rPr>
          <w:rFonts w:cstheme="minorHAnsi"/>
          <w:szCs w:val="20"/>
        </w:rPr>
      </w:pPr>
    </w:p>
    <w:p w14:paraId="37B8EF08" w14:textId="77777777" w:rsidR="0002381D" w:rsidRPr="00D4158A" w:rsidRDefault="0002381D" w:rsidP="00D4158A">
      <w:pPr>
        <w:keepNext/>
        <w:keepLines/>
        <w:numPr>
          <w:ilvl w:val="0"/>
          <w:numId w:val="88"/>
        </w:numPr>
        <w:tabs>
          <w:tab w:val="left" w:pos="576"/>
        </w:tabs>
        <w:spacing w:after="120" w:line="240" w:lineRule="auto"/>
        <w:rPr>
          <w:rFonts w:cstheme="minorHAnsi"/>
          <w:b/>
          <w:caps/>
          <w:szCs w:val="20"/>
        </w:rPr>
      </w:pPr>
      <w:r w:rsidRPr="00D4158A">
        <w:rPr>
          <w:rFonts w:cstheme="minorHAnsi"/>
          <w:b/>
          <w:caps/>
          <w:szCs w:val="20"/>
        </w:rPr>
        <w:t>GENERAL INFORMATION</w:t>
      </w:r>
    </w:p>
    <w:p w14:paraId="1FCF0742" w14:textId="77777777" w:rsidR="0002381D" w:rsidRPr="00D4158A" w:rsidRDefault="0002381D" w:rsidP="00D4158A">
      <w:pPr>
        <w:spacing w:after="120" w:line="240" w:lineRule="auto"/>
        <w:ind w:left="576"/>
        <w:rPr>
          <w:rFonts w:cstheme="minorHAnsi"/>
          <w:szCs w:val="20"/>
        </w:rPr>
      </w:pPr>
      <w:r w:rsidRPr="00D4158A">
        <w:rPr>
          <w:rFonts w:cstheme="minorHAnsi"/>
          <w:szCs w:val="20"/>
        </w:rPr>
        <w:t>Alchemist is a private limited company incorporated and domiciled in Malaysia.</w:t>
      </w:r>
    </w:p>
    <w:p w14:paraId="64563003" w14:textId="77777777" w:rsidR="0002381D" w:rsidRPr="00D4158A" w:rsidRDefault="0002381D" w:rsidP="00D4158A">
      <w:pPr>
        <w:spacing w:after="120" w:line="240" w:lineRule="auto"/>
        <w:ind w:left="576"/>
        <w:rPr>
          <w:rFonts w:cstheme="minorHAnsi"/>
          <w:szCs w:val="20"/>
        </w:rPr>
      </w:pPr>
      <w:r w:rsidRPr="00D4158A">
        <w:rPr>
          <w:rFonts w:cstheme="minorHAnsi"/>
          <w:szCs w:val="20"/>
        </w:rPr>
        <w:t xml:space="preserve">Alchemist is principally engaged in the designing and development of software. There have been no significant changes in the nature of the activities during the </w:t>
      </w:r>
      <w:r w:rsidRPr="00D4158A">
        <w:rPr>
          <w:rFonts w:cstheme="minorHAnsi"/>
          <w:szCs w:val="20"/>
        </w:rPr>
        <w:fldChar w:fldCharType="begin"/>
      </w:r>
      <w:r w:rsidRPr="00D4158A">
        <w:rPr>
          <w:rFonts w:cstheme="minorHAnsi"/>
          <w:szCs w:val="20"/>
        </w:rPr>
        <w:instrText xml:space="preserve"> DOCPROPERTY  "year or period ?" \* MERGEFORMAT </w:instrText>
      </w:r>
      <w:r w:rsidRPr="00D4158A">
        <w:rPr>
          <w:rFonts w:cstheme="minorHAnsi"/>
          <w:szCs w:val="20"/>
        </w:rPr>
        <w:fldChar w:fldCharType="separate"/>
      </w:r>
      <w:r w:rsidRPr="00D4158A">
        <w:rPr>
          <w:rFonts w:cstheme="minorHAnsi"/>
          <w:szCs w:val="20"/>
        </w:rPr>
        <w:t>financial period</w:t>
      </w:r>
      <w:r w:rsidRPr="00D4158A">
        <w:rPr>
          <w:rFonts w:cstheme="minorHAnsi"/>
          <w:szCs w:val="20"/>
        </w:rPr>
        <w:fldChar w:fldCharType="end"/>
      </w:r>
      <w:r w:rsidRPr="00D4158A">
        <w:rPr>
          <w:rFonts w:cstheme="minorHAnsi"/>
          <w:szCs w:val="20"/>
        </w:rPr>
        <w:t>.</w:t>
      </w:r>
    </w:p>
    <w:p w14:paraId="597CD667" w14:textId="6AA0936B" w:rsidR="0002381D" w:rsidRPr="00D4158A" w:rsidRDefault="0002381D" w:rsidP="00D4158A">
      <w:pPr>
        <w:spacing w:after="120" w:line="240" w:lineRule="auto"/>
        <w:ind w:left="576"/>
        <w:rPr>
          <w:rFonts w:cstheme="minorHAnsi"/>
          <w:szCs w:val="20"/>
        </w:rPr>
      </w:pPr>
      <w:r w:rsidRPr="00D4158A">
        <w:rPr>
          <w:rFonts w:cstheme="minorHAnsi"/>
          <w:szCs w:val="20"/>
        </w:rPr>
        <w:t xml:space="preserve">The registered office is located at 2-9, Jalan Puteri 4/8, Bandar </w:t>
      </w:r>
      <w:r w:rsidR="00AF1828" w:rsidRPr="00D4158A">
        <w:rPr>
          <w:rFonts w:cstheme="minorHAnsi"/>
          <w:szCs w:val="20"/>
        </w:rPr>
        <w:t>Puteri</w:t>
      </w:r>
      <w:r w:rsidRPr="00D4158A">
        <w:rPr>
          <w:rFonts w:cstheme="minorHAnsi"/>
          <w:szCs w:val="20"/>
        </w:rPr>
        <w:t>, 47100 Puchong, Selangor Darul Ehsan.</w:t>
      </w:r>
    </w:p>
    <w:p w14:paraId="41573C91" w14:textId="22B39CB0" w:rsidR="0002381D" w:rsidRPr="00D4158A" w:rsidRDefault="0002381D" w:rsidP="00D4158A">
      <w:pPr>
        <w:spacing w:after="120" w:line="240" w:lineRule="auto"/>
        <w:ind w:left="576"/>
        <w:rPr>
          <w:rFonts w:cstheme="minorHAnsi"/>
          <w:szCs w:val="20"/>
        </w:rPr>
      </w:pPr>
      <w:r w:rsidRPr="00D4158A">
        <w:rPr>
          <w:rFonts w:cstheme="minorHAnsi"/>
          <w:szCs w:val="20"/>
        </w:rPr>
        <w:t>The principal place of business is located at Unit BV05F20, IOI Boulevard, Jalan Kenari 5, Bandar Puchong Jaya, 47100 Puchong, Selangor Darul Ehsan.</w:t>
      </w:r>
    </w:p>
    <w:p w14:paraId="4ABB6130" w14:textId="77777777" w:rsidR="0002381D" w:rsidRPr="00D4158A" w:rsidRDefault="0002381D" w:rsidP="00D4158A">
      <w:pPr>
        <w:spacing w:after="120" w:line="240" w:lineRule="auto"/>
        <w:ind w:left="576"/>
        <w:rPr>
          <w:rFonts w:cstheme="minorHAnsi"/>
          <w:szCs w:val="20"/>
        </w:rPr>
      </w:pPr>
      <w:r w:rsidRPr="00D4158A">
        <w:rPr>
          <w:rFonts w:cstheme="minorHAnsi"/>
          <w:szCs w:val="20"/>
        </w:rPr>
        <w:t>The principal place of research and development located at E-07-22, Unit E-07-22, Block E, Sunway Geo Avenue, Jalan Lagoon Selatan Sunway South Quay, Bandar Sunway, 47500 Subang Jaya, Selangor Darul Ehsan.</w:t>
      </w:r>
    </w:p>
    <w:p w14:paraId="118C5877" w14:textId="77777777" w:rsidR="0002381D" w:rsidRPr="00D4158A" w:rsidRDefault="0002381D" w:rsidP="00D4158A">
      <w:pPr>
        <w:spacing w:after="120" w:line="240" w:lineRule="auto"/>
        <w:ind w:left="576"/>
        <w:rPr>
          <w:rFonts w:cstheme="minorHAnsi"/>
          <w:szCs w:val="20"/>
        </w:rPr>
      </w:pPr>
      <w:r w:rsidRPr="00D4158A">
        <w:rPr>
          <w:rFonts w:cstheme="minorHAnsi"/>
          <w:szCs w:val="20"/>
        </w:rPr>
        <w:t xml:space="preserve">The financial information of Alchemist is presented in the functional currency, which is the currency of the primary economic environment in which the entity operates. </w:t>
      </w:r>
    </w:p>
    <w:p w14:paraId="502A8188" w14:textId="77777777" w:rsidR="0002381D" w:rsidRPr="00D4158A" w:rsidRDefault="0002381D" w:rsidP="00D4158A">
      <w:pPr>
        <w:spacing w:after="120" w:line="240" w:lineRule="auto"/>
        <w:ind w:left="576"/>
        <w:rPr>
          <w:rFonts w:cstheme="minorHAnsi"/>
          <w:szCs w:val="20"/>
        </w:rPr>
      </w:pPr>
      <w:r w:rsidRPr="00D4158A">
        <w:rPr>
          <w:rFonts w:cstheme="minorHAnsi"/>
          <w:szCs w:val="20"/>
        </w:rPr>
        <w:t>The functional currency of Alchemist is the Malaysian Ringgit (“</w:t>
      </w:r>
      <w:r w:rsidRPr="00EA2BB6">
        <w:rPr>
          <w:rFonts w:cstheme="minorHAnsi"/>
          <w:b/>
          <w:bCs/>
          <w:szCs w:val="20"/>
        </w:rPr>
        <w:t>RM</w:t>
      </w:r>
      <w:r w:rsidRPr="00D4158A">
        <w:rPr>
          <w:rFonts w:cstheme="minorHAnsi"/>
          <w:szCs w:val="20"/>
        </w:rPr>
        <w:t>”).</w:t>
      </w:r>
    </w:p>
    <w:p w14:paraId="754AC8C8" w14:textId="49F89872" w:rsidR="0002381D" w:rsidRPr="00D4158A" w:rsidRDefault="0002381D" w:rsidP="00D4158A">
      <w:pPr>
        <w:spacing w:after="120" w:line="240" w:lineRule="auto"/>
        <w:jc w:val="left"/>
        <w:rPr>
          <w:rFonts w:cstheme="minorHAnsi"/>
          <w:b/>
          <w:caps/>
          <w:szCs w:val="20"/>
        </w:rPr>
      </w:pPr>
      <w:r w:rsidRPr="00D4158A">
        <w:rPr>
          <w:rFonts w:cstheme="minorHAnsi"/>
          <w:szCs w:val="20"/>
        </w:rPr>
        <w:br w:type="page"/>
      </w:r>
      <w:r w:rsidRPr="00D4158A">
        <w:rPr>
          <w:rFonts w:cstheme="minorHAnsi"/>
          <w:b/>
          <w:szCs w:val="20"/>
        </w:rPr>
        <w:lastRenderedPageBreak/>
        <w:t>Notes to the financial information</w:t>
      </w:r>
    </w:p>
    <w:p w14:paraId="5105995D" w14:textId="77777777" w:rsidR="0002381D" w:rsidRPr="00D4158A" w:rsidRDefault="0002381D" w:rsidP="00D4158A">
      <w:pPr>
        <w:spacing w:after="120" w:line="240" w:lineRule="auto"/>
        <w:jc w:val="left"/>
        <w:rPr>
          <w:rFonts w:cstheme="minorHAnsi"/>
          <w:b/>
          <w:caps/>
          <w:szCs w:val="20"/>
        </w:rPr>
      </w:pPr>
      <w:r w:rsidRPr="00D4158A">
        <w:rPr>
          <w:rFonts w:cstheme="minorHAnsi"/>
          <w:b/>
          <w:caps/>
          <w:szCs w:val="20"/>
        </w:rPr>
        <w:t>F</w:t>
      </w:r>
      <w:r w:rsidRPr="00D4158A">
        <w:rPr>
          <w:rFonts w:cstheme="minorHAnsi"/>
          <w:b/>
          <w:szCs w:val="20"/>
        </w:rPr>
        <w:t>or the six months ended 31 October 2019</w:t>
      </w:r>
      <w:r w:rsidRPr="00D4158A">
        <w:rPr>
          <w:rFonts w:cstheme="minorHAnsi"/>
          <w:b/>
          <w:caps/>
          <w:szCs w:val="20"/>
        </w:rPr>
        <w:t xml:space="preserve"> (</w:t>
      </w:r>
      <w:r w:rsidRPr="00D4158A">
        <w:rPr>
          <w:rFonts w:cstheme="minorHAnsi"/>
          <w:b/>
          <w:i/>
          <w:szCs w:val="20"/>
        </w:rPr>
        <w:t>continued)</w:t>
      </w:r>
    </w:p>
    <w:p w14:paraId="5ED9769A" w14:textId="77777777" w:rsidR="0002381D" w:rsidRPr="00D4158A" w:rsidRDefault="0002381D" w:rsidP="00D4158A">
      <w:pPr>
        <w:pBdr>
          <w:bottom w:val="single" w:sz="6" w:space="1" w:color="auto"/>
        </w:pBdr>
        <w:spacing w:after="120" w:line="240" w:lineRule="auto"/>
        <w:jc w:val="right"/>
        <w:rPr>
          <w:rFonts w:cstheme="minorHAnsi"/>
          <w:szCs w:val="20"/>
        </w:rPr>
      </w:pPr>
    </w:p>
    <w:p w14:paraId="57A7C869" w14:textId="77777777" w:rsidR="0002381D" w:rsidRPr="00D4158A" w:rsidRDefault="0002381D" w:rsidP="00D4158A">
      <w:pPr>
        <w:spacing w:after="120" w:line="240" w:lineRule="auto"/>
        <w:rPr>
          <w:rFonts w:cstheme="minorHAnsi"/>
          <w:szCs w:val="20"/>
        </w:rPr>
      </w:pPr>
    </w:p>
    <w:p w14:paraId="5AC05582" w14:textId="77777777" w:rsidR="0002381D" w:rsidRPr="00D4158A" w:rsidRDefault="0002381D" w:rsidP="00D4158A">
      <w:pPr>
        <w:keepNext/>
        <w:keepLines/>
        <w:numPr>
          <w:ilvl w:val="0"/>
          <w:numId w:val="88"/>
        </w:numPr>
        <w:tabs>
          <w:tab w:val="left" w:pos="576"/>
        </w:tabs>
        <w:spacing w:after="120" w:line="240" w:lineRule="auto"/>
        <w:rPr>
          <w:rFonts w:cstheme="minorHAnsi"/>
          <w:b/>
          <w:caps/>
          <w:szCs w:val="20"/>
        </w:rPr>
      </w:pPr>
      <w:r w:rsidRPr="00D4158A">
        <w:rPr>
          <w:rFonts w:cstheme="minorHAnsi"/>
          <w:b/>
          <w:caps/>
          <w:szCs w:val="20"/>
        </w:rPr>
        <w:t>BASIS OF PREPARATION</w:t>
      </w:r>
    </w:p>
    <w:p w14:paraId="1F9D559D" w14:textId="77777777" w:rsidR="0002381D" w:rsidRPr="00D4158A" w:rsidRDefault="0002381D" w:rsidP="00D4158A">
      <w:pPr>
        <w:keepNext/>
        <w:keepLines/>
        <w:spacing w:after="120" w:line="240" w:lineRule="auto"/>
        <w:ind w:left="576"/>
        <w:rPr>
          <w:rFonts w:cstheme="minorHAnsi"/>
          <w:b/>
          <w:caps/>
          <w:szCs w:val="20"/>
        </w:rPr>
      </w:pPr>
    </w:p>
    <w:p w14:paraId="71EA2566" w14:textId="77777777" w:rsidR="0002381D" w:rsidRPr="00D4158A" w:rsidRDefault="0002381D" w:rsidP="00D4158A">
      <w:pPr>
        <w:keepNext/>
        <w:keepLines/>
        <w:spacing w:after="120" w:line="240" w:lineRule="auto"/>
        <w:ind w:left="576"/>
        <w:rPr>
          <w:rFonts w:cstheme="minorHAnsi"/>
          <w:bCs/>
          <w:szCs w:val="20"/>
        </w:rPr>
      </w:pPr>
      <w:r w:rsidRPr="00D4158A">
        <w:rPr>
          <w:rFonts w:cstheme="minorHAnsi"/>
          <w:bCs/>
          <w:szCs w:val="20"/>
        </w:rPr>
        <w:t>The interim financial information of Alchemist has been prepared in accordance with international accounting standard 34 ‘interim financial reporting’. The interim financial information should be read in conjunction with the company’s audited financial information for the period ended 30 April 2019, which has been prepared in accordance with International Financial Reporting Standards (“</w:t>
      </w:r>
      <w:r w:rsidRPr="00EA2BB6">
        <w:rPr>
          <w:rFonts w:cstheme="minorHAnsi"/>
          <w:b/>
          <w:szCs w:val="20"/>
        </w:rPr>
        <w:t>IFRS</w:t>
      </w:r>
      <w:r w:rsidRPr="00D4158A">
        <w:rPr>
          <w:rFonts w:cstheme="minorHAnsi"/>
          <w:bCs/>
          <w:szCs w:val="20"/>
        </w:rPr>
        <w:t>”), International Financial Reporting Standards as issued by International Accounting Standards Board (“</w:t>
      </w:r>
      <w:r w:rsidRPr="00EA2BB6">
        <w:rPr>
          <w:rFonts w:cstheme="minorHAnsi"/>
          <w:b/>
          <w:szCs w:val="20"/>
        </w:rPr>
        <w:t>IASB</w:t>
      </w:r>
      <w:r w:rsidRPr="00D4158A">
        <w:rPr>
          <w:rFonts w:cstheme="minorHAnsi"/>
          <w:bCs/>
          <w:szCs w:val="20"/>
        </w:rPr>
        <w:t>”) and the requirements of the Companies Act, 2016 in Malaysia.</w:t>
      </w:r>
    </w:p>
    <w:p w14:paraId="3EA9B131" w14:textId="77777777" w:rsidR="0002381D" w:rsidRPr="00D4158A" w:rsidRDefault="0002381D" w:rsidP="00D4158A">
      <w:pPr>
        <w:keepNext/>
        <w:keepLines/>
        <w:spacing w:after="120" w:line="240" w:lineRule="auto"/>
        <w:ind w:left="576"/>
        <w:rPr>
          <w:rFonts w:cstheme="minorHAnsi"/>
          <w:bCs/>
          <w:caps/>
          <w:szCs w:val="20"/>
        </w:rPr>
      </w:pPr>
    </w:p>
    <w:p w14:paraId="0EFF7773" w14:textId="78373FD8" w:rsidR="0002381D" w:rsidRPr="00D4158A" w:rsidRDefault="0002381D" w:rsidP="00D4158A">
      <w:pPr>
        <w:keepNext/>
        <w:keepLines/>
        <w:spacing w:after="120" w:line="240" w:lineRule="auto"/>
        <w:ind w:left="576"/>
        <w:rPr>
          <w:rFonts w:cstheme="minorHAnsi"/>
          <w:bCs/>
          <w:caps/>
          <w:szCs w:val="20"/>
        </w:rPr>
      </w:pPr>
      <w:r w:rsidRPr="00D4158A">
        <w:rPr>
          <w:rFonts w:cstheme="minorHAnsi"/>
          <w:bCs/>
          <w:szCs w:val="20"/>
        </w:rPr>
        <w:t xml:space="preserve">The interim financial </w:t>
      </w:r>
      <w:r w:rsidR="00D100A2">
        <w:rPr>
          <w:rFonts w:cstheme="minorHAnsi"/>
          <w:bCs/>
          <w:szCs w:val="20"/>
        </w:rPr>
        <w:t xml:space="preserve">information </w:t>
      </w:r>
      <w:r w:rsidRPr="00D4158A">
        <w:rPr>
          <w:rFonts w:cstheme="minorHAnsi"/>
          <w:bCs/>
          <w:szCs w:val="20"/>
        </w:rPr>
        <w:t>has been prepared on a going concern basis in accordance with the recognition and measurement criteria of International Financial Reporting Standards IFRS. Except as described below, the accounting policies applied in preparing the interim financial information are consistent with those that have been adopted in the company’s audited financial information for the period ended 30 April 2019. The comparative information contained in the statement of comprehensive information and statement of cash flows covers the period from incorporation on 17 April 2018 to 31 October 2018.</w:t>
      </w:r>
    </w:p>
    <w:p w14:paraId="799637A9" w14:textId="77777777" w:rsidR="0002381D" w:rsidRPr="00D4158A" w:rsidRDefault="0002381D" w:rsidP="00D4158A">
      <w:pPr>
        <w:keepNext/>
        <w:keepLines/>
        <w:spacing w:after="120" w:line="240" w:lineRule="auto"/>
        <w:ind w:left="576"/>
        <w:rPr>
          <w:rFonts w:cstheme="minorHAnsi"/>
          <w:b/>
          <w:caps/>
          <w:szCs w:val="20"/>
        </w:rPr>
      </w:pPr>
    </w:p>
    <w:p w14:paraId="12E25A24" w14:textId="77777777" w:rsidR="0002381D" w:rsidRPr="00D4158A" w:rsidRDefault="0002381D" w:rsidP="00D4158A">
      <w:pPr>
        <w:keepNext/>
        <w:keepLines/>
        <w:numPr>
          <w:ilvl w:val="0"/>
          <w:numId w:val="88"/>
        </w:numPr>
        <w:tabs>
          <w:tab w:val="left" w:pos="576"/>
        </w:tabs>
        <w:spacing w:after="120" w:line="240" w:lineRule="auto"/>
        <w:rPr>
          <w:rFonts w:cstheme="minorHAnsi"/>
          <w:b/>
          <w:caps/>
          <w:szCs w:val="20"/>
        </w:rPr>
      </w:pPr>
      <w:r w:rsidRPr="00D4158A">
        <w:rPr>
          <w:rFonts w:cstheme="minorHAnsi"/>
          <w:b/>
          <w:caps/>
          <w:szCs w:val="20"/>
        </w:rPr>
        <w:t>Accounting policies</w:t>
      </w:r>
    </w:p>
    <w:p w14:paraId="10A8C16A" w14:textId="77777777" w:rsidR="0002381D" w:rsidRPr="00D4158A" w:rsidRDefault="0002381D" w:rsidP="00D4158A">
      <w:pPr>
        <w:keepNext/>
        <w:keepLines/>
        <w:spacing w:after="120" w:line="240" w:lineRule="auto"/>
        <w:rPr>
          <w:rFonts w:cstheme="minorHAnsi"/>
          <w:b/>
          <w:caps/>
          <w:szCs w:val="20"/>
        </w:rPr>
      </w:pPr>
    </w:p>
    <w:p w14:paraId="3510CB09" w14:textId="77777777" w:rsidR="0002381D" w:rsidRPr="00D4158A" w:rsidRDefault="0002381D" w:rsidP="00D4158A">
      <w:pPr>
        <w:tabs>
          <w:tab w:val="left" w:pos="1134"/>
        </w:tabs>
        <w:spacing w:after="120" w:line="240" w:lineRule="auto"/>
        <w:ind w:left="567"/>
        <w:rPr>
          <w:rFonts w:cstheme="minorHAnsi"/>
          <w:szCs w:val="20"/>
        </w:rPr>
      </w:pPr>
      <w:r w:rsidRPr="00D4158A">
        <w:rPr>
          <w:rFonts w:cstheme="minorHAnsi"/>
          <w:szCs w:val="20"/>
        </w:rPr>
        <w:t xml:space="preserve">Other than as noted below, the company has applied the same accounting policies, presentation, methods of computation, significant judgements and the key sources of estimation of uncertainties in its interim financial information as in its audited financial information for the period ended 30 April 2019, which have been prepared in accordance with IFRS. </w:t>
      </w:r>
    </w:p>
    <w:p w14:paraId="6049F5B4" w14:textId="77777777" w:rsidR="0002381D" w:rsidRPr="00D4158A" w:rsidRDefault="0002381D" w:rsidP="00D4158A">
      <w:pPr>
        <w:tabs>
          <w:tab w:val="left" w:pos="1134"/>
        </w:tabs>
        <w:spacing w:after="120" w:line="240" w:lineRule="auto"/>
        <w:ind w:left="567"/>
        <w:rPr>
          <w:rFonts w:cstheme="minorHAnsi"/>
          <w:szCs w:val="20"/>
        </w:rPr>
      </w:pPr>
    </w:p>
    <w:p w14:paraId="1063E7A4" w14:textId="77777777" w:rsidR="0002381D" w:rsidRPr="00D4158A" w:rsidRDefault="0002381D" w:rsidP="00D4158A">
      <w:pPr>
        <w:tabs>
          <w:tab w:val="left" w:pos="1134"/>
        </w:tabs>
        <w:spacing w:after="120" w:line="240" w:lineRule="auto"/>
        <w:ind w:left="567"/>
        <w:rPr>
          <w:rFonts w:cstheme="minorHAnsi"/>
          <w:b/>
          <w:bCs/>
          <w:i/>
          <w:iCs/>
          <w:szCs w:val="20"/>
        </w:rPr>
      </w:pPr>
      <w:r w:rsidRPr="00D4158A">
        <w:rPr>
          <w:rFonts w:cstheme="minorHAnsi"/>
          <w:b/>
          <w:bCs/>
          <w:i/>
          <w:iCs/>
          <w:szCs w:val="20"/>
        </w:rPr>
        <w:t>Changes in accounting policy</w:t>
      </w:r>
    </w:p>
    <w:p w14:paraId="63BA2B9C" w14:textId="77777777" w:rsidR="0002381D" w:rsidRPr="00D4158A" w:rsidRDefault="0002381D" w:rsidP="00D4158A">
      <w:pPr>
        <w:tabs>
          <w:tab w:val="left" w:pos="1134"/>
        </w:tabs>
        <w:spacing w:after="120" w:line="240" w:lineRule="auto"/>
        <w:ind w:left="567"/>
        <w:rPr>
          <w:rFonts w:cstheme="minorHAnsi"/>
          <w:szCs w:val="20"/>
        </w:rPr>
      </w:pPr>
    </w:p>
    <w:p w14:paraId="7827DFE0" w14:textId="77777777" w:rsidR="0002381D" w:rsidRPr="00D4158A" w:rsidRDefault="0002381D" w:rsidP="00D4158A">
      <w:pPr>
        <w:tabs>
          <w:tab w:val="left" w:pos="1134"/>
        </w:tabs>
        <w:spacing w:after="120" w:line="240" w:lineRule="auto"/>
        <w:ind w:left="567"/>
        <w:rPr>
          <w:rFonts w:cstheme="minorHAnsi"/>
          <w:b/>
          <w:bCs/>
          <w:szCs w:val="20"/>
        </w:rPr>
      </w:pPr>
      <w:r w:rsidRPr="00D4158A">
        <w:rPr>
          <w:rFonts w:cstheme="minorHAnsi"/>
          <w:b/>
          <w:bCs/>
          <w:szCs w:val="20"/>
        </w:rPr>
        <w:t>IFRS 16</w:t>
      </w:r>
    </w:p>
    <w:p w14:paraId="2CC49D45" w14:textId="2D446F40" w:rsidR="0002381D" w:rsidRPr="00D4158A" w:rsidRDefault="0002381D" w:rsidP="00D4158A">
      <w:pPr>
        <w:tabs>
          <w:tab w:val="left" w:pos="1134"/>
        </w:tabs>
        <w:spacing w:after="120" w:line="240" w:lineRule="auto"/>
        <w:ind w:left="567"/>
        <w:rPr>
          <w:rFonts w:cstheme="minorHAnsi"/>
          <w:szCs w:val="20"/>
        </w:rPr>
      </w:pPr>
      <w:r w:rsidRPr="00D4158A">
        <w:rPr>
          <w:rFonts w:cstheme="minorHAnsi"/>
          <w:szCs w:val="20"/>
        </w:rPr>
        <w:t>Alchemist has adopted IFRS 16 which became effective on 1 January 2019.</w:t>
      </w:r>
      <w:r w:rsidR="00B575FC">
        <w:rPr>
          <w:rFonts w:cstheme="minorHAnsi"/>
          <w:szCs w:val="20"/>
        </w:rPr>
        <w:t xml:space="preserve"> </w:t>
      </w:r>
      <w:r w:rsidRPr="00D4158A">
        <w:rPr>
          <w:rFonts w:cstheme="minorHAnsi"/>
          <w:szCs w:val="20"/>
        </w:rPr>
        <w:t xml:space="preserve">The standard replaces IAS 17 'Leases' and for lessees eliminates the classifications of operating leases and finance leases. Except for short-term leases and leases of low-value assets, right-of-use assets and corresponding lease liabilities are recognised in the statement of financial position. Straight-line operating lease expense recognition is replaced with a depreciation charge for the right-of-use assets (included in operating costs) and an interest expense on the recognised lease liabilities (included in finance costs). In the earlier periods of the lease, the expenses associated with the lease under IFRS 16 will be higher when compared to lease expenses under IAS 17. However, EBITDA (Earnings Before Interest, Tax, Depreciation and Amortisation) results improve as the operating expense is now replaced by interest expense and depreciation in profit or loss. For classification within the statement of cash flows, the interest portion is disclosed in operating activities and the principal portion of the lease payments are separately disclosed in financing activities. </w:t>
      </w:r>
    </w:p>
    <w:p w14:paraId="0DD23484" w14:textId="77777777" w:rsidR="0002381D" w:rsidRPr="00D4158A" w:rsidRDefault="0002381D" w:rsidP="00D4158A">
      <w:pPr>
        <w:tabs>
          <w:tab w:val="left" w:pos="1134"/>
        </w:tabs>
        <w:spacing w:after="120" w:line="240" w:lineRule="auto"/>
        <w:ind w:left="567"/>
        <w:rPr>
          <w:rFonts w:cstheme="minorHAnsi"/>
          <w:szCs w:val="20"/>
        </w:rPr>
      </w:pPr>
    </w:p>
    <w:p w14:paraId="54355443" w14:textId="77777777" w:rsidR="0002381D" w:rsidRPr="00D4158A" w:rsidRDefault="0002381D" w:rsidP="00D4158A">
      <w:pPr>
        <w:tabs>
          <w:tab w:val="left" w:pos="1134"/>
        </w:tabs>
        <w:spacing w:after="120" w:line="240" w:lineRule="auto"/>
        <w:ind w:left="567"/>
        <w:rPr>
          <w:rFonts w:cstheme="minorHAnsi"/>
          <w:b/>
          <w:bCs/>
          <w:szCs w:val="20"/>
        </w:rPr>
      </w:pPr>
      <w:r w:rsidRPr="00D4158A">
        <w:rPr>
          <w:rFonts w:cstheme="minorHAnsi"/>
          <w:b/>
          <w:bCs/>
          <w:szCs w:val="20"/>
        </w:rPr>
        <w:t xml:space="preserve">Impact of adoption </w:t>
      </w:r>
    </w:p>
    <w:p w14:paraId="1CEE83E8" w14:textId="77777777" w:rsidR="0002381D" w:rsidRPr="00D4158A" w:rsidRDefault="0002381D" w:rsidP="00D4158A">
      <w:pPr>
        <w:tabs>
          <w:tab w:val="left" w:pos="1134"/>
        </w:tabs>
        <w:spacing w:after="120" w:line="240" w:lineRule="auto"/>
        <w:ind w:left="567"/>
        <w:rPr>
          <w:rFonts w:cstheme="minorHAnsi"/>
          <w:szCs w:val="20"/>
        </w:rPr>
      </w:pPr>
      <w:r w:rsidRPr="00D4158A">
        <w:rPr>
          <w:rFonts w:cstheme="minorHAnsi"/>
          <w:szCs w:val="20"/>
        </w:rPr>
        <w:t>The adoption of the standard did not have any impact on the company.</w:t>
      </w:r>
    </w:p>
    <w:p w14:paraId="05470E89" w14:textId="77777777" w:rsidR="0002381D" w:rsidRPr="00D4158A" w:rsidRDefault="0002381D" w:rsidP="00D4158A">
      <w:pPr>
        <w:keepNext/>
        <w:keepLines/>
        <w:spacing w:after="120" w:line="240" w:lineRule="auto"/>
        <w:rPr>
          <w:rFonts w:cstheme="minorHAnsi"/>
          <w:b/>
          <w:caps/>
          <w:szCs w:val="20"/>
          <w:lang w:eastAsia="en-GB"/>
        </w:rPr>
      </w:pPr>
    </w:p>
    <w:p w14:paraId="12055A8A" w14:textId="77777777" w:rsidR="0002381D" w:rsidRPr="00D4158A" w:rsidRDefault="0002381D" w:rsidP="00D4158A">
      <w:pPr>
        <w:spacing w:after="120" w:line="240" w:lineRule="auto"/>
        <w:jc w:val="center"/>
        <w:rPr>
          <w:rFonts w:cstheme="minorHAnsi"/>
          <w:b/>
          <w:szCs w:val="20"/>
        </w:rPr>
      </w:pPr>
    </w:p>
    <w:p w14:paraId="430EB5A2" w14:textId="77777777" w:rsidR="0002381D" w:rsidRPr="00D4158A" w:rsidRDefault="0002381D" w:rsidP="00D4158A">
      <w:pPr>
        <w:spacing w:after="120" w:line="240" w:lineRule="auto"/>
        <w:jc w:val="left"/>
        <w:rPr>
          <w:rFonts w:cstheme="minorHAnsi"/>
          <w:b/>
          <w:caps/>
          <w:szCs w:val="20"/>
        </w:rPr>
      </w:pPr>
      <w:r w:rsidRPr="00D4158A">
        <w:rPr>
          <w:rFonts w:cstheme="minorHAnsi"/>
          <w:b/>
          <w:szCs w:val="20"/>
        </w:rPr>
        <w:t>Notes to the financial information</w:t>
      </w:r>
    </w:p>
    <w:p w14:paraId="265AD33B" w14:textId="77777777" w:rsidR="0002381D" w:rsidRPr="00D4158A" w:rsidRDefault="0002381D" w:rsidP="00D4158A">
      <w:pPr>
        <w:spacing w:after="120" w:line="240" w:lineRule="auto"/>
        <w:jc w:val="left"/>
        <w:rPr>
          <w:rFonts w:cstheme="minorHAnsi"/>
          <w:b/>
          <w:caps/>
          <w:szCs w:val="20"/>
        </w:rPr>
      </w:pPr>
      <w:r w:rsidRPr="00D4158A">
        <w:rPr>
          <w:rFonts w:cstheme="minorHAnsi"/>
          <w:b/>
          <w:caps/>
          <w:szCs w:val="20"/>
        </w:rPr>
        <w:t>F</w:t>
      </w:r>
      <w:r w:rsidRPr="00D4158A">
        <w:rPr>
          <w:rFonts w:cstheme="minorHAnsi"/>
          <w:b/>
          <w:szCs w:val="20"/>
        </w:rPr>
        <w:t>or the six months ended 31 October 2019</w:t>
      </w:r>
      <w:r w:rsidRPr="00D4158A">
        <w:rPr>
          <w:rFonts w:cstheme="minorHAnsi"/>
          <w:b/>
          <w:caps/>
          <w:szCs w:val="20"/>
        </w:rPr>
        <w:t xml:space="preserve"> (</w:t>
      </w:r>
      <w:r w:rsidRPr="00D4158A">
        <w:rPr>
          <w:rFonts w:cstheme="minorHAnsi"/>
          <w:b/>
          <w:i/>
          <w:szCs w:val="20"/>
        </w:rPr>
        <w:t>continued)</w:t>
      </w:r>
    </w:p>
    <w:p w14:paraId="05664DF0" w14:textId="77777777" w:rsidR="0002381D" w:rsidRPr="00D4158A" w:rsidRDefault="0002381D" w:rsidP="00D4158A">
      <w:pPr>
        <w:pBdr>
          <w:bottom w:val="single" w:sz="6" w:space="1" w:color="auto"/>
        </w:pBdr>
        <w:spacing w:after="120" w:line="240" w:lineRule="auto"/>
        <w:jc w:val="right"/>
        <w:rPr>
          <w:rFonts w:cstheme="minorHAnsi"/>
          <w:szCs w:val="20"/>
        </w:rPr>
      </w:pPr>
    </w:p>
    <w:p w14:paraId="40C898F3" w14:textId="77777777" w:rsidR="0002381D" w:rsidRPr="00D4158A" w:rsidRDefault="0002381D" w:rsidP="00D4158A">
      <w:pPr>
        <w:pStyle w:val="ListParagraph"/>
        <w:spacing w:after="120"/>
        <w:ind w:left="576"/>
        <w:contextualSpacing w:val="0"/>
        <w:rPr>
          <w:rFonts w:asciiTheme="minorHAnsi" w:hAnsiTheme="minorHAnsi" w:cstheme="minorHAnsi"/>
          <w:b/>
          <w:caps/>
          <w:sz w:val="20"/>
          <w:szCs w:val="20"/>
        </w:rPr>
      </w:pPr>
    </w:p>
    <w:p w14:paraId="6AA074EC" w14:textId="77777777" w:rsidR="0002381D" w:rsidRPr="00D4158A" w:rsidRDefault="0002381D" w:rsidP="00D4158A">
      <w:pPr>
        <w:pStyle w:val="ListParagraph"/>
        <w:widowControl/>
        <w:numPr>
          <w:ilvl w:val="0"/>
          <w:numId w:val="89"/>
        </w:numPr>
        <w:spacing w:after="120"/>
        <w:contextualSpacing w:val="0"/>
        <w:rPr>
          <w:rFonts w:asciiTheme="minorHAnsi" w:hAnsiTheme="minorHAnsi" w:cstheme="minorHAnsi"/>
          <w:b/>
          <w:caps/>
          <w:sz w:val="20"/>
          <w:szCs w:val="20"/>
        </w:rPr>
      </w:pPr>
      <w:r w:rsidRPr="00D4158A">
        <w:rPr>
          <w:rFonts w:asciiTheme="minorHAnsi" w:hAnsiTheme="minorHAnsi" w:cstheme="minorHAnsi"/>
          <w:b/>
          <w:caps/>
          <w:sz w:val="20"/>
          <w:szCs w:val="20"/>
        </w:rPr>
        <w:t>PLANT AND EQUIPMENT</w:t>
      </w:r>
    </w:p>
    <w:tbl>
      <w:tblPr>
        <w:tblW w:w="8496" w:type="dxa"/>
        <w:tblInd w:w="576" w:type="dxa"/>
        <w:tblLayout w:type="fixed"/>
        <w:tblCellMar>
          <w:left w:w="30" w:type="dxa"/>
          <w:right w:w="30" w:type="dxa"/>
        </w:tblCellMar>
        <w:tblLook w:val="04A0" w:firstRow="1" w:lastRow="0" w:firstColumn="1" w:lastColumn="0" w:noHBand="0" w:noVBand="1"/>
      </w:tblPr>
      <w:tblGrid>
        <w:gridCol w:w="3393"/>
        <w:gridCol w:w="2181"/>
        <w:gridCol w:w="938"/>
        <w:gridCol w:w="1984"/>
      </w:tblGrid>
      <w:tr w:rsidR="0002381D" w:rsidRPr="0002381D" w14:paraId="431FCDC3" w14:textId="77777777" w:rsidTr="00270393">
        <w:trPr>
          <w:trHeight w:val="542"/>
        </w:trPr>
        <w:tc>
          <w:tcPr>
            <w:tcW w:w="3393" w:type="dxa"/>
            <w:vAlign w:val="bottom"/>
          </w:tcPr>
          <w:p w14:paraId="28B268FD"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c>
          <w:tcPr>
            <w:tcW w:w="2181" w:type="dxa"/>
            <w:vAlign w:val="bottom"/>
            <w:hideMark/>
          </w:tcPr>
          <w:p w14:paraId="5F7270EC"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As at 30 April 2019</w:t>
            </w:r>
          </w:p>
        </w:tc>
        <w:tc>
          <w:tcPr>
            <w:tcW w:w="938" w:type="dxa"/>
            <w:vAlign w:val="bottom"/>
            <w:hideMark/>
          </w:tcPr>
          <w:p w14:paraId="446304B8"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Additions</w:t>
            </w:r>
          </w:p>
        </w:tc>
        <w:tc>
          <w:tcPr>
            <w:tcW w:w="1984" w:type="dxa"/>
            <w:vAlign w:val="bottom"/>
            <w:hideMark/>
          </w:tcPr>
          <w:p w14:paraId="25B8F1C5"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As at 31 October 2019</w:t>
            </w:r>
          </w:p>
        </w:tc>
      </w:tr>
      <w:tr w:rsidR="0002381D" w:rsidRPr="0002381D" w14:paraId="5ED54C8D" w14:textId="77777777" w:rsidTr="00270393">
        <w:trPr>
          <w:trHeight w:val="278"/>
        </w:trPr>
        <w:tc>
          <w:tcPr>
            <w:tcW w:w="3393" w:type="dxa"/>
            <w:vAlign w:val="bottom"/>
          </w:tcPr>
          <w:p w14:paraId="36257859"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c>
          <w:tcPr>
            <w:tcW w:w="2181" w:type="dxa"/>
            <w:vAlign w:val="bottom"/>
            <w:hideMark/>
          </w:tcPr>
          <w:p w14:paraId="5686C53F"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RM</w:t>
            </w:r>
          </w:p>
        </w:tc>
        <w:tc>
          <w:tcPr>
            <w:tcW w:w="938" w:type="dxa"/>
            <w:vAlign w:val="bottom"/>
            <w:hideMark/>
          </w:tcPr>
          <w:p w14:paraId="0B49F6B4"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RM</w:t>
            </w:r>
          </w:p>
        </w:tc>
        <w:tc>
          <w:tcPr>
            <w:tcW w:w="1984" w:type="dxa"/>
            <w:vAlign w:val="bottom"/>
            <w:hideMark/>
          </w:tcPr>
          <w:p w14:paraId="2F8A11B0"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RM</w:t>
            </w:r>
          </w:p>
        </w:tc>
      </w:tr>
      <w:tr w:rsidR="0002381D" w:rsidRPr="0002381D" w14:paraId="46D8C60E" w14:textId="77777777" w:rsidTr="00270393">
        <w:trPr>
          <w:trHeight w:val="418"/>
        </w:trPr>
        <w:tc>
          <w:tcPr>
            <w:tcW w:w="3393" w:type="dxa"/>
            <w:vAlign w:val="bottom"/>
            <w:hideMark/>
          </w:tcPr>
          <w:p w14:paraId="37E69F3B" w14:textId="77777777" w:rsidR="0002381D" w:rsidRPr="00D4158A" w:rsidRDefault="0002381D" w:rsidP="00D4158A">
            <w:pPr>
              <w:tabs>
                <w:tab w:val="left" w:pos="288"/>
              </w:tabs>
              <w:autoSpaceDE w:val="0"/>
              <w:autoSpaceDN w:val="0"/>
              <w:adjustRightInd w:val="0"/>
              <w:spacing w:after="120" w:line="240" w:lineRule="auto"/>
              <w:rPr>
                <w:rFonts w:cstheme="minorHAnsi"/>
                <w:b/>
                <w:bCs/>
                <w:color w:val="000000"/>
                <w:szCs w:val="20"/>
                <w:u w:val="single"/>
              </w:rPr>
            </w:pPr>
            <w:r w:rsidRPr="00D4158A">
              <w:rPr>
                <w:rFonts w:cstheme="minorHAnsi"/>
                <w:b/>
                <w:bCs/>
                <w:color w:val="000000"/>
                <w:szCs w:val="20"/>
                <w:u w:val="single"/>
              </w:rPr>
              <w:t>Cost</w:t>
            </w:r>
          </w:p>
        </w:tc>
        <w:tc>
          <w:tcPr>
            <w:tcW w:w="2181" w:type="dxa"/>
            <w:vAlign w:val="bottom"/>
          </w:tcPr>
          <w:p w14:paraId="25776464"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c>
          <w:tcPr>
            <w:tcW w:w="938" w:type="dxa"/>
            <w:vAlign w:val="bottom"/>
          </w:tcPr>
          <w:p w14:paraId="70530E84"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c>
          <w:tcPr>
            <w:tcW w:w="1984" w:type="dxa"/>
            <w:vAlign w:val="bottom"/>
          </w:tcPr>
          <w:p w14:paraId="3D60D504"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r>
      <w:tr w:rsidR="0002381D" w:rsidRPr="0002381D" w14:paraId="4A13EA37" w14:textId="77777777" w:rsidTr="00270393">
        <w:trPr>
          <w:trHeight w:val="278"/>
        </w:trPr>
        <w:tc>
          <w:tcPr>
            <w:tcW w:w="3393" w:type="dxa"/>
            <w:vAlign w:val="bottom"/>
            <w:hideMark/>
          </w:tcPr>
          <w:p w14:paraId="0532EB7E"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r w:rsidRPr="00D4158A">
              <w:rPr>
                <w:rFonts w:cstheme="minorHAnsi"/>
                <w:color w:val="000000"/>
                <w:szCs w:val="20"/>
              </w:rPr>
              <w:t>Computers and software</w:t>
            </w:r>
          </w:p>
        </w:tc>
        <w:tc>
          <w:tcPr>
            <w:tcW w:w="2181" w:type="dxa"/>
            <w:vAlign w:val="bottom"/>
            <w:hideMark/>
          </w:tcPr>
          <w:p w14:paraId="0D81038A"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56,508</w:t>
            </w:r>
          </w:p>
        </w:tc>
        <w:tc>
          <w:tcPr>
            <w:tcW w:w="938" w:type="dxa"/>
            <w:vAlign w:val="bottom"/>
            <w:hideMark/>
          </w:tcPr>
          <w:p w14:paraId="2971728B"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21,445</w:t>
            </w:r>
          </w:p>
        </w:tc>
        <w:tc>
          <w:tcPr>
            <w:tcW w:w="1984" w:type="dxa"/>
            <w:vAlign w:val="bottom"/>
            <w:hideMark/>
          </w:tcPr>
          <w:p w14:paraId="0043F4D3"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77,953</w:t>
            </w:r>
          </w:p>
        </w:tc>
      </w:tr>
      <w:tr w:rsidR="0002381D" w:rsidRPr="0002381D" w14:paraId="244A7A25" w14:textId="77777777" w:rsidTr="00270393">
        <w:trPr>
          <w:trHeight w:val="278"/>
        </w:trPr>
        <w:tc>
          <w:tcPr>
            <w:tcW w:w="3393" w:type="dxa"/>
            <w:vAlign w:val="bottom"/>
            <w:hideMark/>
          </w:tcPr>
          <w:p w14:paraId="790D1639"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r w:rsidRPr="00D4158A">
              <w:rPr>
                <w:rFonts w:cstheme="minorHAnsi"/>
                <w:color w:val="000000"/>
                <w:szCs w:val="20"/>
              </w:rPr>
              <w:t>Furniture and fittings</w:t>
            </w:r>
          </w:p>
        </w:tc>
        <w:tc>
          <w:tcPr>
            <w:tcW w:w="2181" w:type="dxa"/>
            <w:vAlign w:val="bottom"/>
            <w:hideMark/>
          </w:tcPr>
          <w:p w14:paraId="061A738F"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2,515</w:t>
            </w:r>
          </w:p>
        </w:tc>
        <w:tc>
          <w:tcPr>
            <w:tcW w:w="938" w:type="dxa"/>
            <w:vAlign w:val="bottom"/>
            <w:hideMark/>
          </w:tcPr>
          <w:p w14:paraId="3FCFE953" w14:textId="4F73D1BD" w:rsidR="0002381D" w:rsidRPr="00D4158A" w:rsidRDefault="00B575FC" w:rsidP="00D4158A">
            <w:pPr>
              <w:tabs>
                <w:tab w:val="left" w:pos="288"/>
              </w:tabs>
              <w:autoSpaceDE w:val="0"/>
              <w:autoSpaceDN w:val="0"/>
              <w:adjustRightInd w:val="0"/>
              <w:spacing w:after="120" w:line="240" w:lineRule="auto"/>
              <w:ind w:right="72"/>
              <w:jc w:val="center"/>
              <w:rPr>
                <w:rFonts w:cstheme="minorHAnsi"/>
                <w:color w:val="000000"/>
                <w:szCs w:val="20"/>
              </w:rPr>
            </w:pPr>
            <w:r>
              <w:rPr>
                <w:rFonts w:cstheme="minorHAnsi"/>
                <w:color w:val="000000"/>
                <w:szCs w:val="20"/>
              </w:rPr>
              <w:t xml:space="preserve">   </w:t>
            </w:r>
            <w:r w:rsidR="0002381D" w:rsidRPr="00D4158A">
              <w:rPr>
                <w:rFonts w:cstheme="minorHAnsi"/>
                <w:color w:val="000000"/>
                <w:szCs w:val="20"/>
              </w:rPr>
              <w:t>-</w:t>
            </w:r>
          </w:p>
        </w:tc>
        <w:tc>
          <w:tcPr>
            <w:tcW w:w="1984" w:type="dxa"/>
            <w:vAlign w:val="bottom"/>
            <w:hideMark/>
          </w:tcPr>
          <w:p w14:paraId="2636EDB8"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2,515</w:t>
            </w:r>
          </w:p>
        </w:tc>
      </w:tr>
      <w:tr w:rsidR="0002381D" w:rsidRPr="0002381D" w14:paraId="6EF3FC6C" w14:textId="77777777" w:rsidTr="00270393">
        <w:trPr>
          <w:trHeight w:val="278"/>
        </w:trPr>
        <w:tc>
          <w:tcPr>
            <w:tcW w:w="3393" w:type="dxa"/>
            <w:vAlign w:val="bottom"/>
            <w:hideMark/>
          </w:tcPr>
          <w:p w14:paraId="583CB029"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r w:rsidRPr="00D4158A">
              <w:rPr>
                <w:rFonts w:cstheme="minorHAnsi"/>
                <w:color w:val="000000"/>
                <w:szCs w:val="20"/>
              </w:rPr>
              <w:t>Office equipment</w:t>
            </w:r>
          </w:p>
        </w:tc>
        <w:tc>
          <w:tcPr>
            <w:tcW w:w="2181" w:type="dxa"/>
            <w:vAlign w:val="bottom"/>
            <w:hideMark/>
          </w:tcPr>
          <w:p w14:paraId="2B3F031E"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5,797</w:t>
            </w:r>
          </w:p>
        </w:tc>
        <w:tc>
          <w:tcPr>
            <w:tcW w:w="938" w:type="dxa"/>
            <w:vAlign w:val="bottom"/>
            <w:hideMark/>
          </w:tcPr>
          <w:p w14:paraId="2B6750CB"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11,279</w:t>
            </w:r>
          </w:p>
        </w:tc>
        <w:tc>
          <w:tcPr>
            <w:tcW w:w="1984" w:type="dxa"/>
            <w:vAlign w:val="bottom"/>
            <w:hideMark/>
          </w:tcPr>
          <w:p w14:paraId="35934CBF"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17,076</w:t>
            </w:r>
          </w:p>
        </w:tc>
      </w:tr>
      <w:tr w:rsidR="0002381D" w:rsidRPr="0002381D" w14:paraId="636A01DE" w14:textId="77777777" w:rsidTr="00270393">
        <w:trPr>
          <w:trHeight w:val="278"/>
        </w:trPr>
        <w:tc>
          <w:tcPr>
            <w:tcW w:w="3393" w:type="dxa"/>
            <w:vAlign w:val="bottom"/>
            <w:hideMark/>
          </w:tcPr>
          <w:p w14:paraId="2127AE8D"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r w:rsidRPr="00D4158A">
              <w:rPr>
                <w:rFonts w:cstheme="minorHAnsi"/>
                <w:color w:val="000000"/>
                <w:szCs w:val="20"/>
              </w:rPr>
              <w:t>Renovation</w:t>
            </w:r>
          </w:p>
        </w:tc>
        <w:tc>
          <w:tcPr>
            <w:tcW w:w="2181" w:type="dxa"/>
            <w:vAlign w:val="bottom"/>
            <w:hideMark/>
          </w:tcPr>
          <w:p w14:paraId="0A601FAF"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2,742</w:t>
            </w:r>
          </w:p>
        </w:tc>
        <w:tc>
          <w:tcPr>
            <w:tcW w:w="938" w:type="dxa"/>
            <w:vAlign w:val="bottom"/>
            <w:hideMark/>
          </w:tcPr>
          <w:p w14:paraId="24AC227D" w14:textId="468C2867" w:rsidR="0002381D" w:rsidRPr="00D4158A" w:rsidRDefault="00B575FC" w:rsidP="00D4158A">
            <w:pPr>
              <w:tabs>
                <w:tab w:val="left" w:pos="288"/>
              </w:tabs>
              <w:autoSpaceDE w:val="0"/>
              <w:autoSpaceDN w:val="0"/>
              <w:adjustRightInd w:val="0"/>
              <w:spacing w:after="120" w:line="240" w:lineRule="auto"/>
              <w:ind w:right="72"/>
              <w:jc w:val="center"/>
              <w:rPr>
                <w:rFonts w:cstheme="minorHAnsi"/>
                <w:color w:val="000000"/>
                <w:szCs w:val="20"/>
              </w:rPr>
            </w:pPr>
            <w:r>
              <w:rPr>
                <w:rFonts w:cstheme="minorHAnsi"/>
                <w:color w:val="000000"/>
                <w:szCs w:val="20"/>
              </w:rPr>
              <w:t xml:space="preserve">   </w:t>
            </w:r>
            <w:r w:rsidR="0002381D" w:rsidRPr="00D4158A">
              <w:rPr>
                <w:rFonts w:cstheme="minorHAnsi"/>
                <w:color w:val="000000"/>
                <w:szCs w:val="20"/>
              </w:rPr>
              <w:t>-</w:t>
            </w:r>
          </w:p>
        </w:tc>
        <w:tc>
          <w:tcPr>
            <w:tcW w:w="1984" w:type="dxa"/>
            <w:vAlign w:val="bottom"/>
            <w:hideMark/>
          </w:tcPr>
          <w:p w14:paraId="7AB3EBCD"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2,742</w:t>
            </w:r>
          </w:p>
        </w:tc>
      </w:tr>
      <w:tr w:rsidR="0002381D" w:rsidRPr="0002381D" w14:paraId="64DBB22C" w14:textId="77777777" w:rsidTr="00270393">
        <w:trPr>
          <w:trHeight w:val="372"/>
        </w:trPr>
        <w:tc>
          <w:tcPr>
            <w:tcW w:w="3393" w:type="dxa"/>
            <w:vAlign w:val="bottom"/>
          </w:tcPr>
          <w:p w14:paraId="74D69F27"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2181" w:type="dxa"/>
            <w:tcBorders>
              <w:top w:val="single" w:sz="6" w:space="0" w:color="auto"/>
              <w:left w:val="nil"/>
              <w:bottom w:val="double" w:sz="6" w:space="0" w:color="auto"/>
              <w:right w:val="nil"/>
            </w:tcBorders>
            <w:vAlign w:val="bottom"/>
            <w:hideMark/>
          </w:tcPr>
          <w:p w14:paraId="68A47E85"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67,562</w:t>
            </w:r>
          </w:p>
        </w:tc>
        <w:tc>
          <w:tcPr>
            <w:tcW w:w="938" w:type="dxa"/>
            <w:tcBorders>
              <w:top w:val="single" w:sz="6" w:space="0" w:color="auto"/>
              <w:left w:val="nil"/>
              <w:bottom w:val="double" w:sz="6" w:space="0" w:color="auto"/>
              <w:right w:val="nil"/>
            </w:tcBorders>
            <w:vAlign w:val="bottom"/>
            <w:hideMark/>
          </w:tcPr>
          <w:p w14:paraId="0996AF21"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32,724</w:t>
            </w:r>
          </w:p>
        </w:tc>
        <w:tc>
          <w:tcPr>
            <w:tcW w:w="1984" w:type="dxa"/>
            <w:tcBorders>
              <w:top w:val="single" w:sz="6" w:space="0" w:color="auto"/>
              <w:left w:val="nil"/>
              <w:bottom w:val="double" w:sz="6" w:space="0" w:color="auto"/>
              <w:right w:val="nil"/>
            </w:tcBorders>
            <w:vAlign w:val="bottom"/>
            <w:hideMark/>
          </w:tcPr>
          <w:p w14:paraId="74C92D4C"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100,286</w:t>
            </w:r>
          </w:p>
        </w:tc>
      </w:tr>
      <w:tr w:rsidR="0002381D" w:rsidRPr="0002381D" w14:paraId="1EBA3C60" w14:textId="77777777" w:rsidTr="00270393">
        <w:trPr>
          <w:trHeight w:val="278"/>
        </w:trPr>
        <w:tc>
          <w:tcPr>
            <w:tcW w:w="3393" w:type="dxa"/>
            <w:vAlign w:val="bottom"/>
          </w:tcPr>
          <w:p w14:paraId="5B4F1BAC"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2181" w:type="dxa"/>
            <w:vAlign w:val="bottom"/>
          </w:tcPr>
          <w:p w14:paraId="04E57F96"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c>
          <w:tcPr>
            <w:tcW w:w="938" w:type="dxa"/>
            <w:vAlign w:val="bottom"/>
          </w:tcPr>
          <w:p w14:paraId="735C58C2"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c>
          <w:tcPr>
            <w:tcW w:w="1984" w:type="dxa"/>
            <w:vAlign w:val="bottom"/>
          </w:tcPr>
          <w:p w14:paraId="38C5FE51"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r>
      <w:tr w:rsidR="0002381D" w:rsidRPr="0002381D" w14:paraId="10AA1F92" w14:textId="77777777" w:rsidTr="00270393">
        <w:trPr>
          <w:trHeight w:val="542"/>
        </w:trPr>
        <w:tc>
          <w:tcPr>
            <w:tcW w:w="3393" w:type="dxa"/>
            <w:vAlign w:val="bottom"/>
          </w:tcPr>
          <w:p w14:paraId="69AAE545"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2181" w:type="dxa"/>
            <w:vAlign w:val="bottom"/>
            <w:hideMark/>
          </w:tcPr>
          <w:p w14:paraId="5C2A8352"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As at 30 April 2019</w:t>
            </w:r>
          </w:p>
        </w:tc>
        <w:tc>
          <w:tcPr>
            <w:tcW w:w="938" w:type="dxa"/>
            <w:vAlign w:val="bottom"/>
            <w:hideMark/>
          </w:tcPr>
          <w:p w14:paraId="65FCD946"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Charges for the period</w:t>
            </w:r>
          </w:p>
        </w:tc>
        <w:tc>
          <w:tcPr>
            <w:tcW w:w="1984" w:type="dxa"/>
            <w:vAlign w:val="bottom"/>
            <w:hideMark/>
          </w:tcPr>
          <w:p w14:paraId="30282F44"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As at 31 October 2019</w:t>
            </w:r>
          </w:p>
        </w:tc>
      </w:tr>
      <w:tr w:rsidR="0002381D" w:rsidRPr="0002381D" w14:paraId="3ACE712A" w14:textId="77777777" w:rsidTr="00270393">
        <w:trPr>
          <w:trHeight w:val="278"/>
        </w:trPr>
        <w:tc>
          <w:tcPr>
            <w:tcW w:w="3393" w:type="dxa"/>
            <w:vAlign w:val="bottom"/>
          </w:tcPr>
          <w:p w14:paraId="6989CBAD"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2181" w:type="dxa"/>
            <w:vAlign w:val="bottom"/>
            <w:hideMark/>
          </w:tcPr>
          <w:p w14:paraId="6657890E"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RM</w:t>
            </w:r>
          </w:p>
        </w:tc>
        <w:tc>
          <w:tcPr>
            <w:tcW w:w="938" w:type="dxa"/>
            <w:vAlign w:val="bottom"/>
            <w:hideMark/>
          </w:tcPr>
          <w:p w14:paraId="4731DCCA"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RM</w:t>
            </w:r>
          </w:p>
        </w:tc>
        <w:tc>
          <w:tcPr>
            <w:tcW w:w="1984" w:type="dxa"/>
            <w:vAlign w:val="bottom"/>
            <w:hideMark/>
          </w:tcPr>
          <w:p w14:paraId="5EF01124"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RM</w:t>
            </w:r>
          </w:p>
        </w:tc>
      </w:tr>
      <w:tr w:rsidR="0002381D" w:rsidRPr="0002381D" w14:paraId="3666BD04" w14:textId="77777777" w:rsidTr="00270393">
        <w:trPr>
          <w:trHeight w:val="418"/>
        </w:trPr>
        <w:tc>
          <w:tcPr>
            <w:tcW w:w="3393" w:type="dxa"/>
            <w:vAlign w:val="bottom"/>
            <w:hideMark/>
          </w:tcPr>
          <w:p w14:paraId="1CD81EFE" w14:textId="77777777" w:rsidR="0002381D" w:rsidRPr="00D4158A" w:rsidRDefault="0002381D" w:rsidP="00D4158A">
            <w:pPr>
              <w:tabs>
                <w:tab w:val="left" w:pos="288"/>
              </w:tabs>
              <w:autoSpaceDE w:val="0"/>
              <w:autoSpaceDN w:val="0"/>
              <w:adjustRightInd w:val="0"/>
              <w:spacing w:after="120" w:line="240" w:lineRule="auto"/>
              <w:rPr>
                <w:rFonts w:cstheme="minorHAnsi"/>
                <w:b/>
                <w:bCs/>
                <w:color w:val="000000"/>
                <w:szCs w:val="20"/>
                <w:u w:val="single"/>
              </w:rPr>
            </w:pPr>
            <w:r w:rsidRPr="00D4158A">
              <w:rPr>
                <w:rFonts w:cstheme="minorHAnsi"/>
                <w:b/>
                <w:bCs/>
                <w:color w:val="000000"/>
                <w:szCs w:val="20"/>
                <w:u w:val="single"/>
              </w:rPr>
              <w:t>Accumulated Depreciation</w:t>
            </w:r>
          </w:p>
        </w:tc>
        <w:tc>
          <w:tcPr>
            <w:tcW w:w="2181" w:type="dxa"/>
            <w:vAlign w:val="bottom"/>
          </w:tcPr>
          <w:p w14:paraId="2A29BBBC"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c>
          <w:tcPr>
            <w:tcW w:w="938" w:type="dxa"/>
            <w:vAlign w:val="bottom"/>
          </w:tcPr>
          <w:p w14:paraId="1E13DD63"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c>
          <w:tcPr>
            <w:tcW w:w="1984" w:type="dxa"/>
            <w:vAlign w:val="bottom"/>
          </w:tcPr>
          <w:p w14:paraId="7B20DA61"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r>
      <w:tr w:rsidR="0002381D" w:rsidRPr="0002381D" w14:paraId="3452D586" w14:textId="77777777" w:rsidTr="00270393">
        <w:trPr>
          <w:trHeight w:val="278"/>
        </w:trPr>
        <w:tc>
          <w:tcPr>
            <w:tcW w:w="3393" w:type="dxa"/>
            <w:vAlign w:val="bottom"/>
            <w:hideMark/>
          </w:tcPr>
          <w:p w14:paraId="1E6E0D02"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r w:rsidRPr="00D4158A">
              <w:rPr>
                <w:rFonts w:cstheme="minorHAnsi"/>
                <w:color w:val="000000"/>
                <w:szCs w:val="20"/>
              </w:rPr>
              <w:t>Computers and software</w:t>
            </w:r>
          </w:p>
        </w:tc>
        <w:tc>
          <w:tcPr>
            <w:tcW w:w="2181" w:type="dxa"/>
            <w:vAlign w:val="bottom"/>
            <w:hideMark/>
          </w:tcPr>
          <w:p w14:paraId="7EF5D54C"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8,978</w:t>
            </w:r>
          </w:p>
        </w:tc>
        <w:tc>
          <w:tcPr>
            <w:tcW w:w="938" w:type="dxa"/>
            <w:vAlign w:val="bottom"/>
            <w:hideMark/>
          </w:tcPr>
          <w:p w14:paraId="3804C111"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7,446</w:t>
            </w:r>
          </w:p>
        </w:tc>
        <w:tc>
          <w:tcPr>
            <w:tcW w:w="1984" w:type="dxa"/>
            <w:vAlign w:val="bottom"/>
            <w:hideMark/>
          </w:tcPr>
          <w:p w14:paraId="296F77C7"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16,424</w:t>
            </w:r>
          </w:p>
        </w:tc>
      </w:tr>
      <w:tr w:rsidR="0002381D" w:rsidRPr="0002381D" w14:paraId="751587F7" w14:textId="77777777" w:rsidTr="00270393">
        <w:trPr>
          <w:trHeight w:val="278"/>
        </w:trPr>
        <w:tc>
          <w:tcPr>
            <w:tcW w:w="3393" w:type="dxa"/>
            <w:vAlign w:val="bottom"/>
            <w:hideMark/>
          </w:tcPr>
          <w:p w14:paraId="68D6536A"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r w:rsidRPr="00D4158A">
              <w:rPr>
                <w:rFonts w:cstheme="minorHAnsi"/>
                <w:color w:val="000000"/>
                <w:szCs w:val="20"/>
              </w:rPr>
              <w:t>Furniture and fittings</w:t>
            </w:r>
          </w:p>
        </w:tc>
        <w:tc>
          <w:tcPr>
            <w:tcW w:w="2181" w:type="dxa"/>
            <w:vAlign w:val="bottom"/>
            <w:hideMark/>
          </w:tcPr>
          <w:p w14:paraId="014AEC44"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252</w:t>
            </w:r>
          </w:p>
        </w:tc>
        <w:tc>
          <w:tcPr>
            <w:tcW w:w="938" w:type="dxa"/>
            <w:vAlign w:val="bottom"/>
            <w:hideMark/>
          </w:tcPr>
          <w:p w14:paraId="3256AF9E"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126</w:t>
            </w:r>
          </w:p>
        </w:tc>
        <w:tc>
          <w:tcPr>
            <w:tcW w:w="1984" w:type="dxa"/>
            <w:vAlign w:val="bottom"/>
            <w:hideMark/>
          </w:tcPr>
          <w:p w14:paraId="429BFBBE"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378</w:t>
            </w:r>
          </w:p>
        </w:tc>
      </w:tr>
      <w:tr w:rsidR="0002381D" w:rsidRPr="0002381D" w14:paraId="05569350" w14:textId="77777777" w:rsidTr="00270393">
        <w:trPr>
          <w:trHeight w:val="278"/>
        </w:trPr>
        <w:tc>
          <w:tcPr>
            <w:tcW w:w="3393" w:type="dxa"/>
            <w:vAlign w:val="bottom"/>
            <w:hideMark/>
          </w:tcPr>
          <w:p w14:paraId="560E1274"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r w:rsidRPr="00D4158A">
              <w:rPr>
                <w:rFonts w:cstheme="minorHAnsi"/>
                <w:color w:val="000000"/>
                <w:szCs w:val="20"/>
              </w:rPr>
              <w:t>Office equipment</w:t>
            </w:r>
          </w:p>
        </w:tc>
        <w:tc>
          <w:tcPr>
            <w:tcW w:w="2181" w:type="dxa"/>
            <w:vAlign w:val="bottom"/>
            <w:hideMark/>
          </w:tcPr>
          <w:p w14:paraId="74E6D291"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580</w:t>
            </w:r>
          </w:p>
        </w:tc>
        <w:tc>
          <w:tcPr>
            <w:tcW w:w="938" w:type="dxa"/>
            <w:vAlign w:val="bottom"/>
            <w:hideMark/>
          </w:tcPr>
          <w:p w14:paraId="5628EA21"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784</w:t>
            </w:r>
          </w:p>
        </w:tc>
        <w:tc>
          <w:tcPr>
            <w:tcW w:w="1984" w:type="dxa"/>
            <w:vAlign w:val="bottom"/>
            <w:hideMark/>
          </w:tcPr>
          <w:p w14:paraId="7AAACBBA"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1,364</w:t>
            </w:r>
          </w:p>
        </w:tc>
      </w:tr>
      <w:tr w:rsidR="0002381D" w:rsidRPr="0002381D" w14:paraId="63DE0C5C" w14:textId="77777777" w:rsidTr="00270393">
        <w:trPr>
          <w:trHeight w:val="278"/>
        </w:trPr>
        <w:tc>
          <w:tcPr>
            <w:tcW w:w="3393" w:type="dxa"/>
            <w:vAlign w:val="bottom"/>
            <w:hideMark/>
          </w:tcPr>
          <w:p w14:paraId="655E1789"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r w:rsidRPr="00D4158A">
              <w:rPr>
                <w:rFonts w:cstheme="minorHAnsi"/>
                <w:color w:val="000000"/>
                <w:szCs w:val="20"/>
              </w:rPr>
              <w:t>Renovation</w:t>
            </w:r>
          </w:p>
        </w:tc>
        <w:tc>
          <w:tcPr>
            <w:tcW w:w="2181" w:type="dxa"/>
            <w:vAlign w:val="bottom"/>
            <w:hideMark/>
          </w:tcPr>
          <w:p w14:paraId="65B9DACD"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274</w:t>
            </w:r>
          </w:p>
        </w:tc>
        <w:tc>
          <w:tcPr>
            <w:tcW w:w="938" w:type="dxa"/>
            <w:vAlign w:val="bottom"/>
            <w:hideMark/>
          </w:tcPr>
          <w:p w14:paraId="260BEA3A"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137</w:t>
            </w:r>
          </w:p>
        </w:tc>
        <w:tc>
          <w:tcPr>
            <w:tcW w:w="1984" w:type="dxa"/>
            <w:vAlign w:val="bottom"/>
            <w:hideMark/>
          </w:tcPr>
          <w:p w14:paraId="3225814C"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411</w:t>
            </w:r>
          </w:p>
        </w:tc>
      </w:tr>
      <w:tr w:rsidR="0002381D" w:rsidRPr="0002381D" w14:paraId="6F77C30E" w14:textId="77777777" w:rsidTr="00270393">
        <w:trPr>
          <w:trHeight w:val="372"/>
        </w:trPr>
        <w:tc>
          <w:tcPr>
            <w:tcW w:w="3393" w:type="dxa"/>
            <w:vAlign w:val="bottom"/>
          </w:tcPr>
          <w:p w14:paraId="588D17C3"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2181" w:type="dxa"/>
            <w:tcBorders>
              <w:top w:val="single" w:sz="6" w:space="0" w:color="auto"/>
              <w:left w:val="nil"/>
              <w:bottom w:val="double" w:sz="6" w:space="0" w:color="auto"/>
              <w:right w:val="nil"/>
            </w:tcBorders>
            <w:vAlign w:val="bottom"/>
            <w:hideMark/>
          </w:tcPr>
          <w:p w14:paraId="37D574B9"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10,084</w:t>
            </w:r>
          </w:p>
        </w:tc>
        <w:tc>
          <w:tcPr>
            <w:tcW w:w="938" w:type="dxa"/>
            <w:tcBorders>
              <w:top w:val="single" w:sz="6" w:space="0" w:color="auto"/>
              <w:left w:val="nil"/>
              <w:bottom w:val="double" w:sz="6" w:space="0" w:color="auto"/>
              <w:right w:val="nil"/>
            </w:tcBorders>
            <w:vAlign w:val="bottom"/>
            <w:hideMark/>
          </w:tcPr>
          <w:p w14:paraId="12EBB1BB"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8,493</w:t>
            </w:r>
          </w:p>
        </w:tc>
        <w:tc>
          <w:tcPr>
            <w:tcW w:w="1984" w:type="dxa"/>
            <w:tcBorders>
              <w:top w:val="single" w:sz="6" w:space="0" w:color="auto"/>
              <w:left w:val="nil"/>
              <w:bottom w:val="double" w:sz="6" w:space="0" w:color="auto"/>
              <w:right w:val="nil"/>
            </w:tcBorders>
            <w:vAlign w:val="bottom"/>
            <w:hideMark/>
          </w:tcPr>
          <w:p w14:paraId="770E0236"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18,577</w:t>
            </w:r>
          </w:p>
        </w:tc>
      </w:tr>
      <w:tr w:rsidR="0002381D" w:rsidRPr="0002381D" w14:paraId="55F7EECA" w14:textId="77777777" w:rsidTr="00270393">
        <w:trPr>
          <w:trHeight w:val="278"/>
        </w:trPr>
        <w:tc>
          <w:tcPr>
            <w:tcW w:w="3393" w:type="dxa"/>
            <w:vAlign w:val="bottom"/>
          </w:tcPr>
          <w:p w14:paraId="6082F096"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2181" w:type="dxa"/>
            <w:vAlign w:val="bottom"/>
          </w:tcPr>
          <w:p w14:paraId="1A54981D"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p>
        </w:tc>
        <w:tc>
          <w:tcPr>
            <w:tcW w:w="938" w:type="dxa"/>
            <w:vAlign w:val="bottom"/>
          </w:tcPr>
          <w:p w14:paraId="3A5C6069"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p>
        </w:tc>
        <w:tc>
          <w:tcPr>
            <w:tcW w:w="1984" w:type="dxa"/>
            <w:vAlign w:val="bottom"/>
          </w:tcPr>
          <w:p w14:paraId="04EB67C0"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p>
        </w:tc>
      </w:tr>
      <w:tr w:rsidR="0002381D" w:rsidRPr="0002381D" w14:paraId="39369061" w14:textId="77777777" w:rsidTr="00270393">
        <w:trPr>
          <w:trHeight w:val="557"/>
        </w:trPr>
        <w:tc>
          <w:tcPr>
            <w:tcW w:w="3393" w:type="dxa"/>
            <w:vAlign w:val="bottom"/>
          </w:tcPr>
          <w:p w14:paraId="2390A482"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2181" w:type="dxa"/>
            <w:vAlign w:val="bottom"/>
            <w:hideMark/>
          </w:tcPr>
          <w:p w14:paraId="7F03E2FE" w14:textId="77777777" w:rsidR="0002381D" w:rsidRPr="00D4158A" w:rsidRDefault="0002381D" w:rsidP="00D4158A">
            <w:pPr>
              <w:tabs>
                <w:tab w:val="left" w:pos="288"/>
              </w:tabs>
              <w:autoSpaceDE w:val="0"/>
              <w:autoSpaceDN w:val="0"/>
              <w:adjustRightInd w:val="0"/>
              <w:spacing w:after="120" w:line="240" w:lineRule="auto"/>
              <w:jc w:val="center"/>
              <w:rPr>
                <w:rFonts w:cstheme="minorHAnsi"/>
                <w:b/>
                <w:bCs/>
                <w:color w:val="000000"/>
                <w:szCs w:val="20"/>
              </w:rPr>
            </w:pPr>
            <w:r w:rsidRPr="00D4158A">
              <w:rPr>
                <w:rFonts w:cstheme="minorHAnsi"/>
                <w:b/>
                <w:bCs/>
                <w:color w:val="000000"/>
                <w:szCs w:val="20"/>
              </w:rPr>
              <w:t>As at 30 April 2019</w:t>
            </w:r>
          </w:p>
        </w:tc>
        <w:tc>
          <w:tcPr>
            <w:tcW w:w="938" w:type="dxa"/>
            <w:vAlign w:val="bottom"/>
          </w:tcPr>
          <w:p w14:paraId="53282D52" w14:textId="77777777" w:rsidR="0002381D" w:rsidRPr="00D4158A" w:rsidRDefault="0002381D" w:rsidP="00D4158A">
            <w:pPr>
              <w:tabs>
                <w:tab w:val="left" w:pos="288"/>
              </w:tabs>
              <w:autoSpaceDE w:val="0"/>
              <w:autoSpaceDN w:val="0"/>
              <w:adjustRightInd w:val="0"/>
              <w:spacing w:after="120" w:line="240" w:lineRule="auto"/>
              <w:jc w:val="center"/>
              <w:rPr>
                <w:rFonts w:cstheme="minorHAnsi"/>
                <w:b/>
                <w:bCs/>
                <w:color w:val="000000"/>
                <w:szCs w:val="20"/>
              </w:rPr>
            </w:pPr>
          </w:p>
        </w:tc>
        <w:tc>
          <w:tcPr>
            <w:tcW w:w="1984" w:type="dxa"/>
            <w:vAlign w:val="bottom"/>
            <w:hideMark/>
          </w:tcPr>
          <w:p w14:paraId="475F9727"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As at 31 October 2019</w:t>
            </w:r>
          </w:p>
        </w:tc>
      </w:tr>
      <w:tr w:rsidR="0002381D" w:rsidRPr="0002381D" w14:paraId="544C8E94" w14:textId="77777777" w:rsidTr="00270393">
        <w:trPr>
          <w:trHeight w:val="278"/>
        </w:trPr>
        <w:tc>
          <w:tcPr>
            <w:tcW w:w="3393" w:type="dxa"/>
            <w:vAlign w:val="bottom"/>
          </w:tcPr>
          <w:p w14:paraId="7D4DB193"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2181" w:type="dxa"/>
            <w:vAlign w:val="bottom"/>
            <w:hideMark/>
          </w:tcPr>
          <w:p w14:paraId="28A25A87" w14:textId="77777777" w:rsidR="0002381D" w:rsidRPr="00D4158A" w:rsidRDefault="0002381D" w:rsidP="00D4158A">
            <w:pPr>
              <w:tabs>
                <w:tab w:val="left" w:pos="288"/>
              </w:tabs>
              <w:autoSpaceDE w:val="0"/>
              <w:autoSpaceDN w:val="0"/>
              <w:adjustRightInd w:val="0"/>
              <w:spacing w:after="120" w:line="240" w:lineRule="auto"/>
              <w:jc w:val="center"/>
              <w:rPr>
                <w:rFonts w:cstheme="minorHAnsi"/>
                <w:b/>
                <w:bCs/>
                <w:color w:val="000000"/>
                <w:szCs w:val="20"/>
              </w:rPr>
            </w:pPr>
            <w:r w:rsidRPr="00D4158A">
              <w:rPr>
                <w:rFonts w:cstheme="minorHAnsi"/>
                <w:b/>
                <w:bCs/>
                <w:color w:val="000000"/>
                <w:szCs w:val="20"/>
              </w:rPr>
              <w:t>RM</w:t>
            </w:r>
          </w:p>
        </w:tc>
        <w:tc>
          <w:tcPr>
            <w:tcW w:w="938" w:type="dxa"/>
            <w:vAlign w:val="bottom"/>
          </w:tcPr>
          <w:p w14:paraId="7777A5E9" w14:textId="77777777" w:rsidR="0002381D" w:rsidRPr="00D4158A" w:rsidRDefault="0002381D" w:rsidP="00D4158A">
            <w:pPr>
              <w:tabs>
                <w:tab w:val="left" w:pos="288"/>
              </w:tabs>
              <w:autoSpaceDE w:val="0"/>
              <w:autoSpaceDN w:val="0"/>
              <w:adjustRightInd w:val="0"/>
              <w:spacing w:after="120" w:line="240" w:lineRule="auto"/>
              <w:jc w:val="center"/>
              <w:rPr>
                <w:rFonts w:cstheme="minorHAnsi"/>
                <w:b/>
                <w:bCs/>
                <w:color w:val="000000"/>
                <w:szCs w:val="20"/>
              </w:rPr>
            </w:pPr>
          </w:p>
        </w:tc>
        <w:tc>
          <w:tcPr>
            <w:tcW w:w="1984" w:type="dxa"/>
            <w:vAlign w:val="bottom"/>
            <w:hideMark/>
          </w:tcPr>
          <w:p w14:paraId="4424D6AD"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RM</w:t>
            </w:r>
          </w:p>
        </w:tc>
      </w:tr>
      <w:tr w:rsidR="0002381D" w:rsidRPr="0002381D" w14:paraId="4DFE8B97" w14:textId="77777777" w:rsidTr="00270393">
        <w:trPr>
          <w:trHeight w:val="418"/>
        </w:trPr>
        <w:tc>
          <w:tcPr>
            <w:tcW w:w="3393" w:type="dxa"/>
            <w:vAlign w:val="bottom"/>
            <w:hideMark/>
          </w:tcPr>
          <w:p w14:paraId="1806948B" w14:textId="77777777" w:rsidR="0002381D" w:rsidRPr="00D4158A" w:rsidRDefault="0002381D" w:rsidP="00D4158A">
            <w:pPr>
              <w:tabs>
                <w:tab w:val="left" w:pos="288"/>
              </w:tabs>
              <w:autoSpaceDE w:val="0"/>
              <w:autoSpaceDN w:val="0"/>
              <w:adjustRightInd w:val="0"/>
              <w:spacing w:after="120" w:line="240" w:lineRule="auto"/>
              <w:rPr>
                <w:rFonts w:cstheme="minorHAnsi"/>
                <w:b/>
                <w:bCs/>
                <w:color w:val="000000"/>
                <w:szCs w:val="20"/>
                <w:u w:val="single"/>
              </w:rPr>
            </w:pPr>
            <w:r w:rsidRPr="00D4158A">
              <w:rPr>
                <w:rFonts w:cstheme="minorHAnsi"/>
                <w:b/>
                <w:bCs/>
                <w:color w:val="000000"/>
                <w:szCs w:val="20"/>
                <w:u w:val="single"/>
              </w:rPr>
              <w:t>Carrying Amounts</w:t>
            </w:r>
          </w:p>
        </w:tc>
        <w:tc>
          <w:tcPr>
            <w:tcW w:w="2181" w:type="dxa"/>
            <w:vAlign w:val="bottom"/>
          </w:tcPr>
          <w:p w14:paraId="4F7D44A1"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p>
        </w:tc>
        <w:tc>
          <w:tcPr>
            <w:tcW w:w="938" w:type="dxa"/>
            <w:vAlign w:val="bottom"/>
          </w:tcPr>
          <w:p w14:paraId="13BEADCE"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p>
        </w:tc>
        <w:tc>
          <w:tcPr>
            <w:tcW w:w="1984" w:type="dxa"/>
            <w:vAlign w:val="bottom"/>
          </w:tcPr>
          <w:p w14:paraId="151E7F18"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r>
      <w:tr w:rsidR="0002381D" w:rsidRPr="0002381D" w14:paraId="60F2ABD6" w14:textId="77777777" w:rsidTr="00270393">
        <w:trPr>
          <w:trHeight w:val="278"/>
        </w:trPr>
        <w:tc>
          <w:tcPr>
            <w:tcW w:w="3393" w:type="dxa"/>
            <w:vAlign w:val="bottom"/>
            <w:hideMark/>
          </w:tcPr>
          <w:p w14:paraId="393E11D2"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r w:rsidRPr="00D4158A">
              <w:rPr>
                <w:rFonts w:cstheme="minorHAnsi"/>
                <w:color w:val="000000"/>
                <w:szCs w:val="20"/>
              </w:rPr>
              <w:t>Computers and software</w:t>
            </w:r>
          </w:p>
        </w:tc>
        <w:tc>
          <w:tcPr>
            <w:tcW w:w="2181" w:type="dxa"/>
            <w:vAlign w:val="bottom"/>
            <w:hideMark/>
          </w:tcPr>
          <w:p w14:paraId="1D3E89B2"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r w:rsidRPr="00D4158A">
              <w:rPr>
                <w:rFonts w:cstheme="minorHAnsi"/>
                <w:color w:val="000000"/>
                <w:szCs w:val="20"/>
              </w:rPr>
              <w:t>47,530</w:t>
            </w:r>
          </w:p>
        </w:tc>
        <w:tc>
          <w:tcPr>
            <w:tcW w:w="938" w:type="dxa"/>
            <w:vAlign w:val="bottom"/>
          </w:tcPr>
          <w:p w14:paraId="0335346E"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p>
        </w:tc>
        <w:tc>
          <w:tcPr>
            <w:tcW w:w="1984" w:type="dxa"/>
            <w:vAlign w:val="bottom"/>
            <w:hideMark/>
          </w:tcPr>
          <w:p w14:paraId="2B290D5E"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61,529</w:t>
            </w:r>
          </w:p>
        </w:tc>
      </w:tr>
      <w:tr w:rsidR="0002381D" w:rsidRPr="0002381D" w14:paraId="1D227EF6" w14:textId="77777777" w:rsidTr="00270393">
        <w:trPr>
          <w:trHeight w:val="278"/>
        </w:trPr>
        <w:tc>
          <w:tcPr>
            <w:tcW w:w="3393" w:type="dxa"/>
            <w:vAlign w:val="bottom"/>
            <w:hideMark/>
          </w:tcPr>
          <w:p w14:paraId="58B715AB"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r w:rsidRPr="00D4158A">
              <w:rPr>
                <w:rFonts w:cstheme="minorHAnsi"/>
                <w:color w:val="000000"/>
                <w:szCs w:val="20"/>
              </w:rPr>
              <w:t>Furniture and fittings</w:t>
            </w:r>
          </w:p>
        </w:tc>
        <w:tc>
          <w:tcPr>
            <w:tcW w:w="2181" w:type="dxa"/>
            <w:vAlign w:val="bottom"/>
            <w:hideMark/>
          </w:tcPr>
          <w:p w14:paraId="02C734AA"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r w:rsidRPr="00D4158A">
              <w:rPr>
                <w:rFonts w:cstheme="minorHAnsi"/>
                <w:color w:val="000000"/>
                <w:szCs w:val="20"/>
              </w:rPr>
              <w:t>2,263</w:t>
            </w:r>
          </w:p>
        </w:tc>
        <w:tc>
          <w:tcPr>
            <w:tcW w:w="938" w:type="dxa"/>
            <w:vAlign w:val="bottom"/>
          </w:tcPr>
          <w:p w14:paraId="2F3C14AE"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p>
        </w:tc>
        <w:tc>
          <w:tcPr>
            <w:tcW w:w="1984" w:type="dxa"/>
            <w:vAlign w:val="bottom"/>
            <w:hideMark/>
          </w:tcPr>
          <w:p w14:paraId="2EF23686"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2,137</w:t>
            </w:r>
          </w:p>
        </w:tc>
      </w:tr>
      <w:tr w:rsidR="0002381D" w:rsidRPr="0002381D" w14:paraId="4CA26A11" w14:textId="77777777" w:rsidTr="00270393">
        <w:trPr>
          <w:trHeight w:val="278"/>
        </w:trPr>
        <w:tc>
          <w:tcPr>
            <w:tcW w:w="3393" w:type="dxa"/>
            <w:vAlign w:val="bottom"/>
            <w:hideMark/>
          </w:tcPr>
          <w:p w14:paraId="4F6D5365"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r w:rsidRPr="00D4158A">
              <w:rPr>
                <w:rFonts w:cstheme="minorHAnsi"/>
                <w:color w:val="000000"/>
                <w:szCs w:val="20"/>
              </w:rPr>
              <w:t>Office equipment</w:t>
            </w:r>
          </w:p>
        </w:tc>
        <w:tc>
          <w:tcPr>
            <w:tcW w:w="2181" w:type="dxa"/>
            <w:vAlign w:val="bottom"/>
            <w:hideMark/>
          </w:tcPr>
          <w:p w14:paraId="30253417"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r w:rsidRPr="00D4158A">
              <w:rPr>
                <w:rFonts w:cstheme="minorHAnsi"/>
                <w:color w:val="000000"/>
                <w:szCs w:val="20"/>
              </w:rPr>
              <w:t>5,217</w:t>
            </w:r>
          </w:p>
        </w:tc>
        <w:tc>
          <w:tcPr>
            <w:tcW w:w="938" w:type="dxa"/>
            <w:vAlign w:val="bottom"/>
          </w:tcPr>
          <w:p w14:paraId="1E4C2D80"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p>
        </w:tc>
        <w:tc>
          <w:tcPr>
            <w:tcW w:w="1984" w:type="dxa"/>
            <w:vAlign w:val="bottom"/>
            <w:hideMark/>
          </w:tcPr>
          <w:p w14:paraId="6B7A447D"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15,712</w:t>
            </w:r>
          </w:p>
        </w:tc>
      </w:tr>
      <w:tr w:rsidR="0002381D" w:rsidRPr="0002381D" w14:paraId="6C7C15A4" w14:textId="77777777" w:rsidTr="00270393">
        <w:trPr>
          <w:trHeight w:val="278"/>
        </w:trPr>
        <w:tc>
          <w:tcPr>
            <w:tcW w:w="3393" w:type="dxa"/>
            <w:vAlign w:val="bottom"/>
            <w:hideMark/>
          </w:tcPr>
          <w:p w14:paraId="0DCBF55B"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r w:rsidRPr="00D4158A">
              <w:rPr>
                <w:rFonts w:cstheme="minorHAnsi"/>
                <w:color w:val="000000"/>
                <w:szCs w:val="20"/>
              </w:rPr>
              <w:t>Renovation</w:t>
            </w:r>
          </w:p>
        </w:tc>
        <w:tc>
          <w:tcPr>
            <w:tcW w:w="2181" w:type="dxa"/>
            <w:vAlign w:val="bottom"/>
            <w:hideMark/>
          </w:tcPr>
          <w:p w14:paraId="64905C1A"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r w:rsidRPr="00D4158A">
              <w:rPr>
                <w:rFonts w:cstheme="minorHAnsi"/>
                <w:color w:val="000000"/>
                <w:szCs w:val="20"/>
              </w:rPr>
              <w:t>2,468</w:t>
            </w:r>
          </w:p>
        </w:tc>
        <w:tc>
          <w:tcPr>
            <w:tcW w:w="938" w:type="dxa"/>
            <w:vAlign w:val="bottom"/>
          </w:tcPr>
          <w:p w14:paraId="112A4C8E"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p>
        </w:tc>
        <w:tc>
          <w:tcPr>
            <w:tcW w:w="1984" w:type="dxa"/>
            <w:vAlign w:val="bottom"/>
            <w:hideMark/>
          </w:tcPr>
          <w:p w14:paraId="1EC7A7C6"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2,331</w:t>
            </w:r>
          </w:p>
        </w:tc>
      </w:tr>
      <w:tr w:rsidR="0002381D" w:rsidRPr="0002381D" w14:paraId="38BA7504" w14:textId="77777777" w:rsidTr="00270393">
        <w:trPr>
          <w:trHeight w:val="372"/>
        </w:trPr>
        <w:tc>
          <w:tcPr>
            <w:tcW w:w="3393" w:type="dxa"/>
            <w:vAlign w:val="bottom"/>
          </w:tcPr>
          <w:p w14:paraId="6F57360D"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2181" w:type="dxa"/>
            <w:tcBorders>
              <w:top w:val="single" w:sz="6" w:space="0" w:color="auto"/>
              <w:left w:val="nil"/>
              <w:bottom w:val="double" w:sz="6" w:space="0" w:color="auto"/>
              <w:right w:val="nil"/>
            </w:tcBorders>
            <w:vAlign w:val="bottom"/>
            <w:hideMark/>
          </w:tcPr>
          <w:p w14:paraId="7FC18C20" w14:textId="77777777" w:rsidR="0002381D" w:rsidRPr="00D4158A" w:rsidRDefault="0002381D" w:rsidP="00D4158A">
            <w:pPr>
              <w:autoSpaceDE w:val="0"/>
              <w:autoSpaceDN w:val="0"/>
              <w:adjustRightInd w:val="0"/>
              <w:spacing w:after="120" w:line="240" w:lineRule="auto"/>
              <w:jc w:val="right"/>
              <w:rPr>
                <w:rFonts w:cstheme="minorHAnsi"/>
                <w:color w:val="000000"/>
                <w:szCs w:val="20"/>
              </w:rPr>
            </w:pPr>
            <w:r w:rsidRPr="00D4158A">
              <w:rPr>
                <w:rFonts w:cstheme="minorHAnsi"/>
                <w:color w:val="000000"/>
                <w:szCs w:val="20"/>
              </w:rPr>
              <w:t>57,478</w:t>
            </w:r>
          </w:p>
        </w:tc>
        <w:tc>
          <w:tcPr>
            <w:tcW w:w="938" w:type="dxa"/>
            <w:vAlign w:val="bottom"/>
          </w:tcPr>
          <w:p w14:paraId="3F29AE1F" w14:textId="77777777" w:rsidR="0002381D" w:rsidRPr="00D4158A" w:rsidRDefault="0002381D" w:rsidP="00D4158A">
            <w:pPr>
              <w:autoSpaceDE w:val="0"/>
              <w:autoSpaceDN w:val="0"/>
              <w:adjustRightInd w:val="0"/>
              <w:spacing w:after="120" w:line="240" w:lineRule="auto"/>
              <w:jc w:val="right"/>
              <w:rPr>
                <w:rFonts w:cstheme="minorHAnsi"/>
                <w:color w:val="000000"/>
                <w:szCs w:val="20"/>
              </w:rPr>
            </w:pPr>
          </w:p>
        </w:tc>
        <w:tc>
          <w:tcPr>
            <w:tcW w:w="1984" w:type="dxa"/>
            <w:tcBorders>
              <w:top w:val="single" w:sz="6" w:space="0" w:color="auto"/>
              <w:left w:val="nil"/>
              <w:bottom w:val="double" w:sz="6" w:space="0" w:color="auto"/>
              <w:right w:val="nil"/>
            </w:tcBorders>
            <w:vAlign w:val="bottom"/>
            <w:hideMark/>
          </w:tcPr>
          <w:p w14:paraId="3D09B6E6" w14:textId="77777777" w:rsidR="0002381D" w:rsidRPr="00D4158A" w:rsidRDefault="0002381D" w:rsidP="00D4158A">
            <w:pPr>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81,709</w:t>
            </w:r>
          </w:p>
        </w:tc>
      </w:tr>
    </w:tbl>
    <w:p w14:paraId="6427DDA9" w14:textId="77777777" w:rsidR="0002381D" w:rsidRPr="00D4158A" w:rsidRDefault="0002381D" w:rsidP="00D4158A">
      <w:pPr>
        <w:spacing w:after="120" w:line="240" w:lineRule="auto"/>
        <w:jc w:val="center"/>
        <w:rPr>
          <w:rFonts w:cstheme="minorHAnsi"/>
          <w:szCs w:val="20"/>
        </w:rPr>
      </w:pPr>
      <w:r w:rsidRPr="00D4158A">
        <w:rPr>
          <w:rFonts w:cstheme="minorHAnsi"/>
          <w:b/>
          <w:caps/>
          <w:szCs w:val="20"/>
        </w:rPr>
        <w:br w:type="page"/>
      </w:r>
    </w:p>
    <w:p w14:paraId="686F99F9" w14:textId="77777777" w:rsidR="0002381D" w:rsidRPr="00D4158A" w:rsidRDefault="0002381D" w:rsidP="00D4158A">
      <w:pPr>
        <w:spacing w:after="120" w:line="240" w:lineRule="auto"/>
        <w:rPr>
          <w:rFonts w:cstheme="minorHAnsi"/>
          <w:b/>
          <w:caps/>
          <w:szCs w:val="20"/>
        </w:rPr>
      </w:pPr>
      <w:r w:rsidRPr="00D4158A">
        <w:rPr>
          <w:rFonts w:cstheme="minorHAnsi"/>
          <w:b/>
          <w:caps/>
          <w:szCs w:val="20"/>
        </w:rPr>
        <w:lastRenderedPageBreak/>
        <w:t>n</w:t>
      </w:r>
      <w:r w:rsidRPr="00D4158A">
        <w:rPr>
          <w:rFonts w:cstheme="minorHAnsi"/>
          <w:b/>
          <w:szCs w:val="20"/>
        </w:rPr>
        <w:t>otes to the financial information</w:t>
      </w:r>
    </w:p>
    <w:p w14:paraId="1C72CFC8" w14:textId="77777777" w:rsidR="0002381D" w:rsidRPr="00D4158A" w:rsidRDefault="0002381D" w:rsidP="00D4158A">
      <w:pPr>
        <w:spacing w:after="120" w:line="240" w:lineRule="auto"/>
        <w:rPr>
          <w:rFonts w:cstheme="minorHAnsi"/>
          <w:b/>
          <w:caps/>
          <w:szCs w:val="20"/>
        </w:rPr>
      </w:pPr>
      <w:r w:rsidRPr="00D4158A">
        <w:rPr>
          <w:rFonts w:cstheme="minorHAnsi"/>
          <w:b/>
          <w:caps/>
          <w:szCs w:val="20"/>
        </w:rPr>
        <w:t>F</w:t>
      </w:r>
      <w:r w:rsidRPr="00D4158A">
        <w:rPr>
          <w:rFonts w:cstheme="minorHAnsi"/>
          <w:b/>
          <w:szCs w:val="20"/>
        </w:rPr>
        <w:t>or the six months ended 31 October 2019</w:t>
      </w:r>
      <w:r w:rsidRPr="00D4158A">
        <w:rPr>
          <w:rFonts w:cstheme="minorHAnsi"/>
          <w:b/>
          <w:caps/>
          <w:szCs w:val="20"/>
        </w:rPr>
        <w:t xml:space="preserve"> (</w:t>
      </w:r>
      <w:r w:rsidRPr="00D4158A">
        <w:rPr>
          <w:rFonts w:cstheme="minorHAnsi"/>
          <w:b/>
          <w:i/>
          <w:szCs w:val="20"/>
        </w:rPr>
        <w:t>continued)</w:t>
      </w:r>
    </w:p>
    <w:p w14:paraId="7B99FBD4" w14:textId="77777777" w:rsidR="0002381D" w:rsidRPr="00D4158A" w:rsidRDefault="0002381D" w:rsidP="00D4158A">
      <w:pPr>
        <w:pBdr>
          <w:bottom w:val="single" w:sz="6" w:space="1" w:color="auto"/>
        </w:pBdr>
        <w:spacing w:after="120" w:line="240" w:lineRule="auto"/>
        <w:jc w:val="right"/>
        <w:rPr>
          <w:rFonts w:cstheme="minorHAnsi"/>
          <w:szCs w:val="20"/>
        </w:rPr>
      </w:pPr>
    </w:p>
    <w:p w14:paraId="5D5EDB7D" w14:textId="77777777" w:rsidR="0002381D" w:rsidRPr="00D4158A" w:rsidRDefault="0002381D" w:rsidP="00D4158A">
      <w:pPr>
        <w:spacing w:after="120" w:line="240" w:lineRule="auto"/>
        <w:rPr>
          <w:rFonts w:cstheme="minorHAnsi"/>
          <w:szCs w:val="20"/>
        </w:rPr>
      </w:pPr>
    </w:p>
    <w:p w14:paraId="1B1744C5" w14:textId="77777777" w:rsidR="0002381D" w:rsidRPr="00D4158A" w:rsidRDefault="0002381D" w:rsidP="00D4158A">
      <w:pPr>
        <w:pStyle w:val="ListParagraph"/>
        <w:widowControl/>
        <w:numPr>
          <w:ilvl w:val="0"/>
          <w:numId w:val="89"/>
        </w:numPr>
        <w:spacing w:after="120"/>
        <w:contextualSpacing w:val="0"/>
        <w:rPr>
          <w:rFonts w:asciiTheme="minorHAnsi" w:hAnsiTheme="minorHAnsi" w:cstheme="minorHAnsi"/>
          <w:b/>
          <w:caps/>
          <w:sz w:val="20"/>
          <w:szCs w:val="20"/>
        </w:rPr>
      </w:pPr>
      <w:r w:rsidRPr="00D4158A">
        <w:rPr>
          <w:rFonts w:asciiTheme="minorHAnsi" w:hAnsiTheme="minorHAnsi" w:cstheme="minorHAnsi"/>
          <w:b/>
          <w:caps/>
          <w:sz w:val="20"/>
          <w:szCs w:val="20"/>
        </w:rPr>
        <w:t>INTANGIBLE ASSETS</w:t>
      </w:r>
    </w:p>
    <w:tbl>
      <w:tblPr>
        <w:tblW w:w="0" w:type="auto"/>
        <w:tblInd w:w="576" w:type="dxa"/>
        <w:tblLayout w:type="fixed"/>
        <w:tblCellMar>
          <w:left w:w="30" w:type="dxa"/>
          <w:right w:w="30" w:type="dxa"/>
        </w:tblCellMar>
        <w:tblLook w:val="04A0" w:firstRow="1" w:lastRow="0" w:firstColumn="1" w:lastColumn="0" w:noHBand="0" w:noVBand="1"/>
      </w:tblPr>
      <w:tblGrid>
        <w:gridCol w:w="3393"/>
        <w:gridCol w:w="1985"/>
        <w:gridCol w:w="992"/>
        <w:gridCol w:w="1985"/>
      </w:tblGrid>
      <w:tr w:rsidR="0002381D" w:rsidRPr="0002381D" w14:paraId="114AB165" w14:textId="77777777" w:rsidTr="00270393">
        <w:trPr>
          <w:trHeight w:val="542"/>
        </w:trPr>
        <w:tc>
          <w:tcPr>
            <w:tcW w:w="3393" w:type="dxa"/>
            <w:vAlign w:val="bottom"/>
          </w:tcPr>
          <w:p w14:paraId="66B604CB"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c>
          <w:tcPr>
            <w:tcW w:w="1985" w:type="dxa"/>
            <w:vAlign w:val="bottom"/>
            <w:hideMark/>
          </w:tcPr>
          <w:p w14:paraId="6FE2C7AB"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As at 30 April 2019</w:t>
            </w:r>
          </w:p>
        </w:tc>
        <w:tc>
          <w:tcPr>
            <w:tcW w:w="992" w:type="dxa"/>
            <w:vAlign w:val="bottom"/>
            <w:hideMark/>
          </w:tcPr>
          <w:p w14:paraId="6A12E8D9"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Additions</w:t>
            </w:r>
          </w:p>
        </w:tc>
        <w:tc>
          <w:tcPr>
            <w:tcW w:w="1985" w:type="dxa"/>
            <w:vAlign w:val="bottom"/>
            <w:hideMark/>
          </w:tcPr>
          <w:p w14:paraId="727BC53D"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As at 31 October 2019</w:t>
            </w:r>
          </w:p>
        </w:tc>
      </w:tr>
      <w:tr w:rsidR="0002381D" w:rsidRPr="0002381D" w14:paraId="0B8ED095" w14:textId="77777777" w:rsidTr="00270393">
        <w:trPr>
          <w:trHeight w:val="278"/>
        </w:trPr>
        <w:tc>
          <w:tcPr>
            <w:tcW w:w="3393" w:type="dxa"/>
            <w:vAlign w:val="bottom"/>
          </w:tcPr>
          <w:p w14:paraId="79842975"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c>
          <w:tcPr>
            <w:tcW w:w="1985" w:type="dxa"/>
            <w:vAlign w:val="bottom"/>
            <w:hideMark/>
          </w:tcPr>
          <w:p w14:paraId="5E376F6E"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RM</w:t>
            </w:r>
          </w:p>
        </w:tc>
        <w:tc>
          <w:tcPr>
            <w:tcW w:w="992" w:type="dxa"/>
            <w:vAlign w:val="bottom"/>
            <w:hideMark/>
          </w:tcPr>
          <w:p w14:paraId="0FBAA79B"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RM</w:t>
            </w:r>
          </w:p>
        </w:tc>
        <w:tc>
          <w:tcPr>
            <w:tcW w:w="1985" w:type="dxa"/>
            <w:vAlign w:val="bottom"/>
            <w:hideMark/>
          </w:tcPr>
          <w:p w14:paraId="06BC9438"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RM</w:t>
            </w:r>
          </w:p>
        </w:tc>
      </w:tr>
      <w:tr w:rsidR="0002381D" w:rsidRPr="0002381D" w14:paraId="4A9446AA" w14:textId="77777777" w:rsidTr="00270393">
        <w:trPr>
          <w:trHeight w:val="418"/>
        </w:trPr>
        <w:tc>
          <w:tcPr>
            <w:tcW w:w="3393" w:type="dxa"/>
            <w:vAlign w:val="bottom"/>
            <w:hideMark/>
          </w:tcPr>
          <w:p w14:paraId="00E4AC5D" w14:textId="77777777" w:rsidR="0002381D" w:rsidRPr="00D4158A" w:rsidRDefault="0002381D" w:rsidP="00D4158A">
            <w:pPr>
              <w:tabs>
                <w:tab w:val="left" w:pos="288"/>
              </w:tabs>
              <w:autoSpaceDE w:val="0"/>
              <w:autoSpaceDN w:val="0"/>
              <w:adjustRightInd w:val="0"/>
              <w:spacing w:after="120" w:line="240" w:lineRule="auto"/>
              <w:rPr>
                <w:rFonts w:cstheme="minorHAnsi"/>
                <w:b/>
                <w:bCs/>
                <w:color w:val="000000"/>
                <w:szCs w:val="20"/>
                <w:u w:val="single"/>
              </w:rPr>
            </w:pPr>
            <w:r w:rsidRPr="00D4158A">
              <w:rPr>
                <w:rFonts w:cstheme="minorHAnsi"/>
                <w:b/>
                <w:bCs/>
                <w:color w:val="000000"/>
                <w:szCs w:val="20"/>
                <w:u w:val="single"/>
              </w:rPr>
              <w:t>Cost</w:t>
            </w:r>
          </w:p>
        </w:tc>
        <w:tc>
          <w:tcPr>
            <w:tcW w:w="1985" w:type="dxa"/>
            <w:vAlign w:val="bottom"/>
          </w:tcPr>
          <w:p w14:paraId="5FB52328"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c>
          <w:tcPr>
            <w:tcW w:w="992" w:type="dxa"/>
            <w:vAlign w:val="bottom"/>
          </w:tcPr>
          <w:p w14:paraId="4312984A"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c>
          <w:tcPr>
            <w:tcW w:w="1985" w:type="dxa"/>
            <w:vAlign w:val="bottom"/>
          </w:tcPr>
          <w:p w14:paraId="3B691D42"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r>
      <w:tr w:rsidR="0002381D" w:rsidRPr="0002381D" w14:paraId="6EEA3A6B" w14:textId="77777777" w:rsidTr="00270393">
        <w:trPr>
          <w:trHeight w:val="278"/>
        </w:trPr>
        <w:tc>
          <w:tcPr>
            <w:tcW w:w="3393" w:type="dxa"/>
            <w:vAlign w:val="bottom"/>
            <w:hideMark/>
          </w:tcPr>
          <w:p w14:paraId="3567D1DB"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r w:rsidRPr="00D4158A">
              <w:rPr>
                <w:rFonts w:cstheme="minorHAnsi"/>
                <w:color w:val="000000"/>
                <w:szCs w:val="20"/>
              </w:rPr>
              <w:t>Software</w:t>
            </w:r>
          </w:p>
        </w:tc>
        <w:tc>
          <w:tcPr>
            <w:tcW w:w="1985" w:type="dxa"/>
            <w:vAlign w:val="bottom"/>
            <w:hideMark/>
          </w:tcPr>
          <w:p w14:paraId="6AEAA030"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325,853</w:t>
            </w:r>
          </w:p>
        </w:tc>
        <w:tc>
          <w:tcPr>
            <w:tcW w:w="992" w:type="dxa"/>
            <w:vAlign w:val="bottom"/>
            <w:hideMark/>
          </w:tcPr>
          <w:p w14:paraId="46104547"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w:t>
            </w:r>
          </w:p>
        </w:tc>
        <w:tc>
          <w:tcPr>
            <w:tcW w:w="1985" w:type="dxa"/>
            <w:vAlign w:val="bottom"/>
            <w:hideMark/>
          </w:tcPr>
          <w:p w14:paraId="793E87BC"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325,853</w:t>
            </w:r>
          </w:p>
        </w:tc>
      </w:tr>
      <w:tr w:rsidR="0002381D" w:rsidRPr="0002381D" w14:paraId="5E1586CC" w14:textId="77777777" w:rsidTr="00270393">
        <w:trPr>
          <w:trHeight w:val="372"/>
        </w:trPr>
        <w:tc>
          <w:tcPr>
            <w:tcW w:w="3393" w:type="dxa"/>
            <w:vAlign w:val="bottom"/>
          </w:tcPr>
          <w:p w14:paraId="2AD01648"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1985" w:type="dxa"/>
            <w:tcBorders>
              <w:top w:val="single" w:sz="6" w:space="0" w:color="auto"/>
              <w:left w:val="nil"/>
              <w:bottom w:val="double" w:sz="6" w:space="0" w:color="auto"/>
              <w:right w:val="nil"/>
            </w:tcBorders>
            <w:vAlign w:val="bottom"/>
            <w:hideMark/>
          </w:tcPr>
          <w:p w14:paraId="0BF381EE"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325,853</w:t>
            </w:r>
          </w:p>
        </w:tc>
        <w:tc>
          <w:tcPr>
            <w:tcW w:w="992" w:type="dxa"/>
            <w:tcBorders>
              <w:top w:val="single" w:sz="6" w:space="0" w:color="auto"/>
              <w:left w:val="nil"/>
              <w:bottom w:val="double" w:sz="6" w:space="0" w:color="auto"/>
              <w:right w:val="nil"/>
            </w:tcBorders>
            <w:vAlign w:val="bottom"/>
            <w:hideMark/>
          </w:tcPr>
          <w:p w14:paraId="17CC3CAA"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w:t>
            </w:r>
          </w:p>
        </w:tc>
        <w:tc>
          <w:tcPr>
            <w:tcW w:w="1985" w:type="dxa"/>
            <w:tcBorders>
              <w:top w:val="single" w:sz="6" w:space="0" w:color="auto"/>
              <w:left w:val="nil"/>
              <w:bottom w:val="double" w:sz="6" w:space="0" w:color="auto"/>
              <w:right w:val="nil"/>
            </w:tcBorders>
            <w:vAlign w:val="bottom"/>
            <w:hideMark/>
          </w:tcPr>
          <w:p w14:paraId="113FF7E3"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325,853</w:t>
            </w:r>
          </w:p>
        </w:tc>
      </w:tr>
      <w:tr w:rsidR="0002381D" w:rsidRPr="0002381D" w14:paraId="56D6701B" w14:textId="77777777" w:rsidTr="00270393">
        <w:trPr>
          <w:trHeight w:val="278"/>
        </w:trPr>
        <w:tc>
          <w:tcPr>
            <w:tcW w:w="3393" w:type="dxa"/>
            <w:vAlign w:val="bottom"/>
          </w:tcPr>
          <w:p w14:paraId="7AE116F3"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1985" w:type="dxa"/>
            <w:vAlign w:val="bottom"/>
          </w:tcPr>
          <w:p w14:paraId="283A5620"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c>
          <w:tcPr>
            <w:tcW w:w="992" w:type="dxa"/>
            <w:vAlign w:val="bottom"/>
          </w:tcPr>
          <w:p w14:paraId="6106C830"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c>
          <w:tcPr>
            <w:tcW w:w="1985" w:type="dxa"/>
            <w:vAlign w:val="bottom"/>
          </w:tcPr>
          <w:p w14:paraId="5C3ACCFA"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r>
      <w:tr w:rsidR="0002381D" w:rsidRPr="0002381D" w14:paraId="6E2F300D" w14:textId="77777777" w:rsidTr="00270393">
        <w:trPr>
          <w:trHeight w:val="542"/>
        </w:trPr>
        <w:tc>
          <w:tcPr>
            <w:tcW w:w="3393" w:type="dxa"/>
            <w:vAlign w:val="bottom"/>
          </w:tcPr>
          <w:p w14:paraId="7B979B1D"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1985" w:type="dxa"/>
            <w:vAlign w:val="bottom"/>
            <w:hideMark/>
          </w:tcPr>
          <w:p w14:paraId="0226A98A"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As at 30 April 2019</w:t>
            </w:r>
          </w:p>
        </w:tc>
        <w:tc>
          <w:tcPr>
            <w:tcW w:w="992" w:type="dxa"/>
            <w:vAlign w:val="bottom"/>
            <w:hideMark/>
          </w:tcPr>
          <w:p w14:paraId="2042CC4E"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Charges for the period</w:t>
            </w:r>
          </w:p>
        </w:tc>
        <w:tc>
          <w:tcPr>
            <w:tcW w:w="1985" w:type="dxa"/>
            <w:vAlign w:val="bottom"/>
            <w:hideMark/>
          </w:tcPr>
          <w:p w14:paraId="3DA49685"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As at 31 October 2019</w:t>
            </w:r>
          </w:p>
        </w:tc>
      </w:tr>
      <w:tr w:rsidR="0002381D" w:rsidRPr="0002381D" w14:paraId="034A7ED8" w14:textId="77777777" w:rsidTr="00270393">
        <w:trPr>
          <w:trHeight w:val="278"/>
        </w:trPr>
        <w:tc>
          <w:tcPr>
            <w:tcW w:w="3393" w:type="dxa"/>
            <w:vAlign w:val="bottom"/>
          </w:tcPr>
          <w:p w14:paraId="2353445B"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1985" w:type="dxa"/>
            <w:vAlign w:val="bottom"/>
            <w:hideMark/>
          </w:tcPr>
          <w:p w14:paraId="4C72249C"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RM</w:t>
            </w:r>
          </w:p>
        </w:tc>
        <w:tc>
          <w:tcPr>
            <w:tcW w:w="992" w:type="dxa"/>
            <w:vAlign w:val="bottom"/>
            <w:hideMark/>
          </w:tcPr>
          <w:p w14:paraId="51F34E6F"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RM</w:t>
            </w:r>
          </w:p>
        </w:tc>
        <w:tc>
          <w:tcPr>
            <w:tcW w:w="1985" w:type="dxa"/>
            <w:vAlign w:val="bottom"/>
            <w:hideMark/>
          </w:tcPr>
          <w:p w14:paraId="7E14E963"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RM</w:t>
            </w:r>
          </w:p>
        </w:tc>
      </w:tr>
      <w:tr w:rsidR="0002381D" w:rsidRPr="0002381D" w14:paraId="58015AA9" w14:textId="77777777" w:rsidTr="00270393">
        <w:trPr>
          <w:trHeight w:val="418"/>
        </w:trPr>
        <w:tc>
          <w:tcPr>
            <w:tcW w:w="3393" w:type="dxa"/>
            <w:vAlign w:val="bottom"/>
            <w:hideMark/>
          </w:tcPr>
          <w:p w14:paraId="5BF0CBF4" w14:textId="77777777" w:rsidR="0002381D" w:rsidRPr="00D4158A" w:rsidRDefault="0002381D" w:rsidP="00D4158A">
            <w:pPr>
              <w:tabs>
                <w:tab w:val="left" w:pos="288"/>
              </w:tabs>
              <w:autoSpaceDE w:val="0"/>
              <w:autoSpaceDN w:val="0"/>
              <w:adjustRightInd w:val="0"/>
              <w:spacing w:after="120" w:line="240" w:lineRule="auto"/>
              <w:rPr>
                <w:rFonts w:cstheme="minorHAnsi"/>
                <w:b/>
                <w:bCs/>
                <w:color w:val="000000"/>
                <w:szCs w:val="20"/>
                <w:u w:val="single"/>
              </w:rPr>
            </w:pPr>
            <w:r w:rsidRPr="00D4158A">
              <w:rPr>
                <w:rFonts w:cstheme="minorHAnsi"/>
                <w:b/>
                <w:bCs/>
                <w:color w:val="000000"/>
                <w:szCs w:val="20"/>
                <w:u w:val="single"/>
              </w:rPr>
              <w:t>Accumulated Depreciation</w:t>
            </w:r>
          </w:p>
        </w:tc>
        <w:tc>
          <w:tcPr>
            <w:tcW w:w="1985" w:type="dxa"/>
            <w:vAlign w:val="bottom"/>
          </w:tcPr>
          <w:p w14:paraId="3FCD4548"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c>
          <w:tcPr>
            <w:tcW w:w="992" w:type="dxa"/>
            <w:vAlign w:val="bottom"/>
          </w:tcPr>
          <w:p w14:paraId="40E7AC61"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c>
          <w:tcPr>
            <w:tcW w:w="1985" w:type="dxa"/>
            <w:vAlign w:val="bottom"/>
          </w:tcPr>
          <w:p w14:paraId="12CCDB2F"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r>
      <w:tr w:rsidR="0002381D" w:rsidRPr="0002381D" w14:paraId="4C42092B" w14:textId="77777777" w:rsidTr="00270393">
        <w:trPr>
          <w:trHeight w:val="278"/>
        </w:trPr>
        <w:tc>
          <w:tcPr>
            <w:tcW w:w="3393" w:type="dxa"/>
            <w:vAlign w:val="bottom"/>
            <w:hideMark/>
          </w:tcPr>
          <w:p w14:paraId="46FFF543"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r w:rsidRPr="00D4158A">
              <w:rPr>
                <w:rFonts w:cstheme="minorHAnsi"/>
                <w:color w:val="000000"/>
                <w:szCs w:val="20"/>
              </w:rPr>
              <w:t>Software</w:t>
            </w:r>
          </w:p>
        </w:tc>
        <w:tc>
          <w:tcPr>
            <w:tcW w:w="1985" w:type="dxa"/>
            <w:vAlign w:val="bottom"/>
            <w:hideMark/>
          </w:tcPr>
          <w:p w14:paraId="6470EC72"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65,171</w:t>
            </w:r>
          </w:p>
        </w:tc>
        <w:tc>
          <w:tcPr>
            <w:tcW w:w="992" w:type="dxa"/>
            <w:vAlign w:val="bottom"/>
            <w:hideMark/>
          </w:tcPr>
          <w:p w14:paraId="5B2BBAD6"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32,585</w:t>
            </w:r>
          </w:p>
        </w:tc>
        <w:tc>
          <w:tcPr>
            <w:tcW w:w="1985" w:type="dxa"/>
            <w:vAlign w:val="bottom"/>
            <w:hideMark/>
          </w:tcPr>
          <w:p w14:paraId="37AB9363"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97,756</w:t>
            </w:r>
          </w:p>
        </w:tc>
      </w:tr>
      <w:tr w:rsidR="0002381D" w:rsidRPr="0002381D" w14:paraId="549AC8BE" w14:textId="77777777" w:rsidTr="00270393">
        <w:trPr>
          <w:trHeight w:val="372"/>
        </w:trPr>
        <w:tc>
          <w:tcPr>
            <w:tcW w:w="3393" w:type="dxa"/>
            <w:vAlign w:val="bottom"/>
          </w:tcPr>
          <w:p w14:paraId="1C66860C"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1985" w:type="dxa"/>
            <w:tcBorders>
              <w:top w:val="single" w:sz="6" w:space="0" w:color="auto"/>
              <w:left w:val="nil"/>
              <w:bottom w:val="double" w:sz="6" w:space="0" w:color="auto"/>
              <w:right w:val="nil"/>
            </w:tcBorders>
            <w:vAlign w:val="bottom"/>
            <w:hideMark/>
          </w:tcPr>
          <w:p w14:paraId="24314284"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65,171</w:t>
            </w:r>
          </w:p>
        </w:tc>
        <w:tc>
          <w:tcPr>
            <w:tcW w:w="992" w:type="dxa"/>
            <w:tcBorders>
              <w:top w:val="single" w:sz="6" w:space="0" w:color="auto"/>
              <w:left w:val="nil"/>
              <w:bottom w:val="double" w:sz="6" w:space="0" w:color="auto"/>
              <w:right w:val="nil"/>
            </w:tcBorders>
            <w:vAlign w:val="bottom"/>
            <w:hideMark/>
          </w:tcPr>
          <w:p w14:paraId="10D198B9"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32,585</w:t>
            </w:r>
          </w:p>
        </w:tc>
        <w:tc>
          <w:tcPr>
            <w:tcW w:w="1985" w:type="dxa"/>
            <w:tcBorders>
              <w:top w:val="single" w:sz="6" w:space="0" w:color="auto"/>
              <w:left w:val="nil"/>
              <w:bottom w:val="double" w:sz="6" w:space="0" w:color="auto"/>
              <w:right w:val="nil"/>
            </w:tcBorders>
            <w:vAlign w:val="bottom"/>
            <w:hideMark/>
          </w:tcPr>
          <w:p w14:paraId="53DCB1B8"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97,756</w:t>
            </w:r>
          </w:p>
        </w:tc>
      </w:tr>
      <w:tr w:rsidR="0002381D" w:rsidRPr="0002381D" w14:paraId="4D32E836" w14:textId="77777777" w:rsidTr="00270393">
        <w:trPr>
          <w:trHeight w:val="278"/>
        </w:trPr>
        <w:tc>
          <w:tcPr>
            <w:tcW w:w="3393" w:type="dxa"/>
            <w:vAlign w:val="bottom"/>
          </w:tcPr>
          <w:p w14:paraId="51140640"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1985" w:type="dxa"/>
            <w:vAlign w:val="bottom"/>
          </w:tcPr>
          <w:p w14:paraId="0840AE4E"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p>
        </w:tc>
        <w:tc>
          <w:tcPr>
            <w:tcW w:w="992" w:type="dxa"/>
            <w:vAlign w:val="bottom"/>
          </w:tcPr>
          <w:p w14:paraId="346B8CC6"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p>
        </w:tc>
        <w:tc>
          <w:tcPr>
            <w:tcW w:w="1985" w:type="dxa"/>
            <w:vAlign w:val="bottom"/>
          </w:tcPr>
          <w:p w14:paraId="1D0468BD"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p>
        </w:tc>
      </w:tr>
      <w:tr w:rsidR="0002381D" w:rsidRPr="0002381D" w14:paraId="0E9372DA" w14:textId="77777777" w:rsidTr="00270393">
        <w:trPr>
          <w:trHeight w:val="557"/>
        </w:trPr>
        <w:tc>
          <w:tcPr>
            <w:tcW w:w="3393" w:type="dxa"/>
            <w:vAlign w:val="bottom"/>
          </w:tcPr>
          <w:p w14:paraId="35033962"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1985" w:type="dxa"/>
            <w:vAlign w:val="bottom"/>
            <w:hideMark/>
          </w:tcPr>
          <w:p w14:paraId="57BD2F4E" w14:textId="77777777" w:rsidR="0002381D" w:rsidRPr="00D4158A" w:rsidRDefault="0002381D" w:rsidP="00D4158A">
            <w:pPr>
              <w:tabs>
                <w:tab w:val="left" w:pos="288"/>
              </w:tabs>
              <w:autoSpaceDE w:val="0"/>
              <w:autoSpaceDN w:val="0"/>
              <w:adjustRightInd w:val="0"/>
              <w:spacing w:after="120" w:line="240" w:lineRule="auto"/>
              <w:jc w:val="center"/>
              <w:rPr>
                <w:rFonts w:cstheme="minorHAnsi"/>
                <w:b/>
                <w:bCs/>
                <w:color w:val="000000"/>
                <w:szCs w:val="20"/>
              </w:rPr>
            </w:pPr>
            <w:r w:rsidRPr="00D4158A">
              <w:rPr>
                <w:rFonts w:cstheme="minorHAnsi"/>
                <w:b/>
                <w:bCs/>
                <w:color w:val="000000"/>
                <w:szCs w:val="20"/>
              </w:rPr>
              <w:t>As at 30 April 2019</w:t>
            </w:r>
          </w:p>
        </w:tc>
        <w:tc>
          <w:tcPr>
            <w:tcW w:w="992" w:type="dxa"/>
            <w:vAlign w:val="bottom"/>
          </w:tcPr>
          <w:p w14:paraId="0FCCA0DA" w14:textId="77777777" w:rsidR="0002381D" w:rsidRPr="00D4158A" w:rsidRDefault="0002381D" w:rsidP="00D4158A">
            <w:pPr>
              <w:tabs>
                <w:tab w:val="left" w:pos="288"/>
              </w:tabs>
              <w:autoSpaceDE w:val="0"/>
              <w:autoSpaceDN w:val="0"/>
              <w:adjustRightInd w:val="0"/>
              <w:spacing w:after="120" w:line="240" w:lineRule="auto"/>
              <w:jc w:val="center"/>
              <w:rPr>
                <w:rFonts w:cstheme="minorHAnsi"/>
                <w:b/>
                <w:bCs/>
                <w:color w:val="000000"/>
                <w:szCs w:val="20"/>
              </w:rPr>
            </w:pPr>
          </w:p>
        </w:tc>
        <w:tc>
          <w:tcPr>
            <w:tcW w:w="1985" w:type="dxa"/>
            <w:vAlign w:val="bottom"/>
            <w:hideMark/>
          </w:tcPr>
          <w:p w14:paraId="384372AF"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As at 31 October 2019</w:t>
            </w:r>
          </w:p>
        </w:tc>
      </w:tr>
      <w:tr w:rsidR="0002381D" w:rsidRPr="0002381D" w14:paraId="73BA0E54" w14:textId="77777777" w:rsidTr="00270393">
        <w:trPr>
          <w:trHeight w:val="278"/>
        </w:trPr>
        <w:tc>
          <w:tcPr>
            <w:tcW w:w="3393" w:type="dxa"/>
            <w:vAlign w:val="bottom"/>
          </w:tcPr>
          <w:p w14:paraId="49A9CF6A"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1985" w:type="dxa"/>
            <w:vAlign w:val="bottom"/>
            <w:hideMark/>
          </w:tcPr>
          <w:p w14:paraId="1286F485" w14:textId="77777777" w:rsidR="0002381D" w:rsidRPr="00D4158A" w:rsidRDefault="0002381D" w:rsidP="00D4158A">
            <w:pPr>
              <w:tabs>
                <w:tab w:val="left" w:pos="288"/>
              </w:tabs>
              <w:autoSpaceDE w:val="0"/>
              <w:autoSpaceDN w:val="0"/>
              <w:adjustRightInd w:val="0"/>
              <w:spacing w:after="120" w:line="240" w:lineRule="auto"/>
              <w:jc w:val="center"/>
              <w:rPr>
                <w:rFonts w:cstheme="minorHAnsi"/>
                <w:b/>
                <w:bCs/>
                <w:color w:val="000000"/>
                <w:szCs w:val="20"/>
              </w:rPr>
            </w:pPr>
            <w:r w:rsidRPr="00D4158A">
              <w:rPr>
                <w:rFonts w:cstheme="minorHAnsi"/>
                <w:b/>
                <w:bCs/>
                <w:color w:val="000000"/>
                <w:szCs w:val="20"/>
              </w:rPr>
              <w:t>RM</w:t>
            </w:r>
          </w:p>
        </w:tc>
        <w:tc>
          <w:tcPr>
            <w:tcW w:w="992" w:type="dxa"/>
            <w:vAlign w:val="bottom"/>
          </w:tcPr>
          <w:p w14:paraId="5E5F5214" w14:textId="77777777" w:rsidR="0002381D" w:rsidRPr="00D4158A" w:rsidRDefault="0002381D" w:rsidP="00D4158A">
            <w:pPr>
              <w:tabs>
                <w:tab w:val="left" w:pos="288"/>
              </w:tabs>
              <w:autoSpaceDE w:val="0"/>
              <w:autoSpaceDN w:val="0"/>
              <w:adjustRightInd w:val="0"/>
              <w:spacing w:after="120" w:line="240" w:lineRule="auto"/>
              <w:jc w:val="center"/>
              <w:rPr>
                <w:rFonts w:cstheme="minorHAnsi"/>
                <w:b/>
                <w:bCs/>
                <w:color w:val="000000"/>
                <w:szCs w:val="20"/>
              </w:rPr>
            </w:pPr>
          </w:p>
        </w:tc>
        <w:tc>
          <w:tcPr>
            <w:tcW w:w="1985" w:type="dxa"/>
            <w:vAlign w:val="bottom"/>
            <w:hideMark/>
          </w:tcPr>
          <w:p w14:paraId="09DCB936"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b/>
                <w:bCs/>
                <w:color w:val="000000"/>
                <w:szCs w:val="20"/>
              </w:rPr>
            </w:pPr>
            <w:r w:rsidRPr="00D4158A">
              <w:rPr>
                <w:rFonts w:cstheme="minorHAnsi"/>
                <w:b/>
                <w:bCs/>
                <w:color w:val="000000"/>
                <w:szCs w:val="20"/>
              </w:rPr>
              <w:t>RM</w:t>
            </w:r>
          </w:p>
        </w:tc>
      </w:tr>
      <w:tr w:rsidR="0002381D" w:rsidRPr="0002381D" w14:paraId="7CD55372" w14:textId="77777777" w:rsidTr="00270393">
        <w:trPr>
          <w:trHeight w:val="418"/>
        </w:trPr>
        <w:tc>
          <w:tcPr>
            <w:tcW w:w="3393" w:type="dxa"/>
            <w:vAlign w:val="bottom"/>
            <w:hideMark/>
          </w:tcPr>
          <w:p w14:paraId="43C491D2" w14:textId="77777777" w:rsidR="0002381D" w:rsidRPr="00D4158A" w:rsidRDefault="0002381D" w:rsidP="00D4158A">
            <w:pPr>
              <w:tabs>
                <w:tab w:val="left" w:pos="288"/>
              </w:tabs>
              <w:autoSpaceDE w:val="0"/>
              <w:autoSpaceDN w:val="0"/>
              <w:adjustRightInd w:val="0"/>
              <w:spacing w:after="120" w:line="240" w:lineRule="auto"/>
              <w:rPr>
                <w:rFonts w:cstheme="minorHAnsi"/>
                <w:b/>
                <w:bCs/>
                <w:color w:val="000000"/>
                <w:szCs w:val="20"/>
                <w:u w:val="single"/>
              </w:rPr>
            </w:pPr>
            <w:r w:rsidRPr="00D4158A">
              <w:rPr>
                <w:rFonts w:cstheme="minorHAnsi"/>
                <w:b/>
                <w:bCs/>
                <w:color w:val="000000"/>
                <w:szCs w:val="20"/>
                <w:u w:val="single"/>
              </w:rPr>
              <w:t>Carrying Amounts</w:t>
            </w:r>
          </w:p>
        </w:tc>
        <w:tc>
          <w:tcPr>
            <w:tcW w:w="1985" w:type="dxa"/>
            <w:vAlign w:val="bottom"/>
          </w:tcPr>
          <w:p w14:paraId="671AEEF1"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p>
        </w:tc>
        <w:tc>
          <w:tcPr>
            <w:tcW w:w="992" w:type="dxa"/>
            <w:vAlign w:val="bottom"/>
          </w:tcPr>
          <w:p w14:paraId="0F4D8299"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p>
        </w:tc>
        <w:tc>
          <w:tcPr>
            <w:tcW w:w="1985" w:type="dxa"/>
            <w:vAlign w:val="bottom"/>
          </w:tcPr>
          <w:p w14:paraId="2B97E267" w14:textId="77777777" w:rsidR="0002381D" w:rsidRPr="00D4158A" w:rsidRDefault="0002381D" w:rsidP="00D4158A">
            <w:pPr>
              <w:tabs>
                <w:tab w:val="left" w:pos="288"/>
              </w:tabs>
              <w:autoSpaceDE w:val="0"/>
              <w:autoSpaceDN w:val="0"/>
              <w:adjustRightInd w:val="0"/>
              <w:spacing w:after="120" w:line="240" w:lineRule="auto"/>
              <w:jc w:val="center"/>
              <w:rPr>
                <w:rFonts w:cstheme="minorHAnsi"/>
                <w:color w:val="000000"/>
                <w:szCs w:val="20"/>
              </w:rPr>
            </w:pPr>
          </w:p>
        </w:tc>
      </w:tr>
      <w:tr w:rsidR="0002381D" w:rsidRPr="0002381D" w14:paraId="33AC7C0D" w14:textId="77777777" w:rsidTr="00270393">
        <w:trPr>
          <w:trHeight w:val="278"/>
        </w:trPr>
        <w:tc>
          <w:tcPr>
            <w:tcW w:w="3393" w:type="dxa"/>
            <w:vAlign w:val="bottom"/>
            <w:hideMark/>
          </w:tcPr>
          <w:p w14:paraId="1EEF27F0"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r w:rsidRPr="00D4158A">
              <w:rPr>
                <w:rFonts w:cstheme="minorHAnsi"/>
                <w:color w:val="000000"/>
                <w:szCs w:val="20"/>
              </w:rPr>
              <w:t>Software</w:t>
            </w:r>
          </w:p>
        </w:tc>
        <w:tc>
          <w:tcPr>
            <w:tcW w:w="1985" w:type="dxa"/>
            <w:vAlign w:val="bottom"/>
            <w:hideMark/>
          </w:tcPr>
          <w:p w14:paraId="57DBEED7"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r w:rsidRPr="00D4158A">
              <w:rPr>
                <w:rFonts w:cstheme="minorHAnsi"/>
                <w:color w:val="000000"/>
                <w:szCs w:val="20"/>
              </w:rPr>
              <w:t>260,682</w:t>
            </w:r>
          </w:p>
        </w:tc>
        <w:tc>
          <w:tcPr>
            <w:tcW w:w="992" w:type="dxa"/>
            <w:vAlign w:val="bottom"/>
          </w:tcPr>
          <w:p w14:paraId="2B6680FA" w14:textId="77777777" w:rsidR="0002381D" w:rsidRPr="00D4158A" w:rsidRDefault="0002381D" w:rsidP="00D4158A">
            <w:pPr>
              <w:tabs>
                <w:tab w:val="left" w:pos="288"/>
              </w:tabs>
              <w:autoSpaceDE w:val="0"/>
              <w:autoSpaceDN w:val="0"/>
              <w:adjustRightInd w:val="0"/>
              <w:spacing w:after="120" w:line="240" w:lineRule="auto"/>
              <w:jc w:val="right"/>
              <w:rPr>
                <w:rFonts w:cstheme="minorHAnsi"/>
                <w:color w:val="000000"/>
                <w:szCs w:val="20"/>
              </w:rPr>
            </w:pPr>
          </w:p>
        </w:tc>
        <w:tc>
          <w:tcPr>
            <w:tcW w:w="1985" w:type="dxa"/>
            <w:vAlign w:val="bottom"/>
            <w:hideMark/>
          </w:tcPr>
          <w:p w14:paraId="166ECC9E" w14:textId="77777777" w:rsidR="0002381D" w:rsidRPr="00D4158A" w:rsidRDefault="0002381D" w:rsidP="00D4158A">
            <w:pPr>
              <w:tabs>
                <w:tab w:val="left" w:pos="288"/>
              </w:tabs>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228,097</w:t>
            </w:r>
          </w:p>
        </w:tc>
      </w:tr>
      <w:tr w:rsidR="0002381D" w:rsidRPr="0002381D" w14:paraId="60280430" w14:textId="77777777" w:rsidTr="00270393">
        <w:trPr>
          <w:trHeight w:val="372"/>
        </w:trPr>
        <w:tc>
          <w:tcPr>
            <w:tcW w:w="3393" w:type="dxa"/>
            <w:vAlign w:val="bottom"/>
          </w:tcPr>
          <w:p w14:paraId="7B1FD077" w14:textId="77777777" w:rsidR="0002381D" w:rsidRPr="00D4158A" w:rsidRDefault="0002381D" w:rsidP="00D4158A">
            <w:pPr>
              <w:tabs>
                <w:tab w:val="left" w:pos="288"/>
              </w:tabs>
              <w:autoSpaceDE w:val="0"/>
              <w:autoSpaceDN w:val="0"/>
              <w:adjustRightInd w:val="0"/>
              <w:spacing w:after="120" w:line="240" w:lineRule="auto"/>
              <w:rPr>
                <w:rFonts w:cstheme="minorHAnsi"/>
                <w:color w:val="000000"/>
                <w:szCs w:val="20"/>
              </w:rPr>
            </w:pPr>
          </w:p>
        </w:tc>
        <w:tc>
          <w:tcPr>
            <w:tcW w:w="1985" w:type="dxa"/>
            <w:tcBorders>
              <w:top w:val="single" w:sz="6" w:space="0" w:color="auto"/>
              <w:left w:val="nil"/>
              <w:bottom w:val="double" w:sz="6" w:space="0" w:color="auto"/>
              <w:right w:val="nil"/>
            </w:tcBorders>
            <w:vAlign w:val="bottom"/>
            <w:hideMark/>
          </w:tcPr>
          <w:p w14:paraId="0E8D6BF4" w14:textId="77777777" w:rsidR="0002381D" w:rsidRPr="00D4158A" w:rsidRDefault="0002381D" w:rsidP="00D4158A">
            <w:pPr>
              <w:autoSpaceDE w:val="0"/>
              <w:autoSpaceDN w:val="0"/>
              <w:adjustRightInd w:val="0"/>
              <w:spacing w:after="120" w:line="240" w:lineRule="auto"/>
              <w:jc w:val="right"/>
              <w:rPr>
                <w:rFonts w:cstheme="minorHAnsi"/>
                <w:color w:val="000000"/>
                <w:szCs w:val="20"/>
                <w:lang w:val="en-US"/>
              </w:rPr>
            </w:pPr>
            <w:r w:rsidRPr="00D4158A">
              <w:rPr>
                <w:rFonts w:cstheme="minorHAnsi"/>
                <w:color w:val="000000"/>
                <w:szCs w:val="20"/>
              </w:rPr>
              <w:t>260,682</w:t>
            </w:r>
          </w:p>
        </w:tc>
        <w:tc>
          <w:tcPr>
            <w:tcW w:w="992" w:type="dxa"/>
            <w:vAlign w:val="bottom"/>
          </w:tcPr>
          <w:p w14:paraId="627339E5" w14:textId="77777777" w:rsidR="0002381D" w:rsidRPr="00D4158A" w:rsidRDefault="0002381D" w:rsidP="00D4158A">
            <w:pPr>
              <w:autoSpaceDE w:val="0"/>
              <w:autoSpaceDN w:val="0"/>
              <w:adjustRightInd w:val="0"/>
              <w:spacing w:after="120" w:line="240" w:lineRule="auto"/>
              <w:jc w:val="right"/>
              <w:rPr>
                <w:rFonts w:cstheme="minorHAnsi"/>
                <w:color w:val="000000"/>
                <w:szCs w:val="20"/>
              </w:rPr>
            </w:pPr>
          </w:p>
        </w:tc>
        <w:tc>
          <w:tcPr>
            <w:tcW w:w="1985" w:type="dxa"/>
            <w:tcBorders>
              <w:top w:val="single" w:sz="6" w:space="0" w:color="auto"/>
              <w:left w:val="nil"/>
              <w:bottom w:val="double" w:sz="6" w:space="0" w:color="auto"/>
              <w:right w:val="nil"/>
            </w:tcBorders>
            <w:vAlign w:val="bottom"/>
            <w:hideMark/>
          </w:tcPr>
          <w:p w14:paraId="7980E041" w14:textId="77777777" w:rsidR="0002381D" w:rsidRPr="00D4158A" w:rsidRDefault="0002381D" w:rsidP="00D4158A">
            <w:pPr>
              <w:autoSpaceDE w:val="0"/>
              <w:autoSpaceDN w:val="0"/>
              <w:adjustRightInd w:val="0"/>
              <w:spacing w:after="120" w:line="240" w:lineRule="auto"/>
              <w:ind w:right="72"/>
              <w:jc w:val="center"/>
              <w:rPr>
                <w:rFonts w:cstheme="minorHAnsi"/>
                <w:color w:val="000000"/>
                <w:szCs w:val="20"/>
              </w:rPr>
            </w:pPr>
            <w:r w:rsidRPr="00D4158A">
              <w:rPr>
                <w:rFonts w:cstheme="minorHAnsi"/>
                <w:color w:val="000000"/>
                <w:szCs w:val="20"/>
              </w:rPr>
              <w:t>228,097</w:t>
            </w:r>
          </w:p>
        </w:tc>
      </w:tr>
    </w:tbl>
    <w:p w14:paraId="7A3598E6" w14:textId="77777777" w:rsidR="0002381D" w:rsidRPr="00D4158A" w:rsidRDefault="0002381D" w:rsidP="00D4158A">
      <w:pPr>
        <w:keepNext/>
        <w:keepLines/>
        <w:spacing w:after="120" w:line="240" w:lineRule="auto"/>
        <w:rPr>
          <w:rFonts w:cstheme="minorHAnsi"/>
          <w:b/>
          <w:caps/>
          <w:szCs w:val="20"/>
        </w:rPr>
      </w:pPr>
    </w:p>
    <w:p w14:paraId="7537AC3C" w14:textId="77777777" w:rsidR="0002381D" w:rsidRPr="00D4158A" w:rsidRDefault="0002381D" w:rsidP="00D4158A">
      <w:pPr>
        <w:spacing w:after="120" w:line="240" w:lineRule="auto"/>
        <w:jc w:val="center"/>
        <w:rPr>
          <w:rFonts w:cstheme="minorHAnsi"/>
          <w:szCs w:val="20"/>
        </w:rPr>
      </w:pPr>
      <w:r w:rsidRPr="00D4158A">
        <w:rPr>
          <w:rFonts w:cstheme="minorHAnsi"/>
          <w:b/>
          <w:caps/>
          <w:szCs w:val="20"/>
        </w:rPr>
        <w:br w:type="page"/>
      </w:r>
    </w:p>
    <w:p w14:paraId="73D75D39" w14:textId="77777777" w:rsidR="0002381D" w:rsidRPr="00D4158A" w:rsidRDefault="0002381D" w:rsidP="00D4158A">
      <w:pPr>
        <w:spacing w:after="120" w:line="240" w:lineRule="auto"/>
        <w:rPr>
          <w:rFonts w:cstheme="minorHAnsi"/>
          <w:b/>
          <w:caps/>
          <w:szCs w:val="20"/>
        </w:rPr>
      </w:pPr>
      <w:r w:rsidRPr="00D4158A">
        <w:rPr>
          <w:rFonts w:cstheme="minorHAnsi"/>
          <w:b/>
          <w:caps/>
          <w:szCs w:val="20"/>
        </w:rPr>
        <w:lastRenderedPageBreak/>
        <w:t>n</w:t>
      </w:r>
      <w:r w:rsidRPr="00D4158A">
        <w:rPr>
          <w:rFonts w:cstheme="minorHAnsi"/>
          <w:b/>
          <w:szCs w:val="20"/>
        </w:rPr>
        <w:t>otes to the financial information</w:t>
      </w:r>
    </w:p>
    <w:p w14:paraId="28205569" w14:textId="77777777" w:rsidR="0002381D" w:rsidRPr="00D4158A" w:rsidRDefault="0002381D" w:rsidP="00D4158A">
      <w:pPr>
        <w:spacing w:after="120" w:line="240" w:lineRule="auto"/>
        <w:rPr>
          <w:rFonts w:cstheme="minorHAnsi"/>
          <w:b/>
          <w:caps/>
          <w:szCs w:val="20"/>
        </w:rPr>
      </w:pPr>
      <w:r w:rsidRPr="00D4158A">
        <w:rPr>
          <w:rFonts w:cstheme="minorHAnsi"/>
          <w:b/>
          <w:caps/>
          <w:szCs w:val="20"/>
        </w:rPr>
        <w:t>F</w:t>
      </w:r>
      <w:r w:rsidRPr="00D4158A">
        <w:rPr>
          <w:rFonts w:cstheme="minorHAnsi"/>
          <w:b/>
          <w:szCs w:val="20"/>
        </w:rPr>
        <w:t>or the six months ended 31 October 2019</w:t>
      </w:r>
      <w:r w:rsidRPr="00D4158A">
        <w:rPr>
          <w:rFonts w:cstheme="minorHAnsi"/>
          <w:b/>
          <w:caps/>
          <w:szCs w:val="20"/>
        </w:rPr>
        <w:t xml:space="preserve"> (</w:t>
      </w:r>
      <w:r w:rsidRPr="00D4158A">
        <w:rPr>
          <w:rFonts w:cstheme="minorHAnsi"/>
          <w:b/>
          <w:i/>
          <w:szCs w:val="20"/>
        </w:rPr>
        <w:t>continued)</w:t>
      </w:r>
    </w:p>
    <w:p w14:paraId="7B7960CD" w14:textId="77777777" w:rsidR="0002381D" w:rsidRPr="00D4158A" w:rsidRDefault="0002381D" w:rsidP="00D4158A">
      <w:pPr>
        <w:pBdr>
          <w:bottom w:val="single" w:sz="6" w:space="1" w:color="auto"/>
        </w:pBdr>
        <w:spacing w:after="120" w:line="240" w:lineRule="auto"/>
        <w:jc w:val="right"/>
        <w:rPr>
          <w:rFonts w:cstheme="minorHAnsi"/>
          <w:szCs w:val="20"/>
        </w:rPr>
      </w:pPr>
    </w:p>
    <w:p w14:paraId="7A83997F" w14:textId="77777777" w:rsidR="0002381D" w:rsidRPr="00D4158A" w:rsidRDefault="0002381D" w:rsidP="00D4158A">
      <w:pPr>
        <w:spacing w:after="120" w:line="240" w:lineRule="auto"/>
        <w:rPr>
          <w:rFonts w:cstheme="minorHAnsi"/>
          <w:szCs w:val="20"/>
        </w:rPr>
      </w:pPr>
    </w:p>
    <w:p w14:paraId="25A49540" w14:textId="77777777" w:rsidR="0002381D" w:rsidRPr="00D4158A" w:rsidRDefault="0002381D" w:rsidP="00D4158A">
      <w:pPr>
        <w:pStyle w:val="ListParagraph"/>
        <w:widowControl/>
        <w:numPr>
          <w:ilvl w:val="0"/>
          <w:numId w:val="89"/>
        </w:numPr>
        <w:spacing w:after="120"/>
        <w:contextualSpacing w:val="0"/>
        <w:rPr>
          <w:rFonts w:asciiTheme="minorHAnsi" w:hAnsiTheme="minorHAnsi" w:cstheme="minorHAnsi"/>
          <w:b/>
          <w:caps/>
          <w:sz w:val="20"/>
          <w:szCs w:val="20"/>
        </w:rPr>
      </w:pPr>
      <w:r w:rsidRPr="00D4158A">
        <w:rPr>
          <w:rFonts w:asciiTheme="minorHAnsi" w:hAnsiTheme="minorHAnsi" w:cstheme="minorHAnsi"/>
          <w:b/>
          <w:caps/>
          <w:sz w:val="20"/>
          <w:szCs w:val="20"/>
        </w:rPr>
        <w:t>Trade receivables, deposits and prepayments</w:t>
      </w:r>
    </w:p>
    <w:p w14:paraId="35FE7252" w14:textId="77777777" w:rsidR="0002381D" w:rsidRPr="00D4158A" w:rsidRDefault="0002381D" w:rsidP="00D4158A">
      <w:pPr>
        <w:spacing w:after="120" w:line="240" w:lineRule="auto"/>
        <w:ind w:left="576"/>
        <w:rPr>
          <w:rFonts w:cstheme="minorHAnsi"/>
          <w:szCs w:val="20"/>
          <w:lang w:eastAsia="en-GB"/>
        </w:rPr>
      </w:pPr>
      <w:r w:rsidRPr="00D4158A">
        <w:rPr>
          <w:rFonts w:cstheme="minorHAnsi"/>
          <w:szCs w:val="20"/>
        </w:rPr>
        <w:t>Alchemist’s normal trade credit terms range is 180 days. Other credit terms are assessed and approved on case to case basis.</w:t>
      </w:r>
    </w:p>
    <w:tbl>
      <w:tblPr>
        <w:tblStyle w:val="TableGrid13"/>
        <w:tblW w:w="8647" w:type="dxa"/>
        <w:tblInd w:w="567" w:type="dxa"/>
        <w:tblLook w:val="04A0" w:firstRow="1" w:lastRow="0" w:firstColumn="1" w:lastColumn="0" w:noHBand="0" w:noVBand="1"/>
      </w:tblPr>
      <w:tblGrid>
        <w:gridCol w:w="4962"/>
        <w:gridCol w:w="1984"/>
        <w:gridCol w:w="1701"/>
      </w:tblGrid>
      <w:tr w:rsidR="0002381D" w:rsidRPr="0002381D" w14:paraId="36946CC2" w14:textId="77777777" w:rsidTr="00270393">
        <w:trPr>
          <w:trHeight w:val="677"/>
        </w:trPr>
        <w:tc>
          <w:tcPr>
            <w:tcW w:w="4962" w:type="dxa"/>
            <w:tcBorders>
              <w:top w:val="nil"/>
              <w:left w:val="nil"/>
              <w:bottom w:val="nil"/>
              <w:right w:val="nil"/>
            </w:tcBorders>
          </w:tcPr>
          <w:p w14:paraId="7D7484DC" w14:textId="77777777" w:rsidR="0002381D" w:rsidRPr="00D4158A" w:rsidRDefault="0002381D" w:rsidP="00EA2BB6">
            <w:pPr>
              <w:rPr>
                <w:rFonts w:asciiTheme="minorHAnsi" w:hAnsiTheme="minorHAnsi" w:cstheme="minorHAnsi"/>
                <w:b/>
                <w:lang w:eastAsia="en-US"/>
              </w:rPr>
            </w:pPr>
          </w:p>
        </w:tc>
        <w:tc>
          <w:tcPr>
            <w:tcW w:w="1984" w:type="dxa"/>
            <w:tcBorders>
              <w:top w:val="nil"/>
              <w:left w:val="nil"/>
              <w:bottom w:val="nil"/>
              <w:right w:val="nil"/>
            </w:tcBorders>
            <w:hideMark/>
          </w:tcPr>
          <w:p w14:paraId="7A19DA4A"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 xml:space="preserve">31 October </w:t>
            </w:r>
          </w:p>
          <w:p w14:paraId="4CD83827"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2019</w:t>
            </w:r>
          </w:p>
          <w:p w14:paraId="1DEEFFF8"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RM</w:t>
            </w:r>
          </w:p>
        </w:tc>
        <w:tc>
          <w:tcPr>
            <w:tcW w:w="1701" w:type="dxa"/>
            <w:tcBorders>
              <w:top w:val="nil"/>
              <w:left w:val="nil"/>
              <w:bottom w:val="nil"/>
              <w:right w:val="nil"/>
            </w:tcBorders>
            <w:hideMark/>
          </w:tcPr>
          <w:p w14:paraId="74DE91BA"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 xml:space="preserve">30 April </w:t>
            </w:r>
          </w:p>
          <w:p w14:paraId="19897519"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2019</w:t>
            </w:r>
          </w:p>
          <w:p w14:paraId="495E028B"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RM</w:t>
            </w:r>
          </w:p>
        </w:tc>
      </w:tr>
      <w:tr w:rsidR="0002381D" w:rsidRPr="0002381D" w14:paraId="3249B9AE" w14:textId="77777777" w:rsidTr="00270393">
        <w:trPr>
          <w:trHeight w:val="224"/>
        </w:trPr>
        <w:tc>
          <w:tcPr>
            <w:tcW w:w="4962" w:type="dxa"/>
            <w:tcBorders>
              <w:top w:val="nil"/>
              <w:left w:val="nil"/>
              <w:bottom w:val="nil"/>
              <w:right w:val="nil"/>
            </w:tcBorders>
            <w:hideMark/>
          </w:tcPr>
          <w:p w14:paraId="771D1548" w14:textId="77777777" w:rsidR="0002381D" w:rsidRPr="00D4158A" w:rsidRDefault="0002381D" w:rsidP="00EA2BB6">
            <w:pPr>
              <w:rPr>
                <w:rFonts w:asciiTheme="minorHAnsi" w:hAnsiTheme="minorHAnsi" w:cstheme="minorHAnsi"/>
                <w:lang w:eastAsia="en-US"/>
              </w:rPr>
            </w:pPr>
            <w:r w:rsidRPr="00D4158A">
              <w:rPr>
                <w:rFonts w:asciiTheme="minorHAnsi" w:hAnsiTheme="minorHAnsi" w:cstheme="minorHAnsi"/>
              </w:rPr>
              <w:t>Trade receivables</w:t>
            </w:r>
          </w:p>
        </w:tc>
        <w:tc>
          <w:tcPr>
            <w:tcW w:w="1984" w:type="dxa"/>
            <w:tcBorders>
              <w:top w:val="nil"/>
              <w:left w:val="nil"/>
              <w:bottom w:val="nil"/>
              <w:right w:val="nil"/>
            </w:tcBorders>
            <w:hideMark/>
          </w:tcPr>
          <w:p w14:paraId="31C65DF3"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703,000</w:t>
            </w:r>
          </w:p>
        </w:tc>
        <w:tc>
          <w:tcPr>
            <w:tcW w:w="1701" w:type="dxa"/>
            <w:tcBorders>
              <w:top w:val="nil"/>
              <w:left w:val="nil"/>
              <w:bottom w:val="nil"/>
              <w:right w:val="nil"/>
            </w:tcBorders>
            <w:hideMark/>
          </w:tcPr>
          <w:p w14:paraId="220EF13F"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w:t>
            </w:r>
          </w:p>
        </w:tc>
      </w:tr>
      <w:tr w:rsidR="0002381D" w:rsidRPr="0002381D" w14:paraId="46B7E895" w14:textId="77777777" w:rsidTr="00270393">
        <w:trPr>
          <w:trHeight w:val="224"/>
        </w:trPr>
        <w:tc>
          <w:tcPr>
            <w:tcW w:w="4962" w:type="dxa"/>
            <w:tcBorders>
              <w:top w:val="nil"/>
              <w:left w:val="nil"/>
              <w:bottom w:val="nil"/>
              <w:right w:val="nil"/>
            </w:tcBorders>
            <w:hideMark/>
          </w:tcPr>
          <w:p w14:paraId="5165201A" w14:textId="77777777" w:rsidR="0002381D" w:rsidRPr="00D4158A" w:rsidRDefault="0002381D" w:rsidP="00EA2BB6">
            <w:pPr>
              <w:rPr>
                <w:rFonts w:asciiTheme="minorHAnsi" w:hAnsiTheme="minorHAnsi" w:cstheme="minorHAnsi"/>
                <w:lang w:eastAsia="en-US"/>
              </w:rPr>
            </w:pPr>
            <w:r w:rsidRPr="00D4158A">
              <w:rPr>
                <w:rFonts w:asciiTheme="minorHAnsi" w:hAnsiTheme="minorHAnsi" w:cstheme="minorHAnsi"/>
              </w:rPr>
              <w:t>Deposits</w:t>
            </w:r>
          </w:p>
        </w:tc>
        <w:tc>
          <w:tcPr>
            <w:tcW w:w="1984" w:type="dxa"/>
            <w:tcBorders>
              <w:top w:val="nil"/>
              <w:left w:val="nil"/>
              <w:bottom w:val="nil"/>
              <w:right w:val="nil"/>
            </w:tcBorders>
            <w:hideMark/>
          </w:tcPr>
          <w:p w14:paraId="2F8D61C2"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15,000</w:t>
            </w:r>
          </w:p>
        </w:tc>
        <w:tc>
          <w:tcPr>
            <w:tcW w:w="1701" w:type="dxa"/>
            <w:tcBorders>
              <w:top w:val="nil"/>
              <w:left w:val="nil"/>
              <w:bottom w:val="nil"/>
              <w:right w:val="nil"/>
            </w:tcBorders>
            <w:hideMark/>
          </w:tcPr>
          <w:p w14:paraId="5DEC20EC"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15,000</w:t>
            </w:r>
          </w:p>
        </w:tc>
      </w:tr>
      <w:tr w:rsidR="0002381D" w:rsidRPr="0002381D" w14:paraId="38A66B79" w14:textId="77777777" w:rsidTr="00270393">
        <w:trPr>
          <w:trHeight w:val="224"/>
        </w:trPr>
        <w:tc>
          <w:tcPr>
            <w:tcW w:w="4962" w:type="dxa"/>
            <w:tcBorders>
              <w:top w:val="nil"/>
              <w:left w:val="nil"/>
              <w:bottom w:val="nil"/>
              <w:right w:val="nil"/>
            </w:tcBorders>
            <w:hideMark/>
          </w:tcPr>
          <w:p w14:paraId="186276B8" w14:textId="77777777" w:rsidR="0002381D" w:rsidRPr="00D4158A" w:rsidRDefault="0002381D" w:rsidP="00EA2BB6">
            <w:pPr>
              <w:rPr>
                <w:rFonts w:asciiTheme="minorHAnsi" w:hAnsiTheme="minorHAnsi" w:cstheme="minorHAnsi"/>
                <w:lang w:eastAsia="en-US"/>
              </w:rPr>
            </w:pPr>
            <w:r w:rsidRPr="00D4158A">
              <w:rPr>
                <w:rFonts w:asciiTheme="minorHAnsi" w:hAnsiTheme="minorHAnsi" w:cstheme="minorHAnsi"/>
              </w:rPr>
              <w:t>Prepayments</w:t>
            </w:r>
          </w:p>
        </w:tc>
        <w:tc>
          <w:tcPr>
            <w:tcW w:w="1984" w:type="dxa"/>
            <w:tcBorders>
              <w:top w:val="nil"/>
              <w:left w:val="nil"/>
              <w:bottom w:val="single" w:sz="4" w:space="0" w:color="000000"/>
              <w:right w:val="nil"/>
            </w:tcBorders>
            <w:hideMark/>
          </w:tcPr>
          <w:p w14:paraId="14713B7A"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6,500</w:t>
            </w:r>
          </w:p>
        </w:tc>
        <w:tc>
          <w:tcPr>
            <w:tcW w:w="1701" w:type="dxa"/>
            <w:tcBorders>
              <w:top w:val="nil"/>
              <w:left w:val="nil"/>
              <w:bottom w:val="single" w:sz="4" w:space="0" w:color="000000"/>
              <w:right w:val="nil"/>
            </w:tcBorders>
            <w:hideMark/>
          </w:tcPr>
          <w:p w14:paraId="57036780"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1,500</w:t>
            </w:r>
          </w:p>
        </w:tc>
      </w:tr>
      <w:tr w:rsidR="0002381D" w:rsidRPr="0002381D" w14:paraId="5F0823FB" w14:textId="77777777" w:rsidTr="00270393">
        <w:trPr>
          <w:trHeight w:val="224"/>
        </w:trPr>
        <w:tc>
          <w:tcPr>
            <w:tcW w:w="4962" w:type="dxa"/>
            <w:tcBorders>
              <w:top w:val="nil"/>
              <w:left w:val="nil"/>
              <w:bottom w:val="nil"/>
              <w:right w:val="nil"/>
            </w:tcBorders>
            <w:hideMark/>
          </w:tcPr>
          <w:p w14:paraId="6375CFDB" w14:textId="77777777" w:rsidR="0002381D" w:rsidRPr="00D4158A" w:rsidRDefault="0002381D" w:rsidP="00EA2BB6">
            <w:pPr>
              <w:rPr>
                <w:rFonts w:asciiTheme="minorHAnsi" w:hAnsiTheme="minorHAnsi" w:cstheme="minorHAnsi"/>
                <w:b/>
                <w:lang w:eastAsia="en-US"/>
              </w:rPr>
            </w:pPr>
            <w:r w:rsidRPr="00D4158A">
              <w:rPr>
                <w:rFonts w:asciiTheme="minorHAnsi" w:hAnsiTheme="minorHAnsi" w:cstheme="minorHAnsi"/>
                <w:b/>
              </w:rPr>
              <w:t>Total</w:t>
            </w:r>
          </w:p>
        </w:tc>
        <w:tc>
          <w:tcPr>
            <w:tcW w:w="1984" w:type="dxa"/>
            <w:tcBorders>
              <w:top w:val="single" w:sz="4" w:space="0" w:color="000000"/>
              <w:left w:val="nil"/>
              <w:bottom w:val="single" w:sz="12" w:space="0" w:color="000000"/>
              <w:right w:val="nil"/>
            </w:tcBorders>
            <w:hideMark/>
          </w:tcPr>
          <w:p w14:paraId="39B3E8AA"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724,500</w:t>
            </w:r>
          </w:p>
        </w:tc>
        <w:tc>
          <w:tcPr>
            <w:tcW w:w="1701" w:type="dxa"/>
            <w:tcBorders>
              <w:top w:val="single" w:sz="4" w:space="0" w:color="000000"/>
              <w:left w:val="nil"/>
              <w:bottom w:val="single" w:sz="12" w:space="0" w:color="000000"/>
              <w:right w:val="nil"/>
            </w:tcBorders>
            <w:hideMark/>
          </w:tcPr>
          <w:p w14:paraId="45F18F02"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16,500</w:t>
            </w:r>
          </w:p>
        </w:tc>
      </w:tr>
    </w:tbl>
    <w:p w14:paraId="56592F5F" w14:textId="77777777" w:rsidR="0002381D" w:rsidRPr="00D4158A" w:rsidRDefault="0002381D" w:rsidP="00EA2BB6">
      <w:pPr>
        <w:spacing w:after="0" w:line="240" w:lineRule="auto"/>
        <w:ind w:left="576"/>
        <w:rPr>
          <w:rFonts w:cstheme="minorHAnsi"/>
          <w:szCs w:val="20"/>
          <w:lang w:eastAsia="en-GB"/>
        </w:rPr>
      </w:pPr>
    </w:p>
    <w:p w14:paraId="367B2B86" w14:textId="77777777" w:rsidR="0002381D" w:rsidRPr="00D4158A" w:rsidRDefault="0002381D" w:rsidP="00EA2BB6">
      <w:pPr>
        <w:spacing w:after="0" w:line="240" w:lineRule="auto"/>
        <w:ind w:left="576"/>
        <w:rPr>
          <w:rFonts w:cstheme="minorHAnsi"/>
          <w:szCs w:val="20"/>
        </w:rPr>
      </w:pPr>
      <w:r w:rsidRPr="00D4158A">
        <w:rPr>
          <w:rFonts w:cstheme="minorHAnsi"/>
          <w:szCs w:val="20"/>
        </w:rPr>
        <w:t xml:space="preserve">The aging analysis of Alchemist’s trade receivables is as follows: </w:t>
      </w:r>
    </w:p>
    <w:tbl>
      <w:tblPr>
        <w:tblStyle w:val="TableGrid13"/>
        <w:tblW w:w="8647" w:type="dxa"/>
        <w:tblInd w:w="567" w:type="dxa"/>
        <w:tblLook w:val="04A0" w:firstRow="1" w:lastRow="0" w:firstColumn="1" w:lastColumn="0" w:noHBand="0" w:noVBand="1"/>
      </w:tblPr>
      <w:tblGrid>
        <w:gridCol w:w="4962"/>
        <w:gridCol w:w="1984"/>
        <w:gridCol w:w="1701"/>
      </w:tblGrid>
      <w:tr w:rsidR="0002381D" w:rsidRPr="0002381D" w14:paraId="2533BE2A" w14:textId="77777777" w:rsidTr="00270393">
        <w:trPr>
          <w:trHeight w:val="677"/>
        </w:trPr>
        <w:tc>
          <w:tcPr>
            <w:tcW w:w="4962" w:type="dxa"/>
            <w:tcBorders>
              <w:top w:val="nil"/>
              <w:left w:val="nil"/>
              <w:bottom w:val="nil"/>
              <w:right w:val="nil"/>
            </w:tcBorders>
          </w:tcPr>
          <w:p w14:paraId="2E418F9E" w14:textId="77777777" w:rsidR="0002381D" w:rsidRPr="00D4158A" w:rsidRDefault="0002381D" w:rsidP="00EA2BB6">
            <w:pPr>
              <w:rPr>
                <w:rFonts w:asciiTheme="minorHAnsi" w:hAnsiTheme="minorHAnsi" w:cstheme="minorHAnsi"/>
                <w:b/>
                <w:lang w:eastAsia="en-US"/>
              </w:rPr>
            </w:pPr>
          </w:p>
        </w:tc>
        <w:tc>
          <w:tcPr>
            <w:tcW w:w="1984" w:type="dxa"/>
            <w:tcBorders>
              <w:top w:val="nil"/>
              <w:left w:val="nil"/>
              <w:bottom w:val="nil"/>
              <w:right w:val="nil"/>
            </w:tcBorders>
            <w:hideMark/>
          </w:tcPr>
          <w:p w14:paraId="242F755F"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 xml:space="preserve">31 October </w:t>
            </w:r>
          </w:p>
          <w:p w14:paraId="4BB6703D"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2019</w:t>
            </w:r>
          </w:p>
          <w:p w14:paraId="30FCACE0"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RM</w:t>
            </w:r>
          </w:p>
        </w:tc>
        <w:tc>
          <w:tcPr>
            <w:tcW w:w="1701" w:type="dxa"/>
            <w:tcBorders>
              <w:top w:val="nil"/>
              <w:left w:val="nil"/>
              <w:bottom w:val="nil"/>
              <w:right w:val="nil"/>
            </w:tcBorders>
            <w:hideMark/>
          </w:tcPr>
          <w:p w14:paraId="6880E99C"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 xml:space="preserve">30 April </w:t>
            </w:r>
          </w:p>
          <w:p w14:paraId="348EF684"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2019</w:t>
            </w:r>
          </w:p>
          <w:p w14:paraId="6B93EE8E"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RM</w:t>
            </w:r>
          </w:p>
        </w:tc>
      </w:tr>
      <w:tr w:rsidR="0002381D" w:rsidRPr="0002381D" w14:paraId="0052BB89" w14:textId="77777777" w:rsidTr="00270393">
        <w:trPr>
          <w:trHeight w:val="224"/>
        </w:trPr>
        <w:tc>
          <w:tcPr>
            <w:tcW w:w="4962" w:type="dxa"/>
            <w:tcBorders>
              <w:top w:val="nil"/>
              <w:left w:val="nil"/>
              <w:bottom w:val="nil"/>
              <w:right w:val="nil"/>
            </w:tcBorders>
            <w:vAlign w:val="bottom"/>
            <w:hideMark/>
          </w:tcPr>
          <w:p w14:paraId="4D131F68" w14:textId="77777777" w:rsidR="0002381D" w:rsidRPr="00D4158A" w:rsidRDefault="0002381D" w:rsidP="00EA2BB6">
            <w:pPr>
              <w:rPr>
                <w:rFonts w:asciiTheme="minorHAnsi" w:hAnsiTheme="minorHAnsi" w:cstheme="minorHAnsi"/>
                <w:lang w:eastAsia="en-US"/>
              </w:rPr>
            </w:pPr>
            <w:r w:rsidRPr="00D4158A">
              <w:rPr>
                <w:rFonts w:asciiTheme="minorHAnsi" w:hAnsiTheme="minorHAnsi" w:cstheme="minorHAnsi"/>
                <w:color w:val="000000"/>
                <w:lang w:val="en-MY"/>
              </w:rPr>
              <w:t xml:space="preserve">Neither past due nor impaired </w:t>
            </w:r>
          </w:p>
        </w:tc>
        <w:tc>
          <w:tcPr>
            <w:tcW w:w="1984" w:type="dxa"/>
            <w:tcBorders>
              <w:top w:val="nil"/>
              <w:left w:val="nil"/>
              <w:bottom w:val="nil"/>
              <w:right w:val="nil"/>
            </w:tcBorders>
            <w:hideMark/>
          </w:tcPr>
          <w:p w14:paraId="71A8C3ED"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376,500</w:t>
            </w:r>
          </w:p>
        </w:tc>
        <w:tc>
          <w:tcPr>
            <w:tcW w:w="1701" w:type="dxa"/>
            <w:tcBorders>
              <w:top w:val="nil"/>
              <w:left w:val="nil"/>
              <w:bottom w:val="nil"/>
              <w:right w:val="nil"/>
            </w:tcBorders>
            <w:hideMark/>
          </w:tcPr>
          <w:p w14:paraId="7271518E"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w:t>
            </w:r>
          </w:p>
        </w:tc>
      </w:tr>
      <w:tr w:rsidR="0002381D" w:rsidRPr="0002381D" w14:paraId="72D69DB6" w14:textId="77777777" w:rsidTr="00270393">
        <w:trPr>
          <w:trHeight w:val="224"/>
        </w:trPr>
        <w:tc>
          <w:tcPr>
            <w:tcW w:w="4962" w:type="dxa"/>
            <w:tcBorders>
              <w:top w:val="nil"/>
              <w:left w:val="nil"/>
              <w:bottom w:val="nil"/>
              <w:right w:val="nil"/>
            </w:tcBorders>
            <w:vAlign w:val="bottom"/>
            <w:hideMark/>
          </w:tcPr>
          <w:p w14:paraId="00F12F7F" w14:textId="77777777" w:rsidR="0002381D" w:rsidRPr="00D4158A" w:rsidRDefault="0002381D" w:rsidP="00EA2BB6">
            <w:pPr>
              <w:rPr>
                <w:rFonts w:asciiTheme="minorHAnsi" w:hAnsiTheme="minorHAnsi" w:cstheme="minorHAnsi"/>
                <w:lang w:eastAsia="en-US"/>
              </w:rPr>
            </w:pPr>
            <w:r w:rsidRPr="00D4158A">
              <w:rPr>
                <w:rFonts w:asciiTheme="minorHAnsi" w:hAnsiTheme="minorHAnsi" w:cstheme="minorHAnsi"/>
                <w:color w:val="000000"/>
                <w:lang w:val="en-MY"/>
              </w:rPr>
              <w:t>Past due 1- 30 days</w:t>
            </w:r>
          </w:p>
        </w:tc>
        <w:tc>
          <w:tcPr>
            <w:tcW w:w="1984" w:type="dxa"/>
            <w:tcBorders>
              <w:top w:val="nil"/>
              <w:left w:val="nil"/>
              <w:bottom w:val="nil"/>
              <w:right w:val="nil"/>
            </w:tcBorders>
            <w:hideMark/>
          </w:tcPr>
          <w:p w14:paraId="3FB7BB82"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26,500</w:t>
            </w:r>
          </w:p>
        </w:tc>
        <w:tc>
          <w:tcPr>
            <w:tcW w:w="1701" w:type="dxa"/>
            <w:tcBorders>
              <w:top w:val="nil"/>
              <w:left w:val="nil"/>
              <w:bottom w:val="nil"/>
              <w:right w:val="nil"/>
            </w:tcBorders>
            <w:hideMark/>
          </w:tcPr>
          <w:p w14:paraId="06A13E10"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w:t>
            </w:r>
          </w:p>
        </w:tc>
      </w:tr>
      <w:tr w:rsidR="0002381D" w:rsidRPr="0002381D" w14:paraId="1CF7DF42" w14:textId="77777777" w:rsidTr="00270393">
        <w:trPr>
          <w:trHeight w:val="224"/>
        </w:trPr>
        <w:tc>
          <w:tcPr>
            <w:tcW w:w="4962" w:type="dxa"/>
            <w:tcBorders>
              <w:top w:val="nil"/>
              <w:left w:val="nil"/>
              <w:bottom w:val="nil"/>
              <w:right w:val="nil"/>
            </w:tcBorders>
            <w:vAlign w:val="bottom"/>
            <w:hideMark/>
          </w:tcPr>
          <w:p w14:paraId="2E6D4E46" w14:textId="77777777" w:rsidR="0002381D" w:rsidRPr="00D4158A" w:rsidRDefault="0002381D" w:rsidP="00EA2BB6">
            <w:pPr>
              <w:rPr>
                <w:rFonts w:asciiTheme="minorHAnsi" w:hAnsiTheme="minorHAnsi" w:cstheme="minorHAnsi"/>
                <w:lang w:eastAsia="en-US"/>
              </w:rPr>
            </w:pPr>
            <w:r w:rsidRPr="00D4158A">
              <w:rPr>
                <w:rFonts w:asciiTheme="minorHAnsi" w:hAnsiTheme="minorHAnsi" w:cstheme="minorHAnsi"/>
                <w:color w:val="000000"/>
                <w:lang w:val="en-MY"/>
              </w:rPr>
              <w:t>Past due 31- 60 days</w:t>
            </w:r>
          </w:p>
        </w:tc>
        <w:tc>
          <w:tcPr>
            <w:tcW w:w="1984" w:type="dxa"/>
            <w:tcBorders>
              <w:top w:val="nil"/>
              <w:left w:val="nil"/>
              <w:bottom w:val="nil"/>
              <w:right w:val="nil"/>
            </w:tcBorders>
            <w:hideMark/>
          </w:tcPr>
          <w:p w14:paraId="32609059"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w:t>
            </w:r>
          </w:p>
        </w:tc>
        <w:tc>
          <w:tcPr>
            <w:tcW w:w="1701" w:type="dxa"/>
            <w:tcBorders>
              <w:top w:val="nil"/>
              <w:left w:val="nil"/>
              <w:bottom w:val="nil"/>
              <w:right w:val="nil"/>
            </w:tcBorders>
            <w:hideMark/>
          </w:tcPr>
          <w:p w14:paraId="3D8E73A9"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w:t>
            </w:r>
          </w:p>
        </w:tc>
      </w:tr>
      <w:tr w:rsidR="0002381D" w:rsidRPr="0002381D" w14:paraId="0F9E2850" w14:textId="77777777" w:rsidTr="00270393">
        <w:trPr>
          <w:trHeight w:val="224"/>
        </w:trPr>
        <w:tc>
          <w:tcPr>
            <w:tcW w:w="4962" w:type="dxa"/>
            <w:tcBorders>
              <w:top w:val="nil"/>
              <w:left w:val="nil"/>
              <w:bottom w:val="nil"/>
              <w:right w:val="nil"/>
            </w:tcBorders>
            <w:vAlign w:val="bottom"/>
            <w:hideMark/>
          </w:tcPr>
          <w:p w14:paraId="6C3C97AD" w14:textId="77777777" w:rsidR="0002381D" w:rsidRPr="00D4158A" w:rsidRDefault="0002381D" w:rsidP="00EA2BB6">
            <w:pPr>
              <w:rPr>
                <w:rFonts w:asciiTheme="minorHAnsi" w:hAnsiTheme="minorHAnsi" w:cstheme="minorHAnsi"/>
                <w:lang w:eastAsia="en-US"/>
              </w:rPr>
            </w:pPr>
            <w:r w:rsidRPr="00D4158A">
              <w:rPr>
                <w:rFonts w:asciiTheme="minorHAnsi" w:hAnsiTheme="minorHAnsi" w:cstheme="minorHAnsi"/>
                <w:color w:val="000000"/>
                <w:lang w:val="en-MY"/>
              </w:rPr>
              <w:t>Past due 61- 90 days</w:t>
            </w:r>
          </w:p>
        </w:tc>
        <w:tc>
          <w:tcPr>
            <w:tcW w:w="1984" w:type="dxa"/>
            <w:tcBorders>
              <w:top w:val="nil"/>
              <w:left w:val="nil"/>
              <w:bottom w:val="nil"/>
              <w:right w:val="nil"/>
            </w:tcBorders>
            <w:hideMark/>
          </w:tcPr>
          <w:p w14:paraId="6B93CA98"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w:t>
            </w:r>
          </w:p>
        </w:tc>
        <w:tc>
          <w:tcPr>
            <w:tcW w:w="1701" w:type="dxa"/>
            <w:tcBorders>
              <w:top w:val="nil"/>
              <w:left w:val="nil"/>
              <w:bottom w:val="nil"/>
              <w:right w:val="nil"/>
            </w:tcBorders>
            <w:hideMark/>
          </w:tcPr>
          <w:p w14:paraId="1FD02813"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w:t>
            </w:r>
          </w:p>
        </w:tc>
      </w:tr>
      <w:tr w:rsidR="0002381D" w:rsidRPr="0002381D" w14:paraId="3255C131" w14:textId="77777777" w:rsidTr="00270393">
        <w:trPr>
          <w:trHeight w:val="224"/>
        </w:trPr>
        <w:tc>
          <w:tcPr>
            <w:tcW w:w="4962" w:type="dxa"/>
            <w:tcBorders>
              <w:top w:val="nil"/>
              <w:left w:val="nil"/>
              <w:bottom w:val="nil"/>
              <w:right w:val="nil"/>
            </w:tcBorders>
            <w:vAlign w:val="bottom"/>
            <w:hideMark/>
          </w:tcPr>
          <w:p w14:paraId="417D3C82" w14:textId="77777777" w:rsidR="0002381D" w:rsidRPr="00D4158A" w:rsidRDefault="0002381D" w:rsidP="00EA2BB6">
            <w:pPr>
              <w:rPr>
                <w:rFonts w:asciiTheme="minorHAnsi" w:hAnsiTheme="minorHAnsi" w:cstheme="minorHAnsi"/>
                <w:lang w:eastAsia="en-US"/>
              </w:rPr>
            </w:pPr>
            <w:r w:rsidRPr="00D4158A">
              <w:rPr>
                <w:rFonts w:asciiTheme="minorHAnsi" w:hAnsiTheme="minorHAnsi" w:cstheme="minorHAnsi"/>
                <w:color w:val="000000"/>
                <w:lang w:val="en-MY"/>
              </w:rPr>
              <w:t>Past due more than 91 days</w:t>
            </w:r>
          </w:p>
        </w:tc>
        <w:tc>
          <w:tcPr>
            <w:tcW w:w="1984" w:type="dxa"/>
            <w:tcBorders>
              <w:top w:val="nil"/>
              <w:left w:val="nil"/>
              <w:bottom w:val="single" w:sz="4" w:space="0" w:color="000000"/>
              <w:right w:val="nil"/>
            </w:tcBorders>
            <w:hideMark/>
          </w:tcPr>
          <w:p w14:paraId="7C8730F2"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300,000</w:t>
            </w:r>
          </w:p>
        </w:tc>
        <w:tc>
          <w:tcPr>
            <w:tcW w:w="1701" w:type="dxa"/>
            <w:tcBorders>
              <w:top w:val="nil"/>
              <w:left w:val="nil"/>
              <w:bottom w:val="single" w:sz="4" w:space="0" w:color="000000"/>
              <w:right w:val="nil"/>
            </w:tcBorders>
            <w:hideMark/>
          </w:tcPr>
          <w:p w14:paraId="696DBF6E"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w:t>
            </w:r>
          </w:p>
        </w:tc>
      </w:tr>
      <w:tr w:rsidR="0002381D" w:rsidRPr="0002381D" w14:paraId="5428E263" w14:textId="77777777" w:rsidTr="00270393">
        <w:trPr>
          <w:trHeight w:val="224"/>
        </w:trPr>
        <w:tc>
          <w:tcPr>
            <w:tcW w:w="4962" w:type="dxa"/>
            <w:tcBorders>
              <w:top w:val="nil"/>
              <w:left w:val="nil"/>
              <w:bottom w:val="nil"/>
              <w:right w:val="nil"/>
            </w:tcBorders>
            <w:hideMark/>
          </w:tcPr>
          <w:p w14:paraId="1EE153AA" w14:textId="77777777" w:rsidR="0002381D" w:rsidRPr="00D4158A" w:rsidRDefault="0002381D" w:rsidP="00EA2BB6">
            <w:pPr>
              <w:rPr>
                <w:rFonts w:asciiTheme="minorHAnsi" w:hAnsiTheme="minorHAnsi" w:cstheme="minorHAnsi"/>
                <w:b/>
                <w:lang w:eastAsia="en-US"/>
              </w:rPr>
            </w:pPr>
            <w:r w:rsidRPr="00D4158A">
              <w:rPr>
                <w:rFonts w:asciiTheme="minorHAnsi" w:hAnsiTheme="minorHAnsi" w:cstheme="minorHAnsi"/>
                <w:b/>
              </w:rPr>
              <w:t>Total</w:t>
            </w:r>
          </w:p>
        </w:tc>
        <w:tc>
          <w:tcPr>
            <w:tcW w:w="1984" w:type="dxa"/>
            <w:tcBorders>
              <w:top w:val="single" w:sz="4" w:space="0" w:color="000000"/>
              <w:left w:val="nil"/>
              <w:bottom w:val="single" w:sz="12" w:space="0" w:color="000000"/>
              <w:right w:val="nil"/>
            </w:tcBorders>
            <w:hideMark/>
          </w:tcPr>
          <w:p w14:paraId="45535296"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703,000</w:t>
            </w:r>
          </w:p>
        </w:tc>
        <w:tc>
          <w:tcPr>
            <w:tcW w:w="1701" w:type="dxa"/>
            <w:tcBorders>
              <w:top w:val="single" w:sz="4" w:space="0" w:color="000000"/>
              <w:left w:val="nil"/>
              <w:bottom w:val="single" w:sz="12" w:space="0" w:color="000000"/>
              <w:right w:val="nil"/>
            </w:tcBorders>
            <w:hideMark/>
          </w:tcPr>
          <w:p w14:paraId="28941651"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w:t>
            </w:r>
          </w:p>
        </w:tc>
      </w:tr>
    </w:tbl>
    <w:p w14:paraId="73EDB590" w14:textId="77777777" w:rsidR="0002381D" w:rsidRPr="00D4158A" w:rsidRDefault="0002381D" w:rsidP="00D4158A">
      <w:pPr>
        <w:spacing w:after="120" w:line="240" w:lineRule="auto"/>
        <w:rPr>
          <w:rFonts w:cstheme="minorHAnsi"/>
          <w:szCs w:val="20"/>
        </w:rPr>
      </w:pPr>
    </w:p>
    <w:p w14:paraId="24CA7EB5" w14:textId="66A1AF58" w:rsidR="0002381D" w:rsidRPr="00543328" w:rsidRDefault="0002381D" w:rsidP="00EA2BB6">
      <w:pPr>
        <w:keepNext/>
        <w:keepLines/>
        <w:numPr>
          <w:ilvl w:val="0"/>
          <w:numId w:val="89"/>
        </w:numPr>
        <w:spacing w:after="120" w:line="240" w:lineRule="auto"/>
        <w:rPr>
          <w:rFonts w:cstheme="minorHAnsi"/>
          <w:b/>
          <w:caps/>
          <w:szCs w:val="20"/>
        </w:rPr>
      </w:pPr>
      <w:r w:rsidRPr="00D4158A">
        <w:rPr>
          <w:rFonts w:cstheme="minorHAnsi"/>
          <w:b/>
          <w:caps/>
          <w:szCs w:val="20"/>
        </w:rPr>
        <w:t>other PAYABLES and accruals</w:t>
      </w:r>
    </w:p>
    <w:tbl>
      <w:tblPr>
        <w:tblStyle w:val="TableGrid13"/>
        <w:tblW w:w="8789" w:type="dxa"/>
        <w:tblInd w:w="567" w:type="dxa"/>
        <w:tblLook w:val="04A0" w:firstRow="1" w:lastRow="0" w:firstColumn="1" w:lastColumn="0" w:noHBand="0" w:noVBand="1"/>
      </w:tblPr>
      <w:tblGrid>
        <w:gridCol w:w="4962"/>
        <w:gridCol w:w="1984"/>
        <w:gridCol w:w="1843"/>
      </w:tblGrid>
      <w:tr w:rsidR="0002381D" w:rsidRPr="0002381D" w14:paraId="7B3E6983" w14:textId="77777777" w:rsidTr="00270393">
        <w:trPr>
          <w:trHeight w:val="697"/>
        </w:trPr>
        <w:tc>
          <w:tcPr>
            <w:tcW w:w="4962" w:type="dxa"/>
            <w:tcBorders>
              <w:top w:val="nil"/>
              <w:left w:val="nil"/>
              <w:bottom w:val="nil"/>
              <w:right w:val="nil"/>
            </w:tcBorders>
          </w:tcPr>
          <w:p w14:paraId="076BBE06" w14:textId="77777777" w:rsidR="0002381D" w:rsidRPr="00D4158A" w:rsidRDefault="0002381D" w:rsidP="00EA2BB6">
            <w:pPr>
              <w:rPr>
                <w:rFonts w:asciiTheme="minorHAnsi" w:hAnsiTheme="minorHAnsi" w:cstheme="minorHAnsi"/>
                <w:b/>
                <w:lang w:eastAsia="en-US"/>
              </w:rPr>
            </w:pPr>
          </w:p>
        </w:tc>
        <w:tc>
          <w:tcPr>
            <w:tcW w:w="1984" w:type="dxa"/>
            <w:tcBorders>
              <w:top w:val="nil"/>
              <w:left w:val="nil"/>
              <w:bottom w:val="nil"/>
              <w:right w:val="nil"/>
            </w:tcBorders>
            <w:hideMark/>
          </w:tcPr>
          <w:p w14:paraId="4B65AA1C"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 xml:space="preserve">31 October </w:t>
            </w:r>
          </w:p>
          <w:p w14:paraId="163BBFAA"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2019</w:t>
            </w:r>
          </w:p>
          <w:p w14:paraId="0D34A37E"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RM</w:t>
            </w:r>
          </w:p>
        </w:tc>
        <w:tc>
          <w:tcPr>
            <w:tcW w:w="1843" w:type="dxa"/>
            <w:tcBorders>
              <w:top w:val="nil"/>
              <w:left w:val="nil"/>
              <w:bottom w:val="nil"/>
              <w:right w:val="nil"/>
            </w:tcBorders>
            <w:hideMark/>
          </w:tcPr>
          <w:p w14:paraId="3770DE3C"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 xml:space="preserve">30 April </w:t>
            </w:r>
          </w:p>
          <w:p w14:paraId="000A65E3"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2019</w:t>
            </w:r>
          </w:p>
          <w:p w14:paraId="29F370E2"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RM</w:t>
            </w:r>
          </w:p>
        </w:tc>
      </w:tr>
      <w:tr w:rsidR="0002381D" w:rsidRPr="0002381D" w14:paraId="3A723AFF" w14:textId="77777777" w:rsidTr="00270393">
        <w:trPr>
          <w:trHeight w:val="224"/>
        </w:trPr>
        <w:tc>
          <w:tcPr>
            <w:tcW w:w="4962" w:type="dxa"/>
            <w:tcBorders>
              <w:top w:val="nil"/>
              <w:left w:val="nil"/>
              <w:bottom w:val="nil"/>
              <w:right w:val="nil"/>
            </w:tcBorders>
            <w:vAlign w:val="bottom"/>
            <w:hideMark/>
          </w:tcPr>
          <w:p w14:paraId="2462C525" w14:textId="77777777" w:rsidR="0002381D" w:rsidRPr="00D4158A" w:rsidRDefault="0002381D" w:rsidP="00EA2BB6">
            <w:pPr>
              <w:rPr>
                <w:rFonts w:asciiTheme="minorHAnsi" w:hAnsiTheme="minorHAnsi" w:cstheme="minorHAnsi"/>
                <w:lang w:eastAsia="en-US"/>
              </w:rPr>
            </w:pPr>
            <w:r w:rsidRPr="00D4158A">
              <w:rPr>
                <w:rFonts w:asciiTheme="minorHAnsi" w:hAnsiTheme="minorHAnsi" w:cstheme="minorHAnsi"/>
                <w:color w:val="000000"/>
              </w:rPr>
              <w:t>Income tax payable</w:t>
            </w:r>
          </w:p>
        </w:tc>
        <w:tc>
          <w:tcPr>
            <w:tcW w:w="1984" w:type="dxa"/>
            <w:tcBorders>
              <w:top w:val="nil"/>
              <w:left w:val="nil"/>
              <w:bottom w:val="nil"/>
              <w:right w:val="nil"/>
            </w:tcBorders>
            <w:hideMark/>
          </w:tcPr>
          <w:p w14:paraId="7C31EE56"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142,564</w:t>
            </w:r>
          </w:p>
        </w:tc>
        <w:tc>
          <w:tcPr>
            <w:tcW w:w="1843" w:type="dxa"/>
            <w:tcBorders>
              <w:top w:val="nil"/>
              <w:left w:val="nil"/>
              <w:bottom w:val="nil"/>
              <w:right w:val="nil"/>
            </w:tcBorders>
            <w:hideMark/>
          </w:tcPr>
          <w:p w14:paraId="2291478A"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74,591</w:t>
            </w:r>
          </w:p>
        </w:tc>
      </w:tr>
      <w:tr w:rsidR="0002381D" w:rsidRPr="0002381D" w14:paraId="419F04E8" w14:textId="77777777" w:rsidTr="00270393">
        <w:trPr>
          <w:trHeight w:val="224"/>
        </w:trPr>
        <w:tc>
          <w:tcPr>
            <w:tcW w:w="4962" w:type="dxa"/>
            <w:tcBorders>
              <w:top w:val="nil"/>
              <w:left w:val="nil"/>
              <w:bottom w:val="nil"/>
              <w:right w:val="nil"/>
            </w:tcBorders>
            <w:vAlign w:val="bottom"/>
            <w:hideMark/>
          </w:tcPr>
          <w:p w14:paraId="4B4E1583" w14:textId="77777777" w:rsidR="0002381D" w:rsidRPr="00D4158A" w:rsidRDefault="0002381D" w:rsidP="00EA2BB6">
            <w:pPr>
              <w:rPr>
                <w:rFonts w:asciiTheme="minorHAnsi" w:hAnsiTheme="minorHAnsi" w:cstheme="minorHAnsi"/>
                <w:lang w:eastAsia="en-US"/>
              </w:rPr>
            </w:pPr>
            <w:r w:rsidRPr="00D4158A">
              <w:rPr>
                <w:rFonts w:asciiTheme="minorHAnsi" w:hAnsiTheme="minorHAnsi" w:cstheme="minorHAnsi"/>
                <w:color w:val="000000"/>
              </w:rPr>
              <w:t>Amount due to shareholders (a)</w:t>
            </w:r>
          </w:p>
        </w:tc>
        <w:tc>
          <w:tcPr>
            <w:tcW w:w="1984" w:type="dxa"/>
            <w:tcBorders>
              <w:top w:val="nil"/>
              <w:left w:val="nil"/>
              <w:bottom w:val="nil"/>
              <w:right w:val="nil"/>
            </w:tcBorders>
            <w:hideMark/>
          </w:tcPr>
          <w:p w14:paraId="0D9C2A5E"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18,900</w:t>
            </w:r>
          </w:p>
        </w:tc>
        <w:tc>
          <w:tcPr>
            <w:tcW w:w="1843" w:type="dxa"/>
            <w:tcBorders>
              <w:top w:val="nil"/>
              <w:left w:val="nil"/>
              <w:bottom w:val="nil"/>
              <w:right w:val="nil"/>
            </w:tcBorders>
            <w:hideMark/>
          </w:tcPr>
          <w:p w14:paraId="3B122194"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18,900</w:t>
            </w:r>
          </w:p>
        </w:tc>
      </w:tr>
      <w:tr w:rsidR="0002381D" w:rsidRPr="0002381D" w14:paraId="3164CBB8" w14:textId="77777777" w:rsidTr="00270393">
        <w:trPr>
          <w:trHeight w:val="224"/>
        </w:trPr>
        <w:tc>
          <w:tcPr>
            <w:tcW w:w="4962" w:type="dxa"/>
            <w:tcBorders>
              <w:top w:val="nil"/>
              <w:left w:val="nil"/>
              <w:bottom w:val="nil"/>
              <w:right w:val="nil"/>
            </w:tcBorders>
            <w:vAlign w:val="bottom"/>
            <w:hideMark/>
          </w:tcPr>
          <w:p w14:paraId="0C8BFF77" w14:textId="77777777" w:rsidR="0002381D" w:rsidRPr="00D4158A" w:rsidRDefault="0002381D" w:rsidP="00EA2BB6">
            <w:pPr>
              <w:rPr>
                <w:rFonts w:asciiTheme="minorHAnsi" w:hAnsiTheme="minorHAnsi" w:cstheme="minorHAnsi"/>
                <w:lang w:eastAsia="en-US"/>
              </w:rPr>
            </w:pPr>
            <w:r w:rsidRPr="00D4158A">
              <w:rPr>
                <w:rFonts w:asciiTheme="minorHAnsi" w:hAnsiTheme="minorHAnsi" w:cstheme="minorHAnsi"/>
                <w:color w:val="000000"/>
              </w:rPr>
              <w:t>Amount due to directors (b)</w:t>
            </w:r>
          </w:p>
        </w:tc>
        <w:tc>
          <w:tcPr>
            <w:tcW w:w="1984" w:type="dxa"/>
            <w:tcBorders>
              <w:top w:val="nil"/>
              <w:left w:val="nil"/>
              <w:bottom w:val="nil"/>
              <w:right w:val="nil"/>
            </w:tcBorders>
            <w:hideMark/>
          </w:tcPr>
          <w:p w14:paraId="71D44122"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32,252</w:t>
            </w:r>
          </w:p>
        </w:tc>
        <w:tc>
          <w:tcPr>
            <w:tcW w:w="1843" w:type="dxa"/>
            <w:tcBorders>
              <w:top w:val="nil"/>
              <w:left w:val="nil"/>
              <w:bottom w:val="nil"/>
              <w:right w:val="nil"/>
            </w:tcBorders>
            <w:hideMark/>
          </w:tcPr>
          <w:p w14:paraId="76D3AB6F"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24,000</w:t>
            </w:r>
          </w:p>
        </w:tc>
      </w:tr>
      <w:tr w:rsidR="0002381D" w:rsidRPr="0002381D" w14:paraId="2292704E" w14:textId="77777777" w:rsidTr="00270393">
        <w:trPr>
          <w:trHeight w:val="224"/>
        </w:trPr>
        <w:tc>
          <w:tcPr>
            <w:tcW w:w="4962" w:type="dxa"/>
            <w:tcBorders>
              <w:top w:val="nil"/>
              <w:left w:val="nil"/>
              <w:bottom w:val="nil"/>
              <w:right w:val="nil"/>
            </w:tcBorders>
            <w:vAlign w:val="bottom"/>
            <w:hideMark/>
          </w:tcPr>
          <w:p w14:paraId="02E81835" w14:textId="77777777" w:rsidR="0002381D" w:rsidRPr="00D4158A" w:rsidRDefault="0002381D" w:rsidP="00EA2BB6">
            <w:pPr>
              <w:rPr>
                <w:rFonts w:asciiTheme="minorHAnsi" w:hAnsiTheme="minorHAnsi" w:cstheme="minorHAnsi"/>
                <w:color w:val="000000"/>
                <w:lang w:eastAsia="en-US"/>
              </w:rPr>
            </w:pPr>
            <w:r w:rsidRPr="00D4158A">
              <w:rPr>
                <w:rFonts w:asciiTheme="minorHAnsi" w:hAnsiTheme="minorHAnsi" w:cstheme="minorHAnsi"/>
                <w:color w:val="000000"/>
              </w:rPr>
              <w:t>Contract liabilities – work in progress</w:t>
            </w:r>
          </w:p>
        </w:tc>
        <w:tc>
          <w:tcPr>
            <w:tcW w:w="1984" w:type="dxa"/>
            <w:tcBorders>
              <w:top w:val="nil"/>
              <w:left w:val="nil"/>
              <w:bottom w:val="nil"/>
              <w:right w:val="nil"/>
            </w:tcBorders>
            <w:hideMark/>
          </w:tcPr>
          <w:p w14:paraId="1CF54BE0"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350,000</w:t>
            </w:r>
          </w:p>
        </w:tc>
        <w:tc>
          <w:tcPr>
            <w:tcW w:w="1843" w:type="dxa"/>
            <w:tcBorders>
              <w:top w:val="nil"/>
              <w:left w:val="nil"/>
              <w:bottom w:val="nil"/>
              <w:right w:val="nil"/>
            </w:tcBorders>
            <w:hideMark/>
          </w:tcPr>
          <w:p w14:paraId="096C80B6"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w:t>
            </w:r>
          </w:p>
        </w:tc>
      </w:tr>
      <w:tr w:rsidR="0002381D" w:rsidRPr="0002381D" w14:paraId="51ED6A09" w14:textId="77777777" w:rsidTr="00270393">
        <w:trPr>
          <w:trHeight w:val="224"/>
        </w:trPr>
        <w:tc>
          <w:tcPr>
            <w:tcW w:w="4962" w:type="dxa"/>
            <w:tcBorders>
              <w:top w:val="nil"/>
              <w:left w:val="nil"/>
              <w:bottom w:val="nil"/>
              <w:right w:val="nil"/>
            </w:tcBorders>
            <w:vAlign w:val="bottom"/>
            <w:hideMark/>
          </w:tcPr>
          <w:p w14:paraId="66EB1DED" w14:textId="77777777" w:rsidR="0002381D" w:rsidRPr="00D4158A" w:rsidRDefault="0002381D" w:rsidP="00EA2BB6">
            <w:pPr>
              <w:rPr>
                <w:rFonts w:asciiTheme="minorHAnsi" w:hAnsiTheme="minorHAnsi" w:cstheme="minorHAnsi"/>
                <w:lang w:eastAsia="en-US"/>
              </w:rPr>
            </w:pPr>
            <w:r w:rsidRPr="00D4158A">
              <w:rPr>
                <w:rFonts w:asciiTheme="minorHAnsi" w:hAnsiTheme="minorHAnsi" w:cstheme="minorHAnsi"/>
                <w:color w:val="000000"/>
              </w:rPr>
              <w:t xml:space="preserve">Other payables </w:t>
            </w:r>
          </w:p>
        </w:tc>
        <w:tc>
          <w:tcPr>
            <w:tcW w:w="1984" w:type="dxa"/>
            <w:tcBorders>
              <w:top w:val="nil"/>
              <w:left w:val="nil"/>
              <w:bottom w:val="nil"/>
              <w:right w:val="nil"/>
            </w:tcBorders>
            <w:hideMark/>
          </w:tcPr>
          <w:p w14:paraId="64E7F2C6"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3,063</w:t>
            </w:r>
          </w:p>
        </w:tc>
        <w:tc>
          <w:tcPr>
            <w:tcW w:w="1843" w:type="dxa"/>
            <w:tcBorders>
              <w:top w:val="nil"/>
              <w:left w:val="nil"/>
              <w:bottom w:val="nil"/>
              <w:right w:val="nil"/>
            </w:tcBorders>
            <w:hideMark/>
          </w:tcPr>
          <w:p w14:paraId="3159826D"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24,999</w:t>
            </w:r>
          </w:p>
        </w:tc>
      </w:tr>
      <w:tr w:rsidR="0002381D" w:rsidRPr="0002381D" w14:paraId="239A2E17" w14:textId="77777777" w:rsidTr="00270393">
        <w:trPr>
          <w:trHeight w:val="224"/>
        </w:trPr>
        <w:tc>
          <w:tcPr>
            <w:tcW w:w="4962" w:type="dxa"/>
            <w:tcBorders>
              <w:top w:val="nil"/>
              <w:left w:val="nil"/>
              <w:bottom w:val="nil"/>
              <w:right w:val="nil"/>
            </w:tcBorders>
            <w:vAlign w:val="bottom"/>
            <w:hideMark/>
          </w:tcPr>
          <w:p w14:paraId="1C09BE54" w14:textId="77777777" w:rsidR="0002381D" w:rsidRPr="00D4158A" w:rsidRDefault="0002381D" w:rsidP="00EA2BB6">
            <w:pPr>
              <w:rPr>
                <w:rFonts w:asciiTheme="minorHAnsi" w:hAnsiTheme="minorHAnsi" w:cstheme="minorHAnsi"/>
                <w:lang w:eastAsia="en-US"/>
              </w:rPr>
            </w:pPr>
            <w:r w:rsidRPr="00D4158A">
              <w:rPr>
                <w:rFonts w:asciiTheme="minorHAnsi" w:hAnsiTheme="minorHAnsi" w:cstheme="minorHAnsi"/>
                <w:color w:val="000000"/>
              </w:rPr>
              <w:t xml:space="preserve">Accruals </w:t>
            </w:r>
          </w:p>
        </w:tc>
        <w:tc>
          <w:tcPr>
            <w:tcW w:w="1984" w:type="dxa"/>
            <w:tcBorders>
              <w:top w:val="nil"/>
              <w:left w:val="nil"/>
              <w:bottom w:val="single" w:sz="4" w:space="0" w:color="000000"/>
              <w:right w:val="nil"/>
            </w:tcBorders>
            <w:hideMark/>
          </w:tcPr>
          <w:p w14:paraId="3CD754F0"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82,840</w:t>
            </w:r>
          </w:p>
        </w:tc>
        <w:tc>
          <w:tcPr>
            <w:tcW w:w="1843" w:type="dxa"/>
            <w:tcBorders>
              <w:top w:val="nil"/>
              <w:left w:val="nil"/>
              <w:bottom w:val="single" w:sz="4" w:space="0" w:color="000000"/>
              <w:right w:val="nil"/>
            </w:tcBorders>
            <w:hideMark/>
          </w:tcPr>
          <w:p w14:paraId="2BE24C69" w14:textId="77777777" w:rsidR="0002381D" w:rsidRPr="00D4158A" w:rsidRDefault="0002381D" w:rsidP="00EA2BB6">
            <w:pPr>
              <w:jc w:val="right"/>
              <w:rPr>
                <w:rFonts w:asciiTheme="minorHAnsi" w:hAnsiTheme="minorHAnsi" w:cstheme="minorHAnsi"/>
                <w:lang w:eastAsia="en-US"/>
              </w:rPr>
            </w:pPr>
            <w:r w:rsidRPr="00D4158A">
              <w:rPr>
                <w:rFonts w:asciiTheme="minorHAnsi" w:hAnsiTheme="minorHAnsi" w:cstheme="minorHAnsi"/>
              </w:rPr>
              <w:t>41,172</w:t>
            </w:r>
          </w:p>
        </w:tc>
      </w:tr>
      <w:tr w:rsidR="0002381D" w:rsidRPr="0002381D" w14:paraId="402AA231" w14:textId="77777777" w:rsidTr="00270393">
        <w:trPr>
          <w:trHeight w:val="224"/>
        </w:trPr>
        <w:tc>
          <w:tcPr>
            <w:tcW w:w="4962" w:type="dxa"/>
            <w:tcBorders>
              <w:top w:val="nil"/>
              <w:left w:val="nil"/>
              <w:bottom w:val="nil"/>
              <w:right w:val="nil"/>
            </w:tcBorders>
            <w:hideMark/>
          </w:tcPr>
          <w:p w14:paraId="6CE6E8F1" w14:textId="77777777" w:rsidR="0002381D" w:rsidRPr="00D4158A" w:rsidRDefault="0002381D" w:rsidP="00EA2BB6">
            <w:pPr>
              <w:rPr>
                <w:rFonts w:asciiTheme="minorHAnsi" w:hAnsiTheme="minorHAnsi" w:cstheme="minorHAnsi"/>
                <w:b/>
                <w:lang w:eastAsia="en-US"/>
              </w:rPr>
            </w:pPr>
            <w:r w:rsidRPr="00D4158A">
              <w:rPr>
                <w:rFonts w:asciiTheme="minorHAnsi" w:hAnsiTheme="minorHAnsi" w:cstheme="minorHAnsi"/>
                <w:b/>
              </w:rPr>
              <w:t>Total</w:t>
            </w:r>
          </w:p>
        </w:tc>
        <w:tc>
          <w:tcPr>
            <w:tcW w:w="1984" w:type="dxa"/>
            <w:tcBorders>
              <w:top w:val="single" w:sz="4" w:space="0" w:color="000000"/>
              <w:left w:val="nil"/>
              <w:bottom w:val="single" w:sz="12" w:space="0" w:color="000000"/>
              <w:right w:val="nil"/>
            </w:tcBorders>
            <w:hideMark/>
          </w:tcPr>
          <w:p w14:paraId="7183556B"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629,619</w:t>
            </w:r>
          </w:p>
        </w:tc>
        <w:tc>
          <w:tcPr>
            <w:tcW w:w="1843" w:type="dxa"/>
            <w:tcBorders>
              <w:top w:val="single" w:sz="4" w:space="0" w:color="000000"/>
              <w:left w:val="nil"/>
              <w:bottom w:val="single" w:sz="12" w:space="0" w:color="000000"/>
              <w:right w:val="nil"/>
            </w:tcBorders>
            <w:hideMark/>
          </w:tcPr>
          <w:p w14:paraId="5670CB0D" w14:textId="77777777" w:rsidR="0002381D" w:rsidRPr="00D4158A" w:rsidRDefault="0002381D" w:rsidP="00EA2BB6">
            <w:pPr>
              <w:jc w:val="right"/>
              <w:rPr>
                <w:rFonts w:asciiTheme="minorHAnsi" w:hAnsiTheme="minorHAnsi" w:cstheme="minorHAnsi"/>
                <w:b/>
                <w:lang w:eastAsia="en-US"/>
              </w:rPr>
            </w:pPr>
            <w:r w:rsidRPr="00D4158A">
              <w:rPr>
                <w:rFonts w:asciiTheme="minorHAnsi" w:hAnsiTheme="minorHAnsi" w:cstheme="minorHAnsi"/>
                <w:b/>
              </w:rPr>
              <w:t>183,662</w:t>
            </w:r>
          </w:p>
        </w:tc>
      </w:tr>
    </w:tbl>
    <w:p w14:paraId="3E9CFDEE" w14:textId="77777777" w:rsidR="0002381D" w:rsidRPr="00D4158A" w:rsidRDefault="0002381D" w:rsidP="00D4158A">
      <w:pPr>
        <w:keepNext/>
        <w:keepLines/>
        <w:spacing w:after="120" w:line="240" w:lineRule="auto"/>
        <w:ind w:left="576"/>
        <w:rPr>
          <w:rFonts w:cstheme="minorHAnsi"/>
          <w:b/>
          <w:caps/>
          <w:szCs w:val="20"/>
          <w:lang w:eastAsia="en-GB"/>
        </w:rPr>
      </w:pPr>
    </w:p>
    <w:p w14:paraId="27C65BEB" w14:textId="77777777" w:rsidR="0002381D" w:rsidRPr="00D4158A" w:rsidRDefault="0002381D" w:rsidP="00D4158A">
      <w:pPr>
        <w:numPr>
          <w:ilvl w:val="3"/>
          <w:numId w:val="89"/>
        </w:numPr>
        <w:spacing w:after="120" w:line="240" w:lineRule="auto"/>
        <w:rPr>
          <w:rFonts w:cstheme="minorHAnsi"/>
          <w:szCs w:val="20"/>
        </w:rPr>
      </w:pPr>
      <w:r w:rsidRPr="00D4158A">
        <w:rPr>
          <w:rFonts w:cstheme="minorHAnsi"/>
          <w:szCs w:val="20"/>
        </w:rPr>
        <w:t>Amount due to shareholders is unsecured, interest-free and repayable on demand.</w:t>
      </w:r>
    </w:p>
    <w:p w14:paraId="5B690E77" w14:textId="2210FD35" w:rsidR="00543328" w:rsidRPr="00D4158A" w:rsidRDefault="0002381D" w:rsidP="00D4158A">
      <w:pPr>
        <w:numPr>
          <w:ilvl w:val="3"/>
          <w:numId w:val="89"/>
        </w:numPr>
        <w:spacing w:after="120" w:line="240" w:lineRule="auto"/>
        <w:rPr>
          <w:rFonts w:cstheme="minorHAnsi"/>
          <w:szCs w:val="20"/>
        </w:rPr>
      </w:pPr>
      <w:r w:rsidRPr="00D4158A">
        <w:rPr>
          <w:rFonts w:cstheme="minorHAnsi"/>
          <w:szCs w:val="20"/>
        </w:rPr>
        <w:t xml:space="preserve">Amount due to directors are unsecured, interest-free and repayable on demand. </w:t>
      </w:r>
    </w:p>
    <w:p w14:paraId="0F9F845D" w14:textId="6BDD78A3" w:rsidR="00543328" w:rsidRDefault="0002381D" w:rsidP="00543328">
      <w:pPr>
        <w:spacing w:after="120" w:line="240" w:lineRule="auto"/>
        <w:ind w:left="576"/>
        <w:rPr>
          <w:rFonts w:cstheme="minorHAnsi"/>
          <w:szCs w:val="20"/>
        </w:rPr>
      </w:pPr>
      <w:r w:rsidRPr="00543328">
        <w:rPr>
          <w:rFonts w:cstheme="minorHAnsi"/>
          <w:szCs w:val="20"/>
        </w:rPr>
        <w:t>The directors consider that the carrying amount of payables approximates to their fair value.</w:t>
      </w:r>
    </w:p>
    <w:p w14:paraId="405BEF57" w14:textId="04D3B8D9" w:rsidR="00543328" w:rsidRDefault="00543328">
      <w:pPr>
        <w:jc w:val="left"/>
        <w:rPr>
          <w:rFonts w:cstheme="minorHAnsi"/>
          <w:szCs w:val="20"/>
        </w:rPr>
      </w:pPr>
      <w:r>
        <w:rPr>
          <w:rFonts w:cstheme="minorHAnsi"/>
          <w:szCs w:val="20"/>
        </w:rPr>
        <w:br w:type="page"/>
      </w:r>
    </w:p>
    <w:p w14:paraId="75C0930D" w14:textId="77777777" w:rsidR="00543328" w:rsidRPr="00D4158A" w:rsidRDefault="00543328" w:rsidP="00543328">
      <w:pPr>
        <w:spacing w:after="120" w:line="240" w:lineRule="auto"/>
        <w:rPr>
          <w:rFonts w:cstheme="minorHAnsi"/>
          <w:b/>
          <w:caps/>
          <w:szCs w:val="20"/>
        </w:rPr>
      </w:pPr>
      <w:r w:rsidRPr="00D4158A">
        <w:rPr>
          <w:rFonts w:cstheme="minorHAnsi"/>
          <w:b/>
          <w:caps/>
          <w:szCs w:val="20"/>
        </w:rPr>
        <w:lastRenderedPageBreak/>
        <w:t>n</w:t>
      </w:r>
      <w:r w:rsidRPr="00D4158A">
        <w:rPr>
          <w:rFonts w:cstheme="minorHAnsi"/>
          <w:b/>
          <w:szCs w:val="20"/>
        </w:rPr>
        <w:t>otes to the financial information</w:t>
      </w:r>
    </w:p>
    <w:p w14:paraId="77D64E02" w14:textId="77777777" w:rsidR="00543328" w:rsidRPr="00D4158A" w:rsidRDefault="00543328" w:rsidP="00543328">
      <w:pPr>
        <w:spacing w:after="120" w:line="240" w:lineRule="auto"/>
        <w:rPr>
          <w:rFonts w:cstheme="minorHAnsi"/>
          <w:b/>
          <w:caps/>
          <w:szCs w:val="20"/>
        </w:rPr>
      </w:pPr>
      <w:r w:rsidRPr="00D4158A">
        <w:rPr>
          <w:rFonts w:cstheme="minorHAnsi"/>
          <w:b/>
          <w:caps/>
          <w:szCs w:val="20"/>
        </w:rPr>
        <w:t>F</w:t>
      </w:r>
      <w:r w:rsidRPr="00D4158A">
        <w:rPr>
          <w:rFonts w:cstheme="minorHAnsi"/>
          <w:b/>
          <w:szCs w:val="20"/>
        </w:rPr>
        <w:t>or the six months ended 31 October 2019</w:t>
      </w:r>
      <w:r w:rsidRPr="00D4158A">
        <w:rPr>
          <w:rFonts w:cstheme="minorHAnsi"/>
          <w:b/>
          <w:caps/>
          <w:szCs w:val="20"/>
        </w:rPr>
        <w:t xml:space="preserve"> (</w:t>
      </w:r>
      <w:r w:rsidRPr="00D4158A">
        <w:rPr>
          <w:rFonts w:cstheme="minorHAnsi"/>
          <w:b/>
          <w:i/>
          <w:szCs w:val="20"/>
        </w:rPr>
        <w:t>continued)</w:t>
      </w:r>
    </w:p>
    <w:p w14:paraId="59D54CEC" w14:textId="77777777" w:rsidR="00543328" w:rsidRPr="00D4158A" w:rsidRDefault="00543328" w:rsidP="00543328">
      <w:pPr>
        <w:pBdr>
          <w:bottom w:val="single" w:sz="6" w:space="1" w:color="auto"/>
        </w:pBdr>
        <w:spacing w:after="120" w:line="240" w:lineRule="auto"/>
        <w:jc w:val="right"/>
        <w:rPr>
          <w:rFonts w:cstheme="minorHAnsi"/>
          <w:szCs w:val="20"/>
        </w:rPr>
      </w:pPr>
    </w:p>
    <w:p w14:paraId="66F4E182" w14:textId="77777777" w:rsidR="00543328" w:rsidRPr="00D4158A" w:rsidRDefault="00543328" w:rsidP="00543328">
      <w:pPr>
        <w:spacing w:after="120" w:line="240" w:lineRule="auto"/>
        <w:rPr>
          <w:rFonts w:cstheme="minorHAnsi"/>
          <w:szCs w:val="20"/>
        </w:rPr>
      </w:pPr>
    </w:p>
    <w:p w14:paraId="64817135" w14:textId="5EFA397B" w:rsidR="0002381D" w:rsidRPr="00D4158A" w:rsidRDefault="0002381D" w:rsidP="00EA2BB6">
      <w:pPr>
        <w:keepNext/>
        <w:keepLines/>
        <w:numPr>
          <w:ilvl w:val="0"/>
          <w:numId w:val="89"/>
        </w:numPr>
        <w:spacing w:before="180" w:after="120" w:line="240" w:lineRule="auto"/>
        <w:rPr>
          <w:rFonts w:cstheme="minorHAnsi"/>
          <w:b/>
          <w:caps/>
          <w:szCs w:val="20"/>
        </w:rPr>
      </w:pPr>
      <w:r w:rsidRPr="00D4158A">
        <w:rPr>
          <w:rFonts w:cstheme="minorHAnsi"/>
          <w:b/>
          <w:caps/>
          <w:szCs w:val="20"/>
        </w:rPr>
        <w:t>Revenue</w:t>
      </w:r>
    </w:p>
    <w:tbl>
      <w:tblPr>
        <w:tblW w:w="8505" w:type="dxa"/>
        <w:tblInd w:w="5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87"/>
        <w:gridCol w:w="1701"/>
        <w:gridCol w:w="1417"/>
      </w:tblGrid>
      <w:tr w:rsidR="0002381D" w:rsidRPr="0002381D" w14:paraId="3C98F44A" w14:textId="77777777" w:rsidTr="00270393">
        <w:trPr>
          <w:trHeight w:val="677"/>
        </w:trPr>
        <w:tc>
          <w:tcPr>
            <w:tcW w:w="5387" w:type="dxa"/>
            <w:tcBorders>
              <w:top w:val="nil"/>
              <w:left w:val="nil"/>
              <w:bottom w:val="nil"/>
              <w:right w:val="nil"/>
            </w:tcBorders>
          </w:tcPr>
          <w:p w14:paraId="54E0E8CD" w14:textId="77777777" w:rsidR="0002381D" w:rsidRPr="00D4158A" w:rsidRDefault="0002381D" w:rsidP="00EA2BB6">
            <w:pPr>
              <w:spacing w:after="0" w:line="240" w:lineRule="auto"/>
              <w:rPr>
                <w:rFonts w:eastAsia="SimSun" w:cstheme="minorHAnsi"/>
                <w:b/>
                <w:szCs w:val="20"/>
              </w:rPr>
            </w:pPr>
          </w:p>
        </w:tc>
        <w:tc>
          <w:tcPr>
            <w:tcW w:w="1701" w:type="dxa"/>
            <w:tcBorders>
              <w:top w:val="nil"/>
              <w:left w:val="nil"/>
              <w:bottom w:val="nil"/>
              <w:right w:val="nil"/>
            </w:tcBorders>
            <w:hideMark/>
          </w:tcPr>
          <w:p w14:paraId="534FE58D"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 xml:space="preserve">Six months ended </w:t>
            </w:r>
          </w:p>
          <w:p w14:paraId="3B262D56"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 xml:space="preserve">31 October </w:t>
            </w:r>
          </w:p>
          <w:p w14:paraId="42A61149"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2019</w:t>
            </w:r>
          </w:p>
          <w:p w14:paraId="77F1FD93"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RM</w:t>
            </w:r>
          </w:p>
        </w:tc>
        <w:tc>
          <w:tcPr>
            <w:tcW w:w="1417" w:type="dxa"/>
            <w:tcBorders>
              <w:top w:val="nil"/>
              <w:left w:val="nil"/>
              <w:bottom w:val="nil"/>
              <w:right w:val="nil"/>
            </w:tcBorders>
            <w:hideMark/>
          </w:tcPr>
          <w:p w14:paraId="1999EB5D"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 xml:space="preserve">Period </w:t>
            </w:r>
          </w:p>
          <w:p w14:paraId="40E7051C"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ended</w:t>
            </w:r>
          </w:p>
          <w:p w14:paraId="79BBD118"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 xml:space="preserve">31 October </w:t>
            </w:r>
          </w:p>
          <w:p w14:paraId="35518253"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2018</w:t>
            </w:r>
          </w:p>
          <w:p w14:paraId="130186B1"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RM</w:t>
            </w:r>
          </w:p>
        </w:tc>
      </w:tr>
      <w:tr w:rsidR="0002381D" w:rsidRPr="0002381D" w14:paraId="75B717C8" w14:textId="77777777" w:rsidTr="00270393">
        <w:trPr>
          <w:trHeight w:val="224"/>
        </w:trPr>
        <w:tc>
          <w:tcPr>
            <w:tcW w:w="5387" w:type="dxa"/>
            <w:tcBorders>
              <w:top w:val="nil"/>
              <w:left w:val="nil"/>
              <w:bottom w:val="nil"/>
              <w:right w:val="nil"/>
            </w:tcBorders>
            <w:hideMark/>
          </w:tcPr>
          <w:p w14:paraId="52E0995E" w14:textId="77777777" w:rsidR="0002381D" w:rsidRPr="00D4158A" w:rsidRDefault="0002381D" w:rsidP="00EA2BB6">
            <w:pPr>
              <w:spacing w:after="0" w:line="240" w:lineRule="auto"/>
              <w:rPr>
                <w:rFonts w:eastAsia="SimSun" w:cstheme="minorHAnsi"/>
                <w:szCs w:val="20"/>
              </w:rPr>
            </w:pPr>
            <w:r w:rsidRPr="00D4158A">
              <w:rPr>
                <w:rFonts w:eastAsia="SimSun" w:cstheme="minorHAnsi"/>
                <w:szCs w:val="20"/>
              </w:rPr>
              <w:t>Sale of software products</w:t>
            </w:r>
          </w:p>
        </w:tc>
        <w:tc>
          <w:tcPr>
            <w:tcW w:w="1701" w:type="dxa"/>
            <w:tcBorders>
              <w:top w:val="nil"/>
              <w:left w:val="nil"/>
              <w:bottom w:val="nil"/>
              <w:right w:val="nil"/>
            </w:tcBorders>
            <w:hideMark/>
          </w:tcPr>
          <w:p w14:paraId="0D6886DD"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905,000</w:t>
            </w:r>
          </w:p>
        </w:tc>
        <w:tc>
          <w:tcPr>
            <w:tcW w:w="1417" w:type="dxa"/>
            <w:tcBorders>
              <w:top w:val="nil"/>
              <w:left w:val="nil"/>
              <w:bottom w:val="nil"/>
              <w:right w:val="nil"/>
            </w:tcBorders>
            <w:hideMark/>
          </w:tcPr>
          <w:p w14:paraId="7E0A8C58"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760,000</w:t>
            </w:r>
          </w:p>
        </w:tc>
      </w:tr>
      <w:tr w:rsidR="0002381D" w:rsidRPr="0002381D" w14:paraId="146C631D" w14:textId="77777777" w:rsidTr="00270393">
        <w:trPr>
          <w:trHeight w:val="224"/>
        </w:trPr>
        <w:tc>
          <w:tcPr>
            <w:tcW w:w="5387" w:type="dxa"/>
            <w:tcBorders>
              <w:top w:val="nil"/>
              <w:left w:val="nil"/>
              <w:bottom w:val="nil"/>
              <w:right w:val="nil"/>
            </w:tcBorders>
            <w:hideMark/>
          </w:tcPr>
          <w:p w14:paraId="0C1851C4" w14:textId="77777777" w:rsidR="0002381D" w:rsidRPr="00D4158A" w:rsidRDefault="0002381D" w:rsidP="00EA2BB6">
            <w:pPr>
              <w:spacing w:after="0" w:line="240" w:lineRule="auto"/>
              <w:rPr>
                <w:rFonts w:eastAsia="SimSun" w:cstheme="minorHAnsi"/>
                <w:szCs w:val="20"/>
              </w:rPr>
            </w:pPr>
            <w:r w:rsidRPr="00D4158A">
              <w:rPr>
                <w:rFonts w:eastAsia="SimSun" w:cstheme="minorHAnsi"/>
                <w:szCs w:val="20"/>
              </w:rPr>
              <w:t>Maintenance income</w:t>
            </w:r>
          </w:p>
        </w:tc>
        <w:tc>
          <w:tcPr>
            <w:tcW w:w="1701" w:type="dxa"/>
            <w:tcBorders>
              <w:top w:val="nil"/>
              <w:left w:val="nil"/>
              <w:bottom w:val="nil"/>
              <w:right w:val="nil"/>
            </w:tcBorders>
            <w:hideMark/>
          </w:tcPr>
          <w:p w14:paraId="1C05744B"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300,000</w:t>
            </w:r>
          </w:p>
        </w:tc>
        <w:tc>
          <w:tcPr>
            <w:tcW w:w="1417" w:type="dxa"/>
            <w:tcBorders>
              <w:top w:val="nil"/>
              <w:left w:val="nil"/>
              <w:bottom w:val="nil"/>
              <w:right w:val="nil"/>
            </w:tcBorders>
            <w:hideMark/>
          </w:tcPr>
          <w:p w14:paraId="184B1B8B"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w:t>
            </w:r>
          </w:p>
        </w:tc>
      </w:tr>
      <w:tr w:rsidR="0002381D" w:rsidRPr="0002381D" w14:paraId="492DC8C3" w14:textId="77777777" w:rsidTr="00270393">
        <w:trPr>
          <w:trHeight w:val="224"/>
        </w:trPr>
        <w:tc>
          <w:tcPr>
            <w:tcW w:w="5387" w:type="dxa"/>
            <w:tcBorders>
              <w:top w:val="nil"/>
              <w:left w:val="nil"/>
              <w:bottom w:val="nil"/>
              <w:right w:val="nil"/>
            </w:tcBorders>
            <w:hideMark/>
          </w:tcPr>
          <w:p w14:paraId="1D230B2E" w14:textId="77777777" w:rsidR="0002381D" w:rsidRPr="00D4158A" w:rsidRDefault="0002381D" w:rsidP="00EA2BB6">
            <w:pPr>
              <w:spacing w:after="0" w:line="240" w:lineRule="auto"/>
              <w:rPr>
                <w:rFonts w:eastAsia="SimSun" w:cstheme="minorHAnsi"/>
                <w:szCs w:val="20"/>
              </w:rPr>
            </w:pPr>
            <w:r w:rsidRPr="00D4158A">
              <w:rPr>
                <w:rFonts w:eastAsia="SimSun" w:cstheme="minorHAnsi"/>
                <w:szCs w:val="20"/>
              </w:rPr>
              <w:t>Cashback earning</w:t>
            </w:r>
          </w:p>
        </w:tc>
        <w:tc>
          <w:tcPr>
            <w:tcW w:w="1701" w:type="dxa"/>
            <w:tcBorders>
              <w:top w:val="nil"/>
              <w:left w:val="nil"/>
              <w:bottom w:val="nil"/>
              <w:right w:val="nil"/>
            </w:tcBorders>
            <w:hideMark/>
          </w:tcPr>
          <w:p w14:paraId="6470ADAA"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82</w:t>
            </w:r>
          </w:p>
        </w:tc>
        <w:tc>
          <w:tcPr>
            <w:tcW w:w="1417" w:type="dxa"/>
            <w:tcBorders>
              <w:top w:val="nil"/>
              <w:left w:val="nil"/>
              <w:bottom w:val="nil"/>
              <w:right w:val="nil"/>
            </w:tcBorders>
            <w:hideMark/>
          </w:tcPr>
          <w:p w14:paraId="51C33750"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w:t>
            </w:r>
          </w:p>
        </w:tc>
      </w:tr>
      <w:tr w:rsidR="0002381D" w:rsidRPr="0002381D" w14:paraId="7DECDA23" w14:textId="77777777" w:rsidTr="00270393">
        <w:trPr>
          <w:trHeight w:val="224"/>
        </w:trPr>
        <w:tc>
          <w:tcPr>
            <w:tcW w:w="5387" w:type="dxa"/>
            <w:tcBorders>
              <w:top w:val="nil"/>
              <w:left w:val="nil"/>
              <w:bottom w:val="nil"/>
              <w:right w:val="nil"/>
            </w:tcBorders>
            <w:hideMark/>
          </w:tcPr>
          <w:p w14:paraId="7C7BAC5D" w14:textId="77777777" w:rsidR="0002381D" w:rsidRPr="00D4158A" w:rsidRDefault="0002381D" w:rsidP="00EA2BB6">
            <w:pPr>
              <w:spacing w:after="0" w:line="240" w:lineRule="auto"/>
              <w:rPr>
                <w:rFonts w:eastAsia="SimSun" w:cstheme="minorHAnsi"/>
                <w:b/>
                <w:szCs w:val="20"/>
              </w:rPr>
            </w:pPr>
            <w:r w:rsidRPr="00D4158A">
              <w:rPr>
                <w:rFonts w:eastAsia="SimSun" w:cstheme="minorHAnsi"/>
                <w:b/>
                <w:szCs w:val="20"/>
              </w:rPr>
              <w:t>Total</w:t>
            </w:r>
          </w:p>
        </w:tc>
        <w:tc>
          <w:tcPr>
            <w:tcW w:w="1701" w:type="dxa"/>
            <w:tcBorders>
              <w:top w:val="single" w:sz="4" w:space="0" w:color="000000"/>
              <w:left w:val="nil"/>
              <w:bottom w:val="single" w:sz="12" w:space="0" w:color="000000"/>
              <w:right w:val="nil"/>
            </w:tcBorders>
            <w:hideMark/>
          </w:tcPr>
          <w:p w14:paraId="2F906F96"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1,205,082</w:t>
            </w:r>
          </w:p>
        </w:tc>
        <w:tc>
          <w:tcPr>
            <w:tcW w:w="1417" w:type="dxa"/>
            <w:tcBorders>
              <w:top w:val="single" w:sz="4" w:space="0" w:color="000000"/>
              <w:left w:val="nil"/>
              <w:bottom w:val="single" w:sz="12" w:space="0" w:color="000000"/>
              <w:right w:val="nil"/>
            </w:tcBorders>
            <w:hideMark/>
          </w:tcPr>
          <w:p w14:paraId="53159473"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760,000</w:t>
            </w:r>
          </w:p>
        </w:tc>
      </w:tr>
    </w:tbl>
    <w:p w14:paraId="160D1629" w14:textId="3B887A39" w:rsidR="00543328" w:rsidRDefault="00543328" w:rsidP="00EA2BB6">
      <w:pPr>
        <w:keepNext/>
        <w:keepLines/>
        <w:spacing w:after="120" w:line="240" w:lineRule="auto"/>
        <w:ind w:left="576"/>
        <w:rPr>
          <w:rFonts w:cstheme="minorHAnsi"/>
          <w:b/>
          <w:caps/>
          <w:szCs w:val="20"/>
        </w:rPr>
      </w:pPr>
    </w:p>
    <w:p w14:paraId="34F5654E" w14:textId="40B00D28" w:rsidR="00543328" w:rsidRPr="00543328" w:rsidRDefault="00543328" w:rsidP="00543328">
      <w:pPr>
        <w:keepNext/>
        <w:keepLines/>
        <w:numPr>
          <w:ilvl w:val="0"/>
          <w:numId w:val="90"/>
        </w:numPr>
        <w:spacing w:after="120" w:line="240" w:lineRule="auto"/>
        <w:rPr>
          <w:rFonts w:cstheme="minorHAnsi"/>
          <w:b/>
          <w:caps/>
          <w:szCs w:val="20"/>
        </w:rPr>
      </w:pPr>
      <w:r w:rsidRPr="00D4158A">
        <w:rPr>
          <w:rFonts w:cstheme="minorHAnsi"/>
          <w:b/>
          <w:caps/>
          <w:szCs w:val="20"/>
        </w:rPr>
        <w:t>income tax expense</w:t>
      </w:r>
    </w:p>
    <w:tbl>
      <w:tblPr>
        <w:tblW w:w="8505" w:type="dxa"/>
        <w:tblInd w:w="5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87"/>
        <w:gridCol w:w="1701"/>
        <w:gridCol w:w="1417"/>
      </w:tblGrid>
      <w:tr w:rsidR="0002381D" w:rsidRPr="0002381D" w14:paraId="380374D9" w14:textId="77777777" w:rsidTr="00270393">
        <w:trPr>
          <w:trHeight w:val="677"/>
        </w:trPr>
        <w:tc>
          <w:tcPr>
            <w:tcW w:w="5387" w:type="dxa"/>
            <w:tcBorders>
              <w:top w:val="nil"/>
              <w:left w:val="nil"/>
              <w:bottom w:val="nil"/>
              <w:right w:val="nil"/>
            </w:tcBorders>
            <w:hideMark/>
          </w:tcPr>
          <w:p w14:paraId="49A31EDA" w14:textId="77777777" w:rsidR="0002381D" w:rsidRPr="00D4158A" w:rsidRDefault="0002381D" w:rsidP="00EA2BB6">
            <w:pPr>
              <w:spacing w:after="0" w:line="240" w:lineRule="auto"/>
              <w:rPr>
                <w:rFonts w:eastAsia="SimSun" w:cstheme="minorHAnsi"/>
                <w:b/>
                <w:szCs w:val="20"/>
              </w:rPr>
            </w:pPr>
            <w:r w:rsidRPr="00D4158A">
              <w:rPr>
                <w:rFonts w:eastAsia="SimSun" w:cstheme="minorHAnsi"/>
                <w:b/>
                <w:szCs w:val="20"/>
              </w:rPr>
              <w:t>Major components of tax charge</w:t>
            </w:r>
          </w:p>
        </w:tc>
        <w:tc>
          <w:tcPr>
            <w:tcW w:w="1701" w:type="dxa"/>
            <w:tcBorders>
              <w:top w:val="nil"/>
              <w:left w:val="nil"/>
              <w:bottom w:val="nil"/>
              <w:right w:val="nil"/>
            </w:tcBorders>
            <w:hideMark/>
          </w:tcPr>
          <w:p w14:paraId="11E36EDC"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 xml:space="preserve">Six months ended </w:t>
            </w:r>
          </w:p>
          <w:p w14:paraId="5D20A358"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 xml:space="preserve">31 October </w:t>
            </w:r>
          </w:p>
          <w:p w14:paraId="4827545D"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2019</w:t>
            </w:r>
          </w:p>
          <w:p w14:paraId="27DC551E"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RM</w:t>
            </w:r>
          </w:p>
        </w:tc>
        <w:tc>
          <w:tcPr>
            <w:tcW w:w="1417" w:type="dxa"/>
            <w:tcBorders>
              <w:top w:val="nil"/>
              <w:left w:val="nil"/>
              <w:bottom w:val="nil"/>
              <w:right w:val="nil"/>
            </w:tcBorders>
            <w:hideMark/>
          </w:tcPr>
          <w:p w14:paraId="4ABA37DD"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 xml:space="preserve">Period </w:t>
            </w:r>
          </w:p>
          <w:p w14:paraId="64FDFC90"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 xml:space="preserve">ended </w:t>
            </w:r>
          </w:p>
          <w:p w14:paraId="7ECF1400"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 xml:space="preserve">31 October 2018 </w:t>
            </w:r>
          </w:p>
          <w:p w14:paraId="693F2F38"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RM</w:t>
            </w:r>
          </w:p>
        </w:tc>
      </w:tr>
      <w:tr w:rsidR="0002381D" w:rsidRPr="0002381D" w14:paraId="2926D295" w14:textId="77777777" w:rsidTr="00270393">
        <w:trPr>
          <w:trHeight w:val="224"/>
        </w:trPr>
        <w:tc>
          <w:tcPr>
            <w:tcW w:w="5387" w:type="dxa"/>
            <w:tcBorders>
              <w:top w:val="nil"/>
              <w:left w:val="nil"/>
              <w:bottom w:val="nil"/>
              <w:right w:val="nil"/>
            </w:tcBorders>
            <w:hideMark/>
          </w:tcPr>
          <w:p w14:paraId="77A68C2F" w14:textId="77777777" w:rsidR="0002381D" w:rsidRPr="00D4158A" w:rsidRDefault="0002381D" w:rsidP="00EA2BB6">
            <w:pPr>
              <w:spacing w:after="0" w:line="240" w:lineRule="auto"/>
              <w:rPr>
                <w:rFonts w:eastAsia="SimSun" w:cstheme="minorHAnsi"/>
                <w:b/>
                <w:szCs w:val="20"/>
              </w:rPr>
            </w:pPr>
            <w:r w:rsidRPr="00D4158A">
              <w:rPr>
                <w:rFonts w:eastAsia="SimSun" w:cstheme="minorHAnsi"/>
                <w:b/>
                <w:szCs w:val="20"/>
              </w:rPr>
              <w:t>Deferred</w:t>
            </w:r>
          </w:p>
        </w:tc>
        <w:tc>
          <w:tcPr>
            <w:tcW w:w="1701" w:type="dxa"/>
            <w:tcBorders>
              <w:top w:val="nil"/>
              <w:left w:val="nil"/>
              <w:bottom w:val="nil"/>
              <w:right w:val="nil"/>
            </w:tcBorders>
          </w:tcPr>
          <w:p w14:paraId="4B5CE1BB" w14:textId="77777777" w:rsidR="0002381D" w:rsidRPr="00D4158A" w:rsidRDefault="0002381D" w:rsidP="00EA2BB6">
            <w:pPr>
              <w:spacing w:after="0" w:line="240" w:lineRule="auto"/>
              <w:jc w:val="right"/>
              <w:rPr>
                <w:rFonts w:eastAsia="SimSun" w:cstheme="minorHAnsi"/>
                <w:b/>
                <w:szCs w:val="20"/>
              </w:rPr>
            </w:pPr>
          </w:p>
        </w:tc>
        <w:tc>
          <w:tcPr>
            <w:tcW w:w="1417" w:type="dxa"/>
            <w:tcBorders>
              <w:top w:val="nil"/>
              <w:left w:val="nil"/>
              <w:bottom w:val="nil"/>
              <w:right w:val="nil"/>
            </w:tcBorders>
          </w:tcPr>
          <w:p w14:paraId="454CAA1C" w14:textId="77777777" w:rsidR="0002381D" w:rsidRPr="00D4158A" w:rsidRDefault="0002381D" w:rsidP="00EA2BB6">
            <w:pPr>
              <w:spacing w:after="0" w:line="240" w:lineRule="auto"/>
              <w:jc w:val="right"/>
              <w:rPr>
                <w:rFonts w:eastAsia="SimSun" w:cstheme="minorHAnsi"/>
                <w:b/>
                <w:szCs w:val="20"/>
              </w:rPr>
            </w:pPr>
          </w:p>
        </w:tc>
      </w:tr>
      <w:tr w:rsidR="0002381D" w:rsidRPr="0002381D" w14:paraId="741905A7" w14:textId="77777777" w:rsidTr="00270393">
        <w:trPr>
          <w:trHeight w:val="224"/>
        </w:trPr>
        <w:tc>
          <w:tcPr>
            <w:tcW w:w="5387" w:type="dxa"/>
            <w:tcBorders>
              <w:top w:val="nil"/>
              <w:left w:val="nil"/>
              <w:bottom w:val="nil"/>
              <w:right w:val="nil"/>
            </w:tcBorders>
            <w:hideMark/>
          </w:tcPr>
          <w:p w14:paraId="516972DF" w14:textId="77777777" w:rsidR="0002381D" w:rsidRPr="00D4158A" w:rsidRDefault="0002381D" w:rsidP="00EA2BB6">
            <w:pPr>
              <w:spacing w:after="0" w:line="240" w:lineRule="auto"/>
              <w:rPr>
                <w:rFonts w:eastAsia="SimSun" w:cstheme="minorHAnsi"/>
                <w:szCs w:val="20"/>
              </w:rPr>
            </w:pPr>
            <w:r w:rsidRPr="00D4158A">
              <w:rPr>
                <w:rFonts w:eastAsia="SimSun" w:cstheme="minorHAnsi"/>
                <w:szCs w:val="20"/>
              </w:rPr>
              <w:t>Originating and reversing temporary differences</w:t>
            </w:r>
          </w:p>
        </w:tc>
        <w:tc>
          <w:tcPr>
            <w:tcW w:w="1701" w:type="dxa"/>
            <w:tcBorders>
              <w:top w:val="nil"/>
              <w:left w:val="nil"/>
              <w:bottom w:val="nil"/>
              <w:right w:val="nil"/>
            </w:tcBorders>
            <w:hideMark/>
          </w:tcPr>
          <w:p w14:paraId="5568BF8F"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w:t>
            </w:r>
          </w:p>
        </w:tc>
        <w:tc>
          <w:tcPr>
            <w:tcW w:w="1417" w:type="dxa"/>
            <w:tcBorders>
              <w:top w:val="nil"/>
              <w:left w:val="nil"/>
              <w:bottom w:val="nil"/>
              <w:right w:val="nil"/>
            </w:tcBorders>
            <w:hideMark/>
          </w:tcPr>
          <w:p w14:paraId="2E89B607"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w:t>
            </w:r>
          </w:p>
        </w:tc>
      </w:tr>
      <w:tr w:rsidR="0002381D" w:rsidRPr="0002381D" w14:paraId="45BBE7D1" w14:textId="77777777" w:rsidTr="00270393">
        <w:trPr>
          <w:trHeight w:val="224"/>
        </w:trPr>
        <w:tc>
          <w:tcPr>
            <w:tcW w:w="5387" w:type="dxa"/>
            <w:tcBorders>
              <w:top w:val="nil"/>
              <w:left w:val="nil"/>
              <w:bottom w:val="nil"/>
              <w:right w:val="nil"/>
            </w:tcBorders>
            <w:hideMark/>
          </w:tcPr>
          <w:p w14:paraId="7EFAD312" w14:textId="77777777" w:rsidR="0002381D" w:rsidRPr="00D4158A" w:rsidRDefault="0002381D" w:rsidP="00EA2BB6">
            <w:pPr>
              <w:spacing w:after="0" w:line="240" w:lineRule="auto"/>
              <w:rPr>
                <w:rFonts w:eastAsia="SimSun" w:cstheme="minorHAnsi"/>
                <w:b/>
                <w:szCs w:val="20"/>
              </w:rPr>
            </w:pPr>
            <w:r w:rsidRPr="00D4158A">
              <w:rPr>
                <w:rFonts w:eastAsia="SimSun" w:cstheme="minorHAnsi"/>
                <w:b/>
                <w:szCs w:val="20"/>
              </w:rPr>
              <w:t>Current tax</w:t>
            </w:r>
          </w:p>
        </w:tc>
        <w:tc>
          <w:tcPr>
            <w:tcW w:w="1701" w:type="dxa"/>
            <w:tcBorders>
              <w:top w:val="nil"/>
              <w:left w:val="nil"/>
              <w:bottom w:val="nil"/>
              <w:right w:val="nil"/>
            </w:tcBorders>
          </w:tcPr>
          <w:p w14:paraId="77806008" w14:textId="77777777" w:rsidR="0002381D" w:rsidRPr="00D4158A" w:rsidRDefault="0002381D" w:rsidP="00EA2BB6">
            <w:pPr>
              <w:spacing w:after="0" w:line="240" w:lineRule="auto"/>
              <w:jc w:val="right"/>
              <w:rPr>
                <w:rFonts w:eastAsia="SimSun" w:cstheme="minorHAnsi"/>
                <w:szCs w:val="20"/>
              </w:rPr>
            </w:pPr>
          </w:p>
        </w:tc>
        <w:tc>
          <w:tcPr>
            <w:tcW w:w="1417" w:type="dxa"/>
            <w:tcBorders>
              <w:top w:val="nil"/>
              <w:left w:val="nil"/>
              <w:bottom w:val="nil"/>
              <w:right w:val="nil"/>
            </w:tcBorders>
          </w:tcPr>
          <w:p w14:paraId="12F114E9" w14:textId="77777777" w:rsidR="0002381D" w:rsidRPr="00D4158A" w:rsidRDefault="0002381D" w:rsidP="00EA2BB6">
            <w:pPr>
              <w:spacing w:after="0" w:line="240" w:lineRule="auto"/>
              <w:jc w:val="right"/>
              <w:rPr>
                <w:rFonts w:eastAsia="SimSun" w:cstheme="minorHAnsi"/>
                <w:szCs w:val="20"/>
              </w:rPr>
            </w:pPr>
          </w:p>
        </w:tc>
      </w:tr>
      <w:tr w:rsidR="0002381D" w:rsidRPr="0002381D" w14:paraId="59D2530D" w14:textId="77777777" w:rsidTr="00270393">
        <w:trPr>
          <w:trHeight w:val="224"/>
        </w:trPr>
        <w:tc>
          <w:tcPr>
            <w:tcW w:w="5387" w:type="dxa"/>
            <w:tcBorders>
              <w:top w:val="nil"/>
              <w:left w:val="nil"/>
              <w:bottom w:val="nil"/>
              <w:right w:val="nil"/>
            </w:tcBorders>
            <w:hideMark/>
          </w:tcPr>
          <w:p w14:paraId="54B9071B" w14:textId="77777777" w:rsidR="0002381D" w:rsidRPr="00D4158A" w:rsidRDefault="0002381D" w:rsidP="00EA2BB6">
            <w:pPr>
              <w:spacing w:after="0" w:line="240" w:lineRule="auto"/>
              <w:rPr>
                <w:rFonts w:eastAsia="SimSun" w:cstheme="minorHAnsi"/>
                <w:szCs w:val="20"/>
              </w:rPr>
            </w:pPr>
            <w:r w:rsidRPr="00D4158A">
              <w:rPr>
                <w:rFonts w:eastAsia="SimSun" w:cstheme="minorHAnsi"/>
                <w:szCs w:val="20"/>
              </w:rPr>
              <w:t>Malaysian tax in respect of current period</w:t>
            </w:r>
          </w:p>
        </w:tc>
        <w:tc>
          <w:tcPr>
            <w:tcW w:w="1701" w:type="dxa"/>
            <w:tcBorders>
              <w:top w:val="nil"/>
              <w:left w:val="nil"/>
              <w:bottom w:val="nil"/>
              <w:right w:val="nil"/>
            </w:tcBorders>
            <w:hideMark/>
          </w:tcPr>
          <w:p w14:paraId="595269E7"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67,973</w:t>
            </w:r>
          </w:p>
        </w:tc>
        <w:tc>
          <w:tcPr>
            <w:tcW w:w="1417" w:type="dxa"/>
            <w:tcBorders>
              <w:top w:val="nil"/>
              <w:left w:val="nil"/>
              <w:bottom w:val="nil"/>
              <w:right w:val="nil"/>
            </w:tcBorders>
            <w:hideMark/>
          </w:tcPr>
          <w:p w14:paraId="49B5AD9E"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73,868</w:t>
            </w:r>
          </w:p>
        </w:tc>
      </w:tr>
      <w:tr w:rsidR="0002381D" w:rsidRPr="0002381D" w14:paraId="695C3A6D" w14:textId="77777777" w:rsidTr="00270393">
        <w:trPr>
          <w:trHeight w:val="224"/>
        </w:trPr>
        <w:tc>
          <w:tcPr>
            <w:tcW w:w="5387" w:type="dxa"/>
            <w:tcBorders>
              <w:top w:val="nil"/>
              <w:left w:val="nil"/>
              <w:bottom w:val="nil"/>
              <w:right w:val="nil"/>
            </w:tcBorders>
            <w:hideMark/>
          </w:tcPr>
          <w:p w14:paraId="74C8EC97" w14:textId="77777777" w:rsidR="0002381D" w:rsidRPr="00D4158A" w:rsidRDefault="0002381D" w:rsidP="00EA2BB6">
            <w:pPr>
              <w:spacing w:after="0" w:line="240" w:lineRule="auto"/>
              <w:rPr>
                <w:rFonts w:eastAsia="SimSun" w:cstheme="minorHAnsi"/>
                <w:b/>
                <w:szCs w:val="20"/>
              </w:rPr>
            </w:pPr>
            <w:r w:rsidRPr="00D4158A">
              <w:rPr>
                <w:rFonts w:eastAsia="SimSun" w:cstheme="minorHAnsi"/>
                <w:b/>
                <w:szCs w:val="20"/>
              </w:rPr>
              <w:t>Total</w:t>
            </w:r>
          </w:p>
        </w:tc>
        <w:tc>
          <w:tcPr>
            <w:tcW w:w="1701" w:type="dxa"/>
            <w:tcBorders>
              <w:top w:val="single" w:sz="4" w:space="0" w:color="000000"/>
              <w:left w:val="nil"/>
              <w:bottom w:val="single" w:sz="12" w:space="0" w:color="000000"/>
              <w:right w:val="nil"/>
            </w:tcBorders>
            <w:hideMark/>
          </w:tcPr>
          <w:p w14:paraId="5B295903"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67,973</w:t>
            </w:r>
          </w:p>
        </w:tc>
        <w:tc>
          <w:tcPr>
            <w:tcW w:w="1417" w:type="dxa"/>
            <w:tcBorders>
              <w:top w:val="single" w:sz="4" w:space="0" w:color="000000"/>
              <w:left w:val="nil"/>
              <w:bottom w:val="single" w:sz="12" w:space="0" w:color="000000"/>
              <w:right w:val="nil"/>
            </w:tcBorders>
            <w:hideMark/>
          </w:tcPr>
          <w:p w14:paraId="5C48A12E"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73,868</w:t>
            </w:r>
          </w:p>
        </w:tc>
      </w:tr>
    </w:tbl>
    <w:p w14:paraId="123A43D6" w14:textId="77777777" w:rsidR="0002381D" w:rsidRPr="00D4158A" w:rsidRDefault="0002381D" w:rsidP="00EA2BB6">
      <w:pPr>
        <w:spacing w:after="0" w:line="240" w:lineRule="auto"/>
        <w:rPr>
          <w:rFonts w:eastAsia="Times New Roman" w:cstheme="minorHAnsi"/>
          <w:szCs w:val="20"/>
          <w:lang w:eastAsia="en-GB"/>
        </w:rPr>
      </w:pPr>
    </w:p>
    <w:p w14:paraId="60493338" w14:textId="77777777" w:rsidR="0002381D" w:rsidRPr="00D4158A" w:rsidRDefault="0002381D" w:rsidP="00EA2BB6">
      <w:pPr>
        <w:spacing w:after="0" w:line="240" w:lineRule="auto"/>
        <w:ind w:left="576"/>
        <w:rPr>
          <w:rFonts w:cstheme="minorHAnsi"/>
          <w:szCs w:val="20"/>
        </w:rPr>
      </w:pPr>
      <w:r w:rsidRPr="00D4158A">
        <w:rPr>
          <w:rFonts w:cstheme="minorHAnsi"/>
          <w:szCs w:val="20"/>
        </w:rPr>
        <w:t>The income tax expense is reconciled to the accounting profit at the applicable tax rate as follows:</w:t>
      </w:r>
    </w:p>
    <w:tbl>
      <w:tblPr>
        <w:tblW w:w="8505" w:type="dxa"/>
        <w:tblInd w:w="5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87"/>
        <w:gridCol w:w="1701"/>
        <w:gridCol w:w="1417"/>
      </w:tblGrid>
      <w:tr w:rsidR="0002381D" w:rsidRPr="0002381D" w14:paraId="12DD9A10" w14:textId="77777777" w:rsidTr="00270393">
        <w:trPr>
          <w:trHeight w:val="677"/>
        </w:trPr>
        <w:tc>
          <w:tcPr>
            <w:tcW w:w="5387" w:type="dxa"/>
            <w:tcBorders>
              <w:top w:val="nil"/>
              <w:left w:val="nil"/>
              <w:bottom w:val="nil"/>
              <w:right w:val="nil"/>
            </w:tcBorders>
          </w:tcPr>
          <w:p w14:paraId="733EDA4F" w14:textId="77777777" w:rsidR="0002381D" w:rsidRPr="00D4158A" w:rsidRDefault="0002381D" w:rsidP="00EA2BB6">
            <w:pPr>
              <w:spacing w:after="0" w:line="240" w:lineRule="auto"/>
              <w:rPr>
                <w:rFonts w:eastAsia="SimSun" w:cstheme="minorHAnsi"/>
                <w:b/>
                <w:szCs w:val="20"/>
              </w:rPr>
            </w:pPr>
          </w:p>
        </w:tc>
        <w:tc>
          <w:tcPr>
            <w:tcW w:w="1701" w:type="dxa"/>
            <w:tcBorders>
              <w:top w:val="nil"/>
              <w:left w:val="nil"/>
              <w:bottom w:val="nil"/>
              <w:right w:val="nil"/>
            </w:tcBorders>
            <w:hideMark/>
          </w:tcPr>
          <w:p w14:paraId="4D4A0947"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 xml:space="preserve">Six months ended </w:t>
            </w:r>
          </w:p>
          <w:p w14:paraId="2C52B6F2"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 xml:space="preserve">31 October </w:t>
            </w:r>
          </w:p>
          <w:p w14:paraId="7C4126B2"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2019</w:t>
            </w:r>
          </w:p>
          <w:p w14:paraId="6A767120"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RM</w:t>
            </w:r>
          </w:p>
        </w:tc>
        <w:tc>
          <w:tcPr>
            <w:tcW w:w="1417" w:type="dxa"/>
            <w:tcBorders>
              <w:top w:val="nil"/>
              <w:left w:val="nil"/>
              <w:bottom w:val="nil"/>
              <w:right w:val="nil"/>
            </w:tcBorders>
            <w:hideMark/>
          </w:tcPr>
          <w:p w14:paraId="5CDEB935"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 xml:space="preserve">Period </w:t>
            </w:r>
          </w:p>
          <w:p w14:paraId="67740543"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 xml:space="preserve">ended </w:t>
            </w:r>
          </w:p>
          <w:p w14:paraId="68FAC177"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 xml:space="preserve">31 October 2018 </w:t>
            </w:r>
          </w:p>
          <w:p w14:paraId="76DCE22C"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RM</w:t>
            </w:r>
          </w:p>
        </w:tc>
      </w:tr>
      <w:tr w:rsidR="0002381D" w:rsidRPr="0002381D" w14:paraId="45018359" w14:textId="77777777" w:rsidTr="00270393">
        <w:trPr>
          <w:trHeight w:val="224"/>
        </w:trPr>
        <w:tc>
          <w:tcPr>
            <w:tcW w:w="5387" w:type="dxa"/>
            <w:tcBorders>
              <w:top w:val="nil"/>
              <w:left w:val="nil"/>
              <w:bottom w:val="nil"/>
              <w:right w:val="nil"/>
            </w:tcBorders>
            <w:hideMark/>
          </w:tcPr>
          <w:p w14:paraId="5A6C16D3" w14:textId="77777777" w:rsidR="0002381D" w:rsidRPr="00D4158A" w:rsidRDefault="0002381D" w:rsidP="00EA2BB6">
            <w:pPr>
              <w:spacing w:after="0" w:line="240" w:lineRule="auto"/>
              <w:rPr>
                <w:rFonts w:eastAsia="SimSun" w:cstheme="minorHAnsi"/>
                <w:bCs/>
                <w:szCs w:val="20"/>
              </w:rPr>
            </w:pPr>
            <w:r w:rsidRPr="00D4158A">
              <w:rPr>
                <w:rFonts w:eastAsia="SimSun" w:cstheme="minorHAnsi"/>
                <w:bCs/>
                <w:szCs w:val="20"/>
              </w:rPr>
              <w:t>Profit before tax</w:t>
            </w:r>
          </w:p>
        </w:tc>
        <w:tc>
          <w:tcPr>
            <w:tcW w:w="1701" w:type="dxa"/>
            <w:tcBorders>
              <w:top w:val="nil"/>
              <w:left w:val="nil"/>
              <w:bottom w:val="single" w:sz="4" w:space="0" w:color="auto"/>
              <w:right w:val="nil"/>
            </w:tcBorders>
            <w:hideMark/>
          </w:tcPr>
          <w:p w14:paraId="7FB493A3" w14:textId="77777777" w:rsidR="0002381D" w:rsidRPr="00D4158A" w:rsidRDefault="0002381D" w:rsidP="00EA2BB6">
            <w:pPr>
              <w:spacing w:after="0" w:line="240" w:lineRule="auto"/>
              <w:jc w:val="right"/>
              <w:rPr>
                <w:rFonts w:eastAsia="SimSun" w:cstheme="minorHAnsi"/>
                <w:bCs/>
                <w:szCs w:val="20"/>
              </w:rPr>
            </w:pPr>
            <w:r w:rsidRPr="00D4158A">
              <w:rPr>
                <w:rFonts w:eastAsia="SimSun" w:cstheme="minorHAnsi"/>
                <w:bCs/>
                <w:szCs w:val="20"/>
              </w:rPr>
              <w:t>443,863</w:t>
            </w:r>
          </w:p>
        </w:tc>
        <w:tc>
          <w:tcPr>
            <w:tcW w:w="1417" w:type="dxa"/>
            <w:tcBorders>
              <w:top w:val="nil"/>
              <w:left w:val="nil"/>
              <w:bottom w:val="single" w:sz="4" w:space="0" w:color="auto"/>
              <w:right w:val="nil"/>
            </w:tcBorders>
            <w:hideMark/>
          </w:tcPr>
          <w:p w14:paraId="4D90BF23" w14:textId="77777777" w:rsidR="0002381D" w:rsidRPr="00D4158A" w:rsidRDefault="0002381D" w:rsidP="00EA2BB6">
            <w:pPr>
              <w:spacing w:after="0" w:line="240" w:lineRule="auto"/>
              <w:jc w:val="right"/>
              <w:rPr>
                <w:rFonts w:eastAsia="SimSun" w:cstheme="minorHAnsi"/>
                <w:bCs/>
                <w:szCs w:val="20"/>
              </w:rPr>
            </w:pPr>
            <w:r w:rsidRPr="00D4158A">
              <w:rPr>
                <w:rFonts w:eastAsia="SimSun" w:cstheme="minorHAnsi"/>
                <w:bCs/>
                <w:szCs w:val="20"/>
              </w:rPr>
              <w:t>543,766</w:t>
            </w:r>
          </w:p>
        </w:tc>
      </w:tr>
      <w:tr w:rsidR="0002381D" w:rsidRPr="0002381D" w14:paraId="4957CE01" w14:textId="77777777" w:rsidTr="00270393">
        <w:trPr>
          <w:trHeight w:val="224"/>
        </w:trPr>
        <w:tc>
          <w:tcPr>
            <w:tcW w:w="5387" w:type="dxa"/>
            <w:tcBorders>
              <w:top w:val="nil"/>
              <w:left w:val="nil"/>
              <w:bottom w:val="nil"/>
              <w:right w:val="nil"/>
            </w:tcBorders>
            <w:vAlign w:val="bottom"/>
          </w:tcPr>
          <w:p w14:paraId="6618BACE" w14:textId="77777777" w:rsidR="0002381D" w:rsidRPr="00D4158A" w:rsidRDefault="0002381D" w:rsidP="00EA2BB6">
            <w:pPr>
              <w:spacing w:after="0" w:line="240" w:lineRule="auto"/>
              <w:rPr>
                <w:rFonts w:eastAsia="SimSun" w:cstheme="minorHAnsi"/>
                <w:color w:val="000000"/>
                <w:szCs w:val="20"/>
                <w:lang w:val="en-MY" w:eastAsia="en-GB"/>
              </w:rPr>
            </w:pPr>
          </w:p>
        </w:tc>
        <w:tc>
          <w:tcPr>
            <w:tcW w:w="1701" w:type="dxa"/>
            <w:tcBorders>
              <w:top w:val="single" w:sz="4" w:space="0" w:color="auto"/>
              <w:left w:val="nil"/>
              <w:bottom w:val="nil"/>
              <w:right w:val="nil"/>
            </w:tcBorders>
          </w:tcPr>
          <w:p w14:paraId="5DC369FE" w14:textId="77777777" w:rsidR="0002381D" w:rsidRPr="00D4158A" w:rsidRDefault="0002381D" w:rsidP="00EA2BB6">
            <w:pPr>
              <w:spacing w:after="0" w:line="240" w:lineRule="auto"/>
              <w:jc w:val="right"/>
              <w:rPr>
                <w:rFonts w:eastAsia="SimSun" w:cstheme="minorHAnsi"/>
                <w:szCs w:val="20"/>
                <w:highlight w:val="yellow"/>
              </w:rPr>
            </w:pPr>
          </w:p>
        </w:tc>
        <w:tc>
          <w:tcPr>
            <w:tcW w:w="1417" w:type="dxa"/>
            <w:tcBorders>
              <w:top w:val="single" w:sz="4" w:space="0" w:color="auto"/>
              <w:left w:val="nil"/>
              <w:bottom w:val="nil"/>
              <w:right w:val="nil"/>
            </w:tcBorders>
          </w:tcPr>
          <w:p w14:paraId="2CC62A76" w14:textId="77777777" w:rsidR="0002381D" w:rsidRPr="00D4158A" w:rsidRDefault="0002381D" w:rsidP="00EA2BB6">
            <w:pPr>
              <w:spacing w:after="0" w:line="240" w:lineRule="auto"/>
              <w:jc w:val="right"/>
              <w:rPr>
                <w:rFonts w:eastAsia="SimSun" w:cstheme="minorHAnsi"/>
                <w:szCs w:val="20"/>
              </w:rPr>
            </w:pPr>
          </w:p>
        </w:tc>
      </w:tr>
      <w:tr w:rsidR="0002381D" w:rsidRPr="0002381D" w14:paraId="2054A3B5" w14:textId="77777777" w:rsidTr="00270393">
        <w:trPr>
          <w:trHeight w:val="224"/>
        </w:trPr>
        <w:tc>
          <w:tcPr>
            <w:tcW w:w="5387" w:type="dxa"/>
            <w:tcBorders>
              <w:top w:val="nil"/>
              <w:left w:val="nil"/>
              <w:bottom w:val="nil"/>
              <w:right w:val="nil"/>
            </w:tcBorders>
            <w:vAlign w:val="bottom"/>
            <w:hideMark/>
          </w:tcPr>
          <w:p w14:paraId="4886CDBC" w14:textId="77777777" w:rsidR="0002381D" w:rsidRPr="00D4158A" w:rsidRDefault="0002381D" w:rsidP="00EA2BB6">
            <w:pPr>
              <w:spacing w:after="0" w:line="240" w:lineRule="auto"/>
              <w:rPr>
                <w:rFonts w:eastAsia="SimSun" w:cstheme="minorHAnsi"/>
                <w:szCs w:val="20"/>
              </w:rPr>
            </w:pPr>
            <w:r w:rsidRPr="00D4158A">
              <w:rPr>
                <w:rFonts w:eastAsia="SimSun" w:cstheme="minorHAnsi"/>
                <w:color w:val="000000"/>
                <w:szCs w:val="20"/>
                <w:lang w:val="en-MY"/>
              </w:rPr>
              <w:t>Tax at Malaysian statutory tax rate at 17%</w:t>
            </w:r>
          </w:p>
        </w:tc>
        <w:tc>
          <w:tcPr>
            <w:tcW w:w="1701" w:type="dxa"/>
            <w:tcBorders>
              <w:top w:val="nil"/>
              <w:left w:val="nil"/>
              <w:bottom w:val="nil"/>
              <w:right w:val="nil"/>
            </w:tcBorders>
            <w:hideMark/>
          </w:tcPr>
          <w:p w14:paraId="768F892C"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75,457</w:t>
            </w:r>
          </w:p>
        </w:tc>
        <w:tc>
          <w:tcPr>
            <w:tcW w:w="1417" w:type="dxa"/>
            <w:tcBorders>
              <w:top w:val="nil"/>
              <w:left w:val="nil"/>
              <w:bottom w:val="nil"/>
              <w:right w:val="nil"/>
            </w:tcBorders>
            <w:hideMark/>
          </w:tcPr>
          <w:p w14:paraId="7B8E620E"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85,000</w:t>
            </w:r>
          </w:p>
        </w:tc>
      </w:tr>
      <w:tr w:rsidR="0002381D" w:rsidRPr="0002381D" w14:paraId="387AC790" w14:textId="77777777" w:rsidTr="00270393">
        <w:trPr>
          <w:trHeight w:val="224"/>
        </w:trPr>
        <w:tc>
          <w:tcPr>
            <w:tcW w:w="5387" w:type="dxa"/>
            <w:tcBorders>
              <w:top w:val="nil"/>
              <w:left w:val="nil"/>
              <w:bottom w:val="nil"/>
              <w:right w:val="nil"/>
            </w:tcBorders>
            <w:vAlign w:val="bottom"/>
            <w:hideMark/>
          </w:tcPr>
          <w:p w14:paraId="6A190A87" w14:textId="77777777" w:rsidR="0002381D" w:rsidRPr="00D4158A" w:rsidRDefault="0002381D" w:rsidP="00EA2BB6">
            <w:pPr>
              <w:spacing w:after="0" w:line="240" w:lineRule="auto"/>
              <w:rPr>
                <w:rFonts w:eastAsia="SimSun" w:cstheme="minorHAnsi"/>
                <w:b/>
                <w:szCs w:val="20"/>
              </w:rPr>
            </w:pPr>
            <w:r w:rsidRPr="00D4158A">
              <w:rPr>
                <w:rFonts w:eastAsia="SimSun" w:cstheme="minorHAnsi"/>
                <w:color w:val="000000"/>
                <w:szCs w:val="20"/>
                <w:lang w:val="en-MY"/>
              </w:rPr>
              <w:t>Tax at Malaysian statutory tax rate at 24%</w:t>
            </w:r>
          </w:p>
        </w:tc>
        <w:tc>
          <w:tcPr>
            <w:tcW w:w="1701" w:type="dxa"/>
            <w:tcBorders>
              <w:top w:val="nil"/>
              <w:left w:val="nil"/>
              <w:bottom w:val="single" w:sz="4" w:space="0" w:color="auto"/>
              <w:right w:val="nil"/>
            </w:tcBorders>
            <w:hideMark/>
          </w:tcPr>
          <w:p w14:paraId="5DB5CA96"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w:t>
            </w:r>
          </w:p>
        </w:tc>
        <w:tc>
          <w:tcPr>
            <w:tcW w:w="1417" w:type="dxa"/>
            <w:tcBorders>
              <w:top w:val="nil"/>
              <w:left w:val="nil"/>
              <w:bottom w:val="single" w:sz="4" w:space="0" w:color="auto"/>
              <w:right w:val="nil"/>
            </w:tcBorders>
            <w:hideMark/>
          </w:tcPr>
          <w:p w14:paraId="2229CBC3"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10,504</w:t>
            </w:r>
          </w:p>
        </w:tc>
      </w:tr>
      <w:tr w:rsidR="0002381D" w:rsidRPr="0002381D" w14:paraId="04E4ECF1" w14:textId="77777777" w:rsidTr="00270393">
        <w:trPr>
          <w:trHeight w:val="224"/>
        </w:trPr>
        <w:tc>
          <w:tcPr>
            <w:tcW w:w="5387" w:type="dxa"/>
            <w:tcBorders>
              <w:top w:val="nil"/>
              <w:left w:val="nil"/>
              <w:bottom w:val="nil"/>
              <w:right w:val="nil"/>
            </w:tcBorders>
          </w:tcPr>
          <w:p w14:paraId="5946C357" w14:textId="77777777" w:rsidR="0002381D" w:rsidRPr="00D4158A" w:rsidRDefault="0002381D" w:rsidP="00EA2BB6">
            <w:pPr>
              <w:spacing w:after="0" w:line="240" w:lineRule="auto"/>
              <w:rPr>
                <w:rFonts w:eastAsia="SimSun" w:cstheme="minorHAnsi"/>
                <w:b/>
                <w:szCs w:val="20"/>
              </w:rPr>
            </w:pPr>
          </w:p>
        </w:tc>
        <w:tc>
          <w:tcPr>
            <w:tcW w:w="1701" w:type="dxa"/>
            <w:tcBorders>
              <w:top w:val="single" w:sz="4" w:space="0" w:color="auto"/>
              <w:left w:val="nil"/>
              <w:bottom w:val="nil"/>
              <w:right w:val="nil"/>
            </w:tcBorders>
            <w:hideMark/>
          </w:tcPr>
          <w:p w14:paraId="0AC0CD41"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75,457</w:t>
            </w:r>
          </w:p>
        </w:tc>
        <w:tc>
          <w:tcPr>
            <w:tcW w:w="1417" w:type="dxa"/>
            <w:tcBorders>
              <w:top w:val="single" w:sz="4" w:space="0" w:color="auto"/>
              <w:left w:val="nil"/>
              <w:bottom w:val="nil"/>
              <w:right w:val="nil"/>
            </w:tcBorders>
            <w:hideMark/>
          </w:tcPr>
          <w:p w14:paraId="218EF8A1"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95,504</w:t>
            </w:r>
          </w:p>
        </w:tc>
      </w:tr>
      <w:tr w:rsidR="0002381D" w:rsidRPr="0002381D" w14:paraId="32B44426" w14:textId="77777777" w:rsidTr="00270393">
        <w:trPr>
          <w:trHeight w:val="224"/>
        </w:trPr>
        <w:tc>
          <w:tcPr>
            <w:tcW w:w="5387" w:type="dxa"/>
            <w:tcBorders>
              <w:top w:val="nil"/>
              <w:left w:val="nil"/>
              <w:bottom w:val="nil"/>
              <w:right w:val="nil"/>
            </w:tcBorders>
            <w:vAlign w:val="bottom"/>
            <w:hideMark/>
          </w:tcPr>
          <w:p w14:paraId="5D6292B8" w14:textId="77777777" w:rsidR="0002381D" w:rsidRPr="00D4158A" w:rsidRDefault="0002381D" w:rsidP="00EA2BB6">
            <w:pPr>
              <w:spacing w:after="0" w:line="240" w:lineRule="auto"/>
              <w:rPr>
                <w:rFonts w:eastAsia="SimSun" w:cstheme="minorHAnsi"/>
                <w:b/>
                <w:szCs w:val="20"/>
              </w:rPr>
            </w:pPr>
            <w:r w:rsidRPr="00D4158A">
              <w:rPr>
                <w:rFonts w:eastAsia="SimSun" w:cstheme="minorHAnsi"/>
                <w:color w:val="000000"/>
                <w:szCs w:val="20"/>
                <w:lang w:val="en-MY"/>
              </w:rPr>
              <w:t>Tax effects of:</w:t>
            </w:r>
          </w:p>
        </w:tc>
        <w:tc>
          <w:tcPr>
            <w:tcW w:w="1701" w:type="dxa"/>
            <w:tcBorders>
              <w:top w:val="nil"/>
              <w:left w:val="nil"/>
              <w:bottom w:val="nil"/>
              <w:right w:val="nil"/>
            </w:tcBorders>
          </w:tcPr>
          <w:p w14:paraId="29A38D63" w14:textId="77777777" w:rsidR="0002381D" w:rsidRPr="00D4158A" w:rsidRDefault="0002381D" w:rsidP="00EA2BB6">
            <w:pPr>
              <w:spacing w:after="0" w:line="240" w:lineRule="auto"/>
              <w:jc w:val="right"/>
              <w:rPr>
                <w:rFonts w:eastAsia="SimSun" w:cstheme="minorHAnsi"/>
                <w:szCs w:val="20"/>
              </w:rPr>
            </w:pPr>
          </w:p>
        </w:tc>
        <w:tc>
          <w:tcPr>
            <w:tcW w:w="1417" w:type="dxa"/>
            <w:tcBorders>
              <w:top w:val="nil"/>
              <w:left w:val="nil"/>
              <w:bottom w:val="nil"/>
              <w:right w:val="nil"/>
            </w:tcBorders>
          </w:tcPr>
          <w:p w14:paraId="0273E210" w14:textId="77777777" w:rsidR="0002381D" w:rsidRPr="00D4158A" w:rsidRDefault="0002381D" w:rsidP="00EA2BB6">
            <w:pPr>
              <w:spacing w:after="0" w:line="240" w:lineRule="auto"/>
              <w:jc w:val="right"/>
              <w:rPr>
                <w:rFonts w:eastAsia="SimSun" w:cstheme="minorHAnsi"/>
                <w:szCs w:val="20"/>
              </w:rPr>
            </w:pPr>
          </w:p>
        </w:tc>
      </w:tr>
      <w:tr w:rsidR="0002381D" w:rsidRPr="0002381D" w14:paraId="16233A93" w14:textId="77777777" w:rsidTr="00270393">
        <w:trPr>
          <w:trHeight w:val="224"/>
        </w:trPr>
        <w:tc>
          <w:tcPr>
            <w:tcW w:w="5387" w:type="dxa"/>
            <w:tcBorders>
              <w:top w:val="nil"/>
              <w:left w:val="nil"/>
              <w:bottom w:val="nil"/>
              <w:right w:val="nil"/>
            </w:tcBorders>
            <w:vAlign w:val="bottom"/>
            <w:hideMark/>
          </w:tcPr>
          <w:p w14:paraId="48A73275" w14:textId="77777777" w:rsidR="0002381D" w:rsidRPr="00D4158A" w:rsidRDefault="0002381D" w:rsidP="00EA2BB6">
            <w:pPr>
              <w:spacing w:after="0" w:line="240" w:lineRule="auto"/>
              <w:rPr>
                <w:rFonts w:eastAsia="SimSun" w:cstheme="minorHAnsi"/>
                <w:b/>
                <w:szCs w:val="20"/>
              </w:rPr>
            </w:pPr>
            <w:r w:rsidRPr="00D4158A">
              <w:rPr>
                <w:rFonts w:eastAsia="SimSun" w:cstheme="minorHAnsi"/>
                <w:color w:val="000000"/>
                <w:szCs w:val="20"/>
                <w:lang w:val="en-MY"/>
              </w:rPr>
              <w:t>- expenses not deductible for tax purposes</w:t>
            </w:r>
          </w:p>
        </w:tc>
        <w:tc>
          <w:tcPr>
            <w:tcW w:w="1701" w:type="dxa"/>
            <w:tcBorders>
              <w:top w:val="nil"/>
              <w:left w:val="nil"/>
              <w:bottom w:val="nil"/>
              <w:right w:val="nil"/>
            </w:tcBorders>
            <w:hideMark/>
          </w:tcPr>
          <w:p w14:paraId="51479C60"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1,116</w:t>
            </w:r>
          </w:p>
        </w:tc>
        <w:tc>
          <w:tcPr>
            <w:tcW w:w="1417" w:type="dxa"/>
            <w:tcBorders>
              <w:top w:val="nil"/>
              <w:left w:val="nil"/>
              <w:bottom w:val="nil"/>
              <w:right w:val="nil"/>
            </w:tcBorders>
            <w:hideMark/>
          </w:tcPr>
          <w:p w14:paraId="434701F7"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3,731</w:t>
            </w:r>
          </w:p>
        </w:tc>
      </w:tr>
      <w:tr w:rsidR="0002381D" w:rsidRPr="0002381D" w14:paraId="2AE7DDE5" w14:textId="77777777" w:rsidTr="00270393">
        <w:trPr>
          <w:trHeight w:val="224"/>
        </w:trPr>
        <w:tc>
          <w:tcPr>
            <w:tcW w:w="5387" w:type="dxa"/>
            <w:tcBorders>
              <w:top w:val="nil"/>
              <w:left w:val="nil"/>
              <w:bottom w:val="nil"/>
              <w:right w:val="nil"/>
            </w:tcBorders>
            <w:vAlign w:val="bottom"/>
            <w:hideMark/>
          </w:tcPr>
          <w:p w14:paraId="608AC4B6" w14:textId="77777777" w:rsidR="0002381D" w:rsidRPr="00D4158A" w:rsidRDefault="0002381D" w:rsidP="00EA2BB6">
            <w:pPr>
              <w:spacing w:after="0" w:line="240" w:lineRule="auto"/>
              <w:rPr>
                <w:rFonts w:eastAsia="SimSun" w:cstheme="minorHAnsi"/>
                <w:b/>
                <w:szCs w:val="20"/>
              </w:rPr>
            </w:pPr>
            <w:r w:rsidRPr="00D4158A">
              <w:rPr>
                <w:rFonts w:eastAsia="SimSun" w:cstheme="minorHAnsi"/>
                <w:color w:val="000000"/>
                <w:szCs w:val="20"/>
              </w:rPr>
              <w:t xml:space="preserve">- deferred tax liabilities not recognised </w:t>
            </w:r>
          </w:p>
        </w:tc>
        <w:tc>
          <w:tcPr>
            <w:tcW w:w="1701" w:type="dxa"/>
            <w:tcBorders>
              <w:top w:val="nil"/>
              <w:left w:val="nil"/>
              <w:bottom w:val="nil"/>
              <w:right w:val="nil"/>
            </w:tcBorders>
            <w:hideMark/>
          </w:tcPr>
          <w:p w14:paraId="46A95382"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(8,600)</w:t>
            </w:r>
          </w:p>
        </w:tc>
        <w:tc>
          <w:tcPr>
            <w:tcW w:w="1417" w:type="dxa"/>
            <w:tcBorders>
              <w:top w:val="nil"/>
              <w:left w:val="nil"/>
              <w:bottom w:val="nil"/>
              <w:right w:val="nil"/>
            </w:tcBorders>
            <w:hideMark/>
          </w:tcPr>
          <w:p w14:paraId="68F57073" w14:textId="77777777" w:rsidR="0002381D" w:rsidRPr="00D4158A" w:rsidRDefault="0002381D" w:rsidP="00EA2BB6">
            <w:pPr>
              <w:spacing w:after="0" w:line="240" w:lineRule="auto"/>
              <w:jc w:val="right"/>
              <w:rPr>
                <w:rFonts w:eastAsia="SimSun" w:cstheme="minorHAnsi"/>
                <w:szCs w:val="20"/>
              </w:rPr>
            </w:pPr>
            <w:r w:rsidRPr="00D4158A">
              <w:rPr>
                <w:rFonts w:eastAsia="SimSun" w:cstheme="minorHAnsi"/>
                <w:szCs w:val="20"/>
              </w:rPr>
              <w:t>(25,367)</w:t>
            </w:r>
          </w:p>
        </w:tc>
      </w:tr>
      <w:tr w:rsidR="0002381D" w:rsidRPr="0002381D" w14:paraId="1E5FCA3F" w14:textId="77777777" w:rsidTr="00270393">
        <w:trPr>
          <w:trHeight w:val="224"/>
        </w:trPr>
        <w:tc>
          <w:tcPr>
            <w:tcW w:w="5387" w:type="dxa"/>
            <w:tcBorders>
              <w:top w:val="nil"/>
              <w:left w:val="nil"/>
              <w:bottom w:val="nil"/>
              <w:right w:val="nil"/>
            </w:tcBorders>
            <w:hideMark/>
          </w:tcPr>
          <w:p w14:paraId="1C38662C" w14:textId="77777777" w:rsidR="0002381D" w:rsidRPr="00D4158A" w:rsidRDefault="0002381D" w:rsidP="00EA2BB6">
            <w:pPr>
              <w:spacing w:after="0" w:line="240" w:lineRule="auto"/>
              <w:rPr>
                <w:rFonts w:eastAsia="SimSun" w:cstheme="minorHAnsi"/>
                <w:b/>
                <w:szCs w:val="20"/>
              </w:rPr>
            </w:pPr>
            <w:r w:rsidRPr="00D4158A">
              <w:rPr>
                <w:rFonts w:eastAsia="SimSun" w:cstheme="minorHAnsi"/>
                <w:b/>
                <w:szCs w:val="20"/>
              </w:rPr>
              <w:t>Total</w:t>
            </w:r>
          </w:p>
        </w:tc>
        <w:tc>
          <w:tcPr>
            <w:tcW w:w="1701" w:type="dxa"/>
            <w:tcBorders>
              <w:top w:val="single" w:sz="4" w:space="0" w:color="000000"/>
              <w:left w:val="nil"/>
              <w:bottom w:val="single" w:sz="12" w:space="0" w:color="000000"/>
              <w:right w:val="nil"/>
            </w:tcBorders>
            <w:hideMark/>
          </w:tcPr>
          <w:p w14:paraId="3AB46081"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67,973</w:t>
            </w:r>
          </w:p>
        </w:tc>
        <w:tc>
          <w:tcPr>
            <w:tcW w:w="1417" w:type="dxa"/>
            <w:tcBorders>
              <w:top w:val="single" w:sz="4" w:space="0" w:color="000000"/>
              <w:left w:val="nil"/>
              <w:bottom w:val="single" w:sz="12" w:space="0" w:color="000000"/>
              <w:right w:val="nil"/>
            </w:tcBorders>
            <w:hideMark/>
          </w:tcPr>
          <w:p w14:paraId="34E70962" w14:textId="77777777" w:rsidR="0002381D" w:rsidRPr="00D4158A" w:rsidRDefault="0002381D" w:rsidP="00EA2BB6">
            <w:pPr>
              <w:spacing w:after="0" w:line="240" w:lineRule="auto"/>
              <w:jc w:val="right"/>
              <w:rPr>
                <w:rFonts w:eastAsia="SimSun" w:cstheme="minorHAnsi"/>
                <w:b/>
                <w:szCs w:val="20"/>
              </w:rPr>
            </w:pPr>
            <w:r w:rsidRPr="00D4158A">
              <w:rPr>
                <w:rFonts w:eastAsia="SimSun" w:cstheme="minorHAnsi"/>
                <w:b/>
                <w:szCs w:val="20"/>
              </w:rPr>
              <w:t>73,868</w:t>
            </w:r>
          </w:p>
        </w:tc>
      </w:tr>
    </w:tbl>
    <w:p w14:paraId="5BDE9DF7" w14:textId="77777777" w:rsidR="0002381D" w:rsidRPr="00D4158A" w:rsidRDefault="0002381D" w:rsidP="00D4158A">
      <w:pPr>
        <w:keepNext/>
        <w:keepLines/>
        <w:spacing w:after="120" w:line="240" w:lineRule="auto"/>
        <w:ind w:left="576"/>
        <w:rPr>
          <w:rFonts w:eastAsia="Times New Roman" w:cstheme="minorHAnsi"/>
          <w:b/>
          <w:caps/>
          <w:szCs w:val="20"/>
          <w:lang w:eastAsia="en-GB"/>
        </w:rPr>
      </w:pPr>
    </w:p>
    <w:p w14:paraId="065EE6B9" w14:textId="77777777" w:rsidR="0002381D" w:rsidRPr="00D4158A" w:rsidRDefault="0002381D" w:rsidP="00D4158A">
      <w:pPr>
        <w:spacing w:after="120" w:line="240" w:lineRule="auto"/>
        <w:jc w:val="left"/>
        <w:rPr>
          <w:rFonts w:cstheme="minorHAnsi"/>
          <w:b/>
          <w:caps/>
          <w:szCs w:val="20"/>
        </w:rPr>
      </w:pPr>
      <w:r w:rsidRPr="00D4158A">
        <w:rPr>
          <w:rFonts w:cstheme="minorHAnsi"/>
          <w:b/>
          <w:caps/>
          <w:szCs w:val="20"/>
        </w:rPr>
        <w:br w:type="page"/>
      </w:r>
      <w:r w:rsidRPr="00D4158A">
        <w:rPr>
          <w:rFonts w:cstheme="minorHAnsi"/>
          <w:b/>
          <w:caps/>
          <w:szCs w:val="20"/>
        </w:rPr>
        <w:lastRenderedPageBreak/>
        <w:t>n</w:t>
      </w:r>
      <w:r w:rsidRPr="00D4158A">
        <w:rPr>
          <w:rFonts w:cstheme="minorHAnsi"/>
          <w:b/>
          <w:szCs w:val="20"/>
        </w:rPr>
        <w:t>otes to the financial information</w:t>
      </w:r>
    </w:p>
    <w:p w14:paraId="01C60075" w14:textId="77777777" w:rsidR="0002381D" w:rsidRPr="00D4158A" w:rsidRDefault="0002381D" w:rsidP="00D4158A">
      <w:pPr>
        <w:spacing w:after="120" w:line="240" w:lineRule="auto"/>
        <w:rPr>
          <w:rFonts w:cstheme="minorHAnsi"/>
          <w:b/>
          <w:caps/>
          <w:szCs w:val="20"/>
        </w:rPr>
      </w:pPr>
      <w:r w:rsidRPr="00D4158A">
        <w:rPr>
          <w:rFonts w:cstheme="minorHAnsi"/>
          <w:b/>
          <w:caps/>
          <w:szCs w:val="20"/>
        </w:rPr>
        <w:t>F</w:t>
      </w:r>
      <w:r w:rsidRPr="00D4158A">
        <w:rPr>
          <w:rFonts w:cstheme="minorHAnsi"/>
          <w:b/>
          <w:szCs w:val="20"/>
        </w:rPr>
        <w:t>or the six months ended 31 October 2019</w:t>
      </w:r>
      <w:r w:rsidRPr="00D4158A">
        <w:rPr>
          <w:rFonts w:cstheme="minorHAnsi"/>
          <w:b/>
          <w:caps/>
          <w:szCs w:val="20"/>
        </w:rPr>
        <w:t xml:space="preserve"> (</w:t>
      </w:r>
      <w:r w:rsidRPr="00D4158A">
        <w:rPr>
          <w:rFonts w:cstheme="minorHAnsi"/>
          <w:b/>
          <w:i/>
          <w:szCs w:val="20"/>
        </w:rPr>
        <w:t>continued)</w:t>
      </w:r>
    </w:p>
    <w:p w14:paraId="240C334A" w14:textId="77777777" w:rsidR="0002381D" w:rsidRPr="00D4158A" w:rsidRDefault="0002381D" w:rsidP="00D4158A">
      <w:pPr>
        <w:pBdr>
          <w:bottom w:val="single" w:sz="6" w:space="1" w:color="auto"/>
        </w:pBdr>
        <w:spacing w:after="120" w:line="240" w:lineRule="auto"/>
        <w:jc w:val="right"/>
        <w:rPr>
          <w:rFonts w:cstheme="minorHAnsi"/>
          <w:szCs w:val="20"/>
        </w:rPr>
      </w:pPr>
    </w:p>
    <w:p w14:paraId="03186CDD" w14:textId="77777777" w:rsidR="0002381D" w:rsidRPr="00D4158A" w:rsidRDefault="0002381D" w:rsidP="00D4158A">
      <w:pPr>
        <w:spacing w:after="120" w:line="240" w:lineRule="auto"/>
        <w:rPr>
          <w:rFonts w:cstheme="minorHAnsi"/>
          <w:szCs w:val="20"/>
        </w:rPr>
      </w:pPr>
    </w:p>
    <w:p w14:paraId="5B150FA2" w14:textId="77777777" w:rsidR="0002381D" w:rsidRPr="00D4158A" w:rsidRDefault="0002381D" w:rsidP="00D4158A">
      <w:pPr>
        <w:keepNext/>
        <w:keepLines/>
        <w:numPr>
          <w:ilvl w:val="0"/>
          <w:numId w:val="91"/>
        </w:numPr>
        <w:spacing w:after="120" w:line="240" w:lineRule="auto"/>
        <w:rPr>
          <w:rFonts w:cstheme="minorHAnsi"/>
          <w:b/>
          <w:caps/>
          <w:szCs w:val="20"/>
        </w:rPr>
      </w:pPr>
      <w:r w:rsidRPr="00D4158A">
        <w:rPr>
          <w:rFonts w:cstheme="minorHAnsi"/>
          <w:b/>
          <w:caps/>
          <w:szCs w:val="20"/>
        </w:rPr>
        <w:t xml:space="preserve">RELATED PARTY TRANSACTIONs </w:t>
      </w:r>
    </w:p>
    <w:p w14:paraId="5205A048" w14:textId="77777777" w:rsidR="0002381D" w:rsidRPr="00D4158A" w:rsidRDefault="0002381D" w:rsidP="00D4158A">
      <w:pPr>
        <w:keepNext/>
        <w:keepLines/>
        <w:spacing w:after="120" w:line="240" w:lineRule="auto"/>
        <w:ind w:left="576"/>
        <w:rPr>
          <w:rFonts w:cstheme="minorHAnsi"/>
          <w:b/>
          <w:caps/>
          <w:szCs w:val="20"/>
        </w:rPr>
      </w:pPr>
    </w:p>
    <w:p w14:paraId="3CE2C040" w14:textId="77777777" w:rsidR="0002381D" w:rsidRPr="00D4158A" w:rsidRDefault="0002381D" w:rsidP="00D4158A">
      <w:pPr>
        <w:keepNext/>
        <w:keepLines/>
        <w:spacing w:after="120" w:line="240" w:lineRule="auto"/>
        <w:ind w:left="576"/>
        <w:rPr>
          <w:rFonts w:cstheme="minorHAnsi"/>
          <w:szCs w:val="20"/>
        </w:rPr>
      </w:pPr>
      <w:r w:rsidRPr="00D4158A">
        <w:rPr>
          <w:rFonts w:cstheme="minorHAnsi"/>
          <w:szCs w:val="20"/>
        </w:rPr>
        <w:t>During the financial period, significant transactions which are determined on a basis as negotiated between related parties are as follows:</w:t>
      </w:r>
    </w:p>
    <w:tbl>
      <w:tblPr>
        <w:tblW w:w="8505" w:type="dxa"/>
        <w:tblInd w:w="5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45"/>
        <w:gridCol w:w="1843"/>
        <w:gridCol w:w="1417"/>
      </w:tblGrid>
      <w:tr w:rsidR="0002381D" w:rsidRPr="0002381D" w14:paraId="344C8E8F" w14:textId="77777777" w:rsidTr="00270393">
        <w:trPr>
          <w:trHeight w:val="677"/>
        </w:trPr>
        <w:tc>
          <w:tcPr>
            <w:tcW w:w="5245" w:type="dxa"/>
            <w:tcBorders>
              <w:top w:val="nil"/>
              <w:left w:val="nil"/>
              <w:bottom w:val="nil"/>
              <w:right w:val="nil"/>
            </w:tcBorders>
          </w:tcPr>
          <w:p w14:paraId="61F625C6" w14:textId="77777777" w:rsidR="0002381D" w:rsidRPr="00D4158A" w:rsidRDefault="0002381D" w:rsidP="00D4158A">
            <w:pPr>
              <w:spacing w:after="120" w:line="240" w:lineRule="auto"/>
              <w:rPr>
                <w:rFonts w:eastAsia="SimSun" w:cstheme="minorHAnsi"/>
                <w:b/>
                <w:szCs w:val="20"/>
              </w:rPr>
            </w:pPr>
          </w:p>
        </w:tc>
        <w:tc>
          <w:tcPr>
            <w:tcW w:w="1843" w:type="dxa"/>
            <w:tcBorders>
              <w:top w:val="nil"/>
              <w:left w:val="nil"/>
              <w:bottom w:val="nil"/>
              <w:right w:val="nil"/>
            </w:tcBorders>
            <w:hideMark/>
          </w:tcPr>
          <w:p w14:paraId="3B14048E"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 xml:space="preserve">Six months ended </w:t>
            </w:r>
          </w:p>
          <w:p w14:paraId="09FF9D72"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 xml:space="preserve">31 October </w:t>
            </w:r>
          </w:p>
          <w:p w14:paraId="2E47DA6F"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2019</w:t>
            </w:r>
          </w:p>
          <w:p w14:paraId="15939AC2"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RM</w:t>
            </w:r>
          </w:p>
        </w:tc>
        <w:tc>
          <w:tcPr>
            <w:tcW w:w="1417" w:type="dxa"/>
            <w:tcBorders>
              <w:top w:val="nil"/>
              <w:left w:val="nil"/>
              <w:bottom w:val="nil"/>
              <w:right w:val="nil"/>
            </w:tcBorders>
            <w:hideMark/>
          </w:tcPr>
          <w:p w14:paraId="5AA4D46C"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 xml:space="preserve">Period </w:t>
            </w:r>
          </w:p>
          <w:p w14:paraId="00762C2C"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 xml:space="preserve">ended </w:t>
            </w:r>
          </w:p>
          <w:p w14:paraId="50894DE7"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 xml:space="preserve">31 October </w:t>
            </w:r>
          </w:p>
          <w:p w14:paraId="3E7E806B"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2018</w:t>
            </w:r>
          </w:p>
          <w:p w14:paraId="16116496"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RM</w:t>
            </w:r>
          </w:p>
        </w:tc>
      </w:tr>
      <w:tr w:rsidR="0002381D" w:rsidRPr="0002381D" w14:paraId="6FA56807" w14:textId="77777777" w:rsidTr="00270393">
        <w:trPr>
          <w:trHeight w:val="224"/>
        </w:trPr>
        <w:tc>
          <w:tcPr>
            <w:tcW w:w="5245" w:type="dxa"/>
            <w:tcBorders>
              <w:top w:val="nil"/>
              <w:left w:val="nil"/>
              <w:bottom w:val="nil"/>
              <w:right w:val="nil"/>
            </w:tcBorders>
            <w:hideMark/>
          </w:tcPr>
          <w:p w14:paraId="7805C309" w14:textId="77777777" w:rsidR="0002381D" w:rsidRPr="00D4158A" w:rsidRDefault="0002381D" w:rsidP="00D4158A">
            <w:pPr>
              <w:spacing w:after="120" w:line="240" w:lineRule="auto"/>
              <w:rPr>
                <w:rFonts w:eastAsia="SimSun" w:cstheme="minorHAnsi"/>
                <w:szCs w:val="20"/>
              </w:rPr>
            </w:pPr>
            <w:r w:rsidRPr="00D4158A">
              <w:rPr>
                <w:rFonts w:eastAsia="SimSun" w:cstheme="minorHAnsi"/>
                <w:szCs w:val="20"/>
              </w:rPr>
              <w:t>Shareholders: Advances to Alchemist</w:t>
            </w:r>
          </w:p>
        </w:tc>
        <w:tc>
          <w:tcPr>
            <w:tcW w:w="1843" w:type="dxa"/>
            <w:tcBorders>
              <w:top w:val="nil"/>
              <w:left w:val="nil"/>
              <w:bottom w:val="nil"/>
              <w:right w:val="nil"/>
            </w:tcBorders>
            <w:hideMark/>
          </w:tcPr>
          <w:p w14:paraId="10182E3A" w14:textId="77777777" w:rsidR="0002381D" w:rsidRPr="00D4158A" w:rsidRDefault="0002381D" w:rsidP="00D4158A">
            <w:pPr>
              <w:spacing w:after="120" w:line="240" w:lineRule="auto"/>
              <w:jc w:val="right"/>
              <w:rPr>
                <w:rFonts w:eastAsia="SimSun" w:cstheme="minorHAnsi"/>
                <w:bCs/>
                <w:szCs w:val="20"/>
              </w:rPr>
            </w:pPr>
            <w:r w:rsidRPr="00D4158A">
              <w:rPr>
                <w:rFonts w:eastAsia="SimSun" w:cstheme="minorHAnsi"/>
                <w:bCs/>
                <w:szCs w:val="20"/>
              </w:rPr>
              <w:t>8,252</w:t>
            </w:r>
          </w:p>
        </w:tc>
        <w:tc>
          <w:tcPr>
            <w:tcW w:w="1417" w:type="dxa"/>
            <w:tcBorders>
              <w:top w:val="nil"/>
              <w:left w:val="nil"/>
              <w:bottom w:val="nil"/>
              <w:right w:val="nil"/>
            </w:tcBorders>
            <w:hideMark/>
          </w:tcPr>
          <w:p w14:paraId="0AB22796" w14:textId="77777777" w:rsidR="0002381D" w:rsidRPr="00D4158A" w:rsidRDefault="0002381D" w:rsidP="00D4158A">
            <w:pPr>
              <w:spacing w:after="120" w:line="240" w:lineRule="auto"/>
              <w:jc w:val="right"/>
              <w:rPr>
                <w:rFonts w:eastAsia="SimSun" w:cstheme="minorHAnsi"/>
                <w:bCs/>
                <w:szCs w:val="20"/>
              </w:rPr>
            </w:pPr>
            <w:r w:rsidRPr="00D4158A">
              <w:rPr>
                <w:rFonts w:eastAsia="SimSun" w:cstheme="minorHAnsi"/>
                <w:bCs/>
                <w:szCs w:val="20"/>
              </w:rPr>
              <w:t>4,900</w:t>
            </w:r>
          </w:p>
        </w:tc>
      </w:tr>
      <w:tr w:rsidR="0002381D" w:rsidRPr="0002381D" w14:paraId="4AAD3C3A" w14:textId="77777777" w:rsidTr="00270393">
        <w:trPr>
          <w:trHeight w:val="224"/>
        </w:trPr>
        <w:tc>
          <w:tcPr>
            <w:tcW w:w="5245" w:type="dxa"/>
            <w:tcBorders>
              <w:top w:val="nil"/>
              <w:left w:val="nil"/>
              <w:bottom w:val="nil"/>
              <w:right w:val="nil"/>
            </w:tcBorders>
            <w:hideMark/>
          </w:tcPr>
          <w:p w14:paraId="3794B9C6" w14:textId="77777777" w:rsidR="0002381D" w:rsidRPr="00D4158A" w:rsidRDefault="0002381D" w:rsidP="00D4158A">
            <w:pPr>
              <w:spacing w:after="120" w:line="240" w:lineRule="auto"/>
              <w:rPr>
                <w:rFonts w:eastAsia="SimSun" w:cstheme="minorHAnsi"/>
                <w:b/>
                <w:szCs w:val="20"/>
              </w:rPr>
            </w:pPr>
            <w:r w:rsidRPr="00D4158A">
              <w:rPr>
                <w:rFonts w:eastAsia="SimSun" w:cstheme="minorHAnsi"/>
                <w:b/>
                <w:szCs w:val="20"/>
              </w:rPr>
              <w:t>Total</w:t>
            </w:r>
          </w:p>
        </w:tc>
        <w:tc>
          <w:tcPr>
            <w:tcW w:w="1843" w:type="dxa"/>
            <w:tcBorders>
              <w:top w:val="single" w:sz="4" w:space="0" w:color="000000"/>
              <w:left w:val="nil"/>
              <w:bottom w:val="single" w:sz="12" w:space="0" w:color="000000"/>
              <w:right w:val="nil"/>
            </w:tcBorders>
            <w:hideMark/>
          </w:tcPr>
          <w:p w14:paraId="5FA7A3B0"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8,252</w:t>
            </w:r>
          </w:p>
        </w:tc>
        <w:tc>
          <w:tcPr>
            <w:tcW w:w="1417" w:type="dxa"/>
            <w:tcBorders>
              <w:top w:val="single" w:sz="4" w:space="0" w:color="000000"/>
              <w:left w:val="nil"/>
              <w:bottom w:val="single" w:sz="12" w:space="0" w:color="000000"/>
              <w:right w:val="nil"/>
            </w:tcBorders>
            <w:hideMark/>
          </w:tcPr>
          <w:p w14:paraId="3D3F9112" w14:textId="77777777" w:rsidR="0002381D" w:rsidRPr="00D4158A" w:rsidRDefault="0002381D" w:rsidP="00D4158A">
            <w:pPr>
              <w:spacing w:after="120" w:line="240" w:lineRule="auto"/>
              <w:jc w:val="right"/>
              <w:rPr>
                <w:rFonts w:eastAsia="SimSun" w:cstheme="minorHAnsi"/>
                <w:bCs/>
                <w:szCs w:val="20"/>
              </w:rPr>
            </w:pPr>
            <w:r w:rsidRPr="00D4158A">
              <w:rPr>
                <w:rFonts w:eastAsia="SimSun" w:cstheme="minorHAnsi"/>
                <w:bCs/>
                <w:szCs w:val="20"/>
              </w:rPr>
              <w:t>4,900</w:t>
            </w:r>
          </w:p>
        </w:tc>
      </w:tr>
    </w:tbl>
    <w:p w14:paraId="72EC4AFE" w14:textId="77777777" w:rsidR="0002381D" w:rsidRPr="00D4158A" w:rsidRDefault="0002381D" w:rsidP="00D4158A">
      <w:pPr>
        <w:keepNext/>
        <w:keepLines/>
        <w:spacing w:after="120" w:line="240" w:lineRule="auto"/>
        <w:ind w:left="576"/>
        <w:rPr>
          <w:rFonts w:eastAsia="Times New Roman" w:cstheme="minorHAnsi"/>
          <w:szCs w:val="20"/>
          <w:lang w:eastAsia="en-GB"/>
        </w:rPr>
      </w:pPr>
    </w:p>
    <w:tbl>
      <w:tblPr>
        <w:tblW w:w="8505" w:type="dxa"/>
        <w:tblInd w:w="5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45"/>
        <w:gridCol w:w="1843"/>
        <w:gridCol w:w="1417"/>
      </w:tblGrid>
      <w:tr w:rsidR="0002381D" w:rsidRPr="0002381D" w14:paraId="7E553BC6" w14:textId="77777777" w:rsidTr="00270393">
        <w:trPr>
          <w:trHeight w:val="677"/>
        </w:trPr>
        <w:tc>
          <w:tcPr>
            <w:tcW w:w="5245" w:type="dxa"/>
            <w:tcBorders>
              <w:top w:val="nil"/>
              <w:left w:val="nil"/>
              <w:bottom w:val="nil"/>
              <w:right w:val="nil"/>
            </w:tcBorders>
          </w:tcPr>
          <w:p w14:paraId="6E05EEE0" w14:textId="77777777" w:rsidR="0002381D" w:rsidRPr="00D4158A" w:rsidRDefault="0002381D" w:rsidP="00D4158A">
            <w:pPr>
              <w:spacing w:after="120" w:line="240" w:lineRule="auto"/>
              <w:rPr>
                <w:rFonts w:eastAsia="SimSun" w:cstheme="minorHAnsi"/>
                <w:b/>
                <w:szCs w:val="20"/>
              </w:rPr>
            </w:pPr>
          </w:p>
        </w:tc>
        <w:tc>
          <w:tcPr>
            <w:tcW w:w="1843" w:type="dxa"/>
            <w:tcBorders>
              <w:top w:val="nil"/>
              <w:left w:val="nil"/>
              <w:bottom w:val="nil"/>
              <w:right w:val="nil"/>
            </w:tcBorders>
            <w:hideMark/>
          </w:tcPr>
          <w:p w14:paraId="74AA0A46"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 xml:space="preserve">Six months ended </w:t>
            </w:r>
          </w:p>
          <w:p w14:paraId="3A5905DB"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 xml:space="preserve">31 October </w:t>
            </w:r>
          </w:p>
          <w:p w14:paraId="04428817"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2019</w:t>
            </w:r>
          </w:p>
          <w:p w14:paraId="076B928E"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RM</w:t>
            </w:r>
          </w:p>
        </w:tc>
        <w:tc>
          <w:tcPr>
            <w:tcW w:w="1417" w:type="dxa"/>
            <w:tcBorders>
              <w:top w:val="nil"/>
              <w:left w:val="nil"/>
              <w:bottom w:val="nil"/>
              <w:right w:val="nil"/>
            </w:tcBorders>
            <w:hideMark/>
          </w:tcPr>
          <w:p w14:paraId="44E20DE7"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 xml:space="preserve">Period </w:t>
            </w:r>
          </w:p>
          <w:p w14:paraId="2F3C393A"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 xml:space="preserve">ended </w:t>
            </w:r>
          </w:p>
          <w:p w14:paraId="346C2589"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 xml:space="preserve">31 October </w:t>
            </w:r>
          </w:p>
          <w:p w14:paraId="33E8CCD7"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2018</w:t>
            </w:r>
          </w:p>
          <w:p w14:paraId="0507264E"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RM</w:t>
            </w:r>
          </w:p>
        </w:tc>
      </w:tr>
      <w:tr w:rsidR="0002381D" w:rsidRPr="0002381D" w14:paraId="0CC2F7A1" w14:textId="77777777" w:rsidTr="00270393">
        <w:trPr>
          <w:trHeight w:val="224"/>
        </w:trPr>
        <w:tc>
          <w:tcPr>
            <w:tcW w:w="5245" w:type="dxa"/>
            <w:tcBorders>
              <w:top w:val="nil"/>
              <w:left w:val="nil"/>
              <w:bottom w:val="nil"/>
              <w:right w:val="nil"/>
            </w:tcBorders>
            <w:hideMark/>
          </w:tcPr>
          <w:p w14:paraId="26E31909" w14:textId="77777777" w:rsidR="0002381D" w:rsidRPr="00D4158A" w:rsidRDefault="0002381D" w:rsidP="00D4158A">
            <w:pPr>
              <w:spacing w:after="120" w:line="240" w:lineRule="auto"/>
              <w:rPr>
                <w:rFonts w:eastAsia="SimSun" w:cstheme="minorHAnsi"/>
                <w:szCs w:val="20"/>
              </w:rPr>
            </w:pPr>
            <w:r w:rsidRPr="00D4158A">
              <w:rPr>
                <w:rFonts w:eastAsia="SimSun" w:cstheme="minorHAnsi"/>
                <w:szCs w:val="20"/>
              </w:rPr>
              <w:t>Directors: Consultancy fee paid / payable</w:t>
            </w:r>
          </w:p>
        </w:tc>
        <w:tc>
          <w:tcPr>
            <w:tcW w:w="1843" w:type="dxa"/>
            <w:tcBorders>
              <w:top w:val="nil"/>
              <w:left w:val="nil"/>
              <w:bottom w:val="nil"/>
              <w:right w:val="nil"/>
            </w:tcBorders>
            <w:hideMark/>
          </w:tcPr>
          <w:p w14:paraId="71443CB7" w14:textId="77777777" w:rsidR="0002381D" w:rsidRPr="00D4158A" w:rsidRDefault="0002381D" w:rsidP="00D4158A">
            <w:pPr>
              <w:spacing w:after="120" w:line="240" w:lineRule="auto"/>
              <w:jc w:val="right"/>
              <w:rPr>
                <w:rFonts w:eastAsia="SimSun" w:cstheme="minorHAnsi"/>
                <w:bCs/>
                <w:szCs w:val="20"/>
              </w:rPr>
            </w:pPr>
            <w:r w:rsidRPr="00D4158A">
              <w:rPr>
                <w:rFonts w:eastAsia="SimSun" w:cstheme="minorHAnsi"/>
                <w:bCs/>
                <w:szCs w:val="20"/>
              </w:rPr>
              <w:t>(48,000)</w:t>
            </w:r>
          </w:p>
        </w:tc>
        <w:tc>
          <w:tcPr>
            <w:tcW w:w="1417" w:type="dxa"/>
            <w:tcBorders>
              <w:top w:val="nil"/>
              <w:left w:val="nil"/>
              <w:bottom w:val="nil"/>
              <w:right w:val="nil"/>
            </w:tcBorders>
            <w:hideMark/>
          </w:tcPr>
          <w:p w14:paraId="61DA3F80" w14:textId="77777777" w:rsidR="0002381D" w:rsidRPr="00D4158A" w:rsidRDefault="0002381D" w:rsidP="00D4158A">
            <w:pPr>
              <w:spacing w:after="120" w:line="240" w:lineRule="auto"/>
              <w:jc w:val="right"/>
              <w:rPr>
                <w:rFonts w:eastAsia="SimSun" w:cstheme="minorHAnsi"/>
                <w:bCs/>
                <w:szCs w:val="20"/>
              </w:rPr>
            </w:pPr>
            <w:r w:rsidRPr="00D4158A">
              <w:rPr>
                <w:rFonts w:eastAsia="SimSun" w:cstheme="minorHAnsi"/>
                <w:bCs/>
                <w:szCs w:val="20"/>
              </w:rPr>
              <w:t>-</w:t>
            </w:r>
          </w:p>
        </w:tc>
      </w:tr>
      <w:tr w:rsidR="0002381D" w:rsidRPr="0002381D" w14:paraId="75906A3D" w14:textId="77777777" w:rsidTr="00270393">
        <w:trPr>
          <w:trHeight w:val="224"/>
        </w:trPr>
        <w:tc>
          <w:tcPr>
            <w:tcW w:w="5245" w:type="dxa"/>
            <w:tcBorders>
              <w:top w:val="nil"/>
              <w:left w:val="nil"/>
              <w:bottom w:val="nil"/>
              <w:right w:val="nil"/>
            </w:tcBorders>
            <w:hideMark/>
          </w:tcPr>
          <w:p w14:paraId="2EA2A512" w14:textId="77777777" w:rsidR="0002381D" w:rsidRPr="00D4158A" w:rsidRDefault="0002381D" w:rsidP="00D4158A">
            <w:pPr>
              <w:spacing w:after="120" w:line="240" w:lineRule="auto"/>
              <w:rPr>
                <w:rFonts w:eastAsia="SimSun" w:cstheme="minorHAnsi"/>
                <w:b/>
                <w:szCs w:val="20"/>
              </w:rPr>
            </w:pPr>
            <w:r w:rsidRPr="00D4158A">
              <w:rPr>
                <w:rFonts w:eastAsia="SimSun" w:cstheme="minorHAnsi"/>
                <w:b/>
                <w:szCs w:val="20"/>
              </w:rPr>
              <w:t>Total</w:t>
            </w:r>
          </w:p>
        </w:tc>
        <w:tc>
          <w:tcPr>
            <w:tcW w:w="1843" w:type="dxa"/>
            <w:tcBorders>
              <w:top w:val="single" w:sz="4" w:space="0" w:color="000000"/>
              <w:left w:val="nil"/>
              <w:bottom w:val="single" w:sz="12" w:space="0" w:color="000000"/>
              <w:right w:val="nil"/>
            </w:tcBorders>
            <w:hideMark/>
          </w:tcPr>
          <w:p w14:paraId="30A36541" w14:textId="77777777" w:rsidR="0002381D" w:rsidRPr="00D4158A" w:rsidRDefault="0002381D" w:rsidP="00D4158A">
            <w:pPr>
              <w:spacing w:after="120" w:line="240" w:lineRule="auto"/>
              <w:jc w:val="right"/>
              <w:rPr>
                <w:rFonts w:eastAsia="SimSun" w:cstheme="minorHAnsi"/>
                <w:b/>
                <w:szCs w:val="20"/>
              </w:rPr>
            </w:pPr>
            <w:r w:rsidRPr="00D4158A">
              <w:rPr>
                <w:rFonts w:eastAsia="SimSun" w:cstheme="minorHAnsi"/>
                <w:b/>
                <w:szCs w:val="20"/>
              </w:rPr>
              <w:t>(48,000)</w:t>
            </w:r>
          </w:p>
        </w:tc>
        <w:tc>
          <w:tcPr>
            <w:tcW w:w="1417" w:type="dxa"/>
            <w:tcBorders>
              <w:top w:val="single" w:sz="4" w:space="0" w:color="000000"/>
              <w:left w:val="nil"/>
              <w:bottom w:val="single" w:sz="12" w:space="0" w:color="000000"/>
              <w:right w:val="nil"/>
            </w:tcBorders>
            <w:hideMark/>
          </w:tcPr>
          <w:p w14:paraId="07702D8F" w14:textId="77777777" w:rsidR="0002381D" w:rsidRPr="00D4158A" w:rsidRDefault="0002381D" w:rsidP="00D4158A">
            <w:pPr>
              <w:spacing w:after="120" w:line="240" w:lineRule="auto"/>
              <w:jc w:val="right"/>
              <w:rPr>
                <w:rFonts w:eastAsia="SimSun" w:cstheme="minorHAnsi"/>
                <w:bCs/>
                <w:szCs w:val="20"/>
              </w:rPr>
            </w:pPr>
            <w:r w:rsidRPr="00D4158A">
              <w:rPr>
                <w:rFonts w:eastAsia="SimSun" w:cstheme="minorHAnsi"/>
                <w:bCs/>
                <w:szCs w:val="20"/>
              </w:rPr>
              <w:t>-</w:t>
            </w:r>
          </w:p>
        </w:tc>
      </w:tr>
    </w:tbl>
    <w:p w14:paraId="40489534" w14:textId="77777777" w:rsidR="0002381D" w:rsidRPr="00D4158A" w:rsidRDefault="0002381D" w:rsidP="00D4158A">
      <w:pPr>
        <w:spacing w:after="120" w:line="240" w:lineRule="auto"/>
        <w:ind w:left="1152"/>
        <w:rPr>
          <w:rFonts w:eastAsia="Times New Roman" w:cstheme="minorHAnsi"/>
          <w:szCs w:val="20"/>
          <w:highlight w:val="cyan"/>
          <w:lang w:eastAsia="en-GB"/>
        </w:rPr>
      </w:pPr>
    </w:p>
    <w:p w14:paraId="3B90CD39" w14:textId="77777777" w:rsidR="0002381D" w:rsidRPr="00D4158A" w:rsidRDefault="0002381D" w:rsidP="00D4158A">
      <w:pPr>
        <w:keepNext/>
        <w:keepLines/>
        <w:numPr>
          <w:ilvl w:val="0"/>
          <w:numId w:val="92"/>
        </w:numPr>
        <w:spacing w:after="120" w:line="240" w:lineRule="auto"/>
        <w:rPr>
          <w:rFonts w:cstheme="minorHAnsi"/>
          <w:b/>
          <w:caps/>
          <w:szCs w:val="20"/>
        </w:rPr>
      </w:pPr>
      <w:r w:rsidRPr="00D4158A">
        <w:rPr>
          <w:rFonts w:cstheme="minorHAnsi"/>
          <w:b/>
          <w:caps/>
          <w:szCs w:val="20"/>
        </w:rPr>
        <w:t>SEASONALITY OF ALCHEMIST’S BUSINESS</w:t>
      </w:r>
    </w:p>
    <w:p w14:paraId="3D1DDBAC" w14:textId="77777777" w:rsidR="0002381D" w:rsidRPr="00D4158A" w:rsidRDefault="0002381D" w:rsidP="00D4158A">
      <w:pPr>
        <w:keepNext/>
        <w:keepLines/>
        <w:spacing w:after="120" w:line="240" w:lineRule="auto"/>
        <w:ind w:left="576"/>
        <w:rPr>
          <w:rFonts w:cstheme="minorHAnsi"/>
          <w:bCs/>
          <w:caps/>
          <w:szCs w:val="20"/>
        </w:rPr>
      </w:pPr>
      <w:r w:rsidRPr="00D4158A">
        <w:rPr>
          <w:rFonts w:cstheme="minorHAnsi"/>
          <w:bCs/>
          <w:szCs w:val="20"/>
        </w:rPr>
        <w:t>There are no seasonal factors which materially affect the operations of Alchemist.</w:t>
      </w:r>
    </w:p>
    <w:p w14:paraId="3D8138C4" w14:textId="77777777" w:rsidR="0002381D" w:rsidRPr="00D4158A" w:rsidRDefault="0002381D" w:rsidP="00D4158A">
      <w:pPr>
        <w:keepNext/>
        <w:keepLines/>
        <w:numPr>
          <w:ilvl w:val="0"/>
          <w:numId w:val="92"/>
        </w:numPr>
        <w:spacing w:after="120" w:line="240" w:lineRule="auto"/>
        <w:rPr>
          <w:rFonts w:cstheme="minorHAnsi"/>
          <w:b/>
          <w:caps/>
          <w:szCs w:val="20"/>
        </w:rPr>
      </w:pPr>
      <w:r w:rsidRPr="00D4158A">
        <w:rPr>
          <w:rFonts w:cstheme="minorHAnsi"/>
          <w:b/>
          <w:caps/>
          <w:szCs w:val="20"/>
        </w:rPr>
        <w:t>Subsequent events</w:t>
      </w:r>
    </w:p>
    <w:p w14:paraId="216B8488" w14:textId="77777777" w:rsidR="0002381D" w:rsidRPr="00D4158A" w:rsidRDefault="0002381D" w:rsidP="00D4158A">
      <w:pPr>
        <w:spacing w:after="120" w:line="240" w:lineRule="auto"/>
        <w:ind w:left="576"/>
        <w:rPr>
          <w:rFonts w:cstheme="minorHAnsi"/>
          <w:szCs w:val="20"/>
        </w:rPr>
      </w:pPr>
      <w:r w:rsidRPr="00D4158A">
        <w:rPr>
          <w:rFonts w:cstheme="minorHAnsi"/>
          <w:szCs w:val="20"/>
        </w:rPr>
        <w:t>There are no subsequent events to be reported.</w:t>
      </w:r>
    </w:p>
    <w:p w14:paraId="6FE056F3" w14:textId="77777777" w:rsidR="0002381D" w:rsidRDefault="0002381D" w:rsidP="0002381D">
      <w:pPr>
        <w:spacing w:after="240"/>
        <w:rPr>
          <w:rFonts w:ascii="Trebuchet MS" w:hAnsi="Trebuchet MS"/>
        </w:rPr>
      </w:pPr>
    </w:p>
    <w:p w14:paraId="48C03848" w14:textId="77777777" w:rsidR="00736659" w:rsidRPr="00736659" w:rsidRDefault="00736659" w:rsidP="00D4158A"/>
    <w:p w14:paraId="4E2B63ED" w14:textId="2C71C235" w:rsidR="00736659" w:rsidRDefault="00736659">
      <w:pPr>
        <w:jc w:val="left"/>
        <w:rPr>
          <w:rFonts w:eastAsiaTheme="majorEastAsia" w:cstheme="minorHAnsi"/>
          <w:b/>
          <w:color w:val="000000" w:themeColor="text1"/>
          <w:szCs w:val="20"/>
        </w:rPr>
      </w:pPr>
      <w:r>
        <w:rPr>
          <w:rFonts w:cstheme="minorHAnsi"/>
          <w:szCs w:val="20"/>
        </w:rPr>
        <w:br w:type="page"/>
      </w:r>
    </w:p>
    <w:p w14:paraId="611B3E22" w14:textId="490EC673" w:rsidR="005C4042" w:rsidRPr="009B546D" w:rsidRDefault="005C4042" w:rsidP="005C4042">
      <w:pPr>
        <w:pStyle w:val="Heading1"/>
        <w:keepNext w:val="0"/>
        <w:widowControl w:val="0"/>
        <w:spacing w:line="240" w:lineRule="auto"/>
        <w:jc w:val="center"/>
        <w:rPr>
          <w:rFonts w:asciiTheme="minorHAnsi" w:hAnsiTheme="minorHAnsi" w:cstheme="minorHAnsi"/>
          <w:sz w:val="20"/>
          <w:szCs w:val="20"/>
        </w:rPr>
      </w:pPr>
      <w:bookmarkStart w:id="51" w:name="_Toc35456745"/>
      <w:r w:rsidRPr="009B546D">
        <w:rPr>
          <w:rFonts w:asciiTheme="minorHAnsi" w:hAnsiTheme="minorHAnsi" w:cstheme="minorHAnsi"/>
          <w:sz w:val="20"/>
          <w:szCs w:val="20"/>
        </w:rPr>
        <w:lastRenderedPageBreak/>
        <w:t>Part XV</w:t>
      </w:r>
      <w:r>
        <w:rPr>
          <w:rFonts w:asciiTheme="minorHAnsi" w:hAnsiTheme="minorHAnsi" w:cstheme="minorHAnsi"/>
          <w:sz w:val="20"/>
          <w:szCs w:val="20"/>
        </w:rPr>
        <w:t>I</w:t>
      </w:r>
      <w:r w:rsidRPr="009B546D">
        <w:rPr>
          <w:rFonts w:asciiTheme="minorHAnsi" w:hAnsiTheme="minorHAnsi" w:cstheme="minorHAnsi"/>
          <w:sz w:val="20"/>
          <w:szCs w:val="20"/>
        </w:rPr>
        <w:br/>
        <w:t>Accountant’s Report on the Unaudited Pro Forma Financial Information</w:t>
      </w:r>
      <w:bookmarkEnd w:id="51"/>
    </w:p>
    <w:p w14:paraId="6D2B9749" w14:textId="77777777" w:rsidR="005C4042" w:rsidRPr="009B546D" w:rsidRDefault="005C4042" w:rsidP="005C4042">
      <w:pPr>
        <w:widowControl w:val="0"/>
        <w:spacing w:line="240" w:lineRule="auto"/>
        <w:rPr>
          <w:rFonts w:cstheme="minorHAnsi"/>
          <w:szCs w:val="20"/>
        </w:rPr>
      </w:pPr>
    </w:p>
    <w:tbl>
      <w:tblPr>
        <w:tblW w:w="9214" w:type="dxa"/>
        <w:tblLayout w:type="fixed"/>
        <w:tblCellMar>
          <w:left w:w="0" w:type="dxa"/>
          <w:right w:w="0" w:type="dxa"/>
        </w:tblCellMar>
        <w:tblLook w:val="0000" w:firstRow="0" w:lastRow="0" w:firstColumn="0" w:lastColumn="0" w:noHBand="0" w:noVBand="0"/>
      </w:tblPr>
      <w:tblGrid>
        <w:gridCol w:w="1985"/>
        <w:gridCol w:w="3544"/>
        <w:gridCol w:w="708"/>
        <w:gridCol w:w="2977"/>
      </w:tblGrid>
      <w:tr w:rsidR="005C4042" w:rsidRPr="009B546D" w14:paraId="20E7BE6C" w14:textId="77777777" w:rsidTr="0075442A">
        <w:tc>
          <w:tcPr>
            <w:tcW w:w="1985" w:type="dxa"/>
          </w:tcPr>
          <w:p w14:paraId="3C57ABCE" w14:textId="77777777" w:rsidR="005C4042" w:rsidRPr="00384557" w:rsidRDefault="005C4042" w:rsidP="0075442A">
            <w:pPr>
              <w:spacing w:line="240" w:lineRule="auto"/>
              <w:rPr>
                <w:rFonts w:cstheme="minorHAnsi"/>
              </w:rPr>
            </w:pPr>
            <w:r w:rsidRPr="00384557">
              <w:rPr>
                <w:rFonts w:cstheme="minorHAnsi"/>
                <w:noProof/>
              </w:rPr>
              <w:drawing>
                <wp:inline distT="0" distB="0" distL="0" distR="0" wp14:anchorId="43062AC5" wp14:editId="5EA3B2CA">
                  <wp:extent cx="981075" cy="381000"/>
                  <wp:effectExtent l="19050" t="0" r="9525" b="0"/>
                  <wp:docPr id="8" name="Picture 8" descr="BDOLLP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LLPBW"/>
                          <pic:cNvPicPr>
                            <a:picLocks noChangeAspect="1" noChangeArrowheads="1"/>
                          </pic:cNvPicPr>
                        </pic:nvPicPr>
                        <pic:blipFill>
                          <a:blip r:embed="rId15" cstate="print"/>
                          <a:srcRect/>
                          <a:stretch>
                            <a:fillRect/>
                          </a:stretch>
                        </pic:blipFill>
                        <pic:spPr bwMode="auto">
                          <a:xfrm>
                            <a:off x="0" y="0"/>
                            <a:ext cx="981075" cy="381000"/>
                          </a:xfrm>
                          <a:prstGeom prst="rect">
                            <a:avLst/>
                          </a:prstGeom>
                          <a:noFill/>
                          <a:ln w="9525">
                            <a:noFill/>
                            <a:miter lim="800000"/>
                            <a:headEnd/>
                            <a:tailEnd/>
                          </a:ln>
                        </pic:spPr>
                      </pic:pic>
                    </a:graphicData>
                  </a:graphic>
                </wp:inline>
              </w:drawing>
            </w:r>
          </w:p>
        </w:tc>
        <w:tc>
          <w:tcPr>
            <w:tcW w:w="3544" w:type="dxa"/>
          </w:tcPr>
          <w:p w14:paraId="0A66C10D" w14:textId="77777777" w:rsidR="005C4042" w:rsidRPr="009B546D" w:rsidRDefault="005C4042" w:rsidP="0075442A">
            <w:pPr>
              <w:spacing w:line="240" w:lineRule="auto"/>
              <w:rPr>
                <w:rFonts w:cstheme="minorHAnsi"/>
              </w:rPr>
            </w:pPr>
          </w:p>
        </w:tc>
        <w:tc>
          <w:tcPr>
            <w:tcW w:w="708" w:type="dxa"/>
          </w:tcPr>
          <w:p w14:paraId="2308C094" w14:textId="77777777" w:rsidR="005C4042" w:rsidRPr="009B546D" w:rsidRDefault="005C4042" w:rsidP="0075442A">
            <w:pPr>
              <w:tabs>
                <w:tab w:val="left" w:pos="992"/>
              </w:tabs>
              <w:spacing w:line="240" w:lineRule="auto"/>
              <w:jc w:val="right"/>
              <w:rPr>
                <w:rFonts w:cstheme="minorHAnsi"/>
              </w:rPr>
            </w:pPr>
          </w:p>
        </w:tc>
        <w:tc>
          <w:tcPr>
            <w:tcW w:w="2977" w:type="dxa"/>
          </w:tcPr>
          <w:p w14:paraId="21D0B1BA" w14:textId="77777777" w:rsidR="005C4042" w:rsidRPr="009B546D" w:rsidRDefault="005C4042" w:rsidP="0075442A">
            <w:pPr>
              <w:pStyle w:val="Company"/>
              <w:jc w:val="right"/>
              <w:rPr>
                <w:rFonts w:asciiTheme="minorHAnsi" w:hAnsiTheme="minorHAnsi" w:cstheme="minorHAnsi"/>
              </w:rPr>
            </w:pPr>
            <w:r w:rsidRPr="009B546D">
              <w:rPr>
                <w:rFonts w:asciiTheme="minorHAnsi" w:hAnsiTheme="minorHAnsi" w:cstheme="minorHAnsi"/>
              </w:rPr>
              <w:t>BDO LLP</w:t>
            </w:r>
          </w:p>
          <w:p w14:paraId="5E3EFCBE" w14:textId="77777777" w:rsidR="005C4042" w:rsidRPr="009B546D" w:rsidRDefault="005C4042" w:rsidP="0075442A">
            <w:pPr>
              <w:spacing w:line="240" w:lineRule="auto"/>
              <w:jc w:val="right"/>
              <w:rPr>
                <w:rFonts w:cstheme="minorHAnsi"/>
              </w:rPr>
            </w:pPr>
            <w:r w:rsidRPr="009B546D">
              <w:rPr>
                <w:rFonts w:cstheme="minorHAnsi"/>
              </w:rPr>
              <w:t>55 Baker Street</w:t>
            </w:r>
            <w:r w:rsidRPr="009B546D">
              <w:rPr>
                <w:rFonts w:cstheme="minorHAnsi"/>
              </w:rPr>
              <w:br/>
              <w:t>London</w:t>
            </w:r>
            <w:r w:rsidRPr="009B546D">
              <w:rPr>
                <w:rFonts w:cstheme="minorHAnsi"/>
              </w:rPr>
              <w:br/>
              <w:t>W1U 7EU</w:t>
            </w:r>
          </w:p>
          <w:p w14:paraId="3172EC80" w14:textId="77777777" w:rsidR="005C4042" w:rsidRPr="009B546D" w:rsidRDefault="005C4042" w:rsidP="0075442A">
            <w:pPr>
              <w:tabs>
                <w:tab w:val="left" w:pos="992"/>
              </w:tabs>
              <w:spacing w:line="240" w:lineRule="auto"/>
              <w:jc w:val="right"/>
              <w:rPr>
                <w:rFonts w:cstheme="minorHAnsi"/>
              </w:rPr>
            </w:pPr>
          </w:p>
        </w:tc>
      </w:tr>
    </w:tbl>
    <w:p w14:paraId="7580F97E" w14:textId="77777777" w:rsidR="005C4042" w:rsidRPr="009B546D" w:rsidRDefault="005C4042" w:rsidP="005C4042">
      <w:pPr>
        <w:spacing w:line="240" w:lineRule="auto"/>
        <w:rPr>
          <w:rFonts w:cstheme="minorHAnsi"/>
          <w:sz w:val="18"/>
          <w:szCs w:val="18"/>
        </w:rPr>
      </w:pPr>
    </w:p>
    <w:tbl>
      <w:tblPr>
        <w:tblW w:w="9214" w:type="dxa"/>
        <w:tblLayout w:type="fixed"/>
        <w:tblCellMar>
          <w:left w:w="0" w:type="dxa"/>
          <w:right w:w="0" w:type="dxa"/>
        </w:tblCellMar>
        <w:tblLook w:val="0000" w:firstRow="0" w:lastRow="0" w:firstColumn="0" w:lastColumn="0" w:noHBand="0" w:noVBand="0"/>
      </w:tblPr>
      <w:tblGrid>
        <w:gridCol w:w="6237"/>
        <w:gridCol w:w="2977"/>
      </w:tblGrid>
      <w:tr w:rsidR="005C4042" w:rsidRPr="009B546D" w14:paraId="0EC98A62" w14:textId="77777777" w:rsidTr="0075442A">
        <w:trPr>
          <w:trHeight w:hRule="exact" w:val="2229"/>
        </w:trPr>
        <w:tc>
          <w:tcPr>
            <w:tcW w:w="6237" w:type="dxa"/>
          </w:tcPr>
          <w:p w14:paraId="6FF042D1" w14:textId="77777777" w:rsidR="005C4042" w:rsidRPr="009B546D" w:rsidRDefault="005C4042" w:rsidP="0075442A">
            <w:pPr>
              <w:spacing w:after="0" w:line="240" w:lineRule="auto"/>
              <w:rPr>
                <w:rFonts w:cstheme="minorHAnsi"/>
                <w:sz w:val="18"/>
                <w:szCs w:val="18"/>
              </w:rPr>
            </w:pPr>
            <w:r w:rsidRPr="009B546D">
              <w:rPr>
                <w:rFonts w:cstheme="minorHAnsi"/>
                <w:sz w:val="18"/>
                <w:szCs w:val="18"/>
              </w:rPr>
              <w:t>The Directors</w:t>
            </w:r>
            <w:r>
              <w:rPr>
                <w:rFonts w:cstheme="minorHAnsi"/>
                <w:sz w:val="18"/>
                <w:szCs w:val="18"/>
              </w:rPr>
              <w:t xml:space="preserve"> and Proposed Director</w:t>
            </w:r>
          </w:p>
          <w:p w14:paraId="6F40496E" w14:textId="77777777" w:rsidR="005C4042" w:rsidRPr="009B546D" w:rsidRDefault="005C4042" w:rsidP="0075442A">
            <w:pPr>
              <w:spacing w:after="0" w:line="240" w:lineRule="auto"/>
              <w:rPr>
                <w:rFonts w:cstheme="minorHAnsi"/>
                <w:sz w:val="18"/>
                <w:szCs w:val="18"/>
              </w:rPr>
            </w:pPr>
            <w:r w:rsidRPr="009B546D">
              <w:rPr>
                <w:rFonts w:cstheme="minorHAnsi"/>
                <w:sz w:val="18"/>
                <w:szCs w:val="18"/>
              </w:rPr>
              <w:t>AIQ Limited</w:t>
            </w:r>
          </w:p>
          <w:p w14:paraId="104DE465" w14:textId="77777777" w:rsidR="005C4042" w:rsidRPr="009B546D" w:rsidRDefault="005C4042" w:rsidP="0075442A">
            <w:pPr>
              <w:spacing w:after="0" w:line="240" w:lineRule="auto"/>
              <w:rPr>
                <w:rFonts w:cstheme="minorHAnsi"/>
                <w:sz w:val="18"/>
                <w:szCs w:val="18"/>
              </w:rPr>
            </w:pPr>
            <w:r w:rsidRPr="009B546D">
              <w:rPr>
                <w:rFonts w:cstheme="minorHAnsi"/>
                <w:sz w:val="18"/>
                <w:szCs w:val="18"/>
              </w:rPr>
              <w:t>Genesis Building, 5th Floor</w:t>
            </w:r>
          </w:p>
          <w:p w14:paraId="173FABAB" w14:textId="77777777" w:rsidR="005C4042" w:rsidRPr="009B546D" w:rsidRDefault="005C4042" w:rsidP="0075442A">
            <w:pPr>
              <w:spacing w:after="0" w:line="240" w:lineRule="auto"/>
              <w:rPr>
                <w:rFonts w:cstheme="minorHAnsi"/>
                <w:sz w:val="18"/>
                <w:szCs w:val="18"/>
              </w:rPr>
            </w:pPr>
            <w:r w:rsidRPr="009B546D">
              <w:rPr>
                <w:rFonts w:cstheme="minorHAnsi"/>
                <w:sz w:val="18"/>
                <w:szCs w:val="18"/>
              </w:rPr>
              <w:t>Genesis Close</w:t>
            </w:r>
          </w:p>
          <w:p w14:paraId="00A982B6" w14:textId="77777777" w:rsidR="005C4042" w:rsidRPr="009B546D" w:rsidRDefault="005C4042" w:rsidP="0075442A">
            <w:pPr>
              <w:spacing w:after="0" w:line="240" w:lineRule="auto"/>
              <w:rPr>
                <w:rFonts w:cstheme="minorHAnsi"/>
                <w:sz w:val="18"/>
                <w:szCs w:val="18"/>
              </w:rPr>
            </w:pPr>
            <w:r w:rsidRPr="009B546D">
              <w:rPr>
                <w:rFonts w:cstheme="minorHAnsi"/>
                <w:sz w:val="18"/>
                <w:szCs w:val="18"/>
              </w:rPr>
              <w:t>PO Box 446</w:t>
            </w:r>
          </w:p>
          <w:p w14:paraId="02082D74" w14:textId="77777777" w:rsidR="005C4042" w:rsidRPr="009B546D" w:rsidRDefault="005C4042" w:rsidP="0075442A">
            <w:pPr>
              <w:spacing w:after="0" w:line="240" w:lineRule="auto"/>
              <w:rPr>
                <w:rFonts w:cstheme="minorHAnsi"/>
                <w:sz w:val="18"/>
                <w:szCs w:val="18"/>
              </w:rPr>
            </w:pPr>
            <w:r w:rsidRPr="009B546D">
              <w:rPr>
                <w:rFonts w:cstheme="minorHAnsi"/>
                <w:sz w:val="18"/>
                <w:szCs w:val="18"/>
              </w:rPr>
              <w:t>Cayman Islands</w:t>
            </w:r>
          </w:p>
          <w:p w14:paraId="0EC46A80" w14:textId="77777777" w:rsidR="005C4042" w:rsidRPr="009B546D" w:rsidRDefault="005C4042" w:rsidP="0075442A">
            <w:pPr>
              <w:spacing w:after="0" w:line="240" w:lineRule="auto"/>
              <w:rPr>
                <w:rFonts w:cstheme="minorHAnsi"/>
                <w:sz w:val="18"/>
                <w:szCs w:val="18"/>
              </w:rPr>
            </w:pPr>
            <w:r w:rsidRPr="009B546D">
              <w:rPr>
                <w:rFonts w:cstheme="minorHAnsi"/>
                <w:sz w:val="18"/>
                <w:szCs w:val="18"/>
              </w:rPr>
              <w:t>KY1-1106</w:t>
            </w:r>
          </w:p>
          <w:p w14:paraId="203667AF" w14:textId="77777777" w:rsidR="005C4042" w:rsidRPr="009B546D" w:rsidRDefault="005C4042" w:rsidP="0075442A">
            <w:pPr>
              <w:spacing w:after="0" w:line="240" w:lineRule="auto"/>
              <w:rPr>
                <w:rFonts w:cstheme="minorHAnsi"/>
                <w:sz w:val="18"/>
                <w:szCs w:val="18"/>
              </w:rPr>
            </w:pPr>
          </w:p>
          <w:p w14:paraId="62347216" w14:textId="77777777" w:rsidR="005C4042" w:rsidRPr="009B546D" w:rsidRDefault="005C4042" w:rsidP="0075442A">
            <w:pPr>
              <w:tabs>
                <w:tab w:val="left" w:pos="2415"/>
              </w:tabs>
              <w:spacing w:after="0" w:line="240" w:lineRule="auto"/>
              <w:rPr>
                <w:rFonts w:cstheme="minorHAnsi"/>
                <w:sz w:val="18"/>
                <w:szCs w:val="18"/>
              </w:rPr>
            </w:pPr>
          </w:p>
        </w:tc>
        <w:tc>
          <w:tcPr>
            <w:tcW w:w="2977" w:type="dxa"/>
          </w:tcPr>
          <w:p w14:paraId="11099F75" w14:textId="1FBF3B1A" w:rsidR="005C4042" w:rsidRPr="009B546D" w:rsidRDefault="00B575FC" w:rsidP="0075442A">
            <w:pPr>
              <w:pStyle w:val="Date"/>
              <w:tabs>
                <w:tab w:val="left" w:pos="851"/>
              </w:tabs>
              <w:rPr>
                <w:rFonts w:asciiTheme="minorHAnsi" w:hAnsiTheme="minorHAnsi" w:cstheme="minorHAnsi"/>
                <w:sz w:val="18"/>
                <w:szCs w:val="18"/>
              </w:rPr>
            </w:pPr>
            <w:r>
              <w:rPr>
                <w:rFonts w:asciiTheme="minorHAnsi" w:hAnsiTheme="minorHAnsi" w:cstheme="minorHAnsi"/>
                <w:sz w:val="18"/>
                <w:szCs w:val="18"/>
              </w:rPr>
              <w:t xml:space="preserve">                  </w:t>
            </w:r>
            <w:r w:rsidR="005C4042" w:rsidRPr="009B546D">
              <w:rPr>
                <w:rFonts w:asciiTheme="minorHAnsi" w:hAnsiTheme="minorHAnsi" w:cstheme="minorHAnsi"/>
                <w:sz w:val="18"/>
                <w:szCs w:val="18"/>
              </w:rPr>
              <w:t xml:space="preserve"> </w:t>
            </w:r>
            <w:r w:rsidR="005C4042">
              <w:rPr>
                <w:rFonts w:asciiTheme="minorHAnsi" w:hAnsiTheme="minorHAnsi" w:cstheme="minorHAnsi"/>
                <w:sz w:val="18"/>
                <w:szCs w:val="18"/>
              </w:rPr>
              <w:t xml:space="preserve">20 </w:t>
            </w:r>
            <w:r w:rsidR="005C4042" w:rsidRPr="009B546D">
              <w:rPr>
                <w:rFonts w:asciiTheme="minorHAnsi" w:hAnsiTheme="minorHAnsi" w:cstheme="minorHAnsi"/>
                <w:sz w:val="18"/>
                <w:szCs w:val="18"/>
              </w:rPr>
              <w:t>March 2020</w:t>
            </w:r>
          </w:p>
          <w:p w14:paraId="3937050D" w14:textId="77777777" w:rsidR="005C4042" w:rsidRPr="009B546D" w:rsidRDefault="005C4042" w:rsidP="0075442A">
            <w:pPr>
              <w:tabs>
                <w:tab w:val="left" w:pos="851"/>
              </w:tabs>
              <w:spacing w:line="240" w:lineRule="auto"/>
              <w:ind w:left="851" w:hanging="851"/>
              <w:rPr>
                <w:rFonts w:cstheme="minorHAnsi"/>
                <w:sz w:val="18"/>
                <w:szCs w:val="18"/>
              </w:rPr>
            </w:pPr>
          </w:p>
        </w:tc>
      </w:tr>
    </w:tbl>
    <w:p w14:paraId="64CE9017" w14:textId="77777777" w:rsidR="005C4042" w:rsidRPr="009B546D" w:rsidRDefault="005C4042" w:rsidP="005C4042">
      <w:pPr>
        <w:spacing w:after="240" w:line="240" w:lineRule="auto"/>
        <w:rPr>
          <w:rFonts w:cstheme="minorHAnsi"/>
          <w:sz w:val="18"/>
          <w:szCs w:val="18"/>
        </w:rPr>
      </w:pPr>
      <w:r w:rsidRPr="009B546D">
        <w:rPr>
          <w:rFonts w:cstheme="minorHAnsi"/>
          <w:sz w:val="18"/>
          <w:szCs w:val="18"/>
        </w:rPr>
        <w:t xml:space="preserve">Dear Sirs </w:t>
      </w:r>
    </w:p>
    <w:p w14:paraId="637AAEED" w14:textId="77777777" w:rsidR="005C4042" w:rsidRPr="009B546D" w:rsidRDefault="005C4042" w:rsidP="005C4042">
      <w:pPr>
        <w:spacing w:after="240" w:line="240" w:lineRule="auto"/>
        <w:rPr>
          <w:rFonts w:cstheme="minorHAnsi"/>
          <w:b/>
          <w:sz w:val="18"/>
          <w:szCs w:val="18"/>
        </w:rPr>
      </w:pPr>
      <w:r w:rsidRPr="009B546D">
        <w:rPr>
          <w:rFonts w:cstheme="minorHAnsi"/>
          <w:b/>
          <w:sz w:val="18"/>
          <w:szCs w:val="18"/>
        </w:rPr>
        <w:t>AIQ Limited (the “Company”)</w:t>
      </w:r>
    </w:p>
    <w:p w14:paraId="74959B80" w14:textId="77777777" w:rsidR="005C4042" w:rsidRPr="00154BDB" w:rsidRDefault="005C4042" w:rsidP="005C4042">
      <w:pPr>
        <w:pStyle w:val="OurRef"/>
        <w:spacing w:after="240"/>
        <w:rPr>
          <w:rFonts w:asciiTheme="minorHAnsi" w:hAnsiTheme="minorHAnsi" w:cstheme="minorHAnsi"/>
        </w:rPr>
      </w:pPr>
      <w:r w:rsidRPr="00154BDB">
        <w:rPr>
          <w:rFonts w:asciiTheme="minorHAnsi" w:hAnsiTheme="minorHAnsi" w:cstheme="minorHAnsi"/>
        </w:rPr>
        <w:t>Pro forma financial information</w:t>
      </w:r>
    </w:p>
    <w:p w14:paraId="2A7B82CD" w14:textId="77777777" w:rsidR="005C4042" w:rsidRPr="00154BDB" w:rsidRDefault="005C4042" w:rsidP="005C4042">
      <w:pPr>
        <w:spacing w:after="240" w:line="240" w:lineRule="auto"/>
        <w:rPr>
          <w:rFonts w:cstheme="minorHAnsi"/>
          <w:szCs w:val="20"/>
        </w:rPr>
      </w:pPr>
      <w:r w:rsidRPr="00154BDB">
        <w:rPr>
          <w:rFonts w:cstheme="minorHAnsi"/>
          <w:szCs w:val="20"/>
        </w:rPr>
        <w:t>We report on the unaudited pro forma statement of net assets and the unaudited Pro Forma income statement (together the “</w:t>
      </w:r>
      <w:r w:rsidRPr="00154BDB">
        <w:rPr>
          <w:rFonts w:cstheme="minorHAnsi"/>
          <w:b/>
          <w:bCs/>
          <w:szCs w:val="20"/>
        </w:rPr>
        <w:t>Pro Forma Financial Information”)</w:t>
      </w:r>
      <w:r w:rsidRPr="00154BDB">
        <w:rPr>
          <w:rFonts w:cstheme="minorHAnsi"/>
          <w:szCs w:val="20"/>
        </w:rPr>
        <w:t xml:space="preserve"> set out in Part XVII of this prospectus dated 20 March 2020 (the “</w:t>
      </w:r>
      <w:r w:rsidRPr="00154BDB">
        <w:rPr>
          <w:rFonts w:cstheme="minorHAnsi"/>
          <w:b/>
          <w:bCs/>
          <w:szCs w:val="20"/>
        </w:rPr>
        <w:t>Prospectus</w:t>
      </w:r>
      <w:r w:rsidRPr="00154BDB">
        <w:rPr>
          <w:rFonts w:cstheme="minorHAnsi"/>
          <w:szCs w:val="20"/>
        </w:rPr>
        <w:t>”) which have been prepared on the basis described, for illustrative purposes only, to provide information about how the acquisition of the entire issued share capital of Alchemist Codes Sdn. Bhd. (“</w:t>
      </w:r>
      <w:r w:rsidRPr="00154BDB">
        <w:rPr>
          <w:rFonts w:cstheme="minorHAnsi"/>
          <w:b/>
          <w:bCs/>
          <w:szCs w:val="20"/>
        </w:rPr>
        <w:t>Alchemist Codes</w:t>
      </w:r>
      <w:r w:rsidRPr="00154BDB">
        <w:rPr>
          <w:rFonts w:cstheme="minorHAnsi"/>
          <w:szCs w:val="20"/>
        </w:rPr>
        <w:t>”) might have affected the financial information of the Company, presented on the basis of the accounting policies adopted by the Company in preparing the annual financial statements for the year ended 31 October 2019.</w:t>
      </w:r>
    </w:p>
    <w:p w14:paraId="5F55AB57" w14:textId="77777777" w:rsidR="005C4042" w:rsidRPr="00154BDB" w:rsidRDefault="005C4042" w:rsidP="005C4042">
      <w:pPr>
        <w:spacing w:after="240" w:line="240" w:lineRule="auto"/>
        <w:rPr>
          <w:rFonts w:cstheme="minorHAnsi"/>
          <w:szCs w:val="20"/>
        </w:rPr>
      </w:pPr>
      <w:r w:rsidRPr="00154BDB">
        <w:rPr>
          <w:rFonts w:cstheme="minorHAnsi"/>
          <w:szCs w:val="20"/>
        </w:rPr>
        <w:t>This report is required by item 11.5 of Annex 3 of Commission Delegated Regulation (EU) 2019/980 supplementing Regulation (EU) 2017/1129 of the European Parliament and of the Council</w:t>
      </w:r>
      <w:r w:rsidRPr="00154BDB" w:rsidDel="000F350F">
        <w:rPr>
          <w:rFonts w:cstheme="minorHAnsi"/>
          <w:szCs w:val="20"/>
        </w:rPr>
        <w:t xml:space="preserve"> </w:t>
      </w:r>
      <w:r w:rsidRPr="00154BDB">
        <w:rPr>
          <w:rFonts w:cstheme="minorHAnsi"/>
          <w:szCs w:val="20"/>
        </w:rPr>
        <w:t>(the “</w:t>
      </w:r>
      <w:r w:rsidRPr="00154BDB">
        <w:rPr>
          <w:rFonts w:cstheme="minorHAnsi"/>
          <w:b/>
          <w:bCs/>
          <w:szCs w:val="20"/>
        </w:rPr>
        <w:t>Prospectus Regulation</w:t>
      </w:r>
      <w:r w:rsidRPr="00154BDB">
        <w:rPr>
          <w:rFonts w:cstheme="minorHAnsi"/>
          <w:szCs w:val="20"/>
        </w:rPr>
        <w:t>”) and is given for the purpose of complying with that item and for no other purpose.</w:t>
      </w:r>
    </w:p>
    <w:p w14:paraId="749B23A3" w14:textId="77777777" w:rsidR="005C4042" w:rsidRPr="00154BDB" w:rsidRDefault="005C4042" w:rsidP="005C4042">
      <w:pPr>
        <w:spacing w:after="240" w:line="240" w:lineRule="auto"/>
        <w:rPr>
          <w:rFonts w:cstheme="minorHAnsi"/>
          <w:szCs w:val="20"/>
        </w:rPr>
      </w:pPr>
      <w:r w:rsidRPr="00154BDB">
        <w:rPr>
          <w:rFonts w:cstheme="minorHAnsi"/>
          <w:b/>
          <w:szCs w:val="20"/>
        </w:rPr>
        <w:t>Responsibilities</w:t>
      </w:r>
    </w:p>
    <w:p w14:paraId="7EB307CB" w14:textId="77777777" w:rsidR="005C4042" w:rsidRPr="00154BDB" w:rsidRDefault="005C4042" w:rsidP="00024D72">
      <w:pPr>
        <w:spacing w:after="240" w:line="240" w:lineRule="auto"/>
        <w:rPr>
          <w:rFonts w:cstheme="minorHAnsi"/>
          <w:szCs w:val="20"/>
        </w:rPr>
      </w:pPr>
      <w:r w:rsidRPr="00154BDB">
        <w:rPr>
          <w:rFonts w:cstheme="minorHAnsi"/>
          <w:szCs w:val="20"/>
        </w:rPr>
        <w:t>It is the responsibility of the directors of the Company (the “</w:t>
      </w:r>
      <w:r w:rsidRPr="00154BDB">
        <w:rPr>
          <w:rFonts w:cstheme="minorHAnsi"/>
          <w:b/>
          <w:bCs/>
          <w:szCs w:val="20"/>
        </w:rPr>
        <w:t>Directors</w:t>
      </w:r>
      <w:r w:rsidRPr="00154BDB">
        <w:rPr>
          <w:rFonts w:cstheme="minorHAnsi"/>
          <w:szCs w:val="20"/>
        </w:rPr>
        <w:t>”) to prepare the Pro Forma Financial Information in accordance with item 11.5 of Annex 3 of the Prospectus Regulation.</w:t>
      </w:r>
    </w:p>
    <w:p w14:paraId="353EE005" w14:textId="77777777" w:rsidR="005C4042" w:rsidRPr="00154BDB" w:rsidRDefault="005C4042" w:rsidP="00EA2BB6">
      <w:pPr>
        <w:pStyle w:val="Company"/>
        <w:spacing w:after="240"/>
        <w:jc w:val="both"/>
        <w:rPr>
          <w:rFonts w:asciiTheme="minorHAnsi" w:hAnsiTheme="minorHAnsi" w:cstheme="minorHAnsi"/>
        </w:rPr>
      </w:pPr>
      <w:r w:rsidRPr="00154BDB">
        <w:rPr>
          <w:rFonts w:asciiTheme="minorHAnsi" w:hAnsiTheme="minorHAnsi" w:cstheme="minorHAnsi"/>
        </w:rPr>
        <w:t>It is our responsibility to form an opinion, as required by section 3 of Annex 20 of Commission Delegated Regulation (EU) 2019/980 supplementing Regulation (EU) 2017/1129 of the European Parliament and of the Council,</w:t>
      </w:r>
      <w:r w:rsidRPr="00154BDB" w:rsidDel="00953C40">
        <w:rPr>
          <w:rStyle w:val="FootnoteReference"/>
          <w:rFonts w:asciiTheme="minorHAnsi" w:hAnsiTheme="minorHAnsi" w:cstheme="minorHAnsi"/>
        </w:rPr>
        <w:t xml:space="preserve"> </w:t>
      </w:r>
      <w:r w:rsidRPr="00154BDB">
        <w:rPr>
          <w:rFonts w:asciiTheme="minorHAnsi" w:hAnsiTheme="minorHAnsi" w:cstheme="minorHAnsi"/>
        </w:rPr>
        <w:t>as to the proper compilation of the Pro Forma Financial Information and to report that opinion to you.</w:t>
      </w:r>
    </w:p>
    <w:p w14:paraId="48250199" w14:textId="77777777" w:rsidR="005C4042" w:rsidRPr="00154BDB" w:rsidRDefault="005C4042" w:rsidP="00EA2BB6">
      <w:pPr>
        <w:pStyle w:val="Company"/>
        <w:spacing w:after="240"/>
        <w:jc w:val="both"/>
        <w:rPr>
          <w:rFonts w:asciiTheme="minorHAnsi" w:hAnsiTheme="minorHAnsi" w:cstheme="minorHAnsi"/>
        </w:rPr>
      </w:pPr>
      <w:r w:rsidRPr="00154BDB">
        <w:rPr>
          <w:rFonts w:asciiTheme="minorHAnsi" w:hAnsiTheme="minorHAnsi" w:cstheme="minorHAnsi"/>
        </w:rPr>
        <w:t>Save for any responsibility arising under Prospectus Regulation Rule 5.3.2R(2)(f) to any person as and to the extent there provided, to the fullest extent permitted by the law we do not assume any responsibility and will not accept any liability to any other person for any loss suffered by any such other person as a result of, arising out of, or in connection with this report or our statement, required by and given solely for the purposes of complying with item 1.3 of Annex 3 of the Prospectus Regulation, consenting to its inclusion in the Prospectus.</w:t>
      </w:r>
    </w:p>
    <w:p w14:paraId="3467387C" w14:textId="699AEDA8" w:rsidR="00024D72" w:rsidRPr="00154BDB" w:rsidRDefault="005C4042" w:rsidP="00154BDB">
      <w:pPr>
        <w:pStyle w:val="Company"/>
        <w:spacing w:after="240"/>
        <w:jc w:val="both"/>
        <w:rPr>
          <w:rFonts w:asciiTheme="minorHAnsi" w:hAnsiTheme="minorHAnsi" w:cstheme="minorHAnsi"/>
        </w:rPr>
      </w:pPr>
      <w:r w:rsidRPr="00154BDB">
        <w:rPr>
          <w:rFonts w:asciiTheme="minorHAnsi" w:hAnsiTheme="minorHAnsi" w:cstheme="minorHAnsi"/>
        </w:rPr>
        <w:t xml:space="preserve">In providing this opinion we are not updating or refreshing any reports or opinions previously made by us on any financial information used in the compilation of the Pro Forma Financial Information, nor do we accept </w:t>
      </w:r>
      <w:r w:rsidRPr="00154BDB">
        <w:rPr>
          <w:rFonts w:asciiTheme="minorHAnsi" w:hAnsiTheme="minorHAnsi" w:cstheme="minorHAnsi"/>
        </w:rPr>
        <w:lastRenderedPageBreak/>
        <w:t>responsibility for such reports or opinions beyond that owed to those to whom those reports or opinions were addressed by us at the dates of their issue.</w:t>
      </w:r>
    </w:p>
    <w:p w14:paraId="7CAD7230" w14:textId="77777777" w:rsidR="005C4042" w:rsidRPr="00154BDB" w:rsidRDefault="005C4042" w:rsidP="005C4042">
      <w:pPr>
        <w:pStyle w:val="BDOMainHeading2"/>
        <w:rPr>
          <w:rFonts w:asciiTheme="minorHAnsi" w:hAnsiTheme="minorHAnsi" w:cstheme="minorHAnsi"/>
        </w:rPr>
      </w:pPr>
      <w:r w:rsidRPr="00154BDB">
        <w:rPr>
          <w:rFonts w:asciiTheme="minorHAnsi" w:hAnsiTheme="minorHAnsi" w:cstheme="minorHAnsi"/>
        </w:rPr>
        <w:t>Basis of opinion</w:t>
      </w:r>
    </w:p>
    <w:p w14:paraId="25029160" w14:textId="0B8C4B98" w:rsidR="005C4042" w:rsidRPr="00154BDB" w:rsidRDefault="005C4042" w:rsidP="005C4042">
      <w:pPr>
        <w:spacing w:after="240" w:line="240" w:lineRule="auto"/>
        <w:rPr>
          <w:rFonts w:cstheme="minorHAnsi"/>
          <w:szCs w:val="20"/>
        </w:rPr>
      </w:pPr>
      <w:r w:rsidRPr="00154BDB">
        <w:rPr>
          <w:rFonts w:cstheme="minorHAnsi"/>
          <w:szCs w:val="20"/>
        </w:rPr>
        <w:t>We conducted our work in accordance with the Standards for Investment Reporting issued by the Auditing Practices Board in the United Kingdom.</w:t>
      </w:r>
      <w:r w:rsidR="00B575FC" w:rsidRPr="00154BDB">
        <w:rPr>
          <w:rFonts w:cstheme="minorHAnsi"/>
          <w:szCs w:val="20"/>
        </w:rPr>
        <w:t xml:space="preserve"> </w:t>
      </w:r>
      <w:r w:rsidRPr="00154BDB">
        <w:rPr>
          <w:rFonts w:cstheme="minorHAnsi"/>
          <w:szCs w:val="20"/>
        </w:rPr>
        <w:t>The work that we performed for the purpose of making this report, which involved no independent examination of any of the underlying financial information, consisted primarily of comparing the unadjusted financial information with the source documents, considering the evidence supporting the adjustments and discussing the Pro Forma Financial Information with the Directors.</w:t>
      </w:r>
    </w:p>
    <w:p w14:paraId="6E8FE61D" w14:textId="77777777" w:rsidR="005C4042" w:rsidRPr="00154BDB" w:rsidRDefault="005C4042" w:rsidP="005C4042">
      <w:pPr>
        <w:spacing w:after="240" w:line="240" w:lineRule="auto"/>
        <w:rPr>
          <w:rFonts w:cstheme="minorHAnsi"/>
          <w:szCs w:val="20"/>
        </w:rPr>
      </w:pPr>
      <w:r w:rsidRPr="00154BDB">
        <w:rPr>
          <w:rFonts w:cstheme="minorHAnsi"/>
          <w:szCs w:val="20"/>
        </w:rPr>
        <w:t>We planned and performed our work so as to obtain the information and explanations which we considered necessary in order to provide us with reasonable assurance that the Pro Forma Financial Information has been properly compiled on the basis stated and that such basis is consistent with the accounting policies of the Company.</w:t>
      </w:r>
    </w:p>
    <w:p w14:paraId="217BE95D" w14:textId="77777777" w:rsidR="005C4042" w:rsidRPr="00154BDB" w:rsidRDefault="005C4042" w:rsidP="005C4042">
      <w:pPr>
        <w:spacing w:after="240" w:line="240" w:lineRule="auto"/>
        <w:rPr>
          <w:rFonts w:cstheme="minorHAnsi"/>
          <w:szCs w:val="20"/>
        </w:rPr>
      </w:pPr>
      <w:r w:rsidRPr="00154BDB">
        <w:rPr>
          <w:rFonts w:cstheme="minorHAnsi"/>
          <w:szCs w:val="20"/>
        </w:rPr>
        <w:t>Our work has not been carried out in accordance with auditing or other standards and practices generally accepted in the United States of America or other jurisdictions outside the United Kingdom and accordingly should not be relied upon as if it had been carried out in accordance with those standards and practices.</w:t>
      </w:r>
    </w:p>
    <w:p w14:paraId="29B44DF5" w14:textId="77777777" w:rsidR="005C4042" w:rsidRPr="00154BDB" w:rsidRDefault="005C4042" w:rsidP="005C4042">
      <w:pPr>
        <w:pStyle w:val="BDOMainHeading2"/>
        <w:rPr>
          <w:rFonts w:asciiTheme="minorHAnsi" w:hAnsiTheme="minorHAnsi" w:cstheme="minorHAnsi"/>
        </w:rPr>
      </w:pPr>
      <w:r w:rsidRPr="00154BDB">
        <w:rPr>
          <w:rFonts w:asciiTheme="minorHAnsi" w:hAnsiTheme="minorHAnsi" w:cstheme="minorHAnsi"/>
        </w:rPr>
        <w:t>Opinion</w:t>
      </w:r>
    </w:p>
    <w:p w14:paraId="051F7A30" w14:textId="77777777" w:rsidR="005C4042" w:rsidRPr="00154BDB" w:rsidRDefault="005C4042" w:rsidP="005C4042">
      <w:pPr>
        <w:spacing w:after="240" w:line="240" w:lineRule="auto"/>
        <w:rPr>
          <w:rFonts w:cstheme="minorHAnsi"/>
          <w:szCs w:val="20"/>
        </w:rPr>
      </w:pPr>
      <w:r w:rsidRPr="00154BDB">
        <w:rPr>
          <w:rFonts w:cstheme="minorHAnsi"/>
          <w:szCs w:val="20"/>
        </w:rPr>
        <w:t>In our opinion:</w:t>
      </w:r>
    </w:p>
    <w:p w14:paraId="239F302C" w14:textId="77777777" w:rsidR="005C4042" w:rsidRPr="00154BDB" w:rsidRDefault="005C4042" w:rsidP="005C4042">
      <w:pPr>
        <w:numPr>
          <w:ilvl w:val="0"/>
          <w:numId w:val="54"/>
        </w:numPr>
        <w:tabs>
          <w:tab w:val="num" w:pos="567"/>
        </w:tabs>
        <w:spacing w:after="240" w:line="240" w:lineRule="auto"/>
        <w:ind w:left="567" w:hanging="567"/>
        <w:jc w:val="left"/>
        <w:rPr>
          <w:rFonts w:cstheme="minorHAnsi"/>
          <w:szCs w:val="20"/>
        </w:rPr>
      </w:pPr>
      <w:r w:rsidRPr="00154BDB">
        <w:rPr>
          <w:rFonts w:cstheme="minorHAnsi"/>
          <w:szCs w:val="20"/>
        </w:rPr>
        <w:t xml:space="preserve">the Pro Forma Financial Information has been properly compiled on the basis stated; and </w:t>
      </w:r>
    </w:p>
    <w:p w14:paraId="2D07CC52" w14:textId="77777777" w:rsidR="005C4042" w:rsidRPr="00154BDB" w:rsidRDefault="005C4042" w:rsidP="005C4042">
      <w:pPr>
        <w:numPr>
          <w:ilvl w:val="0"/>
          <w:numId w:val="54"/>
        </w:numPr>
        <w:tabs>
          <w:tab w:val="num" w:pos="567"/>
        </w:tabs>
        <w:spacing w:after="240" w:line="240" w:lineRule="auto"/>
        <w:ind w:left="567" w:hanging="567"/>
        <w:jc w:val="left"/>
        <w:rPr>
          <w:rFonts w:cstheme="minorHAnsi"/>
          <w:szCs w:val="20"/>
        </w:rPr>
      </w:pPr>
      <w:r w:rsidRPr="00154BDB">
        <w:rPr>
          <w:rFonts w:cstheme="minorHAnsi"/>
          <w:szCs w:val="20"/>
        </w:rPr>
        <w:t>such basis is consistent with the accounting policies of the Company.</w:t>
      </w:r>
    </w:p>
    <w:p w14:paraId="1F363271" w14:textId="77777777" w:rsidR="005C4042" w:rsidRPr="00154BDB" w:rsidRDefault="005C4042" w:rsidP="005C4042">
      <w:pPr>
        <w:pStyle w:val="BDOMainHeading2"/>
        <w:rPr>
          <w:rFonts w:asciiTheme="minorHAnsi" w:hAnsiTheme="minorHAnsi" w:cstheme="minorHAnsi"/>
        </w:rPr>
      </w:pPr>
      <w:r w:rsidRPr="00154BDB">
        <w:rPr>
          <w:rFonts w:asciiTheme="minorHAnsi" w:hAnsiTheme="minorHAnsi" w:cstheme="minorHAnsi"/>
        </w:rPr>
        <w:t>Declaration</w:t>
      </w:r>
    </w:p>
    <w:p w14:paraId="7D39EBEB" w14:textId="77777777" w:rsidR="005C4042" w:rsidRPr="00154BDB" w:rsidRDefault="005C4042" w:rsidP="005C4042">
      <w:pPr>
        <w:spacing w:after="240" w:line="240" w:lineRule="auto"/>
        <w:rPr>
          <w:rFonts w:cstheme="minorHAnsi"/>
          <w:szCs w:val="20"/>
        </w:rPr>
      </w:pPr>
      <w:r w:rsidRPr="00154BDB">
        <w:rPr>
          <w:rFonts w:cstheme="minorHAnsi"/>
          <w:szCs w:val="20"/>
        </w:rPr>
        <w:t>For the purposes of Prospectus Regulation Rule 5.3.2R(2)(f) we are responsible for this report as part of the Prospectus and declare that, to the best of our knowledge, the information contained in this report is in accordance with the facts and makes no omission likely to affect its import. This declaration is included in the Prospectus in compliance with item 1.2 of Annex 3 of the Prospectus Regulation.</w:t>
      </w:r>
    </w:p>
    <w:p w14:paraId="321C9287" w14:textId="77777777" w:rsidR="005C4042" w:rsidRPr="00154BDB" w:rsidRDefault="005C4042" w:rsidP="005C4042">
      <w:pPr>
        <w:spacing w:after="240" w:line="240" w:lineRule="auto"/>
        <w:rPr>
          <w:rFonts w:cstheme="minorHAnsi"/>
          <w:szCs w:val="20"/>
        </w:rPr>
      </w:pPr>
      <w:r w:rsidRPr="00154BDB">
        <w:rPr>
          <w:rFonts w:cstheme="minorHAnsi"/>
          <w:szCs w:val="20"/>
        </w:rPr>
        <w:t>Yours faithfully</w:t>
      </w:r>
    </w:p>
    <w:p w14:paraId="0D2E1E23" w14:textId="77777777" w:rsidR="005C4042" w:rsidRPr="00154BDB" w:rsidRDefault="005C4042" w:rsidP="005C4042">
      <w:pPr>
        <w:spacing w:line="240" w:lineRule="auto"/>
        <w:rPr>
          <w:rFonts w:cstheme="minorHAnsi"/>
          <w:szCs w:val="20"/>
        </w:rPr>
      </w:pPr>
    </w:p>
    <w:p w14:paraId="3D46D711" w14:textId="77777777" w:rsidR="005C4042" w:rsidRPr="00154BDB" w:rsidRDefault="005C4042" w:rsidP="005C4042">
      <w:pPr>
        <w:spacing w:line="240" w:lineRule="auto"/>
        <w:rPr>
          <w:rFonts w:cstheme="minorHAnsi"/>
          <w:szCs w:val="20"/>
        </w:rPr>
      </w:pPr>
      <w:r w:rsidRPr="00154BDB">
        <w:rPr>
          <w:rFonts w:cstheme="minorHAnsi"/>
          <w:szCs w:val="20"/>
        </w:rPr>
        <w:t>BDO LLP</w:t>
      </w:r>
    </w:p>
    <w:p w14:paraId="61B58369" w14:textId="77777777" w:rsidR="005C4042" w:rsidRPr="00154BDB" w:rsidRDefault="005C4042" w:rsidP="005C4042">
      <w:pPr>
        <w:spacing w:line="240" w:lineRule="auto"/>
        <w:rPr>
          <w:rFonts w:cstheme="minorHAnsi"/>
          <w:szCs w:val="20"/>
        </w:rPr>
      </w:pPr>
      <w:r w:rsidRPr="00154BDB">
        <w:rPr>
          <w:rFonts w:cstheme="minorHAnsi"/>
          <w:szCs w:val="20"/>
        </w:rPr>
        <w:t>Chartered Accountants</w:t>
      </w:r>
    </w:p>
    <w:p w14:paraId="0B7F43FD" w14:textId="77777777" w:rsidR="005C4042" w:rsidRPr="00154BDB" w:rsidRDefault="005C4042" w:rsidP="005C4042">
      <w:pPr>
        <w:spacing w:line="240" w:lineRule="auto"/>
        <w:rPr>
          <w:rFonts w:cstheme="minorHAnsi"/>
          <w:szCs w:val="20"/>
        </w:rPr>
      </w:pPr>
    </w:p>
    <w:p w14:paraId="2C600984" w14:textId="77777777" w:rsidR="005C4042" w:rsidRPr="00154BDB" w:rsidRDefault="005C4042" w:rsidP="005C4042">
      <w:pPr>
        <w:spacing w:line="240" w:lineRule="auto"/>
        <w:rPr>
          <w:rFonts w:cstheme="minorHAnsi"/>
          <w:szCs w:val="20"/>
        </w:rPr>
      </w:pPr>
      <w:r w:rsidRPr="00154BDB">
        <w:rPr>
          <w:rFonts w:cstheme="minorHAnsi"/>
          <w:szCs w:val="20"/>
        </w:rPr>
        <w:t>BDO LLP is a limited liability partnership registered in England and Wales (with registered number OC305127)</w:t>
      </w:r>
    </w:p>
    <w:p w14:paraId="7B59E72A" w14:textId="77777777" w:rsidR="005C4042" w:rsidRPr="00154BDB" w:rsidRDefault="005C4042" w:rsidP="005C4042">
      <w:pPr>
        <w:spacing w:line="240" w:lineRule="auto"/>
        <w:jc w:val="left"/>
        <w:rPr>
          <w:rFonts w:cstheme="minorHAnsi"/>
          <w:szCs w:val="20"/>
        </w:rPr>
      </w:pPr>
      <w:r w:rsidRPr="00154BDB">
        <w:rPr>
          <w:rFonts w:cstheme="minorHAnsi"/>
          <w:szCs w:val="20"/>
        </w:rPr>
        <w:br w:type="page"/>
      </w:r>
    </w:p>
    <w:p w14:paraId="70DD14C3" w14:textId="6464B581" w:rsidR="00912FDD" w:rsidRPr="009B546D" w:rsidRDefault="00912FDD" w:rsidP="00F432B9">
      <w:pPr>
        <w:pStyle w:val="Heading1"/>
        <w:keepNext w:val="0"/>
        <w:widowControl w:val="0"/>
        <w:spacing w:after="80" w:line="240" w:lineRule="auto"/>
        <w:jc w:val="center"/>
        <w:rPr>
          <w:rFonts w:asciiTheme="minorHAnsi" w:hAnsiTheme="minorHAnsi" w:cstheme="minorHAnsi"/>
          <w:sz w:val="20"/>
          <w:szCs w:val="20"/>
        </w:rPr>
      </w:pPr>
      <w:bookmarkStart w:id="52" w:name="_Toc35456746"/>
      <w:r w:rsidRPr="009B546D">
        <w:rPr>
          <w:rFonts w:asciiTheme="minorHAnsi" w:hAnsiTheme="minorHAnsi" w:cstheme="minorHAnsi"/>
          <w:sz w:val="20"/>
          <w:szCs w:val="20"/>
        </w:rPr>
        <w:lastRenderedPageBreak/>
        <w:t>Part XVI</w:t>
      </w:r>
      <w:r w:rsidR="00987B3B">
        <w:rPr>
          <w:rFonts w:asciiTheme="minorHAnsi" w:hAnsiTheme="minorHAnsi" w:cstheme="minorHAnsi"/>
          <w:sz w:val="20"/>
          <w:szCs w:val="20"/>
        </w:rPr>
        <w:t>I</w:t>
      </w:r>
      <w:r w:rsidRPr="009B546D">
        <w:rPr>
          <w:rFonts w:asciiTheme="minorHAnsi" w:hAnsiTheme="minorHAnsi" w:cstheme="minorHAnsi"/>
          <w:sz w:val="20"/>
          <w:szCs w:val="20"/>
        </w:rPr>
        <w:br/>
      </w:r>
      <w:r w:rsidR="00C94917" w:rsidRPr="009B546D">
        <w:rPr>
          <w:rFonts w:asciiTheme="minorHAnsi" w:hAnsiTheme="minorHAnsi" w:cstheme="minorHAnsi"/>
          <w:sz w:val="20"/>
          <w:szCs w:val="20"/>
        </w:rPr>
        <w:t xml:space="preserve">Unaudited Pro Forma </w:t>
      </w:r>
      <w:r w:rsidR="00305367" w:rsidRPr="009B546D">
        <w:rPr>
          <w:rFonts w:asciiTheme="minorHAnsi" w:hAnsiTheme="minorHAnsi" w:cstheme="minorHAnsi"/>
          <w:sz w:val="20"/>
          <w:szCs w:val="20"/>
        </w:rPr>
        <w:t>Financial Information</w:t>
      </w:r>
      <w:r w:rsidR="00036E57" w:rsidRPr="009B546D">
        <w:rPr>
          <w:rFonts w:asciiTheme="minorHAnsi" w:hAnsiTheme="minorHAnsi" w:cstheme="minorHAnsi"/>
          <w:sz w:val="20"/>
          <w:szCs w:val="20"/>
        </w:rPr>
        <w:t xml:space="preserve"> </w:t>
      </w:r>
      <w:r w:rsidR="00C94917" w:rsidRPr="009B546D">
        <w:rPr>
          <w:rFonts w:asciiTheme="minorHAnsi" w:hAnsiTheme="minorHAnsi" w:cstheme="minorHAnsi"/>
          <w:sz w:val="20"/>
          <w:szCs w:val="20"/>
        </w:rPr>
        <w:t>of Net Assets of The Enlarged Group</w:t>
      </w:r>
      <w:bookmarkEnd w:id="52"/>
    </w:p>
    <w:p w14:paraId="52100A3C" w14:textId="77777777" w:rsidR="006B26DC" w:rsidRPr="009B546D" w:rsidRDefault="006B26DC" w:rsidP="00F432B9">
      <w:pPr>
        <w:spacing w:after="80" w:line="240" w:lineRule="auto"/>
        <w:rPr>
          <w:rFonts w:cstheme="minorHAnsi"/>
          <w:sz w:val="18"/>
          <w:szCs w:val="18"/>
        </w:rPr>
      </w:pPr>
    </w:p>
    <w:p w14:paraId="3B0BA38A" w14:textId="77777777" w:rsidR="006B26DC" w:rsidRPr="009B546D" w:rsidRDefault="006B26DC" w:rsidP="00496B89">
      <w:pPr>
        <w:spacing w:after="200" w:line="240" w:lineRule="auto"/>
        <w:rPr>
          <w:rFonts w:eastAsia="Times New Roman" w:cstheme="minorHAnsi"/>
          <w:szCs w:val="20"/>
          <w:lang w:eastAsia="en-GB"/>
        </w:rPr>
      </w:pPr>
      <w:r w:rsidRPr="009B546D">
        <w:rPr>
          <w:rFonts w:eastAsia="Times New Roman" w:cstheme="minorHAnsi"/>
          <w:szCs w:val="20"/>
          <w:lang w:eastAsia="en-GB"/>
        </w:rPr>
        <w:t>The following unaudited pro forma statement of net assets and unaudited pro forma income statement of the Enlarged Group (the “</w:t>
      </w:r>
      <w:r w:rsidRPr="00EA2BB6">
        <w:rPr>
          <w:rFonts w:eastAsia="Times New Roman" w:cstheme="minorHAnsi"/>
          <w:b/>
          <w:bCs/>
          <w:szCs w:val="20"/>
          <w:lang w:eastAsia="en-GB"/>
        </w:rPr>
        <w:t>Pro Forma Financial Information</w:t>
      </w:r>
      <w:r w:rsidRPr="009B546D">
        <w:rPr>
          <w:rFonts w:eastAsia="Times New Roman" w:cstheme="minorHAnsi"/>
          <w:szCs w:val="20"/>
          <w:lang w:eastAsia="en-GB"/>
        </w:rPr>
        <w:t>”) has been prepared to illustrate the effect on the net assets and income statement of the Company as if the acquisition of the entire issued share capital of Alchemist Codes and the Company had taken place on 31 October 2019.</w:t>
      </w:r>
    </w:p>
    <w:p w14:paraId="488DC916" w14:textId="77777777" w:rsidR="006B26DC" w:rsidRPr="009B546D" w:rsidRDefault="006B26DC" w:rsidP="00F432B9">
      <w:pPr>
        <w:spacing w:after="120" w:line="240" w:lineRule="auto"/>
        <w:rPr>
          <w:rFonts w:eastAsia="Times New Roman" w:cstheme="minorHAnsi"/>
          <w:szCs w:val="20"/>
          <w:lang w:eastAsia="en-GB"/>
        </w:rPr>
      </w:pPr>
      <w:r w:rsidRPr="009B546D">
        <w:rPr>
          <w:rFonts w:eastAsia="Times New Roman" w:cstheme="minorHAnsi"/>
          <w:szCs w:val="20"/>
          <w:lang w:eastAsia="en-GB"/>
        </w:rPr>
        <w:t>The Pro Forma Financial Information has been prepared for illustrative purposes only and, because of its nature, it addresses a hypothetical situation and does not, therefore, represent the Enlarged Group’s actual financial position or results.</w:t>
      </w:r>
    </w:p>
    <w:p w14:paraId="026836AD" w14:textId="77777777" w:rsidR="006B26DC" w:rsidRPr="009B546D" w:rsidRDefault="006B26DC" w:rsidP="00F432B9">
      <w:pPr>
        <w:spacing w:after="120" w:line="240" w:lineRule="auto"/>
        <w:rPr>
          <w:rFonts w:eastAsia="Times New Roman" w:cstheme="minorHAnsi"/>
          <w:szCs w:val="20"/>
          <w:lang w:eastAsia="en-GB"/>
        </w:rPr>
      </w:pPr>
    </w:p>
    <w:p w14:paraId="73062A9D" w14:textId="77777777" w:rsidR="006B26DC" w:rsidRPr="009B546D" w:rsidRDefault="006B26DC" w:rsidP="00F432B9">
      <w:pPr>
        <w:autoSpaceDE w:val="0"/>
        <w:autoSpaceDN w:val="0"/>
        <w:adjustRightInd w:val="0"/>
        <w:spacing w:after="200" w:line="240" w:lineRule="auto"/>
        <w:rPr>
          <w:rFonts w:eastAsia="Times New Roman" w:cstheme="minorHAnsi"/>
          <w:b/>
          <w:szCs w:val="20"/>
          <w:u w:val="single"/>
          <w:lang w:eastAsia="en-GB"/>
        </w:rPr>
      </w:pPr>
      <w:r w:rsidRPr="009B546D">
        <w:rPr>
          <w:rFonts w:eastAsia="Times New Roman" w:cstheme="minorHAnsi"/>
          <w:b/>
          <w:szCs w:val="20"/>
          <w:u w:val="single"/>
          <w:lang w:eastAsia="en-GB"/>
        </w:rPr>
        <w:t>Pro Forma Statement of Net Assets</w:t>
      </w:r>
    </w:p>
    <w:p w14:paraId="4E9DC9D7" w14:textId="1F468CFD" w:rsidR="006B26DC" w:rsidRPr="009B546D" w:rsidRDefault="006B26DC" w:rsidP="00F432B9">
      <w:pPr>
        <w:autoSpaceDE w:val="0"/>
        <w:autoSpaceDN w:val="0"/>
        <w:adjustRightInd w:val="0"/>
        <w:spacing w:after="120" w:line="240" w:lineRule="auto"/>
        <w:rPr>
          <w:rFonts w:eastAsia="Times New Roman" w:cstheme="minorHAnsi"/>
          <w:szCs w:val="20"/>
          <w:lang w:eastAsia="en-GB"/>
        </w:rPr>
      </w:pPr>
      <w:r w:rsidRPr="009B546D">
        <w:rPr>
          <w:rFonts w:eastAsia="Times New Roman" w:cstheme="minorHAnsi"/>
          <w:szCs w:val="20"/>
          <w:lang w:eastAsia="en-GB"/>
        </w:rPr>
        <w:t xml:space="preserve">The unaudited pro forma statement of net assets is based on the net assets of the Company as at 31 October 2019, set out in the financial information on the Company for the year ended 31 October 2019 (incorporated by reference) as referred to in Part XIII of this document; and the net assets of Alchemist Codes as at 31 October 2019, set out in the interim financial information, in Part </w:t>
      </w:r>
      <w:r w:rsidR="005D5D15">
        <w:rPr>
          <w:rFonts w:eastAsia="Times New Roman" w:cstheme="minorHAnsi"/>
          <w:szCs w:val="20"/>
          <w:lang w:eastAsia="en-GB"/>
        </w:rPr>
        <w:t>XV</w:t>
      </w:r>
      <w:r w:rsidRPr="009B546D">
        <w:rPr>
          <w:rFonts w:eastAsia="Times New Roman" w:cstheme="minorHAnsi"/>
          <w:szCs w:val="20"/>
          <w:lang w:eastAsia="en-GB"/>
        </w:rPr>
        <w:t xml:space="preserve"> of this document.</w:t>
      </w:r>
      <w:r w:rsidR="00B575FC">
        <w:rPr>
          <w:rFonts w:eastAsia="Times New Roman" w:cstheme="minorHAnsi"/>
          <w:szCs w:val="20"/>
          <w:lang w:eastAsia="en-GB"/>
        </w:rPr>
        <w:t xml:space="preserve"> </w:t>
      </w:r>
      <w:r w:rsidRPr="009B546D">
        <w:rPr>
          <w:rFonts w:eastAsia="Times New Roman" w:cstheme="minorHAnsi"/>
          <w:szCs w:val="20"/>
          <w:lang w:eastAsia="en-GB"/>
        </w:rPr>
        <w:t>It has been prepared in a manner consistent with the accounting policies adopted by the Company in preparing such information and on the basis set out in the notes below.</w:t>
      </w:r>
    </w:p>
    <w:p w14:paraId="165510CE" w14:textId="77777777" w:rsidR="006B26DC" w:rsidRPr="009B546D" w:rsidRDefault="006B26DC" w:rsidP="00F432B9">
      <w:pPr>
        <w:spacing w:after="0" w:line="240" w:lineRule="auto"/>
        <w:jc w:val="left"/>
        <w:rPr>
          <w:rFonts w:eastAsia="Times New Roman" w:cstheme="minorHAnsi"/>
          <w:szCs w:val="20"/>
          <w:lang w:eastAsia="en-GB"/>
        </w:rPr>
      </w:pPr>
    </w:p>
    <w:tbl>
      <w:tblPr>
        <w:tblW w:w="8789" w:type="dxa"/>
        <w:tblLayout w:type="fixed"/>
        <w:tblCellMar>
          <w:left w:w="0" w:type="dxa"/>
          <w:right w:w="0" w:type="dxa"/>
        </w:tblCellMar>
        <w:tblLook w:val="0000" w:firstRow="0" w:lastRow="0" w:firstColumn="0" w:lastColumn="0" w:noHBand="0" w:noVBand="0"/>
      </w:tblPr>
      <w:tblGrid>
        <w:gridCol w:w="1416"/>
        <w:gridCol w:w="1474"/>
        <w:gridCol w:w="1475"/>
        <w:gridCol w:w="1474"/>
        <w:gridCol w:w="1475"/>
        <w:gridCol w:w="1475"/>
      </w:tblGrid>
      <w:tr w:rsidR="006B26DC" w:rsidRPr="009B546D" w14:paraId="60B67CCA" w14:textId="77777777" w:rsidTr="00D632CF">
        <w:trPr>
          <w:cantSplit/>
        </w:trPr>
        <w:tc>
          <w:tcPr>
            <w:tcW w:w="1416" w:type="dxa"/>
          </w:tcPr>
          <w:p w14:paraId="58725E31" w14:textId="77777777" w:rsidR="006B26DC" w:rsidRPr="009B546D" w:rsidRDefault="006B26DC" w:rsidP="00F432B9">
            <w:pPr>
              <w:keepNext/>
              <w:keepLines/>
              <w:spacing w:after="0" w:line="240" w:lineRule="auto"/>
              <w:ind w:left="57"/>
              <w:jc w:val="left"/>
              <w:rPr>
                <w:rFonts w:eastAsia="Times New Roman" w:cstheme="minorHAnsi"/>
                <w:b/>
                <w:kern w:val="16"/>
                <w:sz w:val="16"/>
                <w:szCs w:val="16"/>
                <w:lang w:eastAsia="en-GB"/>
              </w:rPr>
            </w:pPr>
          </w:p>
        </w:tc>
        <w:tc>
          <w:tcPr>
            <w:tcW w:w="1474" w:type="dxa"/>
            <w:vAlign w:val="center"/>
          </w:tcPr>
          <w:p w14:paraId="36944FD9" w14:textId="77777777" w:rsidR="006B26DC" w:rsidRPr="009B546D" w:rsidRDefault="006B26DC" w:rsidP="00F432B9">
            <w:pPr>
              <w:keepNext/>
              <w:keepLines/>
              <w:spacing w:after="0" w:line="240" w:lineRule="auto"/>
              <w:ind w:left="57"/>
              <w:jc w:val="center"/>
              <w:rPr>
                <w:rFonts w:eastAsia="Times New Roman" w:cstheme="minorHAnsi"/>
                <w:b/>
                <w:kern w:val="16"/>
                <w:sz w:val="16"/>
                <w:szCs w:val="16"/>
                <w:lang w:eastAsia="en-GB"/>
              </w:rPr>
            </w:pPr>
          </w:p>
        </w:tc>
        <w:tc>
          <w:tcPr>
            <w:tcW w:w="4424" w:type="dxa"/>
            <w:gridSpan w:val="3"/>
            <w:tcBorders>
              <w:bottom w:val="single" w:sz="4" w:space="0" w:color="auto"/>
            </w:tcBorders>
            <w:vAlign w:val="center"/>
          </w:tcPr>
          <w:p w14:paraId="72C80DB2" w14:textId="77777777" w:rsidR="006B26DC" w:rsidRPr="009B546D" w:rsidRDefault="006B26DC" w:rsidP="00F432B9">
            <w:pPr>
              <w:keepNext/>
              <w:keepLines/>
              <w:spacing w:after="0" w:line="240" w:lineRule="auto"/>
              <w:ind w:left="57"/>
              <w:jc w:val="center"/>
              <w:rPr>
                <w:rFonts w:eastAsia="Times New Roman" w:cstheme="minorHAnsi"/>
                <w:b/>
                <w:kern w:val="16"/>
                <w:sz w:val="16"/>
                <w:szCs w:val="16"/>
                <w:lang w:eastAsia="en-GB"/>
              </w:rPr>
            </w:pPr>
            <w:r w:rsidRPr="009B546D">
              <w:rPr>
                <w:rFonts w:eastAsia="Times New Roman" w:cstheme="minorHAnsi"/>
                <w:b/>
                <w:kern w:val="16"/>
                <w:sz w:val="16"/>
                <w:szCs w:val="16"/>
                <w:lang w:eastAsia="en-GB"/>
              </w:rPr>
              <w:t>Adjustments</w:t>
            </w:r>
          </w:p>
        </w:tc>
        <w:tc>
          <w:tcPr>
            <w:tcW w:w="1475" w:type="dxa"/>
            <w:vAlign w:val="center"/>
          </w:tcPr>
          <w:p w14:paraId="7FC26C02" w14:textId="77777777" w:rsidR="006B26DC" w:rsidRPr="009B546D" w:rsidRDefault="006B26DC" w:rsidP="00F432B9">
            <w:pPr>
              <w:keepNext/>
              <w:keepLines/>
              <w:spacing w:after="0" w:line="240" w:lineRule="auto"/>
              <w:ind w:left="57"/>
              <w:jc w:val="center"/>
              <w:rPr>
                <w:rFonts w:eastAsia="Times New Roman" w:cstheme="minorHAnsi"/>
                <w:b/>
                <w:kern w:val="16"/>
                <w:sz w:val="16"/>
                <w:szCs w:val="16"/>
                <w:lang w:eastAsia="en-GB"/>
              </w:rPr>
            </w:pPr>
          </w:p>
        </w:tc>
      </w:tr>
      <w:tr w:rsidR="006B26DC" w:rsidRPr="009B546D" w14:paraId="6E8BB10A" w14:textId="77777777" w:rsidTr="00D632CF">
        <w:trPr>
          <w:cantSplit/>
        </w:trPr>
        <w:tc>
          <w:tcPr>
            <w:tcW w:w="1416" w:type="dxa"/>
          </w:tcPr>
          <w:p w14:paraId="53DE3928" w14:textId="77777777" w:rsidR="006B26DC" w:rsidRPr="009B546D" w:rsidRDefault="006B26DC" w:rsidP="00496B89">
            <w:pPr>
              <w:keepNext/>
              <w:keepLines/>
              <w:spacing w:after="0" w:line="240" w:lineRule="auto"/>
              <w:ind w:left="57"/>
              <w:jc w:val="left"/>
              <w:rPr>
                <w:rFonts w:eastAsia="Times New Roman" w:cstheme="minorHAnsi"/>
                <w:b/>
                <w:kern w:val="16"/>
                <w:sz w:val="16"/>
                <w:szCs w:val="16"/>
                <w:lang w:eastAsia="en-GB"/>
              </w:rPr>
            </w:pPr>
          </w:p>
        </w:tc>
        <w:tc>
          <w:tcPr>
            <w:tcW w:w="1474" w:type="dxa"/>
            <w:vAlign w:val="center"/>
          </w:tcPr>
          <w:p w14:paraId="0F43A354" w14:textId="77777777" w:rsidR="006B26DC" w:rsidRPr="009B546D" w:rsidRDefault="006B26DC" w:rsidP="00F432B9">
            <w:pPr>
              <w:keepNext/>
              <w:keepLines/>
              <w:spacing w:after="0" w:line="240" w:lineRule="auto"/>
              <w:ind w:left="57"/>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The Company</w:t>
            </w:r>
          </w:p>
          <w:p w14:paraId="30DD814B" w14:textId="77777777" w:rsidR="006B26DC" w:rsidRPr="009B546D" w:rsidRDefault="006B26DC" w:rsidP="00F432B9">
            <w:pPr>
              <w:keepNext/>
              <w:keepLines/>
              <w:spacing w:after="0" w:line="240" w:lineRule="auto"/>
              <w:ind w:left="57"/>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as at</w:t>
            </w:r>
          </w:p>
          <w:p w14:paraId="3CB5E16E" w14:textId="77777777" w:rsidR="006B26DC" w:rsidRPr="009B546D" w:rsidRDefault="006B26DC" w:rsidP="00F432B9">
            <w:pPr>
              <w:keepNext/>
              <w:keepLines/>
              <w:spacing w:after="0" w:line="240" w:lineRule="auto"/>
              <w:ind w:left="57"/>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31 October 2019</w:t>
            </w:r>
          </w:p>
        </w:tc>
        <w:tc>
          <w:tcPr>
            <w:tcW w:w="1475" w:type="dxa"/>
            <w:tcBorders>
              <w:top w:val="single" w:sz="4" w:space="0" w:color="auto"/>
            </w:tcBorders>
            <w:vAlign w:val="center"/>
          </w:tcPr>
          <w:p w14:paraId="289601DE" w14:textId="77777777" w:rsidR="006B26DC" w:rsidRPr="009B546D" w:rsidRDefault="006B26DC" w:rsidP="00F432B9">
            <w:pPr>
              <w:keepNext/>
              <w:keepLines/>
              <w:spacing w:after="0" w:line="240" w:lineRule="auto"/>
              <w:ind w:left="57"/>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Alchemist Codes</w:t>
            </w:r>
          </w:p>
          <w:p w14:paraId="1DD27160" w14:textId="77777777" w:rsidR="006B26DC" w:rsidRPr="009B546D" w:rsidRDefault="006B26DC" w:rsidP="00F432B9">
            <w:pPr>
              <w:keepNext/>
              <w:keepLines/>
              <w:spacing w:after="0" w:line="240" w:lineRule="auto"/>
              <w:ind w:left="57"/>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as at</w:t>
            </w:r>
          </w:p>
          <w:p w14:paraId="2D542D8B" w14:textId="77777777" w:rsidR="006B26DC" w:rsidRPr="009B546D" w:rsidRDefault="006B26DC" w:rsidP="00F432B9">
            <w:pPr>
              <w:keepNext/>
              <w:keepLines/>
              <w:spacing w:after="0" w:line="240" w:lineRule="auto"/>
              <w:ind w:left="57"/>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31 October 2019</w:t>
            </w:r>
          </w:p>
        </w:tc>
        <w:tc>
          <w:tcPr>
            <w:tcW w:w="1474" w:type="dxa"/>
            <w:tcBorders>
              <w:top w:val="single" w:sz="4" w:space="0" w:color="auto"/>
            </w:tcBorders>
            <w:vAlign w:val="center"/>
          </w:tcPr>
          <w:p w14:paraId="1163F3C8" w14:textId="77777777" w:rsidR="006B26DC" w:rsidRPr="009B546D" w:rsidRDefault="006B26DC" w:rsidP="00F432B9">
            <w:pPr>
              <w:keepNext/>
              <w:keepLines/>
              <w:spacing w:after="0" w:line="240" w:lineRule="auto"/>
              <w:ind w:left="57"/>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Acquisition of Alchemist Codes</w:t>
            </w:r>
          </w:p>
        </w:tc>
        <w:tc>
          <w:tcPr>
            <w:tcW w:w="1475" w:type="dxa"/>
            <w:tcBorders>
              <w:top w:val="single" w:sz="4" w:space="0" w:color="auto"/>
            </w:tcBorders>
            <w:vAlign w:val="center"/>
          </w:tcPr>
          <w:p w14:paraId="428C01AB" w14:textId="77777777" w:rsidR="006B26DC" w:rsidRPr="009B546D" w:rsidRDefault="006B26DC" w:rsidP="00F432B9">
            <w:pPr>
              <w:keepNext/>
              <w:keepLines/>
              <w:spacing w:after="0" w:line="240" w:lineRule="auto"/>
              <w:ind w:left="57"/>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Estimate of expenses</w:t>
            </w:r>
          </w:p>
        </w:tc>
        <w:tc>
          <w:tcPr>
            <w:tcW w:w="1475" w:type="dxa"/>
            <w:vAlign w:val="center"/>
          </w:tcPr>
          <w:p w14:paraId="1028D7F0" w14:textId="77777777" w:rsidR="006B26DC" w:rsidRPr="009B546D" w:rsidRDefault="006B26DC" w:rsidP="00F432B9">
            <w:pPr>
              <w:keepNext/>
              <w:keepLines/>
              <w:spacing w:after="0" w:line="240" w:lineRule="auto"/>
              <w:ind w:left="57"/>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Pro forma</w:t>
            </w:r>
          </w:p>
          <w:p w14:paraId="09F0CB5D" w14:textId="77777777" w:rsidR="006B26DC" w:rsidRPr="009B546D" w:rsidRDefault="006B26DC" w:rsidP="00F432B9">
            <w:pPr>
              <w:keepNext/>
              <w:keepLines/>
              <w:spacing w:after="0" w:line="240" w:lineRule="auto"/>
              <w:ind w:left="57"/>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net assets</w:t>
            </w:r>
          </w:p>
          <w:p w14:paraId="75B65299" w14:textId="77777777" w:rsidR="006B26DC" w:rsidRPr="009B546D" w:rsidRDefault="006B26DC" w:rsidP="00F432B9">
            <w:pPr>
              <w:keepNext/>
              <w:keepLines/>
              <w:spacing w:after="0" w:line="240" w:lineRule="auto"/>
              <w:ind w:left="57"/>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of the Enlarged Group</w:t>
            </w:r>
          </w:p>
        </w:tc>
      </w:tr>
      <w:tr w:rsidR="006B26DC" w:rsidRPr="009B546D" w14:paraId="5C17FE5B" w14:textId="77777777" w:rsidTr="00D632CF">
        <w:trPr>
          <w:cantSplit/>
        </w:trPr>
        <w:tc>
          <w:tcPr>
            <w:tcW w:w="1416" w:type="dxa"/>
          </w:tcPr>
          <w:p w14:paraId="0013B769" w14:textId="77777777" w:rsidR="006B26DC" w:rsidRPr="009B546D" w:rsidRDefault="006B26DC" w:rsidP="00496B89">
            <w:pPr>
              <w:keepNext/>
              <w:keepLines/>
              <w:spacing w:after="0" w:line="240" w:lineRule="auto"/>
              <w:ind w:left="57"/>
              <w:jc w:val="left"/>
              <w:rPr>
                <w:rFonts w:eastAsia="Times New Roman" w:cstheme="minorHAnsi"/>
                <w:b/>
                <w:kern w:val="16"/>
                <w:sz w:val="16"/>
                <w:szCs w:val="16"/>
                <w:lang w:eastAsia="en-GB"/>
              </w:rPr>
            </w:pPr>
          </w:p>
        </w:tc>
        <w:tc>
          <w:tcPr>
            <w:tcW w:w="1474" w:type="dxa"/>
          </w:tcPr>
          <w:p w14:paraId="0F6FE47B" w14:textId="709B7DCE" w:rsidR="006B26DC" w:rsidRPr="009B546D" w:rsidRDefault="006B26DC" w:rsidP="00F432B9">
            <w:pPr>
              <w:keepNext/>
              <w:keepLine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w:t>
            </w:r>
            <w:r w:rsidR="000A6EED">
              <w:rPr>
                <w:rFonts w:eastAsia="Times New Roman" w:cstheme="minorHAnsi"/>
                <w:b/>
                <w:kern w:val="16"/>
                <w:sz w:val="16"/>
                <w:szCs w:val="16"/>
                <w:lang w:eastAsia="en-GB"/>
              </w:rPr>
              <w:t>N</w:t>
            </w:r>
            <w:r w:rsidRPr="009B546D">
              <w:rPr>
                <w:rFonts w:eastAsia="Times New Roman" w:cstheme="minorHAnsi"/>
                <w:b/>
                <w:kern w:val="16"/>
                <w:sz w:val="16"/>
                <w:szCs w:val="16"/>
                <w:lang w:eastAsia="en-GB"/>
              </w:rPr>
              <w:t>ote 1)</w:t>
            </w:r>
          </w:p>
        </w:tc>
        <w:tc>
          <w:tcPr>
            <w:tcW w:w="1475" w:type="dxa"/>
          </w:tcPr>
          <w:p w14:paraId="529CF20A" w14:textId="18363502" w:rsidR="006B26DC" w:rsidRPr="009B546D" w:rsidRDefault="006B26DC" w:rsidP="00F432B9">
            <w:pPr>
              <w:keepNext/>
              <w:keepLine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w:t>
            </w:r>
            <w:r w:rsidR="000A6EED">
              <w:rPr>
                <w:rFonts w:eastAsia="Times New Roman" w:cstheme="minorHAnsi"/>
                <w:b/>
                <w:kern w:val="16"/>
                <w:sz w:val="16"/>
                <w:szCs w:val="16"/>
                <w:lang w:eastAsia="en-GB"/>
              </w:rPr>
              <w:t>N</w:t>
            </w:r>
            <w:r w:rsidRPr="009B546D">
              <w:rPr>
                <w:rFonts w:eastAsia="Times New Roman" w:cstheme="minorHAnsi"/>
                <w:b/>
                <w:kern w:val="16"/>
                <w:sz w:val="16"/>
                <w:szCs w:val="16"/>
                <w:lang w:eastAsia="en-GB"/>
              </w:rPr>
              <w:t>ote 2)</w:t>
            </w:r>
          </w:p>
        </w:tc>
        <w:tc>
          <w:tcPr>
            <w:tcW w:w="1474" w:type="dxa"/>
          </w:tcPr>
          <w:p w14:paraId="69FE4955" w14:textId="733E4E5D" w:rsidR="006B26DC" w:rsidRPr="009B546D" w:rsidRDefault="006B26DC" w:rsidP="00F432B9">
            <w:pPr>
              <w:keepNext/>
              <w:keepLine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w:t>
            </w:r>
            <w:r w:rsidR="000A6EED">
              <w:rPr>
                <w:rFonts w:eastAsia="Times New Roman" w:cstheme="minorHAnsi"/>
                <w:b/>
                <w:kern w:val="16"/>
                <w:sz w:val="16"/>
                <w:szCs w:val="16"/>
                <w:lang w:eastAsia="en-GB"/>
              </w:rPr>
              <w:t>N</w:t>
            </w:r>
            <w:r w:rsidRPr="009B546D">
              <w:rPr>
                <w:rFonts w:eastAsia="Times New Roman" w:cstheme="minorHAnsi"/>
                <w:b/>
                <w:kern w:val="16"/>
                <w:sz w:val="16"/>
                <w:szCs w:val="16"/>
                <w:lang w:eastAsia="en-GB"/>
              </w:rPr>
              <w:t>ote 3)</w:t>
            </w:r>
          </w:p>
        </w:tc>
        <w:tc>
          <w:tcPr>
            <w:tcW w:w="1475" w:type="dxa"/>
          </w:tcPr>
          <w:p w14:paraId="5B50387D" w14:textId="38514A2F" w:rsidR="006B26DC" w:rsidRPr="009B546D" w:rsidRDefault="006B26DC" w:rsidP="00F432B9">
            <w:pPr>
              <w:keepNext/>
              <w:keepLine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w:t>
            </w:r>
            <w:r w:rsidR="000A6EED">
              <w:rPr>
                <w:rFonts w:eastAsia="Times New Roman" w:cstheme="minorHAnsi"/>
                <w:b/>
                <w:kern w:val="16"/>
                <w:sz w:val="16"/>
                <w:szCs w:val="16"/>
                <w:lang w:eastAsia="en-GB"/>
              </w:rPr>
              <w:t>N</w:t>
            </w:r>
            <w:r w:rsidRPr="009B546D">
              <w:rPr>
                <w:rFonts w:eastAsia="Times New Roman" w:cstheme="minorHAnsi"/>
                <w:b/>
                <w:kern w:val="16"/>
                <w:sz w:val="16"/>
                <w:szCs w:val="16"/>
                <w:lang w:eastAsia="en-GB"/>
              </w:rPr>
              <w:t>ote 4)</w:t>
            </w:r>
          </w:p>
        </w:tc>
        <w:tc>
          <w:tcPr>
            <w:tcW w:w="1475" w:type="dxa"/>
          </w:tcPr>
          <w:p w14:paraId="2F9401DB" w14:textId="77777777" w:rsidR="006B26DC" w:rsidRPr="009B546D" w:rsidRDefault="006B26DC" w:rsidP="00F432B9">
            <w:pPr>
              <w:keepNext/>
              <w:keepLines/>
              <w:spacing w:after="0" w:line="240" w:lineRule="auto"/>
              <w:jc w:val="right"/>
              <w:rPr>
                <w:rFonts w:eastAsia="Times New Roman" w:cstheme="minorHAnsi"/>
                <w:b/>
                <w:kern w:val="16"/>
                <w:sz w:val="16"/>
                <w:szCs w:val="16"/>
                <w:lang w:eastAsia="en-GB"/>
              </w:rPr>
            </w:pPr>
          </w:p>
        </w:tc>
      </w:tr>
      <w:tr w:rsidR="006B26DC" w:rsidRPr="009B546D" w14:paraId="32586246" w14:textId="77777777" w:rsidTr="00D632CF">
        <w:trPr>
          <w:cantSplit/>
          <w:trHeight w:val="310"/>
        </w:trPr>
        <w:tc>
          <w:tcPr>
            <w:tcW w:w="1416" w:type="dxa"/>
          </w:tcPr>
          <w:p w14:paraId="1F85D40F" w14:textId="77777777" w:rsidR="006B26DC" w:rsidRPr="009B546D" w:rsidRDefault="006B26DC" w:rsidP="00496B89">
            <w:pPr>
              <w:keepNext/>
              <w:keepLines/>
              <w:spacing w:after="0" w:line="240" w:lineRule="auto"/>
              <w:ind w:left="57"/>
              <w:jc w:val="left"/>
              <w:rPr>
                <w:rFonts w:eastAsia="Times New Roman" w:cstheme="minorHAnsi"/>
                <w:b/>
                <w:kern w:val="16"/>
                <w:sz w:val="16"/>
                <w:szCs w:val="16"/>
                <w:lang w:eastAsia="en-GB"/>
              </w:rPr>
            </w:pPr>
          </w:p>
          <w:p w14:paraId="6C25059C" w14:textId="77777777" w:rsidR="006B26DC" w:rsidRPr="009B546D" w:rsidRDefault="006B26DC" w:rsidP="00F432B9">
            <w:pPr>
              <w:keepNext/>
              <w:keepLines/>
              <w:spacing w:after="0" w:line="240" w:lineRule="auto"/>
              <w:ind w:left="57"/>
              <w:jc w:val="left"/>
              <w:rPr>
                <w:rFonts w:eastAsia="Times New Roman" w:cstheme="minorHAnsi"/>
                <w:b/>
                <w:kern w:val="16"/>
                <w:sz w:val="16"/>
                <w:szCs w:val="16"/>
                <w:lang w:eastAsia="en-GB"/>
              </w:rPr>
            </w:pPr>
          </w:p>
        </w:tc>
        <w:tc>
          <w:tcPr>
            <w:tcW w:w="1474" w:type="dxa"/>
          </w:tcPr>
          <w:p w14:paraId="63551A6B" w14:textId="77777777" w:rsidR="006B26DC" w:rsidRPr="009B546D" w:rsidRDefault="006B26DC" w:rsidP="00F432B9">
            <w:pPr>
              <w:keepNext/>
              <w:keepLine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£’000</w:t>
            </w:r>
          </w:p>
        </w:tc>
        <w:tc>
          <w:tcPr>
            <w:tcW w:w="1475" w:type="dxa"/>
          </w:tcPr>
          <w:p w14:paraId="52E378AD" w14:textId="77777777" w:rsidR="006B26DC" w:rsidRPr="009B546D" w:rsidRDefault="006B26DC" w:rsidP="00F432B9">
            <w:pPr>
              <w:keepNext/>
              <w:keepLine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£’000</w:t>
            </w:r>
          </w:p>
        </w:tc>
        <w:tc>
          <w:tcPr>
            <w:tcW w:w="1474" w:type="dxa"/>
          </w:tcPr>
          <w:p w14:paraId="7B995DB6" w14:textId="77777777" w:rsidR="006B26DC" w:rsidRPr="009B546D" w:rsidRDefault="006B26DC" w:rsidP="00F432B9">
            <w:pPr>
              <w:keepNext/>
              <w:keepLine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£’000</w:t>
            </w:r>
          </w:p>
        </w:tc>
        <w:tc>
          <w:tcPr>
            <w:tcW w:w="1475" w:type="dxa"/>
          </w:tcPr>
          <w:p w14:paraId="45ACF94A" w14:textId="77777777" w:rsidR="006B26DC" w:rsidRPr="009B546D" w:rsidRDefault="006B26DC" w:rsidP="00F432B9">
            <w:pPr>
              <w:keepNext/>
              <w:keepLine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£’000</w:t>
            </w:r>
          </w:p>
        </w:tc>
        <w:tc>
          <w:tcPr>
            <w:tcW w:w="1475" w:type="dxa"/>
          </w:tcPr>
          <w:p w14:paraId="17E4748F" w14:textId="77777777" w:rsidR="006B26DC" w:rsidRPr="009B546D" w:rsidRDefault="006B26DC" w:rsidP="00F432B9">
            <w:pPr>
              <w:keepNext/>
              <w:keepLine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£’000</w:t>
            </w:r>
          </w:p>
        </w:tc>
      </w:tr>
      <w:tr w:rsidR="006B26DC" w:rsidRPr="009B546D" w14:paraId="46AD91BE" w14:textId="77777777" w:rsidTr="00D632CF">
        <w:trPr>
          <w:cantSplit/>
        </w:trPr>
        <w:tc>
          <w:tcPr>
            <w:tcW w:w="1416" w:type="dxa"/>
          </w:tcPr>
          <w:p w14:paraId="03BEE67C" w14:textId="77777777" w:rsidR="006B26DC" w:rsidRPr="009B546D" w:rsidRDefault="006B26DC" w:rsidP="00496B89">
            <w:pPr>
              <w:keepNext/>
              <w:keepLines/>
              <w:spacing w:after="0" w:line="240" w:lineRule="auto"/>
              <w:ind w:left="57"/>
              <w:jc w:val="left"/>
              <w:rPr>
                <w:rFonts w:eastAsia="Times New Roman" w:cstheme="minorHAnsi"/>
                <w:b/>
                <w:kern w:val="16"/>
                <w:sz w:val="16"/>
                <w:szCs w:val="16"/>
                <w:lang w:eastAsia="en-GB"/>
              </w:rPr>
            </w:pPr>
            <w:r w:rsidRPr="009B546D">
              <w:rPr>
                <w:rFonts w:eastAsia="Times New Roman" w:cstheme="minorHAnsi"/>
                <w:b/>
                <w:kern w:val="16"/>
                <w:sz w:val="16"/>
                <w:szCs w:val="16"/>
                <w:lang w:eastAsia="en-GB"/>
              </w:rPr>
              <w:t>Assets</w:t>
            </w:r>
          </w:p>
        </w:tc>
        <w:tc>
          <w:tcPr>
            <w:tcW w:w="1474" w:type="dxa"/>
          </w:tcPr>
          <w:p w14:paraId="4D9CC85C" w14:textId="77777777" w:rsidR="006B26DC" w:rsidRPr="009B546D" w:rsidRDefault="006B26DC" w:rsidP="00F432B9">
            <w:pPr>
              <w:keepNext/>
              <w:keepLines/>
              <w:tabs>
                <w:tab w:val="decimal" w:pos="1134"/>
              </w:tabs>
              <w:spacing w:after="0" w:line="240" w:lineRule="auto"/>
              <w:jc w:val="left"/>
              <w:rPr>
                <w:rFonts w:eastAsia="Times New Roman" w:cstheme="minorHAnsi"/>
                <w:kern w:val="16"/>
                <w:sz w:val="16"/>
                <w:szCs w:val="16"/>
                <w:lang w:eastAsia="en-GB"/>
              </w:rPr>
            </w:pPr>
          </w:p>
        </w:tc>
        <w:tc>
          <w:tcPr>
            <w:tcW w:w="1475" w:type="dxa"/>
          </w:tcPr>
          <w:p w14:paraId="12BF5CCC" w14:textId="77777777" w:rsidR="006B26DC" w:rsidRPr="009B546D" w:rsidRDefault="006B26DC" w:rsidP="00F432B9">
            <w:pPr>
              <w:keepNext/>
              <w:keepLines/>
              <w:tabs>
                <w:tab w:val="decimal" w:pos="992"/>
              </w:tabs>
              <w:spacing w:after="0" w:line="240" w:lineRule="auto"/>
              <w:jc w:val="left"/>
              <w:rPr>
                <w:rFonts w:eastAsia="Times New Roman" w:cstheme="minorHAnsi"/>
                <w:kern w:val="16"/>
                <w:sz w:val="16"/>
                <w:szCs w:val="16"/>
                <w:lang w:eastAsia="en-GB"/>
              </w:rPr>
            </w:pPr>
          </w:p>
        </w:tc>
        <w:tc>
          <w:tcPr>
            <w:tcW w:w="1474" w:type="dxa"/>
          </w:tcPr>
          <w:p w14:paraId="5257BCC0" w14:textId="77777777" w:rsidR="006B26DC" w:rsidRPr="009B546D" w:rsidRDefault="006B26DC" w:rsidP="00F432B9">
            <w:pPr>
              <w:keepNext/>
              <w:keepLines/>
              <w:tabs>
                <w:tab w:val="decimal" w:pos="993"/>
              </w:tabs>
              <w:spacing w:after="0" w:line="240" w:lineRule="auto"/>
              <w:jc w:val="left"/>
              <w:rPr>
                <w:rFonts w:eastAsia="Times New Roman" w:cstheme="minorHAnsi"/>
                <w:kern w:val="16"/>
                <w:sz w:val="16"/>
                <w:szCs w:val="16"/>
                <w:lang w:eastAsia="en-GB"/>
              </w:rPr>
            </w:pPr>
          </w:p>
        </w:tc>
        <w:tc>
          <w:tcPr>
            <w:tcW w:w="1475" w:type="dxa"/>
          </w:tcPr>
          <w:p w14:paraId="0AF0E5E6" w14:textId="77777777" w:rsidR="006B26DC" w:rsidRPr="009B546D" w:rsidRDefault="006B26DC" w:rsidP="00F432B9">
            <w:pPr>
              <w:keepNext/>
              <w:keepLines/>
              <w:tabs>
                <w:tab w:val="decimal" w:pos="992"/>
              </w:tabs>
              <w:spacing w:after="0" w:line="240" w:lineRule="auto"/>
              <w:jc w:val="left"/>
              <w:rPr>
                <w:rFonts w:eastAsia="Times New Roman" w:cstheme="minorHAnsi"/>
                <w:kern w:val="16"/>
                <w:sz w:val="16"/>
                <w:szCs w:val="16"/>
                <w:lang w:eastAsia="en-GB"/>
              </w:rPr>
            </w:pPr>
          </w:p>
        </w:tc>
        <w:tc>
          <w:tcPr>
            <w:tcW w:w="1475" w:type="dxa"/>
          </w:tcPr>
          <w:p w14:paraId="56B05B5B" w14:textId="77777777" w:rsidR="006B26DC" w:rsidRPr="009B546D" w:rsidRDefault="006B26DC" w:rsidP="00F432B9">
            <w:pPr>
              <w:keepNext/>
              <w:keepLines/>
              <w:tabs>
                <w:tab w:val="decimal" w:pos="992"/>
              </w:tabs>
              <w:spacing w:after="0" w:line="240" w:lineRule="auto"/>
              <w:jc w:val="left"/>
              <w:rPr>
                <w:rFonts w:eastAsia="Times New Roman" w:cstheme="minorHAnsi"/>
                <w:kern w:val="16"/>
                <w:sz w:val="16"/>
                <w:szCs w:val="16"/>
                <w:lang w:eastAsia="en-GB"/>
              </w:rPr>
            </w:pPr>
          </w:p>
        </w:tc>
      </w:tr>
      <w:tr w:rsidR="006B26DC" w:rsidRPr="009B546D" w14:paraId="62B7F1AE" w14:textId="77777777" w:rsidTr="00D632CF">
        <w:trPr>
          <w:cantSplit/>
        </w:trPr>
        <w:tc>
          <w:tcPr>
            <w:tcW w:w="1416" w:type="dxa"/>
          </w:tcPr>
          <w:p w14:paraId="0BBCFE25" w14:textId="77777777" w:rsidR="006B26DC" w:rsidRPr="009B546D" w:rsidRDefault="006B26DC" w:rsidP="00496B89">
            <w:pPr>
              <w:keepNext/>
              <w:keepLines/>
              <w:spacing w:after="0" w:line="240" w:lineRule="auto"/>
              <w:ind w:left="57"/>
              <w:jc w:val="left"/>
              <w:rPr>
                <w:rFonts w:eastAsia="Times New Roman" w:cstheme="minorHAnsi"/>
                <w:b/>
                <w:kern w:val="16"/>
                <w:sz w:val="16"/>
                <w:szCs w:val="16"/>
                <w:lang w:eastAsia="en-GB"/>
              </w:rPr>
            </w:pPr>
          </w:p>
        </w:tc>
        <w:tc>
          <w:tcPr>
            <w:tcW w:w="1474" w:type="dxa"/>
          </w:tcPr>
          <w:p w14:paraId="6C6E75EE" w14:textId="77777777" w:rsidR="006B26DC" w:rsidRPr="009B546D" w:rsidRDefault="006B26DC" w:rsidP="00F432B9">
            <w:pPr>
              <w:keepNext/>
              <w:keepLines/>
              <w:tabs>
                <w:tab w:val="decimal" w:pos="1134"/>
              </w:tabs>
              <w:spacing w:after="0" w:line="240" w:lineRule="auto"/>
              <w:jc w:val="left"/>
              <w:rPr>
                <w:rFonts w:eastAsia="Times New Roman" w:cstheme="minorHAnsi"/>
                <w:kern w:val="16"/>
                <w:sz w:val="16"/>
                <w:szCs w:val="16"/>
                <w:lang w:eastAsia="en-GB"/>
              </w:rPr>
            </w:pPr>
          </w:p>
        </w:tc>
        <w:tc>
          <w:tcPr>
            <w:tcW w:w="1475" w:type="dxa"/>
          </w:tcPr>
          <w:p w14:paraId="64AF16E8" w14:textId="77777777" w:rsidR="006B26DC" w:rsidRPr="009B546D" w:rsidRDefault="006B26DC" w:rsidP="00F432B9">
            <w:pPr>
              <w:keepNext/>
              <w:keepLines/>
              <w:tabs>
                <w:tab w:val="decimal" w:pos="992"/>
              </w:tabs>
              <w:spacing w:after="0" w:line="240" w:lineRule="auto"/>
              <w:jc w:val="left"/>
              <w:rPr>
                <w:rFonts w:eastAsia="Times New Roman" w:cstheme="minorHAnsi"/>
                <w:kern w:val="16"/>
                <w:sz w:val="16"/>
                <w:szCs w:val="16"/>
                <w:lang w:eastAsia="en-GB"/>
              </w:rPr>
            </w:pPr>
          </w:p>
        </w:tc>
        <w:tc>
          <w:tcPr>
            <w:tcW w:w="1474" w:type="dxa"/>
          </w:tcPr>
          <w:p w14:paraId="2C0EAE68" w14:textId="77777777" w:rsidR="006B26DC" w:rsidRPr="009B546D" w:rsidRDefault="006B26DC" w:rsidP="00F432B9">
            <w:pPr>
              <w:keepNext/>
              <w:keepLines/>
              <w:tabs>
                <w:tab w:val="decimal" w:pos="993"/>
              </w:tabs>
              <w:spacing w:after="0" w:line="240" w:lineRule="auto"/>
              <w:jc w:val="left"/>
              <w:rPr>
                <w:rFonts w:eastAsia="Times New Roman" w:cstheme="minorHAnsi"/>
                <w:kern w:val="16"/>
                <w:sz w:val="16"/>
                <w:szCs w:val="16"/>
                <w:lang w:eastAsia="en-GB"/>
              </w:rPr>
            </w:pPr>
          </w:p>
        </w:tc>
        <w:tc>
          <w:tcPr>
            <w:tcW w:w="1475" w:type="dxa"/>
          </w:tcPr>
          <w:p w14:paraId="4A458361" w14:textId="77777777" w:rsidR="006B26DC" w:rsidRPr="009B546D" w:rsidRDefault="006B26DC" w:rsidP="00F432B9">
            <w:pPr>
              <w:keepNext/>
              <w:keepLines/>
              <w:tabs>
                <w:tab w:val="decimal" w:pos="992"/>
              </w:tabs>
              <w:spacing w:after="0" w:line="240" w:lineRule="auto"/>
              <w:jc w:val="left"/>
              <w:rPr>
                <w:rFonts w:eastAsia="Times New Roman" w:cstheme="minorHAnsi"/>
                <w:kern w:val="16"/>
                <w:sz w:val="16"/>
                <w:szCs w:val="16"/>
                <w:lang w:eastAsia="en-GB"/>
              </w:rPr>
            </w:pPr>
          </w:p>
        </w:tc>
        <w:tc>
          <w:tcPr>
            <w:tcW w:w="1475" w:type="dxa"/>
          </w:tcPr>
          <w:p w14:paraId="67CDF189" w14:textId="77777777" w:rsidR="006B26DC" w:rsidRPr="009B546D" w:rsidRDefault="006B26DC" w:rsidP="00F432B9">
            <w:pPr>
              <w:keepNext/>
              <w:keepLines/>
              <w:tabs>
                <w:tab w:val="decimal" w:pos="992"/>
              </w:tabs>
              <w:spacing w:after="0" w:line="240" w:lineRule="auto"/>
              <w:jc w:val="left"/>
              <w:rPr>
                <w:rFonts w:eastAsia="Times New Roman" w:cstheme="minorHAnsi"/>
                <w:kern w:val="16"/>
                <w:sz w:val="16"/>
                <w:szCs w:val="16"/>
                <w:lang w:eastAsia="en-GB"/>
              </w:rPr>
            </w:pPr>
          </w:p>
        </w:tc>
      </w:tr>
      <w:tr w:rsidR="006B26DC" w:rsidRPr="009B546D" w14:paraId="052B960E" w14:textId="77777777" w:rsidTr="00D632CF">
        <w:trPr>
          <w:cantSplit/>
        </w:trPr>
        <w:tc>
          <w:tcPr>
            <w:tcW w:w="1416" w:type="dxa"/>
          </w:tcPr>
          <w:p w14:paraId="45BF830B" w14:textId="77777777" w:rsidR="006B26DC" w:rsidRPr="009B546D" w:rsidRDefault="006B26DC" w:rsidP="00496B89">
            <w:pPr>
              <w:keepNext/>
              <w:keepLines/>
              <w:spacing w:after="0" w:line="240" w:lineRule="auto"/>
              <w:ind w:left="57"/>
              <w:jc w:val="left"/>
              <w:rPr>
                <w:rFonts w:eastAsia="Times New Roman" w:cstheme="minorHAnsi"/>
                <w:b/>
                <w:kern w:val="16"/>
                <w:sz w:val="16"/>
                <w:szCs w:val="16"/>
                <w:lang w:eastAsia="en-GB"/>
              </w:rPr>
            </w:pPr>
            <w:r w:rsidRPr="009B546D">
              <w:rPr>
                <w:rFonts w:eastAsia="Times New Roman" w:cstheme="minorHAnsi"/>
                <w:b/>
                <w:kern w:val="16"/>
                <w:sz w:val="16"/>
                <w:szCs w:val="16"/>
                <w:lang w:eastAsia="en-GB"/>
              </w:rPr>
              <w:t>Non-current assets</w:t>
            </w:r>
          </w:p>
        </w:tc>
        <w:tc>
          <w:tcPr>
            <w:tcW w:w="1474" w:type="dxa"/>
            <w:vAlign w:val="center"/>
          </w:tcPr>
          <w:p w14:paraId="5F1306E0" w14:textId="77777777" w:rsidR="006B26DC" w:rsidRPr="009B546D" w:rsidRDefault="006B26DC" w:rsidP="00F432B9">
            <w:pPr>
              <w:keepNext/>
              <w:keepLines/>
              <w:tabs>
                <w:tab w:val="decimal" w:pos="1134"/>
              </w:tabs>
              <w:spacing w:after="0" w:line="240" w:lineRule="auto"/>
              <w:jc w:val="right"/>
              <w:rPr>
                <w:rFonts w:eastAsia="Times New Roman" w:cstheme="minorHAnsi"/>
                <w:kern w:val="16"/>
                <w:sz w:val="16"/>
                <w:szCs w:val="16"/>
                <w:lang w:eastAsia="en-GB"/>
              </w:rPr>
            </w:pPr>
          </w:p>
        </w:tc>
        <w:tc>
          <w:tcPr>
            <w:tcW w:w="1475" w:type="dxa"/>
            <w:vAlign w:val="center"/>
          </w:tcPr>
          <w:p w14:paraId="77FB9CF5"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p>
        </w:tc>
        <w:tc>
          <w:tcPr>
            <w:tcW w:w="1474" w:type="dxa"/>
            <w:vAlign w:val="center"/>
          </w:tcPr>
          <w:p w14:paraId="0AC15E31"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p>
        </w:tc>
        <w:tc>
          <w:tcPr>
            <w:tcW w:w="1475" w:type="dxa"/>
            <w:vAlign w:val="center"/>
          </w:tcPr>
          <w:p w14:paraId="37472297"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p>
        </w:tc>
        <w:tc>
          <w:tcPr>
            <w:tcW w:w="1475" w:type="dxa"/>
            <w:vAlign w:val="center"/>
          </w:tcPr>
          <w:p w14:paraId="3F06DBD0"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p>
        </w:tc>
      </w:tr>
      <w:tr w:rsidR="006B26DC" w:rsidRPr="009B546D" w14:paraId="65C8D688" w14:textId="77777777" w:rsidTr="00D632CF">
        <w:trPr>
          <w:cantSplit/>
        </w:trPr>
        <w:tc>
          <w:tcPr>
            <w:tcW w:w="1416" w:type="dxa"/>
          </w:tcPr>
          <w:p w14:paraId="7428423E" w14:textId="77777777" w:rsidR="006B26DC" w:rsidRPr="009B546D" w:rsidRDefault="006B26DC" w:rsidP="00496B89">
            <w:pPr>
              <w:keepNext/>
              <w:keepLines/>
              <w:spacing w:after="0" w:line="240" w:lineRule="auto"/>
              <w:ind w:left="57"/>
              <w:jc w:val="left"/>
              <w:rPr>
                <w:rFonts w:eastAsia="Times New Roman" w:cstheme="minorHAnsi"/>
                <w:kern w:val="16"/>
                <w:sz w:val="16"/>
                <w:szCs w:val="16"/>
                <w:lang w:eastAsia="en-GB"/>
              </w:rPr>
            </w:pPr>
            <w:r w:rsidRPr="009B546D">
              <w:rPr>
                <w:rFonts w:eastAsia="Times New Roman" w:cstheme="minorHAnsi"/>
                <w:kern w:val="16"/>
                <w:sz w:val="16"/>
                <w:szCs w:val="16"/>
                <w:lang w:eastAsia="en-GB"/>
              </w:rPr>
              <w:t>Plant and equipment</w:t>
            </w:r>
          </w:p>
        </w:tc>
        <w:tc>
          <w:tcPr>
            <w:tcW w:w="1474" w:type="dxa"/>
            <w:vAlign w:val="center"/>
          </w:tcPr>
          <w:p w14:paraId="47823657"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696B7E25"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15</w:t>
            </w:r>
          </w:p>
        </w:tc>
        <w:tc>
          <w:tcPr>
            <w:tcW w:w="1474" w:type="dxa"/>
            <w:vAlign w:val="center"/>
          </w:tcPr>
          <w:p w14:paraId="5BD349C6"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53C22631"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5A4009E7"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15</w:t>
            </w:r>
          </w:p>
        </w:tc>
      </w:tr>
      <w:tr w:rsidR="006B26DC" w:rsidRPr="009B546D" w14:paraId="75B7E4DD" w14:textId="77777777" w:rsidTr="00D632CF">
        <w:trPr>
          <w:cantSplit/>
        </w:trPr>
        <w:tc>
          <w:tcPr>
            <w:tcW w:w="1416" w:type="dxa"/>
          </w:tcPr>
          <w:p w14:paraId="64DB03A9" w14:textId="77777777" w:rsidR="006B26DC" w:rsidRPr="009B546D" w:rsidRDefault="006B26DC" w:rsidP="00496B89">
            <w:pPr>
              <w:keepNext/>
              <w:keepLines/>
              <w:spacing w:after="0" w:line="240" w:lineRule="auto"/>
              <w:ind w:left="57"/>
              <w:jc w:val="left"/>
              <w:rPr>
                <w:rFonts w:eastAsia="Times New Roman" w:cstheme="minorHAnsi"/>
                <w:kern w:val="16"/>
                <w:sz w:val="16"/>
                <w:szCs w:val="16"/>
                <w:lang w:eastAsia="en-GB"/>
              </w:rPr>
            </w:pPr>
            <w:r w:rsidRPr="009B546D">
              <w:rPr>
                <w:rFonts w:eastAsia="Times New Roman" w:cstheme="minorHAnsi"/>
                <w:kern w:val="16"/>
                <w:sz w:val="16"/>
                <w:szCs w:val="16"/>
                <w:lang w:eastAsia="en-GB"/>
              </w:rPr>
              <w:t>Intangible assets</w:t>
            </w:r>
          </w:p>
        </w:tc>
        <w:tc>
          <w:tcPr>
            <w:tcW w:w="1474" w:type="dxa"/>
            <w:vAlign w:val="center"/>
          </w:tcPr>
          <w:p w14:paraId="41284595"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41024124"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42</w:t>
            </w:r>
          </w:p>
        </w:tc>
        <w:tc>
          <w:tcPr>
            <w:tcW w:w="1474" w:type="dxa"/>
            <w:vAlign w:val="center"/>
          </w:tcPr>
          <w:p w14:paraId="0E89DE05"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2,142</w:t>
            </w:r>
          </w:p>
        </w:tc>
        <w:tc>
          <w:tcPr>
            <w:tcW w:w="1475" w:type="dxa"/>
            <w:vAlign w:val="center"/>
          </w:tcPr>
          <w:p w14:paraId="5A17146C"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42774C53"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2,184</w:t>
            </w:r>
          </w:p>
        </w:tc>
      </w:tr>
      <w:tr w:rsidR="006B26DC" w:rsidRPr="009B546D" w14:paraId="517A8E60" w14:textId="77777777" w:rsidTr="00D632CF">
        <w:trPr>
          <w:cantSplit/>
        </w:trPr>
        <w:tc>
          <w:tcPr>
            <w:tcW w:w="1416" w:type="dxa"/>
          </w:tcPr>
          <w:p w14:paraId="2AD3F4E3" w14:textId="77777777" w:rsidR="006B26DC" w:rsidRPr="009B546D" w:rsidRDefault="006B26DC" w:rsidP="00496B89">
            <w:pPr>
              <w:keepNext/>
              <w:keepLines/>
              <w:spacing w:after="0" w:line="240" w:lineRule="auto"/>
              <w:ind w:left="57"/>
              <w:jc w:val="left"/>
              <w:rPr>
                <w:rFonts w:eastAsia="Times New Roman" w:cstheme="minorHAnsi"/>
                <w:kern w:val="16"/>
                <w:sz w:val="16"/>
                <w:szCs w:val="16"/>
                <w:lang w:eastAsia="en-GB"/>
              </w:rPr>
            </w:pPr>
          </w:p>
        </w:tc>
        <w:tc>
          <w:tcPr>
            <w:tcW w:w="1474" w:type="dxa"/>
            <w:vAlign w:val="center"/>
          </w:tcPr>
          <w:p w14:paraId="20667305" w14:textId="77777777" w:rsidR="006B26DC" w:rsidRPr="009B546D" w:rsidRDefault="006B26DC" w:rsidP="00F432B9">
            <w:pPr>
              <w:keepNext/>
              <w:keepLines/>
              <w:tabs>
                <w:tab w:val="decimal" w:pos="1134"/>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15575665"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4" w:type="dxa"/>
            <w:vAlign w:val="center"/>
          </w:tcPr>
          <w:p w14:paraId="529A106C"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7B74CDC2"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4B06731A"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r>
      <w:tr w:rsidR="006B26DC" w:rsidRPr="009B546D" w14:paraId="588AC317" w14:textId="77777777" w:rsidTr="00D632CF">
        <w:trPr>
          <w:cantSplit/>
        </w:trPr>
        <w:tc>
          <w:tcPr>
            <w:tcW w:w="1416" w:type="dxa"/>
          </w:tcPr>
          <w:p w14:paraId="65B4E239" w14:textId="77777777" w:rsidR="006B26DC" w:rsidRPr="009B546D" w:rsidRDefault="006B26DC" w:rsidP="00496B89">
            <w:pPr>
              <w:keepNext/>
              <w:keepLines/>
              <w:spacing w:after="0" w:line="240" w:lineRule="auto"/>
              <w:ind w:left="57"/>
              <w:jc w:val="left"/>
              <w:rPr>
                <w:rFonts w:eastAsia="Times New Roman" w:cstheme="minorHAnsi"/>
                <w:kern w:val="16"/>
                <w:sz w:val="16"/>
                <w:szCs w:val="16"/>
                <w:lang w:eastAsia="en-GB"/>
              </w:rPr>
            </w:pPr>
          </w:p>
        </w:tc>
        <w:tc>
          <w:tcPr>
            <w:tcW w:w="1474" w:type="dxa"/>
            <w:vAlign w:val="center"/>
          </w:tcPr>
          <w:p w14:paraId="67578D61"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w:t>
            </w:r>
          </w:p>
        </w:tc>
        <w:tc>
          <w:tcPr>
            <w:tcW w:w="1475" w:type="dxa"/>
            <w:vAlign w:val="center"/>
          </w:tcPr>
          <w:p w14:paraId="24D7B8ED"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57</w:t>
            </w:r>
          </w:p>
        </w:tc>
        <w:tc>
          <w:tcPr>
            <w:tcW w:w="1474" w:type="dxa"/>
            <w:vAlign w:val="center"/>
          </w:tcPr>
          <w:p w14:paraId="02DE2B27" w14:textId="77777777" w:rsidR="006B26DC" w:rsidRPr="009B546D" w:rsidRDefault="006B26DC" w:rsidP="00F432B9">
            <w:pPr>
              <w:keepNext/>
              <w:keepLines/>
              <w:tabs>
                <w:tab w:val="decimal" w:pos="993"/>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2,142</w:t>
            </w:r>
          </w:p>
        </w:tc>
        <w:tc>
          <w:tcPr>
            <w:tcW w:w="1475" w:type="dxa"/>
            <w:vAlign w:val="center"/>
          </w:tcPr>
          <w:p w14:paraId="202A1C7C"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w:t>
            </w:r>
          </w:p>
        </w:tc>
        <w:tc>
          <w:tcPr>
            <w:tcW w:w="1475" w:type="dxa"/>
            <w:vAlign w:val="center"/>
          </w:tcPr>
          <w:p w14:paraId="0A938610"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2,199</w:t>
            </w:r>
          </w:p>
        </w:tc>
      </w:tr>
      <w:tr w:rsidR="006B26DC" w:rsidRPr="009B546D" w14:paraId="72AAF2AC" w14:textId="77777777" w:rsidTr="00D632CF">
        <w:trPr>
          <w:cantSplit/>
        </w:trPr>
        <w:tc>
          <w:tcPr>
            <w:tcW w:w="1416" w:type="dxa"/>
          </w:tcPr>
          <w:p w14:paraId="5E6B3ACC" w14:textId="77777777" w:rsidR="006B26DC" w:rsidRPr="009B546D" w:rsidRDefault="006B26DC" w:rsidP="00496B89">
            <w:pPr>
              <w:keepNext/>
              <w:keepLines/>
              <w:spacing w:after="0" w:line="240" w:lineRule="auto"/>
              <w:ind w:left="57"/>
              <w:jc w:val="left"/>
              <w:rPr>
                <w:rFonts w:eastAsia="Times New Roman" w:cstheme="minorHAnsi"/>
                <w:b/>
                <w:kern w:val="16"/>
                <w:sz w:val="16"/>
                <w:szCs w:val="16"/>
                <w:lang w:eastAsia="en-GB"/>
              </w:rPr>
            </w:pPr>
          </w:p>
        </w:tc>
        <w:tc>
          <w:tcPr>
            <w:tcW w:w="1474" w:type="dxa"/>
            <w:vAlign w:val="center"/>
          </w:tcPr>
          <w:p w14:paraId="52BB7E19" w14:textId="77777777" w:rsidR="006B26DC" w:rsidRPr="009B546D" w:rsidRDefault="006B26DC" w:rsidP="00F432B9">
            <w:pPr>
              <w:keepNext/>
              <w:keepLines/>
              <w:tabs>
                <w:tab w:val="decimal" w:pos="1134"/>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7DE164B0"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4" w:type="dxa"/>
            <w:vAlign w:val="center"/>
          </w:tcPr>
          <w:p w14:paraId="4AE0AB73"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281E29D4"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283775B2"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r>
      <w:tr w:rsidR="006B26DC" w:rsidRPr="009B546D" w14:paraId="57D81AA3" w14:textId="77777777" w:rsidTr="00D632CF">
        <w:trPr>
          <w:cantSplit/>
        </w:trPr>
        <w:tc>
          <w:tcPr>
            <w:tcW w:w="1416" w:type="dxa"/>
          </w:tcPr>
          <w:p w14:paraId="232C957D" w14:textId="77777777" w:rsidR="006B26DC" w:rsidRPr="009B546D" w:rsidRDefault="006B26DC" w:rsidP="00496B89">
            <w:pPr>
              <w:keepNext/>
              <w:keepLines/>
              <w:spacing w:after="0" w:line="240" w:lineRule="auto"/>
              <w:ind w:left="57"/>
              <w:jc w:val="left"/>
              <w:rPr>
                <w:rFonts w:eastAsia="Times New Roman" w:cstheme="minorHAnsi"/>
                <w:b/>
                <w:kern w:val="16"/>
                <w:sz w:val="16"/>
                <w:szCs w:val="16"/>
                <w:lang w:eastAsia="en-GB"/>
              </w:rPr>
            </w:pPr>
            <w:r w:rsidRPr="009B546D">
              <w:rPr>
                <w:rFonts w:eastAsia="Times New Roman" w:cstheme="minorHAnsi"/>
                <w:b/>
                <w:kern w:val="16"/>
                <w:sz w:val="16"/>
                <w:szCs w:val="16"/>
                <w:lang w:eastAsia="en-GB"/>
              </w:rPr>
              <w:t>Current assets</w:t>
            </w:r>
          </w:p>
        </w:tc>
        <w:tc>
          <w:tcPr>
            <w:tcW w:w="1474" w:type="dxa"/>
            <w:vAlign w:val="center"/>
          </w:tcPr>
          <w:p w14:paraId="006FB08F" w14:textId="77777777" w:rsidR="006B26DC" w:rsidRPr="009B546D" w:rsidRDefault="006B26DC" w:rsidP="00F432B9">
            <w:pPr>
              <w:keepNext/>
              <w:keepLines/>
              <w:tabs>
                <w:tab w:val="decimal" w:pos="1134"/>
              </w:tabs>
              <w:spacing w:after="0" w:line="240" w:lineRule="auto"/>
              <w:jc w:val="right"/>
              <w:rPr>
                <w:rFonts w:eastAsia="Times New Roman" w:cstheme="minorHAnsi"/>
                <w:kern w:val="16"/>
                <w:sz w:val="16"/>
                <w:szCs w:val="16"/>
                <w:lang w:eastAsia="en-GB"/>
              </w:rPr>
            </w:pPr>
          </w:p>
        </w:tc>
        <w:tc>
          <w:tcPr>
            <w:tcW w:w="1475" w:type="dxa"/>
            <w:vAlign w:val="center"/>
          </w:tcPr>
          <w:p w14:paraId="57D510C0"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p>
        </w:tc>
        <w:tc>
          <w:tcPr>
            <w:tcW w:w="1474" w:type="dxa"/>
            <w:vAlign w:val="center"/>
          </w:tcPr>
          <w:p w14:paraId="23F07570"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p>
        </w:tc>
        <w:tc>
          <w:tcPr>
            <w:tcW w:w="1475" w:type="dxa"/>
            <w:vAlign w:val="center"/>
          </w:tcPr>
          <w:p w14:paraId="5AD606E7"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p>
        </w:tc>
        <w:tc>
          <w:tcPr>
            <w:tcW w:w="1475" w:type="dxa"/>
            <w:vAlign w:val="center"/>
          </w:tcPr>
          <w:p w14:paraId="5FD3B51E"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p>
        </w:tc>
      </w:tr>
      <w:tr w:rsidR="006B26DC" w:rsidRPr="009B546D" w14:paraId="66D7B7FC" w14:textId="77777777" w:rsidTr="00D632CF">
        <w:trPr>
          <w:cantSplit/>
        </w:trPr>
        <w:tc>
          <w:tcPr>
            <w:tcW w:w="1416" w:type="dxa"/>
          </w:tcPr>
          <w:p w14:paraId="1882B7C8" w14:textId="77777777" w:rsidR="006B26DC" w:rsidRPr="009B546D" w:rsidRDefault="006B26DC" w:rsidP="00F432B9">
            <w:pPr>
              <w:keepNext/>
              <w:keepLines/>
              <w:suppressAutoHyphens/>
              <w:spacing w:after="0" w:line="240" w:lineRule="auto"/>
              <w:ind w:left="57"/>
              <w:jc w:val="left"/>
              <w:rPr>
                <w:rFonts w:eastAsia="Times New Roman" w:cstheme="minorHAnsi"/>
                <w:sz w:val="16"/>
                <w:szCs w:val="16"/>
                <w:lang w:eastAsia="en-GB"/>
              </w:rPr>
            </w:pPr>
            <w:r w:rsidRPr="009B546D">
              <w:rPr>
                <w:rFonts w:eastAsia="Times New Roman" w:cstheme="minorHAnsi"/>
                <w:sz w:val="16"/>
                <w:szCs w:val="16"/>
                <w:lang w:eastAsia="en-GB"/>
              </w:rPr>
              <w:t>Trade and other receivables</w:t>
            </w:r>
          </w:p>
        </w:tc>
        <w:tc>
          <w:tcPr>
            <w:tcW w:w="1474" w:type="dxa"/>
            <w:vAlign w:val="center"/>
          </w:tcPr>
          <w:p w14:paraId="69D141F4" w14:textId="77777777" w:rsidR="006B26DC" w:rsidRPr="009B546D" w:rsidRDefault="006B26DC" w:rsidP="00496B8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12</w:t>
            </w:r>
          </w:p>
        </w:tc>
        <w:tc>
          <w:tcPr>
            <w:tcW w:w="1475" w:type="dxa"/>
            <w:vAlign w:val="center"/>
          </w:tcPr>
          <w:p w14:paraId="1BDC26BA"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134</w:t>
            </w:r>
          </w:p>
        </w:tc>
        <w:tc>
          <w:tcPr>
            <w:tcW w:w="1474" w:type="dxa"/>
            <w:vAlign w:val="center"/>
          </w:tcPr>
          <w:p w14:paraId="67C6756D"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4393B7DB"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15011D8F"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146</w:t>
            </w:r>
          </w:p>
        </w:tc>
      </w:tr>
      <w:tr w:rsidR="006B26DC" w:rsidRPr="009B546D" w14:paraId="220FBD2B" w14:textId="77777777" w:rsidTr="00D632CF">
        <w:trPr>
          <w:cantSplit/>
        </w:trPr>
        <w:tc>
          <w:tcPr>
            <w:tcW w:w="1416" w:type="dxa"/>
          </w:tcPr>
          <w:p w14:paraId="7CBA31DC" w14:textId="77777777" w:rsidR="006B26DC" w:rsidRPr="009B546D" w:rsidRDefault="006B26DC" w:rsidP="00F432B9">
            <w:pPr>
              <w:keepNext/>
              <w:keepLines/>
              <w:suppressAutoHyphens/>
              <w:spacing w:after="0" w:line="240" w:lineRule="auto"/>
              <w:ind w:left="57"/>
              <w:jc w:val="left"/>
              <w:rPr>
                <w:rFonts w:eastAsia="Times New Roman" w:cstheme="minorHAnsi"/>
                <w:sz w:val="16"/>
                <w:szCs w:val="16"/>
                <w:lang w:eastAsia="en-GB"/>
              </w:rPr>
            </w:pPr>
            <w:r w:rsidRPr="009B546D">
              <w:rPr>
                <w:rFonts w:eastAsia="Times New Roman" w:cstheme="minorHAnsi"/>
                <w:sz w:val="16"/>
                <w:szCs w:val="16"/>
                <w:lang w:eastAsia="en-GB"/>
              </w:rPr>
              <w:t>Cash and cash equivalents</w:t>
            </w:r>
          </w:p>
        </w:tc>
        <w:tc>
          <w:tcPr>
            <w:tcW w:w="1474" w:type="dxa"/>
            <w:vAlign w:val="center"/>
          </w:tcPr>
          <w:p w14:paraId="0E17B3AB" w14:textId="77777777" w:rsidR="006B26DC" w:rsidRPr="009B546D" w:rsidRDefault="006B26DC" w:rsidP="00496B8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3,704</w:t>
            </w:r>
          </w:p>
        </w:tc>
        <w:tc>
          <w:tcPr>
            <w:tcW w:w="1475" w:type="dxa"/>
            <w:vAlign w:val="center"/>
          </w:tcPr>
          <w:p w14:paraId="3E546C94"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84</w:t>
            </w:r>
          </w:p>
        </w:tc>
        <w:tc>
          <w:tcPr>
            <w:tcW w:w="1474" w:type="dxa"/>
            <w:vAlign w:val="center"/>
          </w:tcPr>
          <w:p w14:paraId="47D65237"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041CE9C4" w14:textId="5B8B0203" w:rsidR="006B26DC" w:rsidRPr="004A10FC"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4A10FC">
              <w:rPr>
                <w:rFonts w:eastAsia="Times New Roman" w:cstheme="minorHAnsi"/>
                <w:kern w:val="16"/>
                <w:sz w:val="16"/>
                <w:szCs w:val="16"/>
                <w:lang w:eastAsia="en-GB"/>
              </w:rPr>
              <w:t>(</w:t>
            </w:r>
            <w:r w:rsidR="00B826A6" w:rsidRPr="004A10FC">
              <w:rPr>
                <w:rFonts w:eastAsia="Times New Roman" w:cstheme="minorHAnsi"/>
                <w:kern w:val="16"/>
                <w:sz w:val="16"/>
                <w:szCs w:val="16"/>
                <w:lang w:eastAsia="en-GB"/>
              </w:rPr>
              <w:t>364</w:t>
            </w:r>
            <w:r w:rsidRPr="004A10FC">
              <w:rPr>
                <w:rFonts w:eastAsia="Times New Roman" w:cstheme="minorHAnsi"/>
                <w:kern w:val="16"/>
                <w:sz w:val="16"/>
                <w:szCs w:val="16"/>
                <w:lang w:eastAsia="en-GB"/>
              </w:rPr>
              <w:t>)</w:t>
            </w:r>
          </w:p>
        </w:tc>
        <w:tc>
          <w:tcPr>
            <w:tcW w:w="1475" w:type="dxa"/>
            <w:vAlign w:val="center"/>
          </w:tcPr>
          <w:p w14:paraId="6440B940" w14:textId="2ED8210B" w:rsidR="006B26DC" w:rsidRPr="004A10FC"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4A10FC">
              <w:rPr>
                <w:rFonts w:eastAsia="Times New Roman" w:cstheme="minorHAnsi"/>
                <w:kern w:val="16"/>
                <w:sz w:val="16"/>
                <w:szCs w:val="16"/>
                <w:lang w:eastAsia="en-GB"/>
              </w:rPr>
              <w:t>3,4</w:t>
            </w:r>
            <w:r w:rsidR="00B00212" w:rsidRPr="004A10FC">
              <w:rPr>
                <w:rFonts w:eastAsia="Times New Roman" w:cstheme="minorHAnsi"/>
                <w:kern w:val="16"/>
                <w:sz w:val="16"/>
                <w:szCs w:val="16"/>
                <w:lang w:eastAsia="en-GB"/>
              </w:rPr>
              <w:t>24</w:t>
            </w:r>
          </w:p>
        </w:tc>
      </w:tr>
      <w:tr w:rsidR="006B26DC" w:rsidRPr="009B546D" w14:paraId="02D5F29D" w14:textId="77777777" w:rsidTr="00D632CF">
        <w:trPr>
          <w:cantSplit/>
        </w:trPr>
        <w:tc>
          <w:tcPr>
            <w:tcW w:w="1416" w:type="dxa"/>
          </w:tcPr>
          <w:p w14:paraId="50D8EA32" w14:textId="77777777" w:rsidR="006B26DC" w:rsidRPr="009B546D" w:rsidRDefault="006B26DC" w:rsidP="00496B89">
            <w:pPr>
              <w:keepNext/>
              <w:keepLines/>
              <w:spacing w:after="0" w:line="240" w:lineRule="auto"/>
              <w:ind w:left="57"/>
              <w:jc w:val="left"/>
              <w:rPr>
                <w:rFonts w:eastAsia="Times New Roman" w:cstheme="minorHAnsi"/>
                <w:kern w:val="16"/>
                <w:sz w:val="16"/>
                <w:szCs w:val="16"/>
                <w:lang w:eastAsia="en-GB"/>
              </w:rPr>
            </w:pPr>
          </w:p>
        </w:tc>
        <w:tc>
          <w:tcPr>
            <w:tcW w:w="1474" w:type="dxa"/>
            <w:vAlign w:val="center"/>
          </w:tcPr>
          <w:p w14:paraId="2C9D5642" w14:textId="77777777" w:rsidR="006B26DC" w:rsidRPr="009B546D" w:rsidRDefault="006B26DC" w:rsidP="00F432B9">
            <w:pPr>
              <w:keepNext/>
              <w:keepLines/>
              <w:tabs>
                <w:tab w:val="decimal" w:pos="1134"/>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2B02F081"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4" w:type="dxa"/>
            <w:vAlign w:val="center"/>
          </w:tcPr>
          <w:p w14:paraId="2AD14621"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397C1B7B" w14:textId="77777777" w:rsidR="006B26DC" w:rsidRPr="004A10FC"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4A10FC">
              <w:rPr>
                <w:rFonts w:eastAsia="Times New Roman" w:cstheme="minorHAnsi"/>
                <w:kern w:val="16"/>
                <w:sz w:val="16"/>
                <w:szCs w:val="16"/>
                <w:lang w:eastAsia="en-GB"/>
              </w:rPr>
              <w:t>––––––</w:t>
            </w:r>
          </w:p>
        </w:tc>
        <w:tc>
          <w:tcPr>
            <w:tcW w:w="1475" w:type="dxa"/>
            <w:vAlign w:val="center"/>
          </w:tcPr>
          <w:p w14:paraId="69372010" w14:textId="77777777" w:rsidR="006B26DC" w:rsidRPr="004A10FC"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4A10FC">
              <w:rPr>
                <w:rFonts w:eastAsia="Times New Roman" w:cstheme="minorHAnsi"/>
                <w:kern w:val="16"/>
                <w:sz w:val="16"/>
                <w:szCs w:val="16"/>
                <w:lang w:eastAsia="en-GB"/>
              </w:rPr>
              <w:t>––––––</w:t>
            </w:r>
          </w:p>
        </w:tc>
      </w:tr>
      <w:tr w:rsidR="006B26DC" w:rsidRPr="009B546D" w14:paraId="4965FAAC" w14:textId="77777777" w:rsidTr="00D632CF">
        <w:trPr>
          <w:cantSplit/>
        </w:trPr>
        <w:tc>
          <w:tcPr>
            <w:tcW w:w="1416" w:type="dxa"/>
          </w:tcPr>
          <w:p w14:paraId="64C91A9E" w14:textId="77777777" w:rsidR="006B26DC" w:rsidRPr="009B546D" w:rsidRDefault="006B26DC" w:rsidP="00496B89">
            <w:pPr>
              <w:keepNext/>
              <w:keepLines/>
              <w:spacing w:after="0" w:line="240" w:lineRule="auto"/>
              <w:ind w:left="57"/>
              <w:jc w:val="left"/>
              <w:rPr>
                <w:rFonts w:eastAsia="Times New Roman" w:cstheme="minorHAnsi"/>
                <w:kern w:val="16"/>
                <w:sz w:val="16"/>
                <w:szCs w:val="16"/>
                <w:lang w:eastAsia="en-GB"/>
              </w:rPr>
            </w:pPr>
          </w:p>
        </w:tc>
        <w:tc>
          <w:tcPr>
            <w:tcW w:w="1474" w:type="dxa"/>
            <w:vAlign w:val="center"/>
          </w:tcPr>
          <w:p w14:paraId="120F1857"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3,716</w:t>
            </w:r>
          </w:p>
        </w:tc>
        <w:tc>
          <w:tcPr>
            <w:tcW w:w="1475" w:type="dxa"/>
            <w:vAlign w:val="center"/>
          </w:tcPr>
          <w:p w14:paraId="68256C2A"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218</w:t>
            </w:r>
          </w:p>
        </w:tc>
        <w:tc>
          <w:tcPr>
            <w:tcW w:w="1474" w:type="dxa"/>
            <w:vAlign w:val="center"/>
          </w:tcPr>
          <w:p w14:paraId="7EB367B0" w14:textId="77777777" w:rsidR="006B26DC" w:rsidRPr="009B546D" w:rsidRDefault="006B26DC" w:rsidP="00F432B9">
            <w:pPr>
              <w:keepNext/>
              <w:keepLines/>
              <w:tabs>
                <w:tab w:val="decimal" w:pos="993"/>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w:t>
            </w:r>
          </w:p>
        </w:tc>
        <w:tc>
          <w:tcPr>
            <w:tcW w:w="1475" w:type="dxa"/>
            <w:vAlign w:val="center"/>
          </w:tcPr>
          <w:p w14:paraId="439DC260" w14:textId="7FF1CF45" w:rsidR="006B26DC" w:rsidRPr="004A10FC"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4A10FC">
              <w:rPr>
                <w:rFonts w:eastAsia="Times New Roman" w:cstheme="minorHAnsi"/>
                <w:b/>
                <w:kern w:val="16"/>
                <w:sz w:val="16"/>
                <w:szCs w:val="16"/>
                <w:lang w:eastAsia="en-GB"/>
              </w:rPr>
              <w:t>(</w:t>
            </w:r>
            <w:r w:rsidR="00B826A6" w:rsidRPr="004A10FC">
              <w:rPr>
                <w:rFonts w:eastAsia="Times New Roman" w:cstheme="minorHAnsi"/>
                <w:b/>
                <w:kern w:val="16"/>
                <w:sz w:val="16"/>
                <w:szCs w:val="16"/>
                <w:lang w:eastAsia="en-GB"/>
              </w:rPr>
              <w:t>364</w:t>
            </w:r>
            <w:r w:rsidRPr="004A10FC">
              <w:rPr>
                <w:rFonts w:eastAsia="Times New Roman" w:cstheme="minorHAnsi"/>
                <w:b/>
                <w:kern w:val="16"/>
                <w:sz w:val="16"/>
                <w:szCs w:val="16"/>
                <w:lang w:eastAsia="en-GB"/>
              </w:rPr>
              <w:t>)</w:t>
            </w:r>
          </w:p>
        </w:tc>
        <w:tc>
          <w:tcPr>
            <w:tcW w:w="1475" w:type="dxa"/>
            <w:vAlign w:val="center"/>
          </w:tcPr>
          <w:p w14:paraId="1636A509" w14:textId="0F4C7520" w:rsidR="006B26DC" w:rsidRPr="004A10FC"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4A10FC">
              <w:rPr>
                <w:rFonts w:eastAsia="Times New Roman" w:cstheme="minorHAnsi"/>
                <w:b/>
                <w:kern w:val="16"/>
                <w:sz w:val="16"/>
                <w:szCs w:val="16"/>
                <w:lang w:eastAsia="en-GB"/>
              </w:rPr>
              <w:t>3,</w:t>
            </w:r>
            <w:r w:rsidR="00B00212" w:rsidRPr="004A10FC">
              <w:rPr>
                <w:rFonts w:eastAsia="Times New Roman" w:cstheme="minorHAnsi"/>
                <w:b/>
                <w:kern w:val="16"/>
                <w:sz w:val="16"/>
                <w:szCs w:val="16"/>
                <w:lang w:eastAsia="en-GB"/>
              </w:rPr>
              <w:t>570</w:t>
            </w:r>
          </w:p>
        </w:tc>
      </w:tr>
      <w:tr w:rsidR="006B26DC" w:rsidRPr="009B546D" w14:paraId="49993D3A" w14:textId="77777777" w:rsidTr="00D632CF">
        <w:trPr>
          <w:cantSplit/>
        </w:trPr>
        <w:tc>
          <w:tcPr>
            <w:tcW w:w="1416" w:type="dxa"/>
          </w:tcPr>
          <w:p w14:paraId="684E7F5C" w14:textId="77777777" w:rsidR="006B26DC" w:rsidRPr="009B546D" w:rsidRDefault="006B26DC" w:rsidP="00496B89">
            <w:pPr>
              <w:keepNext/>
              <w:keepLines/>
              <w:spacing w:after="0" w:line="240" w:lineRule="auto"/>
              <w:ind w:left="57"/>
              <w:jc w:val="left"/>
              <w:rPr>
                <w:rFonts w:eastAsia="Times New Roman" w:cstheme="minorHAnsi"/>
                <w:b/>
                <w:kern w:val="16"/>
                <w:sz w:val="16"/>
                <w:szCs w:val="16"/>
                <w:lang w:eastAsia="en-GB"/>
              </w:rPr>
            </w:pPr>
          </w:p>
        </w:tc>
        <w:tc>
          <w:tcPr>
            <w:tcW w:w="1474" w:type="dxa"/>
            <w:vAlign w:val="center"/>
          </w:tcPr>
          <w:p w14:paraId="2678D553" w14:textId="77777777" w:rsidR="006B26DC" w:rsidRPr="009B546D" w:rsidRDefault="006B26DC" w:rsidP="00F432B9">
            <w:pPr>
              <w:keepNext/>
              <w:keepLines/>
              <w:tabs>
                <w:tab w:val="decimal" w:pos="1134"/>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049C9005"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4" w:type="dxa"/>
            <w:vAlign w:val="center"/>
          </w:tcPr>
          <w:p w14:paraId="054DD282"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15916BAB" w14:textId="77777777" w:rsidR="006B26DC" w:rsidRPr="004A10FC"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4A10FC">
              <w:rPr>
                <w:rFonts w:eastAsia="Times New Roman" w:cstheme="minorHAnsi"/>
                <w:kern w:val="16"/>
                <w:sz w:val="16"/>
                <w:szCs w:val="16"/>
                <w:lang w:eastAsia="en-GB"/>
              </w:rPr>
              <w:t>––––––</w:t>
            </w:r>
          </w:p>
        </w:tc>
        <w:tc>
          <w:tcPr>
            <w:tcW w:w="1475" w:type="dxa"/>
            <w:vAlign w:val="center"/>
          </w:tcPr>
          <w:p w14:paraId="06DC3992" w14:textId="77777777" w:rsidR="006B26DC" w:rsidRPr="004A10FC"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4A10FC">
              <w:rPr>
                <w:rFonts w:eastAsia="Times New Roman" w:cstheme="minorHAnsi"/>
                <w:kern w:val="16"/>
                <w:sz w:val="16"/>
                <w:szCs w:val="16"/>
                <w:lang w:eastAsia="en-GB"/>
              </w:rPr>
              <w:t>––––––</w:t>
            </w:r>
          </w:p>
        </w:tc>
      </w:tr>
      <w:tr w:rsidR="006B26DC" w:rsidRPr="009B546D" w14:paraId="012DE997" w14:textId="77777777" w:rsidTr="00D632CF">
        <w:trPr>
          <w:cantSplit/>
        </w:trPr>
        <w:tc>
          <w:tcPr>
            <w:tcW w:w="1416" w:type="dxa"/>
          </w:tcPr>
          <w:p w14:paraId="16CEB3D6" w14:textId="77777777" w:rsidR="006B26DC" w:rsidRPr="009B546D" w:rsidRDefault="006B26DC" w:rsidP="00496B89">
            <w:pPr>
              <w:keepNext/>
              <w:keepLines/>
              <w:spacing w:after="0" w:line="240" w:lineRule="auto"/>
              <w:ind w:left="57"/>
              <w:jc w:val="left"/>
              <w:rPr>
                <w:rFonts w:eastAsia="Times New Roman" w:cstheme="minorHAnsi"/>
                <w:b/>
                <w:kern w:val="16"/>
                <w:sz w:val="16"/>
                <w:szCs w:val="16"/>
                <w:lang w:eastAsia="en-GB"/>
              </w:rPr>
            </w:pPr>
            <w:r w:rsidRPr="009B546D">
              <w:rPr>
                <w:rFonts w:eastAsia="Times New Roman" w:cstheme="minorHAnsi"/>
                <w:b/>
                <w:kern w:val="16"/>
                <w:sz w:val="16"/>
                <w:szCs w:val="16"/>
                <w:lang w:eastAsia="en-GB"/>
              </w:rPr>
              <w:t>Total assets</w:t>
            </w:r>
          </w:p>
        </w:tc>
        <w:tc>
          <w:tcPr>
            <w:tcW w:w="1474" w:type="dxa"/>
            <w:vAlign w:val="center"/>
          </w:tcPr>
          <w:p w14:paraId="12D5E373"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3,716</w:t>
            </w:r>
          </w:p>
        </w:tc>
        <w:tc>
          <w:tcPr>
            <w:tcW w:w="1475" w:type="dxa"/>
            <w:vAlign w:val="center"/>
          </w:tcPr>
          <w:p w14:paraId="328369ED"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275</w:t>
            </w:r>
          </w:p>
        </w:tc>
        <w:tc>
          <w:tcPr>
            <w:tcW w:w="1474" w:type="dxa"/>
            <w:vAlign w:val="center"/>
          </w:tcPr>
          <w:p w14:paraId="768376F2" w14:textId="77777777" w:rsidR="006B26DC" w:rsidRPr="009B546D" w:rsidRDefault="006B26DC" w:rsidP="00F432B9">
            <w:pPr>
              <w:keepNext/>
              <w:keepLines/>
              <w:tabs>
                <w:tab w:val="decimal" w:pos="993"/>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2,142</w:t>
            </w:r>
          </w:p>
        </w:tc>
        <w:tc>
          <w:tcPr>
            <w:tcW w:w="1475" w:type="dxa"/>
            <w:vAlign w:val="center"/>
          </w:tcPr>
          <w:p w14:paraId="2C77178E" w14:textId="27B45633" w:rsidR="006B26DC" w:rsidRPr="004A10FC"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4A10FC">
              <w:rPr>
                <w:rFonts w:eastAsia="Times New Roman" w:cstheme="minorHAnsi"/>
                <w:b/>
                <w:kern w:val="16"/>
                <w:sz w:val="16"/>
                <w:szCs w:val="16"/>
                <w:lang w:eastAsia="en-GB"/>
              </w:rPr>
              <w:t>(3</w:t>
            </w:r>
            <w:r w:rsidR="00B826A6" w:rsidRPr="004A10FC">
              <w:rPr>
                <w:rFonts w:eastAsia="Times New Roman" w:cstheme="minorHAnsi"/>
                <w:b/>
                <w:kern w:val="16"/>
                <w:sz w:val="16"/>
                <w:szCs w:val="16"/>
                <w:lang w:eastAsia="en-GB"/>
              </w:rPr>
              <w:t>64</w:t>
            </w:r>
            <w:r w:rsidRPr="004A10FC">
              <w:rPr>
                <w:rFonts w:eastAsia="Times New Roman" w:cstheme="minorHAnsi"/>
                <w:b/>
                <w:kern w:val="16"/>
                <w:sz w:val="16"/>
                <w:szCs w:val="16"/>
                <w:lang w:eastAsia="en-GB"/>
              </w:rPr>
              <w:t>)</w:t>
            </w:r>
          </w:p>
        </w:tc>
        <w:tc>
          <w:tcPr>
            <w:tcW w:w="1475" w:type="dxa"/>
            <w:vAlign w:val="center"/>
          </w:tcPr>
          <w:p w14:paraId="6FCF5CF4" w14:textId="5FBAAE2C" w:rsidR="006B26DC" w:rsidRPr="004A10FC"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4A10FC">
              <w:rPr>
                <w:rFonts w:eastAsia="Times New Roman" w:cstheme="minorHAnsi"/>
                <w:b/>
                <w:kern w:val="16"/>
                <w:sz w:val="16"/>
                <w:szCs w:val="16"/>
                <w:lang w:eastAsia="en-GB"/>
              </w:rPr>
              <w:t>5,</w:t>
            </w:r>
            <w:r w:rsidR="00B826A6" w:rsidRPr="004A10FC">
              <w:rPr>
                <w:rFonts w:eastAsia="Times New Roman" w:cstheme="minorHAnsi"/>
                <w:b/>
                <w:kern w:val="16"/>
                <w:sz w:val="16"/>
                <w:szCs w:val="16"/>
                <w:lang w:eastAsia="en-GB"/>
              </w:rPr>
              <w:t>769</w:t>
            </w:r>
          </w:p>
        </w:tc>
      </w:tr>
      <w:tr w:rsidR="006B26DC" w:rsidRPr="009B546D" w14:paraId="394A31A7" w14:textId="77777777" w:rsidTr="00D632CF">
        <w:trPr>
          <w:cantSplit/>
        </w:trPr>
        <w:tc>
          <w:tcPr>
            <w:tcW w:w="1416" w:type="dxa"/>
          </w:tcPr>
          <w:p w14:paraId="5966FD87" w14:textId="77777777" w:rsidR="006B26DC" w:rsidRPr="009B546D" w:rsidRDefault="006B26DC" w:rsidP="00496B89">
            <w:pPr>
              <w:keepNext/>
              <w:keepLines/>
              <w:spacing w:after="0" w:line="240" w:lineRule="auto"/>
              <w:ind w:left="57"/>
              <w:jc w:val="left"/>
              <w:rPr>
                <w:rFonts w:eastAsia="Times New Roman" w:cstheme="minorHAnsi"/>
                <w:b/>
                <w:kern w:val="16"/>
                <w:sz w:val="16"/>
                <w:szCs w:val="16"/>
                <w:lang w:eastAsia="en-GB"/>
              </w:rPr>
            </w:pPr>
          </w:p>
        </w:tc>
        <w:tc>
          <w:tcPr>
            <w:tcW w:w="1474" w:type="dxa"/>
            <w:vAlign w:val="center"/>
          </w:tcPr>
          <w:p w14:paraId="5F18FC4F" w14:textId="77777777" w:rsidR="006B26DC" w:rsidRPr="009B546D" w:rsidRDefault="006B26DC" w:rsidP="00F432B9">
            <w:pPr>
              <w:keepNext/>
              <w:keepLines/>
              <w:tabs>
                <w:tab w:val="decimal" w:pos="1134"/>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5C9446F4"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4" w:type="dxa"/>
            <w:vAlign w:val="center"/>
          </w:tcPr>
          <w:p w14:paraId="3F72D9D4"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341B7607"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1C8BC67C"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r>
      <w:tr w:rsidR="006B26DC" w:rsidRPr="009B546D" w14:paraId="1DDF1866" w14:textId="77777777" w:rsidTr="00D632CF">
        <w:trPr>
          <w:cantSplit/>
        </w:trPr>
        <w:tc>
          <w:tcPr>
            <w:tcW w:w="1416" w:type="dxa"/>
          </w:tcPr>
          <w:p w14:paraId="6E5FACC1" w14:textId="77777777" w:rsidR="006B26DC" w:rsidRPr="009B546D" w:rsidRDefault="006B26DC" w:rsidP="00F432B9">
            <w:pPr>
              <w:keepNext/>
              <w:keepLines/>
              <w:suppressAutoHyphens/>
              <w:spacing w:after="0" w:line="240" w:lineRule="auto"/>
              <w:ind w:left="57"/>
              <w:jc w:val="left"/>
              <w:rPr>
                <w:rFonts w:eastAsia="Times New Roman" w:cstheme="minorHAnsi"/>
                <w:b/>
                <w:sz w:val="16"/>
                <w:szCs w:val="16"/>
                <w:lang w:eastAsia="en-GB"/>
              </w:rPr>
            </w:pPr>
            <w:r w:rsidRPr="009B546D">
              <w:rPr>
                <w:rFonts w:eastAsia="Times New Roman" w:cstheme="minorHAnsi"/>
                <w:b/>
                <w:sz w:val="16"/>
                <w:szCs w:val="16"/>
                <w:lang w:eastAsia="en-GB"/>
              </w:rPr>
              <w:t>Liabilities</w:t>
            </w:r>
          </w:p>
        </w:tc>
        <w:tc>
          <w:tcPr>
            <w:tcW w:w="1474" w:type="dxa"/>
            <w:vAlign w:val="center"/>
          </w:tcPr>
          <w:p w14:paraId="67736731" w14:textId="77777777" w:rsidR="006B26DC" w:rsidRPr="009B546D" w:rsidRDefault="006B26DC" w:rsidP="00496B89">
            <w:pPr>
              <w:keepNext/>
              <w:keepLines/>
              <w:tabs>
                <w:tab w:val="decimal" w:pos="1134"/>
              </w:tabs>
              <w:spacing w:after="0" w:line="240" w:lineRule="auto"/>
              <w:jc w:val="right"/>
              <w:rPr>
                <w:rFonts w:eastAsia="Times New Roman" w:cstheme="minorHAnsi"/>
                <w:kern w:val="16"/>
                <w:sz w:val="16"/>
                <w:szCs w:val="16"/>
                <w:lang w:eastAsia="en-GB"/>
              </w:rPr>
            </w:pPr>
          </w:p>
        </w:tc>
        <w:tc>
          <w:tcPr>
            <w:tcW w:w="1475" w:type="dxa"/>
            <w:vAlign w:val="center"/>
          </w:tcPr>
          <w:p w14:paraId="514A9F09"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p>
        </w:tc>
        <w:tc>
          <w:tcPr>
            <w:tcW w:w="1474" w:type="dxa"/>
            <w:vAlign w:val="center"/>
          </w:tcPr>
          <w:p w14:paraId="36C40D1D"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p>
        </w:tc>
        <w:tc>
          <w:tcPr>
            <w:tcW w:w="1475" w:type="dxa"/>
            <w:vAlign w:val="center"/>
          </w:tcPr>
          <w:p w14:paraId="1A37DA25"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p>
        </w:tc>
        <w:tc>
          <w:tcPr>
            <w:tcW w:w="1475" w:type="dxa"/>
            <w:vAlign w:val="center"/>
          </w:tcPr>
          <w:p w14:paraId="6BB8714A"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p>
        </w:tc>
      </w:tr>
      <w:tr w:rsidR="006B26DC" w:rsidRPr="009B546D" w14:paraId="77E84D5C" w14:textId="77777777" w:rsidTr="00D632CF">
        <w:trPr>
          <w:cantSplit/>
        </w:trPr>
        <w:tc>
          <w:tcPr>
            <w:tcW w:w="1416" w:type="dxa"/>
          </w:tcPr>
          <w:p w14:paraId="12B7C5EB" w14:textId="77777777" w:rsidR="006B26DC" w:rsidRPr="009B546D" w:rsidRDefault="006B26DC" w:rsidP="00F432B9">
            <w:pPr>
              <w:keepNext/>
              <w:keepLines/>
              <w:suppressAutoHyphens/>
              <w:spacing w:after="0" w:line="240" w:lineRule="auto"/>
              <w:ind w:left="57"/>
              <w:jc w:val="left"/>
              <w:rPr>
                <w:rFonts w:eastAsia="Times New Roman" w:cstheme="minorHAnsi"/>
                <w:b/>
                <w:sz w:val="16"/>
                <w:szCs w:val="16"/>
                <w:lang w:eastAsia="en-GB"/>
              </w:rPr>
            </w:pPr>
          </w:p>
        </w:tc>
        <w:tc>
          <w:tcPr>
            <w:tcW w:w="1474" w:type="dxa"/>
            <w:vAlign w:val="center"/>
          </w:tcPr>
          <w:p w14:paraId="2F307913" w14:textId="77777777" w:rsidR="006B26DC" w:rsidRPr="009B546D" w:rsidRDefault="006B26DC" w:rsidP="00496B89">
            <w:pPr>
              <w:keepNext/>
              <w:keepLines/>
              <w:tabs>
                <w:tab w:val="decimal" w:pos="1134"/>
              </w:tabs>
              <w:spacing w:after="0" w:line="240" w:lineRule="auto"/>
              <w:jc w:val="right"/>
              <w:rPr>
                <w:rFonts w:eastAsia="Times New Roman" w:cstheme="minorHAnsi"/>
                <w:kern w:val="16"/>
                <w:sz w:val="16"/>
                <w:szCs w:val="16"/>
                <w:lang w:eastAsia="en-GB"/>
              </w:rPr>
            </w:pPr>
          </w:p>
        </w:tc>
        <w:tc>
          <w:tcPr>
            <w:tcW w:w="1475" w:type="dxa"/>
            <w:vAlign w:val="center"/>
          </w:tcPr>
          <w:p w14:paraId="71A1AA49"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p>
        </w:tc>
        <w:tc>
          <w:tcPr>
            <w:tcW w:w="1474" w:type="dxa"/>
            <w:vAlign w:val="center"/>
          </w:tcPr>
          <w:p w14:paraId="620EB14C"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p>
        </w:tc>
        <w:tc>
          <w:tcPr>
            <w:tcW w:w="1475" w:type="dxa"/>
            <w:vAlign w:val="center"/>
          </w:tcPr>
          <w:p w14:paraId="68B49755"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p>
        </w:tc>
        <w:tc>
          <w:tcPr>
            <w:tcW w:w="1475" w:type="dxa"/>
            <w:vAlign w:val="center"/>
          </w:tcPr>
          <w:p w14:paraId="731E9934"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p>
        </w:tc>
      </w:tr>
      <w:tr w:rsidR="006B26DC" w:rsidRPr="009B546D" w14:paraId="3FD39BA9" w14:textId="77777777" w:rsidTr="00D632CF">
        <w:trPr>
          <w:cantSplit/>
        </w:trPr>
        <w:tc>
          <w:tcPr>
            <w:tcW w:w="1416" w:type="dxa"/>
          </w:tcPr>
          <w:p w14:paraId="25ECAACD" w14:textId="77777777" w:rsidR="006B26DC" w:rsidRPr="009B546D" w:rsidRDefault="006B26DC" w:rsidP="00F432B9">
            <w:pPr>
              <w:keepNext/>
              <w:keepLines/>
              <w:suppressAutoHyphens/>
              <w:spacing w:after="0" w:line="240" w:lineRule="auto"/>
              <w:ind w:left="57"/>
              <w:jc w:val="left"/>
              <w:rPr>
                <w:rFonts w:eastAsia="Times New Roman" w:cstheme="minorHAnsi"/>
                <w:b/>
                <w:sz w:val="16"/>
                <w:szCs w:val="16"/>
                <w:lang w:eastAsia="en-GB"/>
              </w:rPr>
            </w:pPr>
            <w:r w:rsidRPr="009B546D">
              <w:rPr>
                <w:rFonts w:eastAsia="Times New Roman" w:cstheme="minorHAnsi"/>
                <w:b/>
                <w:sz w:val="16"/>
                <w:szCs w:val="16"/>
                <w:lang w:eastAsia="en-GB"/>
              </w:rPr>
              <w:t>Current liabilities</w:t>
            </w:r>
          </w:p>
        </w:tc>
        <w:tc>
          <w:tcPr>
            <w:tcW w:w="1474" w:type="dxa"/>
            <w:vAlign w:val="center"/>
          </w:tcPr>
          <w:p w14:paraId="03612F00" w14:textId="77777777" w:rsidR="006B26DC" w:rsidRPr="009B546D" w:rsidRDefault="006B26DC" w:rsidP="00496B89">
            <w:pPr>
              <w:keepNext/>
              <w:keepLines/>
              <w:tabs>
                <w:tab w:val="decimal" w:pos="1134"/>
              </w:tabs>
              <w:spacing w:after="0" w:line="240" w:lineRule="auto"/>
              <w:jc w:val="right"/>
              <w:rPr>
                <w:rFonts w:eastAsia="Times New Roman" w:cstheme="minorHAnsi"/>
                <w:kern w:val="16"/>
                <w:sz w:val="16"/>
                <w:szCs w:val="16"/>
                <w:lang w:eastAsia="en-GB"/>
              </w:rPr>
            </w:pPr>
          </w:p>
        </w:tc>
        <w:tc>
          <w:tcPr>
            <w:tcW w:w="1475" w:type="dxa"/>
            <w:vAlign w:val="center"/>
          </w:tcPr>
          <w:p w14:paraId="4254D324"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p>
        </w:tc>
        <w:tc>
          <w:tcPr>
            <w:tcW w:w="1474" w:type="dxa"/>
            <w:vAlign w:val="center"/>
          </w:tcPr>
          <w:p w14:paraId="4B34D223"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p>
        </w:tc>
        <w:tc>
          <w:tcPr>
            <w:tcW w:w="1475" w:type="dxa"/>
            <w:vAlign w:val="center"/>
          </w:tcPr>
          <w:p w14:paraId="446E5C2F"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p>
        </w:tc>
        <w:tc>
          <w:tcPr>
            <w:tcW w:w="1475" w:type="dxa"/>
            <w:vAlign w:val="center"/>
          </w:tcPr>
          <w:p w14:paraId="58D35E40"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p>
        </w:tc>
      </w:tr>
      <w:tr w:rsidR="006B26DC" w:rsidRPr="009B546D" w14:paraId="7F27DF99" w14:textId="77777777" w:rsidTr="00D632CF">
        <w:trPr>
          <w:cantSplit/>
        </w:trPr>
        <w:tc>
          <w:tcPr>
            <w:tcW w:w="1416" w:type="dxa"/>
          </w:tcPr>
          <w:p w14:paraId="34077724" w14:textId="77777777" w:rsidR="006B26DC" w:rsidRPr="009B546D" w:rsidRDefault="006B26DC" w:rsidP="00F432B9">
            <w:pPr>
              <w:keepNext/>
              <w:keepLines/>
              <w:suppressAutoHyphens/>
              <w:spacing w:after="0" w:line="240" w:lineRule="auto"/>
              <w:ind w:left="57"/>
              <w:jc w:val="left"/>
              <w:rPr>
                <w:rFonts w:eastAsia="Times New Roman" w:cstheme="minorHAnsi"/>
                <w:sz w:val="16"/>
                <w:szCs w:val="16"/>
                <w:lang w:eastAsia="en-GB"/>
              </w:rPr>
            </w:pPr>
            <w:r w:rsidRPr="009B546D">
              <w:rPr>
                <w:rFonts w:eastAsia="Times New Roman" w:cstheme="minorHAnsi"/>
                <w:sz w:val="16"/>
                <w:szCs w:val="16"/>
                <w:lang w:eastAsia="en-GB"/>
              </w:rPr>
              <w:t>Amounts due to a director</w:t>
            </w:r>
          </w:p>
        </w:tc>
        <w:tc>
          <w:tcPr>
            <w:tcW w:w="1474" w:type="dxa"/>
            <w:vAlign w:val="center"/>
          </w:tcPr>
          <w:p w14:paraId="1D726444" w14:textId="77777777" w:rsidR="006B26DC" w:rsidRPr="009B546D" w:rsidRDefault="006B26DC" w:rsidP="00496B8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(289)</w:t>
            </w:r>
          </w:p>
        </w:tc>
        <w:tc>
          <w:tcPr>
            <w:tcW w:w="1475" w:type="dxa"/>
            <w:vAlign w:val="center"/>
          </w:tcPr>
          <w:p w14:paraId="487D436B"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(6)</w:t>
            </w:r>
          </w:p>
        </w:tc>
        <w:tc>
          <w:tcPr>
            <w:tcW w:w="1474" w:type="dxa"/>
            <w:vAlign w:val="center"/>
          </w:tcPr>
          <w:p w14:paraId="08903AFD"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2033AA98"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792442E9"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(295)</w:t>
            </w:r>
          </w:p>
        </w:tc>
      </w:tr>
      <w:tr w:rsidR="006B26DC" w:rsidRPr="009B546D" w14:paraId="028C6465" w14:textId="77777777" w:rsidTr="00D632CF">
        <w:trPr>
          <w:cantSplit/>
        </w:trPr>
        <w:tc>
          <w:tcPr>
            <w:tcW w:w="1416" w:type="dxa"/>
          </w:tcPr>
          <w:p w14:paraId="37B9F3A2" w14:textId="77777777" w:rsidR="006B26DC" w:rsidRPr="009B546D" w:rsidRDefault="006B26DC" w:rsidP="00F432B9">
            <w:pPr>
              <w:keepNext/>
              <w:keepLines/>
              <w:suppressAutoHyphens/>
              <w:spacing w:after="0" w:line="240" w:lineRule="auto"/>
              <w:ind w:left="57"/>
              <w:jc w:val="left"/>
              <w:rPr>
                <w:rFonts w:eastAsia="Times New Roman" w:cstheme="minorHAnsi"/>
                <w:sz w:val="16"/>
                <w:szCs w:val="16"/>
                <w:lang w:eastAsia="en-GB"/>
              </w:rPr>
            </w:pPr>
            <w:r w:rsidRPr="009B546D">
              <w:rPr>
                <w:rFonts w:eastAsia="Times New Roman" w:cstheme="minorHAnsi"/>
                <w:sz w:val="16"/>
                <w:szCs w:val="16"/>
                <w:lang w:eastAsia="en-GB"/>
              </w:rPr>
              <w:t>Other payables and accruals</w:t>
            </w:r>
          </w:p>
        </w:tc>
        <w:tc>
          <w:tcPr>
            <w:tcW w:w="1474" w:type="dxa"/>
            <w:vAlign w:val="center"/>
          </w:tcPr>
          <w:p w14:paraId="73C45BD9" w14:textId="77777777" w:rsidR="006B26DC" w:rsidRPr="009B546D" w:rsidRDefault="006B26DC" w:rsidP="00496B8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(218)</w:t>
            </w:r>
          </w:p>
        </w:tc>
        <w:tc>
          <w:tcPr>
            <w:tcW w:w="1475" w:type="dxa"/>
            <w:vAlign w:val="center"/>
          </w:tcPr>
          <w:p w14:paraId="4F049768"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(111)</w:t>
            </w:r>
          </w:p>
        </w:tc>
        <w:tc>
          <w:tcPr>
            <w:tcW w:w="1474" w:type="dxa"/>
            <w:vAlign w:val="center"/>
          </w:tcPr>
          <w:p w14:paraId="7E31491E"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43CF0A05"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78C0410C"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(329)</w:t>
            </w:r>
          </w:p>
        </w:tc>
      </w:tr>
      <w:tr w:rsidR="006B26DC" w:rsidRPr="009B546D" w14:paraId="69E030EE" w14:textId="77777777" w:rsidTr="00D632CF">
        <w:trPr>
          <w:cantSplit/>
        </w:trPr>
        <w:tc>
          <w:tcPr>
            <w:tcW w:w="1416" w:type="dxa"/>
          </w:tcPr>
          <w:p w14:paraId="5EF4340E" w14:textId="77777777" w:rsidR="006B26DC" w:rsidRPr="009B546D" w:rsidRDefault="006B26DC" w:rsidP="00496B89">
            <w:pPr>
              <w:keepNext/>
              <w:keepLines/>
              <w:spacing w:after="0" w:line="240" w:lineRule="auto"/>
              <w:ind w:left="57"/>
              <w:jc w:val="left"/>
              <w:rPr>
                <w:rFonts w:eastAsia="Times New Roman" w:cstheme="minorHAnsi"/>
                <w:kern w:val="16"/>
                <w:sz w:val="16"/>
                <w:szCs w:val="16"/>
                <w:lang w:eastAsia="en-GB"/>
              </w:rPr>
            </w:pPr>
          </w:p>
        </w:tc>
        <w:tc>
          <w:tcPr>
            <w:tcW w:w="1474" w:type="dxa"/>
            <w:vAlign w:val="center"/>
          </w:tcPr>
          <w:p w14:paraId="597DF439" w14:textId="77777777" w:rsidR="006B26DC" w:rsidRPr="009B546D" w:rsidRDefault="006B26DC" w:rsidP="00F432B9">
            <w:pPr>
              <w:keepNext/>
              <w:keepLines/>
              <w:tabs>
                <w:tab w:val="decimal" w:pos="1134"/>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500F1835"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4" w:type="dxa"/>
            <w:vAlign w:val="center"/>
          </w:tcPr>
          <w:p w14:paraId="6E207980"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6EE211F1"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71D740DC"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r>
      <w:tr w:rsidR="006B26DC" w:rsidRPr="009B546D" w14:paraId="3FDA8F91" w14:textId="77777777" w:rsidTr="00D632CF">
        <w:trPr>
          <w:cantSplit/>
        </w:trPr>
        <w:tc>
          <w:tcPr>
            <w:tcW w:w="1416" w:type="dxa"/>
          </w:tcPr>
          <w:p w14:paraId="58C201C9" w14:textId="77777777" w:rsidR="006B26DC" w:rsidRPr="009B546D" w:rsidRDefault="006B26DC" w:rsidP="00496B89">
            <w:pPr>
              <w:keepNext/>
              <w:keepLines/>
              <w:spacing w:after="0" w:line="240" w:lineRule="auto"/>
              <w:ind w:left="57"/>
              <w:jc w:val="left"/>
              <w:rPr>
                <w:rFonts w:eastAsia="Times New Roman" w:cstheme="minorHAnsi"/>
                <w:b/>
                <w:kern w:val="16"/>
                <w:sz w:val="16"/>
                <w:szCs w:val="16"/>
                <w:lang w:eastAsia="en-GB"/>
              </w:rPr>
            </w:pPr>
          </w:p>
        </w:tc>
        <w:tc>
          <w:tcPr>
            <w:tcW w:w="1474" w:type="dxa"/>
            <w:vAlign w:val="center"/>
          </w:tcPr>
          <w:p w14:paraId="25CB685E"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(507)</w:t>
            </w:r>
          </w:p>
        </w:tc>
        <w:tc>
          <w:tcPr>
            <w:tcW w:w="1475" w:type="dxa"/>
            <w:vAlign w:val="center"/>
          </w:tcPr>
          <w:p w14:paraId="076FAAA7"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(117)</w:t>
            </w:r>
          </w:p>
        </w:tc>
        <w:tc>
          <w:tcPr>
            <w:tcW w:w="1474" w:type="dxa"/>
            <w:vAlign w:val="center"/>
          </w:tcPr>
          <w:p w14:paraId="61F28D9A" w14:textId="77777777" w:rsidR="006B26DC" w:rsidRPr="009B546D" w:rsidRDefault="006B26DC" w:rsidP="00F432B9">
            <w:pPr>
              <w:keepNext/>
              <w:keepLines/>
              <w:tabs>
                <w:tab w:val="decimal" w:pos="993"/>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w:t>
            </w:r>
          </w:p>
        </w:tc>
        <w:tc>
          <w:tcPr>
            <w:tcW w:w="1475" w:type="dxa"/>
            <w:vAlign w:val="center"/>
          </w:tcPr>
          <w:p w14:paraId="312F2AFB"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w:t>
            </w:r>
          </w:p>
        </w:tc>
        <w:tc>
          <w:tcPr>
            <w:tcW w:w="1475" w:type="dxa"/>
            <w:vAlign w:val="center"/>
          </w:tcPr>
          <w:p w14:paraId="7990B772"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(624)</w:t>
            </w:r>
          </w:p>
        </w:tc>
      </w:tr>
      <w:tr w:rsidR="006B26DC" w:rsidRPr="009B546D" w14:paraId="06B8179A" w14:textId="77777777" w:rsidTr="00D632CF">
        <w:trPr>
          <w:cantSplit/>
        </w:trPr>
        <w:tc>
          <w:tcPr>
            <w:tcW w:w="1416" w:type="dxa"/>
          </w:tcPr>
          <w:p w14:paraId="3EC290F5" w14:textId="77777777" w:rsidR="006B26DC" w:rsidRPr="009B546D" w:rsidRDefault="006B26DC" w:rsidP="00496B89">
            <w:pPr>
              <w:keepNext/>
              <w:keepLines/>
              <w:spacing w:after="0" w:line="240" w:lineRule="auto"/>
              <w:ind w:left="57"/>
              <w:jc w:val="left"/>
              <w:rPr>
                <w:rFonts w:eastAsia="Times New Roman" w:cstheme="minorHAnsi"/>
                <w:kern w:val="16"/>
                <w:sz w:val="16"/>
                <w:szCs w:val="16"/>
                <w:lang w:eastAsia="en-GB"/>
              </w:rPr>
            </w:pPr>
          </w:p>
        </w:tc>
        <w:tc>
          <w:tcPr>
            <w:tcW w:w="1474" w:type="dxa"/>
            <w:vAlign w:val="center"/>
          </w:tcPr>
          <w:p w14:paraId="493FD454" w14:textId="77777777" w:rsidR="006B26DC" w:rsidRPr="009B546D" w:rsidRDefault="006B26DC" w:rsidP="00F432B9">
            <w:pPr>
              <w:keepNext/>
              <w:keepLines/>
              <w:tabs>
                <w:tab w:val="decimal" w:pos="1134"/>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30C185BD"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4" w:type="dxa"/>
            <w:vAlign w:val="center"/>
          </w:tcPr>
          <w:p w14:paraId="0B347ABB"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77550DF4"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1505486C"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r>
      <w:tr w:rsidR="006B26DC" w:rsidRPr="009B546D" w14:paraId="21DF671D" w14:textId="77777777" w:rsidTr="00D632CF">
        <w:trPr>
          <w:cantSplit/>
        </w:trPr>
        <w:tc>
          <w:tcPr>
            <w:tcW w:w="1416" w:type="dxa"/>
          </w:tcPr>
          <w:p w14:paraId="5F6E238B" w14:textId="77777777" w:rsidR="006B26DC" w:rsidRPr="009B546D" w:rsidRDefault="006B26DC" w:rsidP="00496B89">
            <w:pPr>
              <w:keepNext/>
              <w:keepLines/>
              <w:spacing w:after="0" w:line="240" w:lineRule="auto"/>
              <w:ind w:left="57"/>
              <w:jc w:val="left"/>
              <w:rPr>
                <w:rFonts w:eastAsia="Times New Roman" w:cstheme="minorHAnsi"/>
                <w:b/>
                <w:kern w:val="16"/>
                <w:sz w:val="16"/>
                <w:szCs w:val="16"/>
                <w:lang w:eastAsia="en-GB"/>
              </w:rPr>
            </w:pPr>
            <w:r w:rsidRPr="009B546D">
              <w:rPr>
                <w:rFonts w:eastAsia="Times New Roman" w:cstheme="minorHAnsi"/>
                <w:b/>
                <w:kern w:val="16"/>
                <w:sz w:val="16"/>
                <w:szCs w:val="16"/>
                <w:lang w:eastAsia="en-GB"/>
              </w:rPr>
              <w:t>Total liabilities</w:t>
            </w:r>
          </w:p>
        </w:tc>
        <w:tc>
          <w:tcPr>
            <w:tcW w:w="1474" w:type="dxa"/>
            <w:vAlign w:val="center"/>
          </w:tcPr>
          <w:p w14:paraId="1F5678F8"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(507)</w:t>
            </w:r>
          </w:p>
        </w:tc>
        <w:tc>
          <w:tcPr>
            <w:tcW w:w="1475" w:type="dxa"/>
            <w:vAlign w:val="center"/>
          </w:tcPr>
          <w:p w14:paraId="536B8408"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(117)</w:t>
            </w:r>
          </w:p>
        </w:tc>
        <w:tc>
          <w:tcPr>
            <w:tcW w:w="1474" w:type="dxa"/>
            <w:vAlign w:val="center"/>
          </w:tcPr>
          <w:p w14:paraId="5EB4FAC0" w14:textId="77777777" w:rsidR="006B26DC" w:rsidRPr="009B546D" w:rsidRDefault="006B26DC" w:rsidP="00F432B9">
            <w:pPr>
              <w:keepNext/>
              <w:keepLines/>
              <w:tabs>
                <w:tab w:val="decimal" w:pos="993"/>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w:t>
            </w:r>
          </w:p>
        </w:tc>
        <w:tc>
          <w:tcPr>
            <w:tcW w:w="1475" w:type="dxa"/>
            <w:vAlign w:val="center"/>
          </w:tcPr>
          <w:p w14:paraId="60047B67"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w:t>
            </w:r>
          </w:p>
        </w:tc>
        <w:tc>
          <w:tcPr>
            <w:tcW w:w="1475" w:type="dxa"/>
            <w:vAlign w:val="center"/>
          </w:tcPr>
          <w:p w14:paraId="26FF0E96"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(624)</w:t>
            </w:r>
          </w:p>
        </w:tc>
      </w:tr>
      <w:tr w:rsidR="006B26DC" w:rsidRPr="009B546D" w14:paraId="3EF4F5A2" w14:textId="77777777" w:rsidTr="00D632CF">
        <w:trPr>
          <w:cantSplit/>
        </w:trPr>
        <w:tc>
          <w:tcPr>
            <w:tcW w:w="1416" w:type="dxa"/>
          </w:tcPr>
          <w:p w14:paraId="1283761D" w14:textId="77777777" w:rsidR="006B26DC" w:rsidRPr="009B546D" w:rsidRDefault="006B26DC" w:rsidP="00496B89">
            <w:pPr>
              <w:keepNext/>
              <w:keepLines/>
              <w:spacing w:after="0" w:line="240" w:lineRule="auto"/>
              <w:ind w:left="57"/>
              <w:jc w:val="left"/>
              <w:rPr>
                <w:rFonts w:eastAsia="Times New Roman" w:cstheme="minorHAnsi"/>
                <w:b/>
                <w:kern w:val="16"/>
                <w:sz w:val="16"/>
                <w:szCs w:val="16"/>
                <w:lang w:eastAsia="en-GB"/>
              </w:rPr>
            </w:pPr>
          </w:p>
        </w:tc>
        <w:tc>
          <w:tcPr>
            <w:tcW w:w="1474" w:type="dxa"/>
            <w:vAlign w:val="center"/>
          </w:tcPr>
          <w:p w14:paraId="58570150" w14:textId="77777777" w:rsidR="006B26DC" w:rsidRPr="009B546D" w:rsidRDefault="006B26DC" w:rsidP="00F432B9">
            <w:pPr>
              <w:keepNext/>
              <w:keepLines/>
              <w:tabs>
                <w:tab w:val="decimal" w:pos="1134"/>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1CDA3E8B"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4" w:type="dxa"/>
            <w:vAlign w:val="center"/>
          </w:tcPr>
          <w:p w14:paraId="7B9E2439" w14:textId="77777777" w:rsidR="006B26DC" w:rsidRPr="009B546D" w:rsidRDefault="006B26DC" w:rsidP="00F432B9">
            <w:pPr>
              <w:keepNext/>
              <w:keepLines/>
              <w:tabs>
                <w:tab w:val="decimal" w:pos="993"/>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7CE094B7"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c>
          <w:tcPr>
            <w:tcW w:w="1475" w:type="dxa"/>
            <w:vAlign w:val="center"/>
          </w:tcPr>
          <w:p w14:paraId="4EB633FB" w14:textId="77777777" w:rsidR="006B26DC" w:rsidRPr="009B546D" w:rsidRDefault="006B26DC" w:rsidP="00F432B9">
            <w:pPr>
              <w:keepNext/>
              <w:keepLines/>
              <w:tabs>
                <w:tab w:val="decimal" w:pos="992"/>
              </w:tabs>
              <w:spacing w:after="0" w:line="240" w:lineRule="auto"/>
              <w:jc w:val="right"/>
              <w:rPr>
                <w:rFonts w:eastAsia="Times New Roman" w:cstheme="minorHAnsi"/>
                <w:kern w:val="16"/>
                <w:sz w:val="16"/>
                <w:szCs w:val="16"/>
                <w:lang w:eastAsia="en-GB"/>
              </w:rPr>
            </w:pPr>
            <w:r w:rsidRPr="009B546D">
              <w:rPr>
                <w:rFonts w:eastAsia="Times New Roman" w:cstheme="minorHAnsi"/>
                <w:kern w:val="16"/>
                <w:sz w:val="16"/>
                <w:szCs w:val="16"/>
                <w:lang w:eastAsia="en-GB"/>
              </w:rPr>
              <w:t>––––––</w:t>
            </w:r>
          </w:p>
        </w:tc>
      </w:tr>
      <w:tr w:rsidR="006B26DC" w:rsidRPr="009B546D" w14:paraId="40913683" w14:textId="77777777" w:rsidTr="00D632CF">
        <w:trPr>
          <w:cantSplit/>
        </w:trPr>
        <w:tc>
          <w:tcPr>
            <w:tcW w:w="1416" w:type="dxa"/>
          </w:tcPr>
          <w:p w14:paraId="56800C56" w14:textId="77777777" w:rsidR="006B26DC" w:rsidRPr="009B546D" w:rsidRDefault="006B26DC" w:rsidP="00496B89">
            <w:pPr>
              <w:keepNext/>
              <w:keepLines/>
              <w:spacing w:after="0" w:line="240" w:lineRule="auto"/>
              <w:ind w:left="57"/>
              <w:jc w:val="left"/>
              <w:rPr>
                <w:rFonts w:eastAsia="Times New Roman" w:cstheme="minorHAnsi"/>
                <w:b/>
                <w:kern w:val="16"/>
                <w:sz w:val="16"/>
                <w:szCs w:val="16"/>
                <w:lang w:eastAsia="en-GB"/>
              </w:rPr>
            </w:pPr>
            <w:r w:rsidRPr="009B546D">
              <w:rPr>
                <w:rFonts w:eastAsia="Times New Roman" w:cstheme="minorHAnsi"/>
                <w:b/>
                <w:kern w:val="16"/>
                <w:sz w:val="16"/>
                <w:szCs w:val="16"/>
                <w:lang w:eastAsia="en-GB"/>
              </w:rPr>
              <w:t>Net assets</w:t>
            </w:r>
          </w:p>
        </w:tc>
        <w:tc>
          <w:tcPr>
            <w:tcW w:w="1474" w:type="dxa"/>
            <w:vAlign w:val="center"/>
          </w:tcPr>
          <w:p w14:paraId="096619D6"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3,209</w:t>
            </w:r>
          </w:p>
        </w:tc>
        <w:tc>
          <w:tcPr>
            <w:tcW w:w="1475" w:type="dxa"/>
            <w:vAlign w:val="center"/>
          </w:tcPr>
          <w:p w14:paraId="2CF9CB02" w14:textId="77777777" w:rsidR="006B26DC" w:rsidRPr="009B546D"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158</w:t>
            </w:r>
          </w:p>
        </w:tc>
        <w:tc>
          <w:tcPr>
            <w:tcW w:w="1474" w:type="dxa"/>
            <w:vAlign w:val="center"/>
          </w:tcPr>
          <w:p w14:paraId="05EDE246" w14:textId="77777777" w:rsidR="006B26DC" w:rsidRPr="009B546D" w:rsidRDefault="006B26DC" w:rsidP="00F432B9">
            <w:pPr>
              <w:keepNext/>
              <w:keepLines/>
              <w:tabs>
                <w:tab w:val="decimal" w:pos="993"/>
              </w:tabs>
              <w:spacing w:after="0" w:line="240" w:lineRule="auto"/>
              <w:jc w:val="right"/>
              <w:rPr>
                <w:rFonts w:eastAsia="Times New Roman" w:cstheme="minorHAnsi"/>
                <w:b/>
                <w:kern w:val="16"/>
                <w:sz w:val="16"/>
                <w:szCs w:val="16"/>
                <w:lang w:eastAsia="en-GB"/>
              </w:rPr>
            </w:pPr>
            <w:r w:rsidRPr="009B546D">
              <w:rPr>
                <w:rFonts w:eastAsia="Times New Roman" w:cstheme="minorHAnsi"/>
                <w:b/>
                <w:kern w:val="16"/>
                <w:sz w:val="16"/>
                <w:szCs w:val="16"/>
                <w:lang w:eastAsia="en-GB"/>
              </w:rPr>
              <w:t>2,142</w:t>
            </w:r>
          </w:p>
        </w:tc>
        <w:tc>
          <w:tcPr>
            <w:tcW w:w="1475" w:type="dxa"/>
            <w:vAlign w:val="center"/>
          </w:tcPr>
          <w:p w14:paraId="120E430B" w14:textId="1618A0E2" w:rsidR="006B26DC" w:rsidRPr="004A10FC"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4A10FC">
              <w:rPr>
                <w:rFonts w:eastAsia="Times New Roman" w:cstheme="minorHAnsi"/>
                <w:b/>
                <w:kern w:val="16"/>
                <w:sz w:val="16"/>
                <w:szCs w:val="16"/>
                <w:lang w:eastAsia="en-GB"/>
              </w:rPr>
              <w:t>(3</w:t>
            </w:r>
            <w:r w:rsidR="00B00212" w:rsidRPr="004A10FC">
              <w:rPr>
                <w:rFonts w:eastAsia="Times New Roman" w:cstheme="minorHAnsi"/>
                <w:b/>
                <w:kern w:val="16"/>
                <w:sz w:val="16"/>
                <w:szCs w:val="16"/>
                <w:lang w:eastAsia="en-GB"/>
              </w:rPr>
              <w:t>64</w:t>
            </w:r>
            <w:r w:rsidRPr="004A10FC">
              <w:rPr>
                <w:rFonts w:eastAsia="Times New Roman" w:cstheme="minorHAnsi"/>
                <w:b/>
                <w:kern w:val="16"/>
                <w:sz w:val="16"/>
                <w:szCs w:val="16"/>
                <w:lang w:eastAsia="en-GB"/>
              </w:rPr>
              <w:t>)</w:t>
            </w:r>
          </w:p>
        </w:tc>
        <w:tc>
          <w:tcPr>
            <w:tcW w:w="1475" w:type="dxa"/>
            <w:vAlign w:val="center"/>
          </w:tcPr>
          <w:p w14:paraId="482EA588" w14:textId="1FBC4F18" w:rsidR="006B26DC" w:rsidRPr="004A10FC" w:rsidRDefault="006B26DC" w:rsidP="00F432B9">
            <w:pPr>
              <w:keepNext/>
              <w:keepLines/>
              <w:tabs>
                <w:tab w:val="decimal" w:pos="992"/>
              </w:tabs>
              <w:spacing w:after="0" w:line="240" w:lineRule="auto"/>
              <w:jc w:val="right"/>
              <w:rPr>
                <w:rFonts w:eastAsia="Times New Roman" w:cstheme="minorHAnsi"/>
                <w:b/>
                <w:kern w:val="16"/>
                <w:sz w:val="16"/>
                <w:szCs w:val="16"/>
                <w:lang w:eastAsia="en-GB"/>
              </w:rPr>
            </w:pPr>
            <w:r w:rsidRPr="004A10FC">
              <w:rPr>
                <w:rFonts w:eastAsia="Times New Roman" w:cstheme="minorHAnsi"/>
                <w:b/>
                <w:kern w:val="16"/>
                <w:sz w:val="16"/>
                <w:szCs w:val="16"/>
                <w:lang w:eastAsia="en-GB"/>
              </w:rPr>
              <w:t>5,</w:t>
            </w:r>
            <w:r w:rsidR="00412DF1" w:rsidRPr="004A10FC">
              <w:rPr>
                <w:rFonts w:eastAsia="Times New Roman" w:cstheme="minorHAnsi"/>
                <w:b/>
                <w:kern w:val="16"/>
                <w:sz w:val="16"/>
                <w:szCs w:val="16"/>
                <w:lang w:eastAsia="en-GB"/>
              </w:rPr>
              <w:t>145</w:t>
            </w:r>
          </w:p>
        </w:tc>
      </w:tr>
      <w:tr w:rsidR="006B26DC" w:rsidRPr="009B546D" w14:paraId="57B01A3E" w14:textId="77777777" w:rsidTr="00D632CF">
        <w:trPr>
          <w:cantSplit/>
        </w:trPr>
        <w:tc>
          <w:tcPr>
            <w:tcW w:w="1416" w:type="dxa"/>
          </w:tcPr>
          <w:p w14:paraId="1DE50CD8" w14:textId="77777777" w:rsidR="006B26DC" w:rsidRPr="009B546D" w:rsidRDefault="006B26DC" w:rsidP="00496B89">
            <w:pPr>
              <w:keepNext/>
              <w:keepLines/>
              <w:spacing w:after="0" w:line="240" w:lineRule="auto"/>
              <w:ind w:left="57"/>
              <w:jc w:val="left"/>
              <w:rPr>
                <w:rFonts w:eastAsia="Times New Roman" w:cstheme="minorHAnsi"/>
                <w:dstrike/>
                <w:kern w:val="16"/>
                <w:szCs w:val="20"/>
                <w:lang w:eastAsia="en-GB"/>
              </w:rPr>
            </w:pPr>
          </w:p>
        </w:tc>
        <w:tc>
          <w:tcPr>
            <w:tcW w:w="1474" w:type="dxa"/>
            <w:vAlign w:val="center"/>
          </w:tcPr>
          <w:p w14:paraId="772A785B" w14:textId="77777777" w:rsidR="006B26DC" w:rsidRPr="009B546D" w:rsidRDefault="006B26DC" w:rsidP="00F432B9">
            <w:pPr>
              <w:keepNext/>
              <w:keepLines/>
              <w:tabs>
                <w:tab w:val="decimal" w:pos="1134"/>
              </w:tabs>
              <w:spacing w:after="0" w:line="240" w:lineRule="auto"/>
              <w:jc w:val="right"/>
              <w:rPr>
                <w:rFonts w:eastAsia="Times New Roman" w:cstheme="minorHAnsi"/>
                <w:dstrike/>
                <w:kern w:val="16"/>
                <w:szCs w:val="20"/>
                <w:lang w:eastAsia="en-GB"/>
              </w:rPr>
            </w:pPr>
            <w:r w:rsidRPr="009B546D">
              <w:rPr>
                <w:rFonts w:eastAsia="Times New Roman" w:cstheme="minorHAnsi"/>
                <w:dstrike/>
                <w:kern w:val="16"/>
                <w:szCs w:val="20"/>
                <w:lang w:eastAsia="en-GB"/>
              </w:rPr>
              <w:t>––––––</w:t>
            </w:r>
          </w:p>
        </w:tc>
        <w:tc>
          <w:tcPr>
            <w:tcW w:w="1475" w:type="dxa"/>
            <w:vAlign w:val="center"/>
          </w:tcPr>
          <w:p w14:paraId="33583C9C" w14:textId="77777777" w:rsidR="006B26DC" w:rsidRPr="009B546D" w:rsidRDefault="006B26DC" w:rsidP="00F432B9">
            <w:pPr>
              <w:keepNext/>
              <w:keepLines/>
              <w:tabs>
                <w:tab w:val="decimal" w:pos="992"/>
              </w:tabs>
              <w:spacing w:after="0" w:line="240" w:lineRule="auto"/>
              <w:jc w:val="right"/>
              <w:rPr>
                <w:rFonts w:eastAsia="Times New Roman" w:cstheme="minorHAnsi"/>
                <w:dstrike/>
                <w:kern w:val="16"/>
                <w:szCs w:val="20"/>
                <w:lang w:eastAsia="en-GB"/>
              </w:rPr>
            </w:pPr>
            <w:r w:rsidRPr="009B546D">
              <w:rPr>
                <w:rFonts w:eastAsia="Times New Roman" w:cstheme="minorHAnsi"/>
                <w:dstrike/>
                <w:kern w:val="16"/>
                <w:szCs w:val="20"/>
                <w:lang w:eastAsia="en-GB"/>
              </w:rPr>
              <w:t>––––––</w:t>
            </w:r>
          </w:p>
        </w:tc>
        <w:tc>
          <w:tcPr>
            <w:tcW w:w="1474" w:type="dxa"/>
            <w:vAlign w:val="center"/>
          </w:tcPr>
          <w:p w14:paraId="5B1A08C2" w14:textId="77777777" w:rsidR="006B26DC" w:rsidRPr="009B546D" w:rsidRDefault="006B26DC" w:rsidP="00F432B9">
            <w:pPr>
              <w:keepNext/>
              <w:keepLines/>
              <w:tabs>
                <w:tab w:val="decimal" w:pos="993"/>
              </w:tabs>
              <w:spacing w:after="0" w:line="240" w:lineRule="auto"/>
              <w:jc w:val="right"/>
              <w:rPr>
                <w:rFonts w:eastAsia="Times New Roman" w:cstheme="minorHAnsi"/>
                <w:dstrike/>
                <w:kern w:val="16"/>
                <w:szCs w:val="20"/>
                <w:lang w:eastAsia="en-GB"/>
              </w:rPr>
            </w:pPr>
            <w:r w:rsidRPr="009B546D">
              <w:rPr>
                <w:rFonts w:eastAsia="Times New Roman" w:cstheme="minorHAnsi"/>
                <w:dstrike/>
                <w:kern w:val="16"/>
                <w:szCs w:val="20"/>
                <w:lang w:eastAsia="en-GB"/>
              </w:rPr>
              <w:t>––––––</w:t>
            </w:r>
          </w:p>
        </w:tc>
        <w:tc>
          <w:tcPr>
            <w:tcW w:w="1475" w:type="dxa"/>
            <w:vAlign w:val="center"/>
          </w:tcPr>
          <w:p w14:paraId="10CEDD63" w14:textId="77777777" w:rsidR="006B26DC" w:rsidRPr="009B546D" w:rsidRDefault="006B26DC" w:rsidP="00F432B9">
            <w:pPr>
              <w:keepNext/>
              <w:keepLines/>
              <w:tabs>
                <w:tab w:val="decimal" w:pos="992"/>
              </w:tabs>
              <w:spacing w:after="0" w:line="240" w:lineRule="auto"/>
              <w:jc w:val="right"/>
              <w:rPr>
                <w:rFonts w:eastAsia="Times New Roman" w:cstheme="minorHAnsi"/>
                <w:dstrike/>
                <w:kern w:val="16"/>
                <w:szCs w:val="20"/>
                <w:lang w:eastAsia="en-GB"/>
              </w:rPr>
            </w:pPr>
            <w:r w:rsidRPr="009B546D">
              <w:rPr>
                <w:rFonts w:eastAsia="Times New Roman" w:cstheme="minorHAnsi"/>
                <w:dstrike/>
                <w:kern w:val="16"/>
                <w:szCs w:val="20"/>
                <w:lang w:eastAsia="en-GB"/>
              </w:rPr>
              <w:t>––––––</w:t>
            </w:r>
          </w:p>
        </w:tc>
        <w:tc>
          <w:tcPr>
            <w:tcW w:w="1475" w:type="dxa"/>
            <w:vAlign w:val="center"/>
          </w:tcPr>
          <w:p w14:paraId="6B0FC972" w14:textId="77777777" w:rsidR="006B26DC" w:rsidRPr="009B546D" w:rsidRDefault="006B26DC" w:rsidP="00F432B9">
            <w:pPr>
              <w:keepNext/>
              <w:keepLines/>
              <w:tabs>
                <w:tab w:val="decimal" w:pos="992"/>
              </w:tabs>
              <w:spacing w:after="0" w:line="240" w:lineRule="auto"/>
              <w:jc w:val="right"/>
              <w:rPr>
                <w:rFonts w:eastAsia="Times New Roman" w:cstheme="minorHAnsi"/>
                <w:dstrike/>
                <w:kern w:val="16"/>
                <w:szCs w:val="20"/>
                <w:lang w:eastAsia="en-GB"/>
              </w:rPr>
            </w:pPr>
            <w:r w:rsidRPr="009B546D">
              <w:rPr>
                <w:rFonts w:eastAsia="Times New Roman" w:cstheme="minorHAnsi"/>
                <w:dstrike/>
                <w:kern w:val="16"/>
                <w:szCs w:val="20"/>
                <w:lang w:eastAsia="en-GB"/>
              </w:rPr>
              <w:t>––––––</w:t>
            </w:r>
          </w:p>
        </w:tc>
      </w:tr>
    </w:tbl>
    <w:p w14:paraId="19EB91DF" w14:textId="77777777" w:rsidR="006B26DC" w:rsidRPr="009B546D" w:rsidRDefault="006B26DC" w:rsidP="00496B89">
      <w:pPr>
        <w:spacing w:after="200" w:line="240" w:lineRule="auto"/>
        <w:jc w:val="left"/>
        <w:rPr>
          <w:rFonts w:eastAsia="Times New Roman" w:cstheme="minorHAnsi"/>
          <w:szCs w:val="20"/>
          <w:lang w:eastAsia="en-GB"/>
        </w:rPr>
      </w:pPr>
    </w:p>
    <w:p w14:paraId="7D47C737" w14:textId="77777777" w:rsidR="006B26DC" w:rsidRPr="009B546D" w:rsidRDefault="006B26DC" w:rsidP="00496B89">
      <w:pPr>
        <w:spacing w:after="200" w:line="240" w:lineRule="auto"/>
        <w:jc w:val="left"/>
        <w:rPr>
          <w:rFonts w:eastAsia="Times New Roman" w:cstheme="minorHAnsi"/>
          <w:szCs w:val="20"/>
          <w:lang w:eastAsia="en-GB"/>
        </w:rPr>
      </w:pPr>
      <w:r w:rsidRPr="009B546D">
        <w:rPr>
          <w:rFonts w:eastAsia="Times New Roman" w:cstheme="minorHAnsi"/>
          <w:szCs w:val="20"/>
          <w:lang w:eastAsia="en-GB"/>
        </w:rPr>
        <w:lastRenderedPageBreak/>
        <w:t>Notes:</w:t>
      </w:r>
    </w:p>
    <w:p w14:paraId="45B27374" w14:textId="567D5344" w:rsidR="006B26DC" w:rsidRPr="009B546D" w:rsidRDefault="006B26DC" w:rsidP="00F432B9">
      <w:pPr>
        <w:numPr>
          <w:ilvl w:val="0"/>
          <w:numId w:val="60"/>
        </w:numPr>
        <w:spacing w:after="200" w:line="240" w:lineRule="auto"/>
        <w:rPr>
          <w:rFonts w:eastAsia="Times New Roman" w:cstheme="minorHAnsi"/>
          <w:szCs w:val="20"/>
          <w:lang w:eastAsia="en-GB"/>
        </w:rPr>
      </w:pPr>
      <w:r w:rsidRPr="009B546D">
        <w:rPr>
          <w:rFonts w:eastAsia="Times New Roman" w:cstheme="minorHAnsi"/>
          <w:szCs w:val="20"/>
          <w:lang w:eastAsia="en-GB"/>
        </w:rPr>
        <w:t>The net assets of the Company at 31 October 2019 have been extracted without adjustment from the financial information on the Company for the year ended 31 October 2019 (incorporated by reference) as referred to in Part XIII of this document.</w:t>
      </w:r>
    </w:p>
    <w:p w14:paraId="6A040753" w14:textId="77777777" w:rsidR="006B26DC" w:rsidRPr="009B546D" w:rsidRDefault="006B26DC" w:rsidP="00F432B9">
      <w:pPr>
        <w:spacing w:after="200" w:line="240" w:lineRule="auto"/>
        <w:ind w:left="720" w:hanging="720"/>
        <w:rPr>
          <w:rFonts w:eastAsia="Times New Roman" w:cstheme="minorHAnsi"/>
          <w:szCs w:val="20"/>
          <w:lang w:eastAsia="en-GB"/>
        </w:rPr>
      </w:pPr>
      <w:r w:rsidRPr="009B546D">
        <w:rPr>
          <w:rFonts w:eastAsia="Times New Roman" w:cstheme="minorHAnsi"/>
          <w:szCs w:val="20"/>
          <w:lang w:eastAsia="en-GB"/>
        </w:rPr>
        <w:t>Adjustments:</w:t>
      </w:r>
    </w:p>
    <w:p w14:paraId="3799E15B" w14:textId="77369201" w:rsidR="006B26DC" w:rsidRPr="009B546D" w:rsidRDefault="006B26DC" w:rsidP="00F432B9">
      <w:pPr>
        <w:numPr>
          <w:ilvl w:val="0"/>
          <w:numId w:val="60"/>
        </w:numPr>
        <w:spacing w:after="200" w:line="240" w:lineRule="auto"/>
        <w:rPr>
          <w:rFonts w:eastAsia="Times New Roman" w:cstheme="minorHAnsi"/>
          <w:szCs w:val="20"/>
          <w:lang w:eastAsia="en-GB"/>
        </w:rPr>
      </w:pPr>
      <w:r w:rsidRPr="009B546D">
        <w:rPr>
          <w:rFonts w:eastAsia="Times New Roman" w:cstheme="minorHAnsi"/>
          <w:szCs w:val="20"/>
          <w:lang w:eastAsia="en-GB"/>
        </w:rPr>
        <w:t xml:space="preserve">The translated net assets of Alchemist Codes have been extracted from the interim financial information of Alchemist Codes for the six month period ended </w:t>
      </w:r>
      <w:r w:rsidR="00AF1828" w:rsidRPr="009B546D">
        <w:rPr>
          <w:rFonts w:eastAsia="Times New Roman" w:cstheme="minorHAnsi"/>
          <w:szCs w:val="20"/>
          <w:lang w:eastAsia="en-GB"/>
        </w:rPr>
        <w:t>31 October 2019 and</w:t>
      </w:r>
      <w:r w:rsidRPr="009B546D">
        <w:rPr>
          <w:rFonts w:eastAsia="Times New Roman" w:cstheme="minorHAnsi"/>
          <w:szCs w:val="20"/>
          <w:lang w:eastAsia="en-GB"/>
        </w:rPr>
        <w:t xml:space="preserve"> translated at a rate of 5.3867 (GBP:RM), set out in Part </w:t>
      </w:r>
      <w:r w:rsidR="00665948">
        <w:rPr>
          <w:rFonts w:eastAsia="Times New Roman" w:cstheme="minorHAnsi"/>
          <w:szCs w:val="20"/>
          <w:lang w:eastAsia="en-GB"/>
        </w:rPr>
        <w:t>XV</w:t>
      </w:r>
      <w:r w:rsidR="00665948" w:rsidRPr="009B546D">
        <w:rPr>
          <w:rFonts w:eastAsia="Times New Roman" w:cstheme="minorHAnsi"/>
          <w:szCs w:val="20"/>
          <w:lang w:eastAsia="en-GB"/>
        </w:rPr>
        <w:t xml:space="preserve"> </w:t>
      </w:r>
      <w:r w:rsidRPr="009B546D">
        <w:rPr>
          <w:rFonts w:eastAsia="Times New Roman" w:cstheme="minorHAnsi"/>
          <w:szCs w:val="20"/>
          <w:lang w:eastAsia="en-GB"/>
        </w:rPr>
        <w:t>of this document.</w:t>
      </w:r>
    </w:p>
    <w:p w14:paraId="2567309C" w14:textId="77777777" w:rsidR="006B26DC" w:rsidRPr="009B546D" w:rsidRDefault="006B26DC" w:rsidP="00F432B9">
      <w:pPr>
        <w:numPr>
          <w:ilvl w:val="0"/>
          <w:numId w:val="60"/>
        </w:numPr>
        <w:spacing w:after="200" w:line="240" w:lineRule="auto"/>
        <w:rPr>
          <w:rFonts w:eastAsia="Times New Roman" w:cstheme="minorHAnsi"/>
          <w:szCs w:val="20"/>
          <w:lang w:eastAsia="en-GB"/>
        </w:rPr>
      </w:pPr>
      <w:r w:rsidRPr="009B546D">
        <w:rPr>
          <w:rFonts w:eastAsia="Times New Roman" w:cstheme="minorHAnsi"/>
          <w:szCs w:val="20"/>
          <w:lang w:eastAsia="en-GB"/>
        </w:rPr>
        <w:t>An adjustment has been made to reflect the estimated intangible assets arising on the acquisition of Alchemist Codes.</w:t>
      </w:r>
    </w:p>
    <w:p w14:paraId="02C08E44" w14:textId="3BB76B6D" w:rsidR="006B26DC" w:rsidRPr="009B546D" w:rsidRDefault="006B26DC" w:rsidP="00F432B9">
      <w:pPr>
        <w:spacing w:after="200" w:line="240" w:lineRule="auto"/>
        <w:ind w:left="360"/>
        <w:rPr>
          <w:rFonts w:eastAsia="Times New Roman" w:cstheme="minorHAnsi"/>
          <w:szCs w:val="20"/>
          <w:lang w:eastAsia="en-GB"/>
        </w:rPr>
      </w:pPr>
      <w:r w:rsidRPr="009B546D">
        <w:rPr>
          <w:rFonts w:eastAsia="Times New Roman" w:cstheme="minorHAnsi"/>
          <w:szCs w:val="20"/>
          <w:lang w:eastAsia="en-GB"/>
        </w:rPr>
        <w:t>For the purposes of this pro forma information, no adjustment has been made to the assets and liabilities of Alchemist Codes to reflect their fair value.</w:t>
      </w:r>
      <w:r w:rsidR="00B575FC">
        <w:rPr>
          <w:rFonts w:eastAsia="Times New Roman" w:cstheme="minorHAnsi"/>
          <w:szCs w:val="20"/>
          <w:lang w:eastAsia="en-GB"/>
        </w:rPr>
        <w:t xml:space="preserve"> </w:t>
      </w:r>
      <w:r w:rsidRPr="009B546D">
        <w:rPr>
          <w:rFonts w:eastAsia="Times New Roman" w:cstheme="minorHAnsi"/>
          <w:szCs w:val="20"/>
          <w:lang w:eastAsia="en-GB"/>
        </w:rPr>
        <w:t>The difference between the net assets of Alchemist Codes as stated at their book value at 3</w:t>
      </w:r>
      <w:r w:rsidR="0027465B">
        <w:rPr>
          <w:rFonts w:eastAsia="Times New Roman" w:cstheme="minorHAnsi"/>
          <w:szCs w:val="20"/>
          <w:lang w:eastAsia="en-GB"/>
        </w:rPr>
        <w:t xml:space="preserve">1 October </w:t>
      </w:r>
      <w:r w:rsidRPr="009B546D">
        <w:rPr>
          <w:rFonts w:eastAsia="Times New Roman" w:cstheme="minorHAnsi"/>
          <w:szCs w:val="20"/>
          <w:lang w:eastAsia="en-GB"/>
        </w:rPr>
        <w:t>2019 and the estimated consideration has therefore been presented as a single value in “Intangible assets”.</w:t>
      </w:r>
      <w:r w:rsidR="00B575FC">
        <w:rPr>
          <w:rFonts w:eastAsia="Times New Roman" w:cstheme="minorHAnsi"/>
          <w:szCs w:val="20"/>
          <w:lang w:eastAsia="en-GB"/>
        </w:rPr>
        <w:t xml:space="preserve"> </w:t>
      </w:r>
      <w:r w:rsidRPr="009B546D">
        <w:rPr>
          <w:rFonts w:eastAsia="Times New Roman" w:cstheme="minorHAnsi"/>
          <w:szCs w:val="20"/>
          <w:lang w:eastAsia="en-GB"/>
        </w:rPr>
        <w:t>The net assets of Alchemist Codes will be subject to a fair value restatement as at the effective date of the transaction. Actual intangible assets included in the Enlarged Group’s next published financial statements may therefore be materially different from that included in the pro forma statement of net assets.</w:t>
      </w:r>
    </w:p>
    <w:tbl>
      <w:tblPr>
        <w:tblW w:w="0" w:type="auto"/>
        <w:tblInd w:w="392" w:type="dxa"/>
        <w:tblLook w:val="01E0" w:firstRow="1" w:lastRow="1" w:firstColumn="1" w:lastColumn="1" w:noHBand="0" w:noVBand="0"/>
      </w:tblPr>
      <w:tblGrid>
        <w:gridCol w:w="7088"/>
        <w:gridCol w:w="1099"/>
      </w:tblGrid>
      <w:tr w:rsidR="006B26DC" w:rsidRPr="00154BDB" w14:paraId="3BBDE2B8" w14:textId="77777777" w:rsidTr="00D632CF">
        <w:tc>
          <w:tcPr>
            <w:tcW w:w="7088" w:type="dxa"/>
          </w:tcPr>
          <w:p w14:paraId="301E8605" w14:textId="77777777" w:rsidR="006B26DC" w:rsidRPr="00154BDB" w:rsidRDefault="006B26DC" w:rsidP="00F432B9">
            <w:pPr>
              <w:keepNext/>
              <w:spacing w:after="0" w:line="240" w:lineRule="auto"/>
              <w:jc w:val="left"/>
              <w:rPr>
                <w:rFonts w:eastAsia="Times New Roman" w:cstheme="minorHAnsi"/>
                <w:szCs w:val="20"/>
                <w:lang w:eastAsia="en-GB"/>
              </w:rPr>
            </w:pPr>
          </w:p>
        </w:tc>
        <w:tc>
          <w:tcPr>
            <w:tcW w:w="1099" w:type="dxa"/>
          </w:tcPr>
          <w:p w14:paraId="1E0833F4" w14:textId="77777777" w:rsidR="006B26DC" w:rsidRPr="00154BDB" w:rsidRDefault="006B26DC" w:rsidP="00F432B9">
            <w:pPr>
              <w:keepNext/>
              <w:spacing w:after="0" w:line="240" w:lineRule="auto"/>
              <w:jc w:val="right"/>
              <w:rPr>
                <w:rFonts w:eastAsia="Times New Roman" w:cstheme="minorHAnsi"/>
                <w:szCs w:val="20"/>
                <w:lang w:eastAsia="en-GB"/>
              </w:rPr>
            </w:pPr>
            <w:r w:rsidRPr="00154BDB">
              <w:rPr>
                <w:rFonts w:eastAsia="Times New Roman" w:cstheme="minorHAnsi"/>
                <w:szCs w:val="20"/>
                <w:lang w:eastAsia="en-GB"/>
              </w:rPr>
              <w:t>£’000</w:t>
            </w:r>
          </w:p>
        </w:tc>
      </w:tr>
      <w:tr w:rsidR="006B26DC" w:rsidRPr="00154BDB" w14:paraId="2832530F" w14:textId="77777777" w:rsidTr="00D632CF">
        <w:tc>
          <w:tcPr>
            <w:tcW w:w="7088" w:type="dxa"/>
          </w:tcPr>
          <w:p w14:paraId="7EAF86D4" w14:textId="77777777" w:rsidR="006B26DC" w:rsidRPr="00154BDB" w:rsidRDefault="006B26DC" w:rsidP="00496B89">
            <w:pPr>
              <w:keepNext/>
              <w:spacing w:after="0" w:line="240" w:lineRule="auto"/>
              <w:jc w:val="left"/>
              <w:rPr>
                <w:rFonts w:eastAsia="Times New Roman" w:cstheme="minorHAnsi"/>
                <w:szCs w:val="20"/>
                <w:lang w:eastAsia="en-GB"/>
              </w:rPr>
            </w:pPr>
            <w:r w:rsidRPr="00154BDB">
              <w:rPr>
                <w:rFonts w:eastAsia="Times New Roman" w:cstheme="minorHAnsi"/>
                <w:szCs w:val="20"/>
                <w:lang w:eastAsia="en-GB"/>
              </w:rPr>
              <w:t>Consideration payable in cash</w:t>
            </w:r>
          </w:p>
        </w:tc>
        <w:tc>
          <w:tcPr>
            <w:tcW w:w="1099" w:type="dxa"/>
          </w:tcPr>
          <w:p w14:paraId="2ED478FD" w14:textId="77777777" w:rsidR="006B26DC" w:rsidRPr="00154BDB" w:rsidRDefault="006B26DC" w:rsidP="00F432B9">
            <w:pPr>
              <w:keepNext/>
              <w:spacing w:after="0" w:line="240" w:lineRule="auto"/>
              <w:jc w:val="right"/>
              <w:rPr>
                <w:rFonts w:eastAsia="Times New Roman" w:cstheme="minorHAnsi"/>
                <w:szCs w:val="20"/>
                <w:lang w:eastAsia="en-GB"/>
              </w:rPr>
            </w:pPr>
            <w:r w:rsidRPr="00154BDB">
              <w:rPr>
                <w:rFonts w:eastAsia="Times New Roman" w:cstheme="minorHAnsi"/>
                <w:szCs w:val="20"/>
                <w:lang w:eastAsia="en-GB"/>
              </w:rPr>
              <w:t>-</w:t>
            </w:r>
          </w:p>
        </w:tc>
      </w:tr>
      <w:tr w:rsidR="006B26DC" w:rsidRPr="00154BDB" w14:paraId="1782AED5" w14:textId="77777777" w:rsidTr="00D632CF">
        <w:tc>
          <w:tcPr>
            <w:tcW w:w="7088" w:type="dxa"/>
          </w:tcPr>
          <w:p w14:paraId="2DA9356D" w14:textId="77777777" w:rsidR="006B26DC" w:rsidRPr="00154BDB" w:rsidRDefault="006B26DC" w:rsidP="00496B89">
            <w:pPr>
              <w:keepNext/>
              <w:spacing w:after="0" w:line="240" w:lineRule="auto"/>
              <w:jc w:val="left"/>
              <w:rPr>
                <w:rFonts w:eastAsia="Times New Roman" w:cstheme="minorHAnsi"/>
                <w:szCs w:val="20"/>
                <w:lang w:eastAsia="en-GB"/>
              </w:rPr>
            </w:pPr>
            <w:r w:rsidRPr="00154BDB">
              <w:rPr>
                <w:rFonts w:eastAsia="Times New Roman" w:cstheme="minorHAnsi"/>
                <w:szCs w:val="20"/>
                <w:lang w:eastAsia="en-GB"/>
              </w:rPr>
              <w:t>Consideration payable in Company shares</w:t>
            </w:r>
          </w:p>
        </w:tc>
        <w:tc>
          <w:tcPr>
            <w:tcW w:w="1099" w:type="dxa"/>
            <w:tcBorders>
              <w:bottom w:val="single" w:sz="4" w:space="0" w:color="auto"/>
            </w:tcBorders>
          </w:tcPr>
          <w:p w14:paraId="4F735B4E" w14:textId="77777777" w:rsidR="006B26DC" w:rsidRPr="00154BDB" w:rsidRDefault="006B26DC" w:rsidP="00F432B9">
            <w:pPr>
              <w:keepNext/>
              <w:spacing w:after="0" w:line="240" w:lineRule="auto"/>
              <w:jc w:val="right"/>
              <w:rPr>
                <w:rFonts w:eastAsia="Times New Roman" w:cstheme="minorHAnsi"/>
                <w:szCs w:val="20"/>
                <w:lang w:eastAsia="en-GB"/>
              </w:rPr>
            </w:pPr>
            <w:r w:rsidRPr="00154BDB">
              <w:rPr>
                <w:rFonts w:eastAsia="Times New Roman" w:cstheme="minorHAnsi"/>
                <w:szCs w:val="20"/>
                <w:lang w:eastAsia="en-GB"/>
              </w:rPr>
              <w:t>2,300</w:t>
            </w:r>
          </w:p>
        </w:tc>
      </w:tr>
      <w:tr w:rsidR="006B26DC" w:rsidRPr="00154BDB" w14:paraId="68A2EC14" w14:textId="77777777" w:rsidTr="00D632CF">
        <w:tc>
          <w:tcPr>
            <w:tcW w:w="7088" w:type="dxa"/>
          </w:tcPr>
          <w:p w14:paraId="0B79DFA6" w14:textId="77777777" w:rsidR="006B26DC" w:rsidRPr="00154BDB" w:rsidRDefault="006B26DC" w:rsidP="00496B89">
            <w:pPr>
              <w:keepNext/>
              <w:spacing w:after="0" w:line="240" w:lineRule="auto"/>
              <w:jc w:val="left"/>
              <w:rPr>
                <w:rFonts w:eastAsia="Times New Roman" w:cstheme="minorHAnsi"/>
                <w:b/>
                <w:szCs w:val="20"/>
                <w:lang w:eastAsia="en-GB"/>
              </w:rPr>
            </w:pPr>
            <w:r w:rsidRPr="00154BDB">
              <w:rPr>
                <w:rFonts w:eastAsia="Times New Roman" w:cstheme="minorHAnsi"/>
                <w:b/>
                <w:szCs w:val="20"/>
                <w:lang w:eastAsia="en-GB"/>
              </w:rPr>
              <w:t>Total consideration</w:t>
            </w:r>
          </w:p>
        </w:tc>
        <w:tc>
          <w:tcPr>
            <w:tcW w:w="1099" w:type="dxa"/>
            <w:tcBorders>
              <w:top w:val="single" w:sz="4" w:space="0" w:color="auto"/>
            </w:tcBorders>
          </w:tcPr>
          <w:p w14:paraId="5D85949B" w14:textId="77777777" w:rsidR="006B26DC" w:rsidRPr="00154BDB" w:rsidRDefault="006B26DC" w:rsidP="00F432B9">
            <w:pPr>
              <w:keepNext/>
              <w:spacing w:after="0" w:line="240" w:lineRule="auto"/>
              <w:jc w:val="right"/>
              <w:rPr>
                <w:rFonts w:eastAsia="Times New Roman" w:cstheme="minorHAnsi"/>
                <w:b/>
                <w:szCs w:val="20"/>
                <w:lang w:eastAsia="en-GB"/>
              </w:rPr>
            </w:pPr>
            <w:r w:rsidRPr="00154BDB">
              <w:rPr>
                <w:rFonts w:eastAsia="Times New Roman" w:cstheme="minorHAnsi"/>
                <w:b/>
                <w:szCs w:val="20"/>
                <w:lang w:eastAsia="en-GB"/>
              </w:rPr>
              <w:t>2.300</w:t>
            </w:r>
          </w:p>
        </w:tc>
      </w:tr>
      <w:tr w:rsidR="006B26DC" w:rsidRPr="00154BDB" w14:paraId="76D67A46" w14:textId="77777777" w:rsidTr="00D632CF">
        <w:tc>
          <w:tcPr>
            <w:tcW w:w="7088" w:type="dxa"/>
          </w:tcPr>
          <w:p w14:paraId="4D479913" w14:textId="77777777" w:rsidR="006B26DC" w:rsidRPr="00154BDB" w:rsidRDefault="006B26DC" w:rsidP="00496B89">
            <w:pPr>
              <w:keepNext/>
              <w:spacing w:after="0" w:line="240" w:lineRule="auto"/>
              <w:jc w:val="left"/>
              <w:rPr>
                <w:rFonts w:eastAsia="Times New Roman" w:cstheme="minorHAnsi"/>
                <w:szCs w:val="20"/>
                <w:lang w:eastAsia="en-GB"/>
              </w:rPr>
            </w:pPr>
            <w:r w:rsidRPr="00154BDB">
              <w:rPr>
                <w:rFonts w:eastAsia="Times New Roman" w:cstheme="minorHAnsi"/>
                <w:szCs w:val="20"/>
                <w:lang w:eastAsia="en-GB"/>
              </w:rPr>
              <w:t>Book value of net assets of Alchemist Codes as at 31 October 2019</w:t>
            </w:r>
          </w:p>
        </w:tc>
        <w:tc>
          <w:tcPr>
            <w:tcW w:w="1099" w:type="dxa"/>
            <w:tcBorders>
              <w:bottom w:val="single" w:sz="4" w:space="0" w:color="auto"/>
            </w:tcBorders>
          </w:tcPr>
          <w:p w14:paraId="4EC857A0" w14:textId="77777777" w:rsidR="006B26DC" w:rsidRPr="00154BDB" w:rsidRDefault="006B26DC" w:rsidP="00F432B9">
            <w:pPr>
              <w:keepNext/>
              <w:spacing w:after="0" w:line="240" w:lineRule="auto"/>
              <w:jc w:val="right"/>
              <w:rPr>
                <w:rFonts w:eastAsia="Times New Roman" w:cstheme="minorHAnsi"/>
                <w:szCs w:val="20"/>
                <w:lang w:eastAsia="en-GB"/>
              </w:rPr>
            </w:pPr>
            <w:r w:rsidRPr="00154BDB">
              <w:rPr>
                <w:rFonts w:eastAsia="Times New Roman" w:cstheme="minorHAnsi"/>
                <w:szCs w:val="20"/>
                <w:lang w:eastAsia="en-GB"/>
              </w:rPr>
              <w:t>(158)</w:t>
            </w:r>
          </w:p>
        </w:tc>
      </w:tr>
      <w:tr w:rsidR="006B26DC" w:rsidRPr="00154BDB" w14:paraId="2AA98CEA" w14:textId="77777777" w:rsidTr="00D632CF">
        <w:tc>
          <w:tcPr>
            <w:tcW w:w="7088" w:type="dxa"/>
          </w:tcPr>
          <w:p w14:paraId="1D1DD7E0" w14:textId="77777777" w:rsidR="006B26DC" w:rsidRPr="00154BDB" w:rsidRDefault="006B26DC" w:rsidP="00496B89">
            <w:pPr>
              <w:spacing w:after="0" w:line="240" w:lineRule="auto"/>
              <w:jc w:val="left"/>
              <w:rPr>
                <w:rFonts w:eastAsia="Times New Roman" w:cstheme="minorHAnsi"/>
                <w:szCs w:val="20"/>
                <w:lang w:eastAsia="en-GB"/>
              </w:rPr>
            </w:pPr>
            <w:r w:rsidRPr="00154BDB">
              <w:rPr>
                <w:rFonts w:eastAsia="Times New Roman" w:cstheme="minorHAnsi"/>
                <w:szCs w:val="20"/>
                <w:lang w:eastAsia="en-GB"/>
              </w:rPr>
              <w:t>Estimated intangible assets arising on the Transaction</w:t>
            </w:r>
          </w:p>
        </w:tc>
        <w:tc>
          <w:tcPr>
            <w:tcW w:w="1099" w:type="dxa"/>
            <w:tcBorders>
              <w:top w:val="single" w:sz="4" w:space="0" w:color="auto"/>
              <w:bottom w:val="single" w:sz="4" w:space="0" w:color="auto"/>
            </w:tcBorders>
          </w:tcPr>
          <w:p w14:paraId="1CEF7D60" w14:textId="77777777" w:rsidR="006B26DC" w:rsidRPr="00154BDB" w:rsidRDefault="006B26DC" w:rsidP="00F432B9">
            <w:pPr>
              <w:spacing w:after="0" w:line="240" w:lineRule="auto"/>
              <w:jc w:val="right"/>
              <w:rPr>
                <w:rFonts w:eastAsia="Times New Roman" w:cstheme="minorHAnsi"/>
                <w:szCs w:val="20"/>
                <w:lang w:eastAsia="en-GB"/>
              </w:rPr>
            </w:pPr>
            <w:r w:rsidRPr="00154BDB">
              <w:rPr>
                <w:rFonts w:eastAsia="Times New Roman" w:cstheme="minorHAnsi"/>
                <w:szCs w:val="20"/>
                <w:lang w:eastAsia="en-GB"/>
              </w:rPr>
              <w:t>2,142</w:t>
            </w:r>
          </w:p>
        </w:tc>
      </w:tr>
    </w:tbl>
    <w:p w14:paraId="458FB9F6" w14:textId="77777777" w:rsidR="006B26DC" w:rsidRPr="00384557" w:rsidRDefault="006B26DC" w:rsidP="00496B89">
      <w:pPr>
        <w:spacing w:after="200" w:line="240" w:lineRule="auto"/>
        <w:ind w:left="360"/>
        <w:jc w:val="left"/>
        <w:rPr>
          <w:rFonts w:eastAsia="Times New Roman" w:cstheme="minorHAnsi"/>
          <w:szCs w:val="20"/>
          <w:lang w:eastAsia="en-GB"/>
        </w:rPr>
      </w:pPr>
    </w:p>
    <w:p w14:paraId="43CB40E5" w14:textId="77777777" w:rsidR="009F51CF" w:rsidRPr="004A12EB" w:rsidRDefault="009F51CF" w:rsidP="009F51CF">
      <w:pPr>
        <w:numPr>
          <w:ilvl w:val="0"/>
          <w:numId w:val="60"/>
        </w:numPr>
        <w:spacing w:after="200" w:line="240" w:lineRule="auto"/>
        <w:jc w:val="left"/>
      </w:pPr>
      <w:r w:rsidRPr="004A12EB">
        <w:t>The total expenses in connection with the Proposed Acquisition and Re-Admission are estimated at £0.364 million.</w:t>
      </w:r>
    </w:p>
    <w:p w14:paraId="67855A52" w14:textId="77777777" w:rsidR="009F51CF" w:rsidRPr="004A12EB" w:rsidRDefault="009F51CF" w:rsidP="009F51CF">
      <w:pPr>
        <w:numPr>
          <w:ilvl w:val="0"/>
          <w:numId w:val="60"/>
        </w:numPr>
        <w:spacing w:after="200" w:line="240" w:lineRule="auto"/>
        <w:jc w:val="left"/>
      </w:pPr>
      <w:r w:rsidRPr="004A12EB">
        <w:t>No account has been taken of the financial performance of the Company or Alchemist Codes since 31 October 2019, nor of any other event save as disclosed above.</w:t>
      </w:r>
    </w:p>
    <w:p w14:paraId="5EEAC2F6" w14:textId="4318480A" w:rsidR="006B26DC" w:rsidRDefault="006B26DC" w:rsidP="00F432B9">
      <w:pPr>
        <w:spacing w:after="200" w:line="240" w:lineRule="auto"/>
        <w:ind w:left="360"/>
        <w:rPr>
          <w:rFonts w:eastAsia="Times New Roman" w:cstheme="minorHAnsi"/>
          <w:szCs w:val="20"/>
          <w:lang w:eastAsia="en-GB"/>
        </w:rPr>
      </w:pPr>
    </w:p>
    <w:p w14:paraId="1590787C" w14:textId="626AE025" w:rsidR="000A6EED" w:rsidRDefault="000A6EED" w:rsidP="00F432B9">
      <w:pPr>
        <w:spacing w:after="200" w:line="240" w:lineRule="auto"/>
        <w:ind w:left="360"/>
        <w:rPr>
          <w:rFonts w:eastAsia="Times New Roman" w:cstheme="minorHAnsi"/>
          <w:szCs w:val="20"/>
          <w:lang w:eastAsia="en-GB"/>
        </w:rPr>
      </w:pPr>
    </w:p>
    <w:p w14:paraId="3925E700" w14:textId="7E1BB2A1" w:rsidR="000A6EED" w:rsidRDefault="000A6EED" w:rsidP="00F432B9">
      <w:pPr>
        <w:spacing w:after="200" w:line="240" w:lineRule="auto"/>
        <w:ind w:left="360"/>
        <w:rPr>
          <w:rFonts w:eastAsia="Times New Roman" w:cstheme="minorHAnsi"/>
          <w:szCs w:val="20"/>
          <w:lang w:eastAsia="en-GB"/>
        </w:rPr>
      </w:pPr>
    </w:p>
    <w:p w14:paraId="07A0BD35" w14:textId="3C875154" w:rsidR="000A6EED" w:rsidRDefault="000A6EED" w:rsidP="00F432B9">
      <w:pPr>
        <w:spacing w:after="200" w:line="240" w:lineRule="auto"/>
        <w:ind w:left="360"/>
        <w:rPr>
          <w:rFonts w:eastAsia="Times New Roman" w:cstheme="minorHAnsi"/>
          <w:szCs w:val="20"/>
          <w:lang w:eastAsia="en-GB"/>
        </w:rPr>
      </w:pPr>
    </w:p>
    <w:p w14:paraId="2E47CA66" w14:textId="132C7E74" w:rsidR="000A6EED" w:rsidRDefault="000A6EED" w:rsidP="00F432B9">
      <w:pPr>
        <w:spacing w:after="200" w:line="240" w:lineRule="auto"/>
        <w:ind w:left="360"/>
        <w:rPr>
          <w:rFonts w:eastAsia="Times New Roman" w:cstheme="minorHAnsi"/>
          <w:szCs w:val="20"/>
          <w:lang w:eastAsia="en-GB"/>
        </w:rPr>
      </w:pPr>
    </w:p>
    <w:p w14:paraId="2CFBE1FD" w14:textId="56196314" w:rsidR="000A6EED" w:rsidRDefault="000A6EED" w:rsidP="00F432B9">
      <w:pPr>
        <w:spacing w:after="200" w:line="240" w:lineRule="auto"/>
        <w:ind w:left="360"/>
        <w:rPr>
          <w:rFonts w:eastAsia="Times New Roman" w:cstheme="minorHAnsi"/>
          <w:szCs w:val="20"/>
          <w:lang w:eastAsia="en-GB"/>
        </w:rPr>
      </w:pPr>
    </w:p>
    <w:p w14:paraId="26FACAA3" w14:textId="7E3C96EB" w:rsidR="000A6EED" w:rsidRDefault="000A6EED" w:rsidP="00F432B9">
      <w:pPr>
        <w:spacing w:after="200" w:line="240" w:lineRule="auto"/>
        <w:ind w:left="360"/>
        <w:rPr>
          <w:rFonts w:eastAsia="Times New Roman" w:cstheme="minorHAnsi"/>
          <w:szCs w:val="20"/>
          <w:lang w:eastAsia="en-GB"/>
        </w:rPr>
      </w:pPr>
    </w:p>
    <w:p w14:paraId="7576AF0D" w14:textId="65268553" w:rsidR="000A6EED" w:rsidRDefault="000A6EED" w:rsidP="00F432B9">
      <w:pPr>
        <w:spacing w:after="200" w:line="240" w:lineRule="auto"/>
        <w:ind w:left="360"/>
        <w:rPr>
          <w:rFonts w:eastAsia="Times New Roman" w:cstheme="minorHAnsi"/>
          <w:szCs w:val="20"/>
          <w:lang w:eastAsia="en-GB"/>
        </w:rPr>
      </w:pPr>
    </w:p>
    <w:p w14:paraId="11D5A7E2" w14:textId="4C963DB3" w:rsidR="000A6EED" w:rsidRDefault="000A6EED" w:rsidP="00F432B9">
      <w:pPr>
        <w:spacing w:after="200" w:line="240" w:lineRule="auto"/>
        <w:ind w:left="360"/>
        <w:rPr>
          <w:rFonts w:eastAsia="Times New Roman" w:cstheme="minorHAnsi"/>
          <w:szCs w:val="20"/>
          <w:lang w:eastAsia="en-GB"/>
        </w:rPr>
      </w:pPr>
    </w:p>
    <w:p w14:paraId="3AC9E980" w14:textId="6F0F956F" w:rsidR="000A6EED" w:rsidRDefault="000A6EED" w:rsidP="00F432B9">
      <w:pPr>
        <w:spacing w:after="200" w:line="240" w:lineRule="auto"/>
        <w:ind w:left="360"/>
        <w:rPr>
          <w:rFonts w:eastAsia="Times New Roman" w:cstheme="minorHAnsi"/>
          <w:szCs w:val="20"/>
          <w:lang w:eastAsia="en-GB"/>
        </w:rPr>
      </w:pPr>
    </w:p>
    <w:p w14:paraId="43E4BD88" w14:textId="135FB648" w:rsidR="000A6EED" w:rsidRDefault="000A6EED" w:rsidP="00F432B9">
      <w:pPr>
        <w:spacing w:after="200" w:line="240" w:lineRule="auto"/>
        <w:ind w:left="360"/>
        <w:rPr>
          <w:rFonts w:eastAsia="Times New Roman" w:cstheme="minorHAnsi"/>
          <w:szCs w:val="20"/>
          <w:lang w:eastAsia="en-GB"/>
        </w:rPr>
      </w:pPr>
    </w:p>
    <w:p w14:paraId="59E09D21" w14:textId="18F8E4F1" w:rsidR="000A6EED" w:rsidRDefault="000A6EED" w:rsidP="00F432B9">
      <w:pPr>
        <w:spacing w:after="200" w:line="240" w:lineRule="auto"/>
        <w:ind w:left="360"/>
        <w:rPr>
          <w:rFonts w:eastAsia="Times New Roman" w:cstheme="minorHAnsi"/>
          <w:szCs w:val="20"/>
          <w:lang w:eastAsia="en-GB"/>
        </w:rPr>
      </w:pPr>
    </w:p>
    <w:p w14:paraId="6F464163" w14:textId="77777777" w:rsidR="006B26DC" w:rsidRPr="009B546D" w:rsidRDefault="006B26DC" w:rsidP="00F432B9">
      <w:pPr>
        <w:autoSpaceDE w:val="0"/>
        <w:autoSpaceDN w:val="0"/>
        <w:adjustRightInd w:val="0"/>
        <w:spacing w:after="200" w:line="240" w:lineRule="auto"/>
        <w:rPr>
          <w:rFonts w:eastAsia="Times New Roman" w:cstheme="minorHAnsi"/>
          <w:b/>
          <w:szCs w:val="20"/>
          <w:u w:val="single"/>
          <w:lang w:eastAsia="en-GB"/>
        </w:rPr>
      </w:pPr>
      <w:r w:rsidRPr="009B546D">
        <w:rPr>
          <w:rFonts w:eastAsia="Times New Roman" w:cstheme="minorHAnsi"/>
          <w:b/>
          <w:szCs w:val="20"/>
          <w:u w:val="single"/>
          <w:lang w:eastAsia="en-GB"/>
        </w:rPr>
        <w:lastRenderedPageBreak/>
        <w:t>Pro forma Income Statement</w:t>
      </w:r>
    </w:p>
    <w:p w14:paraId="754773FD" w14:textId="19581303" w:rsidR="006B26DC" w:rsidRPr="009B546D" w:rsidRDefault="006B26DC" w:rsidP="00F432B9">
      <w:pPr>
        <w:autoSpaceDE w:val="0"/>
        <w:autoSpaceDN w:val="0"/>
        <w:adjustRightInd w:val="0"/>
        <w:spacing w:after="200" w:line="240" w:lineRule="auto"/>
        <w:rPr>
          <w:rFonts w:eastAsia="Times New Roman" w:cstheme="minorHAnsi"/>
          <w:szCs w:val="20"/>
          <w:lang w:eastAsia="en-GB"/>
        </w:rPr>
      </w:pPr>
      <w:r w:rsidRPr="009B546D">
        <w:rPr>
          <w:rFonts w:eastAsia="Times New Roman" w:cstheme="minorHAnsi"/>
          <w:szCs w:val="20"/>
          <w:lang w:eastAsia="en-GB"/>
        </w:rPr>
        <w:t>The unaudited pro forma income statement is based on the income statement of the Company for the year ended 31 October 2019, set out in the financial information on the Company for the year ended 31 October 2019 (incorporated by reference) as referred to in Part IV of this document; and the income statement of Alchemist Codes for the period from 17 April 2018 to 30 April 2019, set out in the historical financial information, in Part XIV of this document.</w:t>
      </w:r>
      <w:r w:rsidR="00B575FC">
        <w:rPr>
          <w:rFonts w:eastAsia="Times New Roman" w:cstheme="minorHAnsi"/>
          <w:szCs w:val="20"/>
          <w:lang w:eastAsia="en-GB"/>
        </w:rPr>
        <w:t xml:space="preserve"> </w:t>
      </w:r>
      <w:r w:rsidRPr="009B546D">
        <w:rPr>
          <w:rFonts w:eastAsia="Times New Roman" w:cstheme="minorHAnsi"/>
          <w:szCs w:val="20"/>
          <w:lang w:eastAsia="en-GB"/>
        </w:rPr>
        <w:t>It has been prepared in a manner consistent with the accounting policies adopted by the Company in preparing such information and on the basis set out in the notes below.</w:t>
      </w:r>
    </w:p>
    <w:p w14:paraId="5139A905" w14:textId="77777777" w:rsidR="006B26DC" w:rsidRPr="009B546D" w:rsidRDefault="006B26DC" w:rsidP="00F432B9">
      <w:pPr>
        <w:spacing w:after="0" w:line="240" w:lineRule="auto"/>
        <w:jc w:val="left"/>
        <w:rPr>
          <w:rFonts w:eastAsia="Times New Roman" w:cstheme="minorHAnsi"/>
          <w:szCs w:val="20"/>
          <w:lang w:eastAsia="en-GB"/>
        </w:rPr>
      </w:pPr>
    </w:p>
    <w:tbl>
      <w:tblPr>
        <w:tblStyle w:val="TableGrid10"/>
        <w:tblW w:w="8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245"/>
        <w:gridCol w:w="1439"/>
        <w:gridCol w:w="281"/>
        <w:gridCol w:w="1405"/>
        <w:gridCol w:w="245"/>
        <w:gridCol w:w="1327"/>
        <w:gridCol w:w="233"/>
        <w:gridCol w:w="1143"/>
      </w:tblGrid>
      <w:tr w:rsidR="006B26DC" w:rsidRPr="00E42C6E" w14:paraId="73BF9EE8" w14:textId="77777777" w:rsidTr="00EA2BB6">
        <w:tc>
          <w:tcPr>
            <w:tcW w:w="2365" w:type="dxa"/>
          </w:tcPr>
          <w:p w14:paraId="2C160540" w14:textId="77777777" w:rsidR="006B26DC" w:rsidRPr="009B546D" w:rsidRDefault="006B26DC" w:rsidP="00F432B9">
            <w:pPr>
              <w:keepNext/>
              <w:keepLines/>
              <w:ind w:left="57"/>
              <w:jc w:val="center"/>
              <w:rPr>
                <w:rFonts w:asciiTheme="minorHAnsi" w:hAnsiTheme="minorHAnsi" w:cstheme="minorHAnsi"/>
                <w:b/>
                <w:kern w:val="16"/>
                <w:sz w:val="16"/>
                <w:szCs w:val="16"/>
              </w:rPr>
            </w:pPr>
          </w:p>
        </w:tc>
        <w:tc>
          <w:tcPr>
            <w:tcW w:w="245" w:type="dxa"/>
          </w:tcPr>
          <w:p w14:paraId="63D43952" w14:textId="77777777" w:rsidR="006B26DC" w:rsidRPr="009B546D" w:rsidRDefault="006B26DC" w:rsidP="00F432B9">
            <w:pPr>
              <w:keepNext/>
              <w:keepLines/>
              <w:ind w:left="57"/>
              <w:jc w:val="center"/>
              <w:rPr>
                <w:rFonts w:asciiTheme="minorHAnsi" w:hAnsiTheme="minorHAnsi" w:cstheme="minorHAnsi"/>
                <w:b/>
                <w:kern w:val="16"/>
                <w:sz w:val="16"/>
                <w:szCs w:val="16"/>
              </w:rPr>
            </w:pPr>
          </w:p>
        </w:tc>
        <w:tc>
          <w:tcPr>
            <w:tcW w:w="1439" w:type="dxa"/>
            <w:vAlign w:val="center"/>
          </w:tcPr>
          <w:p w14:paraId="5FA7ED28" w14:textId="77777777" w:rsidR="006B26DC" w:rsidRPr="009B546D" w:rsidRDefault="006B26DC" w:rsidP="00F432B9">
            <w:pPr>
              <w:keepNext/>
              <w:keepLines/>
              <w:ind w:left="57"/>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 xml:space="preserve">The </w:t>
            </w:r>
          </w:p>
          <w:p w14:paraId="484206BA" w14:textId="77777777" w:rsidR="006B26DC" w:rsidRPr="009B546D" w:rsidRDefault="006B26DC" w:rsidP="00F432B9">
            <w:pPr>
              <w:keepNext/>
              <w:keepLines/>
              <w:ind w:left="57"/>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Company</w:t>
            </w:r>
          </w:p>
          <w:p w14:paraId="2808D654"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281" w:type="dxa"/>
          </w:tcPr>
          <w:p w14:paraId="7613164D"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1405" w:type="dxa"/>
            <w:vAlign w:val="center"/>
          </w:tcPr>
          <w:p w14:paraId="32596B1A" w14:textId="77777777" w:rsidR="005962A7" w:rsidRDefault="006B26DC" w:rsidP="005962A7">
            <w:pPr>
              <w:keepNext/>
              <w:keepLines/>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 xml:space="preserve">Alchemist </w:t>
            </w:r>
          </w:p>
          <w:p w14:paraId="554B743E" w14:textId="3DD1BD56" w:rsidR="006B26DC" w:rsidRPr="009B546D" w:rsidRDefault="006B26DC" w:rsidP="00EA2BB6">
            <w:pPr>
              <w:keepNext/>
              <w:keepLines/>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Codes</w:t>
            </w:r>
          </w:p>
          <w:p w14:paraId="4AB75A7F" w14:textId="77777777" w:rsidR="006B26DC" w:rsidRPr="009B546D" w:rsidRDefault="006B26DC" w:rsidP="005962A7">
            <w:pPr>
              <w:keepNext/>
              <w:keepLines/>
              <w:ind w:left="57"/>
              <w:jc w:val="right"/>
              <w:rPr>
                <w:rFonts w:asciiTheme="minorHAnsi" w:hAnsiTheme="minorHAnsi" w:cstheme="minorHAnsi"/>
                <w:b/>
                <w:kern w:val="16"/>
                <w:sz w:val="16"/>
                <w:szCs w:val="16"/>
              </w:rPr>
            </w:pPr>
          </w:p>
        </w:tc>
        <w:tc>
          <w:tcPr>
            <w:tcW w:w="245" w:type="dxa"/>
          </w:tcPr>
          <w:p w14:paraId="77178A28"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1327" w:type="dxa"/>
          </w:tcPr>
          <w:p w14:paraId="5D1C206F" w14:textId="46C4C3BE" w:rsidR="006B26DC" w:rsidRPr="009B546D" w:rsidRDefault="006B26DC" w:rsidP="00EA2BB6">
            <w:pPr>
              <w:keepNext/>
              <w:keepLines/>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Adjustments</w:t>
            </w:r>
          </w:p>
          <w:p w14:paraId="1B151E90"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233" w:type="dxa"/>
          </w:tcPr>
          <w:p w14:paraId="144244CB"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1143" w:type="dxa"/>
          </w:tcPr>
          <w:p w14:paraId="4D55E85A" w14:textId="77777777" w:rsidR="006B26DC" w:rsidRPr="009B546D" w:rsidRDefault="006B26DC" w:rsidP="00F432B9">
            <w:pPr>
              <w:keepNext/>
              <w:keepLines/>
              <w:ind w:left="57"/>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Pro forma Income Statement</w:t>
            </w:r>
          </w:p>
        </w:tc>
      </w:tr>
      <w:tr w:rsidR="006B26DC" w:rsidRPr="00E42C6E" w14:paraId="5467E385" w14:textId="77777777" w:rsidTr="00EA2BB6">
        <w:tc>
          <w:tcPr>
            <w:tcW w:w="2365" w:type="dxa"/>
          </w:tcPr>
          <w:p w14:paraId="19401ECC" w14:textId="77777777" w:rsidR="006B26DC" w:rsidRPr="00384557" w:rsidRDefault="006B26DC" w:rsidP="00496B89">
            <w:pPr>
              <w:keepNext/>
              <w:keepLines/>
              <w:ind w:left="57"/>
              <w:jc w:val="center"/>
              <w:rPr>
                <w:rFonts w:asciiTheme="minorHAnsi" w:hAnsiTheme="minorHAnsi" w:cstheme="minorHAnsi"/>
                <w:b/>
                <w:kern w:val="16"/>
                <w:sz w:val="16"/>
                <w:szCs w:val="16"/>
              </w:rPr>
            </w:pPr>
          </w:p>
        </w:tc>
        <w:tc>
          <w:tcPr>
            <w:tcW w:w="245" w:type="dxa"/>
          </w:tcPr>
          <w:p w14:paraId="4BEA3CF8" w14:textId="77777777" w:rsidR="006B26DC" w:rsidRPr="009B546D" w:rsidRDefault="006B26DC" w:rsidP="00F432B9">
            <w:pPr>
              <w:keepNext/>
              <w:keepLines/>
              <w:ind w:left="57"/>
              <w:jc w:val="center"/>
              <w:rPr>
                <w:rFonts w:asciiTheme="minorHAnsi" w:hAnsiTheme="minorHAnsi" w:cstheme="minorHAnsi"/>
                <w:b/>
                <w:kern w:val="16"/>
                <w:sz w:val="16"/>
                <w:szCs w:val="16"/>
              </w:rPr>
            </w:pPr>
          </w:p>
        </w:tc>
        <w:tc>
          <w:tcPr>
            <w:tcW w:w="1439" w:type="dxa"/>
          </w:tcPr>
          <w:p w14:paraId="7431CD28" w14:textId="77777777" w:rsidR="006B26DC" w:rsidRPr="009B546D" w:rsidRDefault="006B26DC" w:rsidP="00F432B9">
            <w:pPr>
              <w:keepNext/>
              <w:keepLines/>
              <w:ind w:left="57"/>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(Note 1)</w:t>
            </w:r>
          </w:p>
          <w:p w14:paraId="35987A48" w14:textId="77777777" w:rsidR="006B26DC" w:rsidRPr="009B546D" w:rsidRDefault="006B26DC" w:rsidP="00F432B9">
            <w:pPr>
              <w:keepNext/>
              <w:keepLines/>
              <w:ind w:left="57"/>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£'000</w:t>
            </w:r>
          </w:p>
        </w:tc>
        <w:tc>
          <w:tcPr>
            <w:tcW w:w="281" w:type="dxa"/>
          </w:tcPr>
          <w:p w14:paraId="3597F4A6"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1405" w:type="dxa"/>
          </w:tcPr>
          <w:p w14:paraId="21914BA3" w14:textId="77777777" w:rsidR="006B26DC" w:rsidRPr="009B546D" w:rsidRDefault="006B26DC" w:rsidP="00F432B9">
            <w:pPr>
              <w:keepNext/>
              <w:keepLines/>
              <w:ind w:left="57"/>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(Note 2)</w:t>
            </w:r>
          </w:p>
          <w:p w14:paraId="5E0F830E" w14:textId="77777777" w:rsidR="006B26DC" w:rsidRPr="009B546D" w:rsidRDefault="006B26DC" w:rsidP="00F432B9">
            <w:pPr>
              <w:keepNext/>
              <w:keepLines/>
              <w:ind w:left="57"/>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£'000</w:t>
            </w:r>
          </w:p>
        </w:tc>
        <w:tc>
          <w:tcPr>
            <w:tcW w:w="245" w:type="dxa"/>
          </w:tcPr>
          <w:p w14:paraId="14239DEF"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1327" w:type="dxa"/>
          </w:tcPr>
          <w:p w14:paraId="356E983E" w14:textId="41BF6429" w:rsidR="006B26DC" w:rsidRPr="009B546D" w:rsidRDefault="000A6EED" w:rsidP="00F432B9">
            <w:pPr>
              <w:keepNext/>
              <w:keepLines/>
              <w:ind w:left="57"/>
              <w:jc w:val="right"/>
              <w:rPr>
                <w:rFonts w:asciiTheme="minorHAnsi" w:hAnsiTheme="minorHAnsi" w:cstheme="minorHAnsi"/>
                <w:b/>
                <w:kern w:val="16"/>
                <w:sz w:val="16"/>
                <w:szCs w:val="16"/>
              </w:rPr>
            </w:pPr>
            <w:r>
              <w:rPr>
                <w:rFonts w:asciiTheme="minorHAnsi" w:hAnsiTheme="minorHAnsi" w:cstheme="minorHAnsi"/>
                <w:b/>
                <w:kern w:val="16"/>
                <w:sz w:val="16"/>
                <w:szCs w:val="16"/>
              </w:rPr>
              <w:t>(Note 3)</w:t>
            </w:r>
          </w:p>
          <w:p w14:paraId="6ED341C3" w14:textId="77777777" w:rsidR="006B26DC" w:rsidRPr="009B546D" w:rsidRDefault="006B26DC" w:rsidP="00F432B9">
            <w:pPr>
              <w:keepNext/>
              <w:keepLines/>
              <w:ind w:left="57"/>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£'000</w:t>
            </w:r>
          </w:p>
        </w:tc>
        <w:tc>
          <w:tcPr>
            <w:tcW w:w="233" w:type="dxa"/>
          </w:tcPr>
          <w:p w14:paraId="398EBB5E"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1143" w:type="dxa"/>
          </w:tcPr>
          <w:p w14:paraId="33B6E3C9" w14:textId="77777777" w:rsidR="006B26DC" w:rsidRPr="009B546D" w:rsidRDefault="006B26DC" w:rsidP="00F432B9">
            <w:pPr>
              <w:keepNext/>
              <w:keepLines/>
              <w:ind w:left="57"/>
              <w:jc w:val="right"/>
              <w:rPr>
                <w:rFonts w:asciiTheme="minorHAnsi" w:hAnsiTheme="minorHAnsi" w:cstheme="minorHAnsi"/>
                <w:b/>
                <w:kern w:val="16"/>
                <w:sz w:val="16"/>
                <w:szCs w:val="16"/>
              </w:rPr>
            </w:pPr>
          </w:p>
          <w:p w14:paraId="0A4D594F" w14:textId="77777777" w:rsidR="006B26DC" w:rsidRPr="009B546D" w:rsidRDefault="006B26DC" w:rsidP="00F432B9">
            <w:pPr>
              <w:keepNext/>
              <w:keepLines/>
              <w:ind w:left="57"/>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£'000</w:t>
            </w:r>
          </w:p>
        </w:tc>
      </w:tr>
      <w:tr w:rsidR="006B26DC" w:rsidRPr="00E42C6E" w14:paraId="6DFD27C6" w14:textId="77777777" w:rsidTr="00D632CF">
        <w:tc>
          <w:tcPr>
            <w:tcW w:w="2365" w:type="dxa"/>
          </w:tcPr>
          <w:p w14:paraId="30904B85" w14:textId="77777777" w:rsidR="006B26DC" w:rsidRPr="00384557" w:rsidRDefault="006B26DC" w:rsidP="00496B89">
            <w:pPr>
              <w:keepNext/>
              <w:keepLines/>
              <w:ind w:left="57"/>
              <w:jc w:val="center"/>
              <w:rPr>
                <w:rFonts w:asciiTheme="minorHAnsi" w:hAnsiTheme="minorHAnsi" w:cstheme="minorHAnsi"/>
                <w:b/>
                <w:kern w:val="16"/>
                <w:sz w:val="16"/>
                <w:szCs w:val="16"/>
              </w:rPr>
            </w:pPr>
          </w:p>
        </w:tc>
        <w:tc>
          <w:tcPr>
            <w:tcW w:w="245" w:type="dxa"/>
          </w:tcPr>
          <w:p w14:paraId="2AADFDDE" w14:textId="77777777" w:rsidR="006B26DC" w:rsidRPr="009B546D" w:rsidRDefault="006B26DC" w:rsidP="00F432B9">
            <w:pPr>
              <w:keepNext/>
              <w:keepLines/>
              <w:ind w:left="57"/>
              <w:jc w:val="center"/>
              <w:rPr>
                <w:rFonts w:asciiTheme="minorHAnsi" w:hAnsiTheme="minorHAnsi" w:cstheme="minorHAnsi"/>
                <w:b/>
                <w:kern w:val="16"/>
                <w:sz w:val="16"/>
                <w:szCs w:val="16"/>
              </w:rPr>
            </w:pPr>
          </w:p>
        </w:tc>
        <w:tc>
          <w:tcPr>
            <w:tcW w:w="1439" w:type="dxa"/>
          </w:tcPr>
          <w:p w14:paraId="6FF0EB3D" w14:textId="77777777" w:rsidR="006B26DC" w:rsidRPr="009B546D" w:rsidRDefault="006B26DC" w:rsidP="00F432B9">
            <w:pPr>
              <w:keepNext/>
              <w:keepLines/>
              <w:ind w:left="57"/>
              <w:jc w:val="center"/>
              <w:rPr>
                <w:rFonts w:asciiTheme="minorHAnsi" w:hAnsiTheme="minorHAnsi" w:cstheme="minorHAnsi"/>
                <w:b/>
                <w:kern w:val="16"/>
                <w:sz w:val="16"/>
                <w:szCs w:val="16"/>
              </w:rPr>
            </w:pPr>
          </w:p>
        </w:tc>
        <w:tc>
          <w:tcPr>
            <w:tcW w:w="281" w:type="dxa"/>
          </w:tcPr>
          <w:p w14:paraId="087D68D7" w14:textId="77777777" w:rsidR="006B26DC" w:rsidRPr="009B546D" w:rsidRDefault="006B26DC" w:rsidP="00F432B9">
            <w:pPr>
              <w:keepNext/>
              <w:keepLines/>
              <w:ind w:left="57"/>
              <w:jc w:val="center"/>
              <w:rPr>
                <w:rFonts w:asciiTheme="minorHAnsi" w:hAnsiTheme="minorHAnsi" w:cstheme="minorHAnsi"/>
                <w:b/>
                <w:kern w:val="16"/>
                <w:sz w:val="16"/>
                <w:szCs w:val="16"/>
              </w:rPr>
            </w:pPr>
          </w:p>
        </w:tc>
        <w:tc>
          <w:tcPr>
            <w:tcW w:w="1405" w:type="dxa"/>
          </w:tcPr>
          <w:p w14:paraId="4E2BC650" w14:textId="77777777" w:rsidR="006B26DC" w:rsidRPr="009B546D" w:rsidRDefault="006B26DC" w:rsidP="00F432B9">
            <w:pPr>
              <w:keepNext/>
              <w:keepLines/>
              <w:ind w:left="57"/>
              <w:jc w:val="center"/>
              <w:rPr>
                <w:rFonts w:asciiTheme="minorHAnsi" w:hAnsiTheme="minorHAnsi" w:cstheme="minorHAnsi"/>
                <w:b/>
                <w:kern w:val="16"/>
                <w:sz w:val="16"/>
                <w:szCs w:val="16"/>
              </w:rPr>
            </w:pPr>
          </w:p>
        </w:tc>
        <w:tc>
          <w:tcPr>
            <w:tcW w:w="245" w:type="dxa"/>
          </w:tcPr>
          <w:p w14:paraId="0063CC79" w14:textId="77777777" w:rsidR="006B26DC" w:rsidRPr="009B546D" w:rsidRDefault="006B26DC" w:rsidP="00F432B9">
            <w:pPr>
              <w:keepNext/>
              <w:keepLines/>
              <w:ind w:left="57"/>
              <w:jc w:val="center"/>
              <w:rPr>
                <w:rFonts w:asciiTheme="minorHAnsi" w:hAnsiTheme="minorHAnsi" w:cstheme="minorHAnsi"/>
                <w:b/>
                <w:kern w:val="16"/>
                <w:sz w:val="16"/>
                <w:szCs w:val="16"/>
              </w:rPr>
            </w:pPr>
          </w:p>
        </w:tc>
        <w:tc>
          <w:tcPr>
            <w:tcW w:w="1327" w:type="dxa"/>
          </w:tcPr>
          <w:p w14:paraId="0FA7F688" w14:textId="77777777" w:rsidR="006B26DC" w:rsidRPr="009B546D" w:rsidRDefault="006B26DC" w:rsidP="00F432B9">
            <w:pPr>
              <w:keepNext/>
              <w:keepLines/>
              <w:ind w:left="57"/>
              <w:jc w:val="center"/>
              <w:rPr>
                <w:rFonts w:asciiTheme="minorHAnsi" w:hAnsiTheme="minorHAnsi" w:cstheme="minorHAnsi"/>
                <w:b/>
                <w:kern w:val="16"/>
                <w:sz w:val="16"/>
                <w:szCs w:val="16"/>
              </w:rPr>
            </w:pPr>
          </w:p>
        </w:tc>
        <w:tc>
          <w:tcPr>
            <w:tcW w:w="233" w:type="dxa"/>
          </w:tcPr>
          <w:p w14:paraId="39A97834" w14:textId="77777777" w:rsidR="006B26DC" w:rsidRPr="009B546D" w:rsidRDefault="006B26DC" w:rsidP="00F432B9">
            <w:pPr>
              <w:keepNext/>
              <w:keepLines/>
              <w:ind w:left="57"/>
              <w:jc w:val="center"/>
              <w:rPr>
                <w:rFonts w:asciiTheme="minorHAnsi" w:hAnsiTheme="minorHAnsi" w:cstheme="minorHAnsi"/>
                <w:b/>
                <w:kern w:val="16"/>
                <w:sz w:val="16"/>
                <w:szCs w:val="16"/>
              </w:rPr>
            </w:pPr>
          </w:p>
        </w:tc>
        <w:tc>
          <w:tcPr>
            <w:tcW w:w="1143" w:type="dxa"/>
          </w:tcPr>
          <w:p w14:paraId="35753EF6" w14:textId="77777777" w:rsidR="006B26DC" w:rsidRPr="009B546D" w:rsidRDefault="006B26DC" w:rsidP="00F432B9">
            <w:pPr>
              <w:keepNext/>
              <w:keepLines/>
              <w:ind w:left="57"/>
              <w:jc w:val="center"/>
              <w:rPr>
                <w:rFonts w:asciiTheme="minorHAnsi" w:hAnsiTheme="minorHAnsi" w:cstheme="minorHAnsi"/>
                <w:b/>
                <w:kern w:val="16"/>
                <w:sz w:val="16"/>
                <w:szCs w:val="16"/>
              </w:rPr>
            </w:pPr>
          </w:p>
        </w:tc>
      </w:tr>
      <w:tr w:rsidR="006B26DC" w:rsidRPr="00E42C6E" w14:paraId="49B544D1" w14:textId="77777777" w:rsidTr="00D632CF">
        <w:tc>
          <w:tcPr>
            <w:tcW w:w="2365" w:type="dxa"/>
            <w:vAlign w:val="center"/>
          </w:tcPr>
          <w:p w14:paraId="23EBD0EA" w14:textId="77777777" w:rsidR="006B26DC" w:rsidRPr="009B546D" w:rsidRDefault="006B26DC" w:rsidP="00496B89">
            <w:pPr>
              <w:keepNext/>
              <w:keepLines/>
              <w:ind w:left="57"/>
              <w:jc w:val="left"/>
              <w:rPr>
                <w:rFonts w:asciiTheme="minorHAnsi" w:hAnsiTheme="minorHAnsi" w:cstheme="minorHAnsi"/>
                <w:kern w:val="16"/>
                <w:sz w:val="16"/>
                <w:szCs w:val="16"/>
              </w:rPr>
            </w:pPr>
            <w:r w:rsidRPr="00384557">
              <w:rPr>
                <w:rFonts w:asciiTheme="minorHAnsi" w:hAnsiTheme="minorHAnsi" w:cstheme="minorHAnsi"/>
                <w:kern w:val="16"/>
                <w:sz w:val="16"/>
                <w:szCs w:val="16"/>
              </w:rPr>
              <w:t>Revenue</w:t>
            </w:r>
          </w:p>
        </w:tc>
        <w:tc>
          <w:tcPr>
            <w:tcW w:w="245" w:type="dxa"/>
          </w:tcPr>
          <w:p w14:paraId="28BA6FC2" w14:textId="77777777" w:rsidR="006B26DC" w:rsidRPr="009B546D" w:rsidRDefault="006B26DC" w:rsidP="00F432B9">
            <w:pPr>
              <w:keepNext/>
              <w:keepLines/>
              <w:ind w:left="57"/>
              <w:jc w:val="center"/>
              <w:rPr>
                <w:rFonts w:asciiTheme="minorHAnsi" w:hAnsiTheme="minorHAnsi" w:cstheme="minorHAnsi"/>
                <w:kern w:val="16"/>
                <w:sz w:val="16"/>
                <w:szCs w:val="16"/>
              </w:rPr>
            </w:pPr>
          </w:p>
        </w:tc>
        <w:tc>
          <w:tcPr>
            <w:tcW w:w="1439" w:type="dxa"/>
            <w:vAlign w:val="center"/>
          </w:tcPr>
          <w:p w14:paraId="135E3BA6"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w:t>
            </w:r>
          </w:p>
        </w:tc>
        <w:tc>
          <w:tcPr>
            <w:tcW w:w="281" w:type="dxa"/>
            <w:vAlign w:val="center"/>
          </w:tcPr>
          <w:p w14:paraId="2122FE70"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405" w:type="dxa"/>
            <w:vAlign w:val="center"/>
          </w:tcPr>
          <w:p w14:paraId="5687CBD4"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208</w:t>
            </w:r>
          </w:p>
        </w:tc>
        <w:tc>
          <w:tcPr>
            <w:tcW w:w="245" w:type="dxa"/>
            <w:vAlign w:val="center"/>
          </w:tcPr>
          <w:p w14:paraId="32A3663F"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327" w:type="dxa"/>
            <w:vAlign w:val="center"/>
          </w:tcPr>
          <w:p w14:paraId="41965DBF"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w:t>
            </w:r>
          </w:p>
        </w:tc>
        <w:tc>
          <w:tcPr>
            <w:tcW w:w="233" w:type="dxa"/>
            <w:vAlign w:val="center"/>
          </w:tcPr>
          <w:p w14:paraId="40974094"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143" w:type="dxa"/>
            <w:vAlign w:val="center"/>
          </w:tcPr>
          <w:p w14:paraId="05953F97"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208</w:t>
            </w:r>
          </w:p>
        </w:tc>
      </w:tr>
      <w:tr w:rsidR="006B26DC" w:rsidRPr="00E42C6E" w14:paraId="5650EF8B" w14:textId="77777777" w:rsidTr="00D632CF">
        <w:tc>
          <w:tcPr>
            <w:tcW w:w="2365" w:type="dxa"/>
            <w:vAlign w:val="center"/>
          </w:tcPr>
          <w:p w14:paraId="4A1DF246" w14:textId="77777777" w:rsidR="006B26DC" w:rsidRPr="009B546D" w:rsidRDefault="006B26DC" w:rsidP="00496B89">
            <w:pPr>
              <w:keepNext/>
              <w:keepLines/>
              <w:ind w:left="57"/>
              <w:jc w:val="left"/>
              <w:rPr>
                <w:rFonts w:asciiTheme="minorHAnsi" w:hAnsiTheme="minorHAnsi" w:cstheme="minorHAnsi"/>
                <w:kern w:val="16"/>
                <w:sz w:val="16"/>
                <w:szCs w:val="16"/>
              </w:rPr>
            </w:pPr>
            <w:r w:rsidRPr="00384557">
              <w:rPr>
                <w:rFonts w:asciiTheme="minorHAnsi" w:hAnsiTheme="minorHAnsi" w:cstheme="minorHAnsi"/>
                <w:kern w:val="16"/>
                <w:sz w:val="16"/>
                <w:szCs w:val="16"/>
              </w:rPr>
              <w:t>Cost of sales</w:t>
            </w:r>
          </w:p>
        </w:tc>
        <w:tc>
          <w:tcPr>
            <w:tcW w:w="245" w:type="dxa"/>
          </w:tcPr>
          <w:p w14:paraId="79E433EE" w14:textId="77777777" w:rsidR="006B26DC" w:rsidRPr="009B546D" w:rsidRDefault="006B26DC" w:rsidP="00F432B9">
            <w:pPr>
              <w:keepNext/>
              <w:keepLines/>
              <w:ind w:left="57"/>
              <w:jc w:val="center"/>
              <w:rPr>
                <w:rFonts w:asciiTheme="minorHAnsi" w:hAnsiTheme="minorHAnsi" w:cstheme="minorHAnsi"/>
                <w:kern w:val="16"/>
                <w:sz w:val="16"/>
                <w:szCs w:val="16"/>
              </w:rPr>
            </w:pPr>
          </w:p>
        </w:tc>
        <w:tc>
          <w:tcPr>
            <w:tcW w:w="1439" w:type="dxa"/>
            <w:tcBorders>
              <w:bottom w:val="single" w:sz="4" w:space="0" w:color="auto"/>
            </w:tcBorders>
            <w:vAlign w:val="center"/>
          </w:tcPr>
          <w:p w14:paraId="42A91CC2"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w:t>
            </w:r>
          </w:p>
        </w:tc>
        <w:tc>
          <w:tcPr>
            <w:tcW w:w="281" w:type="dxa"/>
            <w:vAlign w:val="center"/>
          </w:tcPr>
          <w:p w14:paraId="6CC11C82"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405" w:type="dxa"/>
            <w:tcBorders>
              <w:bottom w:val="single" w:sz="4" w:space="0" w:color="auto"/>
            </w:tcBorders>
            <w:vAlign w:val="center"/>
          </w:tcPr>
          <w:p w14:paraId="476FA5DB"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(58)</w:t>
            </w:r>
          </w:p>
        </w:tc>
        <w:tc>
          <w:tcPr>
            <w:tcW w:w="245" w:type="dxa"/>
            <w:vAlign w:val="center"/>
          </w:tcPr>
          <w:p w14:paraId="213A9B80"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327" w:type="dxa"/>
            <w:tcBorders>
              <w:bottom w:val="single" w:sz="4" w:space="0" w:color="auto"/>
            </w:tcBorders>
            <w:vAlign w:val="center"/>
          </w:tcPr>
          <w:p w14:paraId="606C4847"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w:t>
            </w:r>
          </w:p>
        </w:tc>
        <w:tc>
          <w:tcPr>
            <w:tcW w:w="233" w:type="dxa"/>
            <w:vAlign w:val="center"/>
          </w:tcPr>
          <w:p w14:paraId="351DB046"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143" w:type="dxa"/>
            <w:tcBorders>
              <w:bottom w:val="single" w:sz="4" w:space="0" w:color="auto"/>
            </w:tcBorders>
            <w:vAlign w:val="center"/>
          </w:tcPr>
          <w:p w14:paraId="4F003729"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(58)</w:t>
            </w:r>
          </w:p>
        </w:tc>
      </w:tr>
      <w:tr w:rsidR="006B26DC" w:rsidRPr="00E42C6E" w14:paraId="444F911C" w14:textId="77777777" w:rsidTr="00D632CF">
        <w:tc>
          <w:tcPr>
            <w:tcW w:w="2365" w:type="dxa"/>
            <w:vAlign w:val="center"/>
          </w:tcPr>
          <w:p w14:paraId="7A02848E" w14:textId="77777777" w:rsidR="006B26DC" w:rsidRPr="009B546D" w:rsidRDefault="006B26DC" w:rsidP="00496B89">
            <w:pPr>
              <w:keepNext/>
              <w:keepLines/>
              <w:ind w:left="57"/>
              <w:jc w:val="left"/>
              <w:rPr>
                <w:rFonts w:asciiTheme="minorHAnsi" w:hAnsiTheme="minorHAnsi" w:cstheme="minorHAnsi"/>
                <w:kern w:val="16"/>
                <w:sz w:val="16"/>
                <w:szCs w:val="16"/>
              </w:rPr>
            </w:pPr>
            <w:r w:rsidRPr="00384557">
              <w:rPr>
                <w:rFonts w:asciiTheme="minorHAnsi" w:hAnsiTheme="minorHAnsi" w:cstheme="minorHAnsi"/>
                <w:kern w:val="16"/>
                <w:sz w:val="16"/>
                <w:szCs w:val="16"/>
              </w:rPr>
              <w:t>Gross profit</w:t>
            </w:r>
          </w:p>
        </w:tc>
        <w:tc>
          <w:tcPr>
            <w:tcW w:w="245" w:type="dxa"/>
          </w:tcPr>
          <w:p w14:paraId="4DA42C5A" w14:textId="77777777" w:rsidR="006B26DC" w:rsidRPr="009B546D" w:rsidRDefault="006B26DC" w:rsidP="00F432B9">
            <w:pPr>
              <w:keepNext/>
              <w:keepLines/>
              <w:ind w:left="57"/>
              <w:jc w:val="center"/>
              <w:rPr>
                <w:rFonts w:asciiTheme="minorHAnsi" w:hAnsiTheme="minorHAnsi" w:cstheme="minorHAnsi"/>
                <w:kern w:val="16"/>
                <w:sz w:val="16"/>
                <w:szCs w:val="16"/>
              </w:rPr>
            </w:pPr>
          </w:p>
        </w:tc>
        <w:tc>
          <w:tcPr>
            <w:tcW w:w="1439" w:type="dxa"/>
            <w:tcBorders>
              <w:top w:val="single" w:sz="4" w:space="0" w:color="auto"/>
            </w:tcBorders>
            <w:vAlign w:val="center"/>
          </w:tcPr>
          <w:p w14:paraId="2E4660C6"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w:t>
            </w:r>
          </w:p>
        </w:tc>
        <w:tc>
          <w:tcPr>
            <w:tcW w:w="281" w:type="dxa"/>
            <w:vAlign w:val="center"/>
          </w:tcPr>
          <w:p w14:paraId="5CFB4ADE"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405" w:type="dxa"/>
            <w:tcBorders>
              <w:top w:val="single" w:sz="4" w:space="0" w:color="auto"/>
            </w:tcBorders>
            <w:vAlign w:val="center"/>
          </w:tcPr>
          <w:p w14:paraId="2F7416AB"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150</w:t>
            </w:r>
          </w:p>
        </w:tc>
        <w:tc>
          <w:tcPr>
            <w:tcW w:w="245" w:type="dxa"/>
            <w:vAlign w:val="center"/>
          </w:tcPr>
          <w:p w14:paraId="139666CE"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327" w:type="dxa"/>
            <w:tcBorders>
              <w:top w:val="single" w:sz="4" w:space="0" w:color="auto"/>
            </w:tcBorders>
            <w:vAlign w:val="center"/>
          </w:tcPr>
          <w:p w14:paraId="0BF2A7A8"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w:t>
            </w:r>
          </w:p>
        </w:tc>
        <w:tc>
          <w:tcPr>
            <w:tcW w:w="233" w:type="dxa"/>
            <w:vAlign w:val="center"/>
          </w:tcPr>
          <w:p w14:paraId="7716A20F"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143" w:type="dxa"/>
            <w:tcBorders>
              <w:top w:val="single" w:sz="4" w:space="0" w:color="auto"/>
            </w:tcBorders>
            <w:vAlign w:val="center"/>
          </w:tcPr>
          <w:p w14:paraId="3A5404F9"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150</w:t>
            </w:r>
          </w:p>
        </w:tc>
      </w:tr>
      <w:tr w:rsidR="006B26DC" w:rsidRPr="00E42C6E" w14:paraId="5FA1D9AA" w14:textId="77777777" w:rsidTr="00D632CF">
        <w:tc>
          <w:tcPr>
            <w:tcW w:w="2365" w:type="dxa"/>
            <w:vAlign w:val="center"/>
          </w:tcPr>
          <w:p w14:paraId="3B7EB20B" w14:textId="77777777" w:rsidR="006B26DC" w:rsidRPr="00384557" w:rsidRDefault="006B26DC" w:rsidP="00496B89">
            <w:pPr>
              <w:keepNext/>
              <w:keepLines/>
              <w:ind w:left="57"/>
              <w:jc w:val="left"/>
              <w:rPr>
                <w:rFonts w:asciiTheme="minorHAnsi" w:hAnsiTheme="minorHAnsi" w:cstheme="minorHAnsi"/>
                <w:kern w:val="16"/>
                <w:sz w:val="16"/>
                <w:szCs w:val="16"/>
              </w:rPr>
            </w:pPr>
          </w:p>
        </w:tc>
        <w:tc>
          <w:tcPr>
            <w:tcW w:w="245" w:type="dxa"/>
          </w:tcPr>
          <w:p w14:paraId="068125CB" w14:textId="77777777" w:rsidR="006B26DC" w:rsidRPr="009B546D" w:rsidRDefault="006B26DC" w:rsidP="00F432B9">
            <w:pPr>
              <w:keepNext/>
              <w:keepLines/>
              <w:ind w:left="57"/>
              <w:jc w:val="center"/>
              <w:rPr>
                <w:rFonts w:asciiTheme="minorHAnsi" w:hAnsiTheme="minorHAnsi" w:cstheme="minorHAnsi"/>
                <w:kern w:val="16"/>
                <w:sz w:val="16"/>
                <w:szCs w:val="16"/>
              </w:rPr>
            </w:pPr>
          </w:p>
        </w:tc>
        <w:tc>
          <w:tcPr>
            <w:tcW w:w="1439" w:type="dxa"/>
            <w:vAlign w:val="center"/>
          </w:tcPr>
          <w:p w14:paraId="23938F66"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281" w:type="dxa"/>
            <w:vAlign w:val="center"/>
          </w:tcPr>
          <w:p w14:paraId="6EF10DCD"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405" w:type="dxa"/>
            <w:vAlign w:val="center"/>
          </w:tcPr>
          <w:p w14:paraId="30AB51D5"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245" w:type="dxa"/>
            <w:vAlign w:val="center"/>
          </w:tcPr>
          <w:p w14:paraId="376F22A2"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327" w:type="dxa"/>
            <w:vAlign w:val="center"/>
          </w:tcPr>
          <w:p w14:paraId="3D907AEA"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233" w:type="dxa"/>
            <w:vAlign w:val="center"/>
          </w:tcPr>
          <w:p w14:paraId="6AC84995"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143" w:type="dxa"/>
            <w:vAlign w:val="center"/>
          </w:tcPr>
          <w:p w14:paraId="20BBCC85" w14:textId="77777777" w:rsidR="006B26DC" w:rsidRPr="009B546D" w:rsidRDefault="006B26DC" w:rsidP="00F432B9">
            <w:pPr>
              <w:keepNext/>
              <w:keepLines/>
              <w:ind w:left="57"/>
              <w:jc w:val="right"/>
              <w:rPr>
                <w:rFonts w:asciiTheme="minorHAnsi" w:hAnsiTheme="minorHAnsi" w:cstheme="minorHAnsi"/>
                <w:kern w:val="16"/>
                <w:sz w:val="16"/>
                <w:szCs w:val="16"/>
              </w:rPr>
            </w:pPr>
          </w:p>
        </w:tc>
      </w:tr>
      <w:tr w:rsidR="006B26DC" w:rsidRPr="00E42C6E" w14:paraId="64937A96" w14:textId="77777777" w:rsidTr="00D632CF">
        <w:trPr>
          <w:trHeight w:val="237"/>
        </w:trPr>
        <w:tc>
          <w:tcPr>
            <w:tcW w:w="2365" w:type="dxa"/>
            <w:vAlign w:val="center"/>
          </w:tcPr>
          <w:p w14:paraId="5F28364F" w14:textId="77777777" w:rsidR="006B26DC" w:rsidRPr="009B546D" w:rsidRDefault="006B26DC" w:rsidP="00496B89">
            <w:pPr>
              <w:keepNext/>
              <w:keepLines/>
              <w:ind w:left="57"/>
              <w:jc w:val="left"/>
              <w:rPr>
                <w:rFonts w:asciiTheme="minorHAnsi" w:hAnsiTheme="minorHAnsi" w:cstheme="minorHAnsi"/>
                <w:kern w:val="16"/>
                <w:sz w:val="16"/>
                <w:szCs w:val="16"/>
              </w:rPr>
            </w:pPr>
            <w:r w:rsidRPr="00384557">
              <w:rPr>
                <w:rFonts w:asciiTheme="minorHAnsi" w:hAnsiTheme="minorHAnsi" w:cstheme="minorHAnsi"/>
                <w:kern w:val="16"/>
                <w:sz w:val="16"/>
                <w:szCs w:val="16"/>
              </w:rPr>
              <w:t>Other income</w:t>
            </w:r>
          </w:p>
        </w:tc>
        <w:tc>
          <w:tcPr>
            <w:tcW w:w="245" w:type="dxa"/>
          </w:tcPr>
          <w:p w14:paraId="24B84F97" w14:textId="77777777" w:rsidR="006B26DC" w:rsidRPr="009B546D" w:rsidRDefault="006B26DC" w:rsidP="00F432B9">
            <w:pPr>
              <w:keepNext/>
              <w:keepLines/>
              <w:ind w:left="57"/>
              <w:jc w:val="center"/>
              <w:rPr>
                <w:rFonts w:asciiTheme="minorHAnsi" w:hAnsiTheme="minorHAnsi" w:cstheme="minorHAnsi"/>
                <w:kern w:val="16"/>
                <w:sz w:val="16"/>
                <w:szCs w:val="16"/>
              </w:rPr>
            </w:pPr>
          </w:p>
        </w:tc>
        <w:tc>
          <w:tcPr>
            <w:tcW w:w="1439" w:type="dxa"/>
            <w:vAlign w:val="center"/>
          </w:tcPr>
          <w:p w14:paraId="4DD213FE"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w:t>
            </w:r>
          </w:p>
        </w:tc>
        <w:tc>
          <w:tcPr>
            <w:tcW w:w="281" w:type="dxa"/>
            <w:vAlign w:val="center"/>
          </w:tcPr>
          <w:p w14:paraId="0F55E3B3"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405" w:type="dxa"/>
            <w:vAlign w:val="center"/>
          </w:tcPr>
          <w:p w14:paraId="6D0CF722"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2</w:t>
            </w:r>
          </w:p>
        </w:tc>
        <w:tc>
          <w:tcPr>
            <w:tcW w:w="245" w:type="dxa"/>
            <w:vAlign w:val="center"/>
          </w:tcPr>
          <w:p w14:paraId="2571BA88"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327" w:type="dxa"/>
            <w:vAlign w:val="center"/>
          </w:tcPr>
          <w:p w14:paraId="170DAB88"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w:t>
            </w:r>
          </w:p>
        </w:tc>
        <w:tc>
          <w:tcPr>
            <w:tcW w:w="233" w:type="dxa"/>
            <w:vAlign w:val="center"/>
          </w:tcPr>
          <w:p w14:paraId="027A35C2"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143" w:type="dxa"/>
            <w:vAlign w:val="center"/>
          </w:tcPr>
          <w:p w14:paraId="256D138B"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2</w:t>
            </w:r>
          </w:p>
        </w:tc>
      </w:tr>
      <w:tr w:rsidR="006B26DC" w:rsidRPr="00E42C6E" w14:paraId="2EF75ADF" w14:textId="77777777" w:rsidTr="00D632CF">
        <w:tc>
          <w:tcPr>
            <w:tcW w:w="2365" w:type="dxa"/>
            <w:vAlign w:val="center"/>
          </w:tcPr>
          <w:p w14:paraId="08D2BB17" w14:textId="77777777" w:rsidR="006B26DC" w:rsidRPr="009B546D" w:rsidRDefault="006B26DC" w:rsidP="00496B89">
            <w:pPr>
              <w:keepNext/>
              <w:keepLines/>
              <w:ind w:left="57"/>
              <w:jc w:val="left"/>
              <w:rPr>
                <w:rFonts w:asciiTheme="minorHAnsi" w:hAnsiTheme="minorHAnsi" w:cstheme="minorHAnsi"/>
                <w:kern w:val="16"/>
                <w:sz w:val="16"/>
                <w:szCs w:val="16"/>
              </w:rPr>
            </w:pPr>
            <w:r w:rsidRPr="00384557">
              <w:rPr>
                <w:rFonts w:asciiTheme="minorHAnsi" w:hAnsiTheme="minorHAnsi" w:cstheme="minorHAnsi"/>
                <w:kern w:val="16"/>
                <w:sz w:val="16"/>
                <w:szCs w:val="16"/>
              </w:rPr>
              <w:t>Admin expenses</w:t>
            </w:r>
          </w:p>
        </w:tc>
        <w:tc>
          <w:tcPr>
            <w:tcW w:w="245" w:type="dxa"/>
          </w:tcPr>
          <w:p w14:paraId="176018BB" w14:textId="77777777" w:rsidR="006B26DC" w:rsidRPr="009B546D" w:rsidRDefault="006B26DC" w:rsidP="00F432B9">
            <w:pPr>
              <w:keepNext/>
              <w:keepLines/>
              <w:ind w:left="57"/>
              <w:jc w:val="center"/>
              <w:rPr>
                <w:rFonts w:asciiTheme="minorHAnsi" w:hAnsiTheme="minorHAnsi" w:cstheme="minorHAnsi"/>
                <w:kern w:val="16"/>
                <w:sz w:val="16"/>
                <w:szCs w:val="16"/>
              </w:rPr>
            </w:pPr>
          </w:p>
        </w:tc>
        <w:tc>
          <w:tcPr>
            <w:tcW w:w="1439" w:type="dxa"/>
            <w:vAlign w:val="center"/>
          </w:tcPr>
          <w:p w14:paraId="5CA17A53"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(488)</w:t>
            </w:r>
          </w:p>
        </w:tc>
        <w:tc>
          <w:tcPr>
            <w:tcW w:w="281" w:type="dxa"/>
            <w:vAlign w:val="center"/>
          </w:tcPr>
          <w:p w14:paraId="39DEAB6D"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405" w:type="dxa"/>
            <w:vAlign w:val="center"/>
          </w:tcPr>
          <w:p w14:paraId="2E63564E"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(57)</w:t>
            </w:r>
          </w:p>
        </w:tc>
        <w:tc>
          <w:tcPr>
            <w:tcW w:w="245" w:type="dxa"/>
            <w:vAlign w:val="center"/>
          </w:tcPr>
          <w:p w14:paraId="33F2C2C8"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327" w:type="dxa"/>
            <w:vAlign w:val="center"/>
          </w:tcPr>
          <w:p w14:paraId="03274156"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w:t>
            </w:r>
          </w:p>
        </w:tc>
        <w:tc>
          <w:tcPr>
            <w:tcW w:w="233" w:type="dxa"/>
            <w:vAlign w:val="center"/>
          </w:tcPr>
          <w:p w14:paraId="14022915"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143" w:type="dxa"/>
            <w:vAlign w:val="center"/>
          </w:tcPr>
          <w:p w14:paraId="31EEBDE2"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(545)</w:t>
            </w:r>
          </w:p>
        </w:tc>
      </w:tr>
      <w:tr w:rsidR="006B26DC" w:rsidRPr="00E42C6E" w14:paraId="5B0C6757" w14:textId="77777777" w:rsidTr="00D632CF">
        <w:tc>
          <w:tcPr>
            <w:tcW w:w="2365" w:type="dxa"/>
            <w:vAlign w:val="center"/>
          </w:tcPr>
          <w:p w14:paraId="6265F9B2" w14:textId="77777777" w:rsidR="006B26DC" w:rsidRPr="009B546D" w:rsidRDefault="006B26DC" w:rsidP="00496B89">
            <w:pPr>
              <w:keepNext/>
              <w:keepLines/>
              <w:ind w:left="57"/>
              <w:jc w:val="left"/>
              <w:rPr>
                <w:rFonts w:asciiTheme="minorHAnsi" w:hAnsiTheme="minorHAnsi" w:cstheme="minorHAnsi"/>
                <w:kern w:val="16"/>
                <w:sz w:val="16"/>
                <w:szCs w:val="16"/>
              </w:rPr>
            </w:pPr>
            <w:r w:rsidRPr="00384557">
              <w:rPr>
                <w:rFonts w:asciiTheme="minorHAnsi" w:hAnsiTheme="minorHAnsi" w:cstheme="minorHAnsi"/>
                <w:kern w:val="16"/>
                <w:sz w:val="16"/>
                <w:szCs w:val="16"/>
              </w:rPr>
              <w:t>Loss on foreign exchange</w:t>
            </w:r>
          </w:p>
        </w:tc>
        <w:tc>
          <w:tcPr>
            <w:tcW w:w="245" w:type="dxa"/>
          </w:tcPr>
          <w:p w14:paraId="7D2915F3" w14:textId="77777777" w:rsidR="006B26DC" w:rsidRPr="009B546D" w:rsidRDefault="006B26DC" w:rsidP="00F432B9">
            <w:pPr>
              <w:keepNext/>
              <w:keepLines/>
              <w:ind w:left="57"/>
              <w:jc w:val="center"/>
              <w:rPr>
                <w:rFonts w:asciiTheme="minorHAnsi" w:hAnsiTheme="minorHAnsi" w:cstheme="minorHAnsi"/>
                <w:kern w:val="16"/>
                <w:sz w:val="16"/>
                <w:szCs w:val="16"/>
              </w:rPr>
            </w:pPr>
          </w:p>
        </w:tc>
        <w:tc>
          <w:tcPr>
            <w:tcW w:w="1439" w:type="dxa"/>
            <w:vAlign w:val="center"/>
          </w:tcPr>
          <w:p w14:paraId="2C3C07E2"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(36)</w:t>
            </w:r>
          </w:p>
        </w:tc>
        <w:tc>
          <w:tcPr>
            <w:tcW w:w="281" w:type="dxa"/>
            <w:vAlign w:val="center"/>
          </w:tcPr>
          <w:p w14:paraId="160745A4"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405" w:type="dxa"/>
            <w:vAlign w:val="center"/>
          </w:tcPr>
          <w:p w14:paraId="30076491"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w:t>
            </w:r>
          </w:p>
        </w:tc>
        <w:tc>
          <w:tcPr>
            <w:tcW w:w="245" w:type="dxa"/>
            <w:vAlign w:val="center"/>
          </w:tcPr>
          <w:p w14:paraId="26A9ED2A"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327" w:type="dxa"/>
            <w:vAlign w:val="center"/>
          </w:tcPr>
          <w:p w14:paraId="5FFC199B"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w:t>
            </w:r>
          </w:p>
        </w:tc>
        <w:tc>
          <w:tcPr>
            <w:tcW w:w="233" w:type="dxa"/>
            <w:vAlign w:val="center"/>
          </w:tcPr>
          <w:p w14:paraId="656F35BC"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143" w:type="dxa"/>
            <w:vAlign w:val="center"/>
          </w:tcPr>
          <w:p w14:paraId="766D52BF"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(36)</w:t>
            </w:r>
          </w:p>
        </w:tc>
      </w:tr>
      <w:tr w:rsidR="00426711" w:rsidRPr="00E42C6E" w14:paraId="1A666A89" w14:textId="77777777" w:rsidTr="00D632CF">
        <w:tc>
          <w:tcPr>
            <w:tcW w:w="2365" w:type="dxa"/>
            <w:vAlign w:val="center"/>
          </w:tcPr>
          <w:p w14:paraId="59770DD1" w14:textId="7E1F2FD9" w:rsidR="00426711" w:rsidRPr="00384557" w:rsidRDefault="009F51CF" w:rsidP="00496B89">
            <w:pPr>
              <w:keepNext/>
              <w:keepLines/>
              <w:ind w:left="57"/>
              <w:jc w:val="left"/>
              <w:rPr>
                <w:rFonts w:cstheme="minorHAnsi"/>
                <w:kern w:val="16"/>
                <w:sz w:val="16"/>
                <w:szCs w:val="16"/>
              </w:rPr>
            </w:pPr>
            <w:r>
              <w:rPr>
                <w:rFonts w:cstheme="minorHAnsi"/>
                <w:kern w:val="16"/>
                <w:sz w:val="16"/>
                <w:szCs w:val="16"/>
              </w:rPr>
              <w:t>Transaction</w:t>
            </w:r>
            <w:r w:rsidR="00426711" w:rsidRPr="0023681A">
              <w:rPr>
                <w:rFonts w:cstheme="minorHAnsi"/>
                <w:kern w:val="16"/>
                <w:sz w:val="16"/>
                <w:szCs w:val="16"/>
              </w:rPr>
              <w:t xml:space="preserve"> costs</w:t>
            </w:r>
          </w:p>
        </w:tc>
        <w:tc>
          <w:tcPr>
            <w:tcW w:w="245" w:type="dxa"/>
          </w:tcPr>
          <w:p w14:paraId="4759EB95" w14:textId="77777777" w:rsidR="00426711" w:rsidRPr="009B546D" w:rsidRDefault="00426711" w:rsidP="00F432B9">
            <w:pPr>
              <w:keepNext/>
              <w:keepLines/>
              <w:ind w:left="57"/>
              <w:jc w:val="center"/>
              <w:rPr>
                <w:rFonts w:cstheme="minorHAnsi"/>
                <w:kern w:val="16"/>
                <w:sz w:val="16"/>
                <w:szCs w:val="16"/>
              </w:rPr>
            </w:pPr>
          </w:p>
        </w:tc>
        <w:tc>
          <w:tcPr>
            <w:tcW w:w="1439" w:type="dxa"/>
            <w:vAlign w:val="center"/>
          </w:tcPr>
          <w:p w14:paraId="5FAF991B" w14:textId="1ED0832B" w:rsidR="00426711" w:rsidRPr="009B546D" w:rsidRDefault="00426711" w:rsidP="00F432B9">
            <w:pPr>
              <w:keepNext/>
              <w:keepLines/>
              <w:ind w:left="57"/>
              <w:jc w:val="right"/>
              <w:rPr>
                <w:rFonts w:cstheme="minorHAnsi"/>
                <w:kern w:val="16"/>
                <w:sz w:val="16"/>
                <w:szCs w:val="16"/>
              </w:rPr>
            </w:pPr>
            <w:r>
              <w:rPr>
                <w:rFonts w:cstheme="minorHAnsi"/>
                <w:kern w:val="16"/>
                <w:sz w:val="16"/>
                <w:szCs w:val="16"/>
              </w:rPr>
              <w:t>-</w:t>
            </w:r>
          </w:p>
        </w:tc>
        <w:tc>
          <w:tcPr>
            <w:tcW w:w="281" w:type="dxa"/>
            <w:vAlign w:val="center"/>
          </w:tcPr>
          <w:p w14:paraId="6E9182D0" w14:textId="77777777" w:rsidR="00426711" w:rsidRPr="009B546D" w:rsidRDefault="00426711" w:rsidP="00F432B9">
            <w:pPr>
              <w:keepNext/>
              <w:keepLines/>
              <w:ind w:left="57"/>
              <w:jc w:val="right"/>
              <w:rPr>
                <w:rFonts w:cstheme="minorHAnsi"/>
                <w:kern w:val="16"/>
                <w:sz w:val="16"/>
                <w:szCs w:val="16"/>
              </w:rPr>
            </w:pPr>
          </w:p>
        </w:tc>
        <w:tc>
          <w:tcPr>
            <w:tcW w:w="1405" w:type="dxa"/>
            <w:vAlign w:val="center"/>
          </w:tcPr>
          <w:p w14:paraId="5F5455E1" w14:textId="4044C84F" w:rsidR="00426711" w:rsidRPr="009B546D" w:rsidRDefault="00426711" w:rsidP="00F432B9">
            <w:pPr>
              <w:keepNext/>
              <w:keepLines/>
              <w:ind w:left="57"/>
              <w:jc w:val="right"/>
              <w:rPr>
                <w:rFonts w:cstheme="minorHAnsi"/>
                <w:kern w:val="16"/>
                <w:sz w:val="16"/>
                <w:szCs w:val="16"/>
              </w:rPr>
            </w:pPr>
            <w:r>
              <w:rPr>
                <w:rFonts w:cstheme="minorHAnsi"/>
                <w:kern w:val="16"/>
                <w:sz w:val="16"/>
                <w:szCs w:val="16"/>
              </w:rPr>
              <w:t>-</w:t>
            </w:r>
          </w:p>
        </w:tc>
        <w:tc>
          <w:tcPr>
            <w:tcW w:w="245" w:type="dxa"/>
            <w:vAlign w:val="center"/>
          </w:tcPr>
          <w:p w14:paraId="416F7D5E" w14:textId="77777777" w:rsidR="00426711" w:rsidRPr="009B546D" w:rsidRDefault="00426711" w:rsidP="00F432B9">
            <w:pPr>
              <w:keepNext/>
              <w:keepLines/>
              <w:ind w:left="57"/>
              <w:jc w:val="right"/>
              <w:rPr>
                <w:rFonts w:cstheme="minorHAnsi"/>
                <w:kern w:val="16"/>
                <w:sz w:val="16"/>
                <w:szCs w:val="16"/>
              </w:rPr>
            </w:pPr>
          </w:p>
        </w:tc>
        <w:tc>
          <w:tcPr>
            <w:tcW w:w="1327" w:type="dxa"/>
            <w:vAlign w:val="center"/>
          </w:tcPr>
          <w:p w14:paraId="6D2956D0" w14:textId="223B0DE7" w:rsidR="00426711" w:rsidRPr="00EA2BB6" w:rsidRDefault="00426711" w:rsidP="00F432B9">
            <w:pPr>
              <w:keepNext/>
              <w:keepLines/>
              <w:ind w:left="57"/>
              <w:jc w:val="right"/>
              <w:rPr>
                <w:rFonts w:asciiTheme="minorHAnsi" w:hAnsiTheme="minorHAnsi" w:cstheme="minorHAnsi"/>
                <w:kern w:val="16"/>
                <w:sz w:val="16"/>
                <w:szCs w:val="16"/>
              </w:rPr>
            </w:pPr>
            <w:r w:rsidRPr="00426711">
              <w:rPr>
                <w:rFonts w:cstheme="minorHAnsi"/>
                <w:kern w:val="16"/>
                <w:sz w:val="16"/>
                <w:szCs w:val="16"/>
              </w:rPr>
              <w:t>(364)</w:t>
            </w:r>
          </w:p>
        </w:tc>
        <w:tc>
          <w:tcPr>
            <w:tcW w:w="233" w:type="dxa"/>
            <w:vAlign w:val="center"/>
          </w:tcPr>
          <w:p w14:paraId="65F45755" w14:textId="77777777" w:rsidR="00426711" w:rsidRPr="00EA2BB6" w:rsidRDefault="00426711" w:rsidP="00F432B9">
            <w:pPr>
              <w:keepNext/>
              <w:keepLines/>
              <w:ind w:left="57"/>
              <w:jc w:val="right"/>
              <w:rPr>
                <w:rFonts w:asciiTheme="minorHAnsi" w:hAnsiTheme="minorHAnsi" w:cstheme="minorHAnsi"/>
                <w:kern w:val="16"/>
                <w:sz w:val="16"/>
                <w:szCs w:val="16"/>
              </w:rPr>
            </w:pPr>
          </w:p>
        </w:tc>
        <w:tc>
          <w:tcPr>
            <w:tcW w:w="1143" w:type="dxa"/>
            <w:vAlign w:val="center"/>
          </w:tcPr>
          <w:p w14:paraId="69C735C3" w14:textId="2BD2E776" w:rsidR="00426711" w:rsidRPr="009B546D" w:rsidRDefault="00426711" w:rsidP="00F432B9">
            <w:pPr>
              <w:keepNext/>
              <w:keepLines/>
              <w:ind w:left="57"/>
              <w:jc w:val="right"/>
              <w:rPr>
                <w:rFonts w:cstheme="minorHAnsi"/>
                <w:kern w:val="16"/>
                <w:sz w:val="16"/>
                <w:szCs w:val="16"/>
              </w:rPr>
            </w:pPr>
            <w:r>
              <w:rPr>
                <w:rFonts w:cstheme="minorHAnsi"/>
                <w:kern w:val="16"/>
                <w:sz w:val="16"/>
                <w:szCs w:val="16"/>
              </w:rPr>
              <w:t>(364)</w:t>
            </w:r>
          </w:p>
        </w:tc>
      </w:tr>
      <w:tr w:rsidR="006B26DC" w:rsidRPr="00E42C6E" w14:paraId="42D97348" w14:textId="77777777" w:rsidTr="00D632CF">
        <w:tc>
          <w:tcPr>
            <w:tcW w:w="2365" w:type="dxa"/>
            <w:vAlign w:val="center"/>
          </w:tcPr>
          <w:p w14:paraId="05E55B7C" w14:textId="77777777" w:rsidR="006B26DC" w:rsidRPr="009B546D" w:rsidRDefault="006B26DC" w:rsidP="00496B89">
            <w:pPr>
              <w:keepNext/>
              <w:keepLines/>
              <w:ind w:left="57"/>
              <w:jc w:val="left"/>
              <w:rPr>
                <w:rFonts w:asciiTheme="minorHAnsi" w:hAnsiTheme="minorHAnsi" w:cstheme="minorHAnsi"/>
                <w:kern w:val="16"/>
                <w:sz w:val="16"/>
                <w:szCs w:val="16"/>
              </w:rPr>
            </w:pPr>
            <w:r w:rsidRPr="00384557">
              <w:rPr>
                <w:rFonts w:asciiTheme="minorHAnsi" w:hAnsiTheme="minorHAnsi" w:cstheme="minorHAnsi"/>
                <w:kern w:val="16"/>
                <w:sz w:val="16"/>
                <w:szCs w:val="16"/>
              </w:rPr>
              <w:t>Finance income</w:t>
            </w:r>
          </w:p>
        </w:tc>
        <w:tc>
          <w:tcPr>
            <w:tcW w:w="245" w:type="dxa"/>
          </w:tcPr>
          <w:p w14:paraId="4AF36695" w14:textId="77777777" w:rsidR="006B26DC" w:rsidRPr="009B546D" w:rsidRDefault="006B26DC" w:rsidP="00F432B9">
            <w:pPr>
              <w:keepNext/>
              <w:keepLines/>
              <w:ind w:left="57"/>
              <w:jc w:val="center"/>
              <w:rPr>
                <w:rFonts w:asciiTheme="minorHAnsi" w:hAnsiTheme="minorHAnsi" w:cstheme="minorHAnsi"/>
                <w:kern w:val="16"/>
                <w:sz w:val="16"/>
                <w:szCs w:val="16"/>
              </w:rPr>
            </w:pPr>
          </w:p>
        </w:tc>
        <w:tc>
          <w:tcPr>
            <w:tcW w:w="1439" w:type="dxa"/>
            <w:tcBorders>
              <w:bottom w:val="single" w:sz="4" w:space="0" w:color="auto"/>
            </w:tcBorders>
            <w:vAlign w:val="center"/>
          </w:tcPr>
          <w:p w14:paraId="76B3475B"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20</w:t>
            </w:r>
          </w:p>
        </w:tc>
        <w:tc>
          <w:tcPr>
            <w:tcW w:w="281" w:type="dxa"/>
            <w:vAlign w:val="center"/>
          </w:tcPr>
          <w:p w14:paraId="56C5571B"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405" w:type="dxa"/>
            <w:tcBorders>
              <w:bottom w:val="single" w:sz="4" w:space="0" w:color="auto"/>
            </w:tcBorders>
            <w:vAlign w:val="center"/>
          </w:tcPr>
          <w:p w14:paraId="6BAB9A1F"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w:t>
            </w:r>
          </w:p>
        </w:tc>
        <w:tc>
          <w:tcPr>
            <w:tcW w:w="245" w:type="dxa"/>
            <w:vAlign w:val="center"/>
          </w:tcPr>
          <w:p w14:paraId="31448602"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327" w:type="dxa"/>
            <w:tcBorders>
              <w:bottom w:val="single" w:sz="4" w:space="0" w:color="auto"/>
            </w:tcBorders>
            <w:vAlign w:val="center"/>
          </w:tcPr>
          <w:p w14:paraId="2CD5C030"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w:t>
            </w:r>
          </w:p>
        </w:tc>
        <w:tc>
          <w:tcPr>
            <w:tcW w:w="233" w:type="dxa"/>
            <w:vAlign w:val="center"/>
          </w:tcPr>
          <w:p w14:paraId="1F3AB387"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143" w:type="dxa"/>
            <w:tcBorders>
              <w:bottom w:val="single" w:sz="4" w:space="0" w:color="auto"/>
            </w:tcBorders>
            <w:vAlign w:val="center"/>
          </w:tcPr>
          <w:p w14:paraId="2A05FD76"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20</w:t>
            </w:r>
          </w:p>
        </w:tc>
      </w:tr>
      <w:tr w:rsidR="006B26DC" w:rsidRPr="00E42C6E" w14:paraId="4C700A34" w14:textId="77777777" w:rsidTr="00D632CF">
        <w:tc>
          <w:tcPr>
            <w:tcW w:w="2365" w:type="dxa"/>
            <w:vAlign w:val="center"/>
          </w:tcPr>
          <w:p w14:paraId="2B285BB6" w14:textId="77777777" w:rsidR="006B26DC" w:rsidRPr="009B546D" w:rsidRDefault="006B26DC" w:rsidP="00496B89">
            <w:pPr>
              <w:keepNext/>
              <w:keepLines/>
              <w:ind w:left="57"/>
              <w:jc w:val="left"/>
              <w:rPr>
                <w:rFonts w:asciiTheme="minorHAnsi" w:hAnsiTheme="minorHAnsi" w:cstheme="minorHAnsi"/>
                <w:b/>
                <w:kern w:val="16"/>
                <w:sz w:val="16"/>
                <w:szCs w:val="16"/>
              </w:rPr>
            </w:pPr>
            <w:r w:rsidRPr="00384557">
              <w:rPr>
                <w:rFonts w:asciiTheme="minorHAnsi" w:hAnsiTheme="minorHAnsi" w:cstheme="minorHAnsi"/>
                <w:b/>
                <w:kern w:val="16"/>
                <w:sz w:val="16"/>
                <w:szCs w:val="16"/>
              </w:rPr>
              <w:t>(Loss)/profit before taxation</w:t>
            </w:r>
          </w:p>
        </w:tc>
        <w:tc>
          <w:tcPr>
            <w:tcW w:w="245" w:type="dxa"/>
          </w:tcPr>
          <w:p w14:paraId="465324B1" w14:textId="77777777" w:rsidR="006B26DC" w:rsidRPr="009B546D" w:rsidRDefault="006B26DC" w:rsidP="00F432B9">
            <w:pPr>
              <w:keepNext/>
              <w:keepLines/>
              <w:ind w:left="57"/>
              <w:jc w:val="center"/>
              <w:rPr>
                <w:rFonts w:asciiTheme="minorHAnsi" w:hAnsiTheme="minorHAnsi" w:cstheme="minorHAnsi"/>
                <w:b/>
                <w:kern w:val="16"/>
                <w:sz w:val="16"/>
                <w:szCs w:val="16"/>
              </w:rPr>
            </w:pPr>
          </w:p>
        </w:tc>
        <w:tc>
          <w:tcPr>
            <w:tcW w:w="1439" w:type="dxa"/>
            <w:tcBorders>
              <w:top w:val="single" w:sz="4" w:space="0" w:color="auto"/>
            </w:tcBorders>
            <w:vAlign w:val="center"/>
          </w:tcPr>
          <w:p w14:paraId="7EB37064" w14:textId="77777777" w:rsidR="006B26DC" w:rsidRPr="009B546D" w:rsidRDefault="006B26DC" w:rsidP="00F432B9">
            <w:pPr>
              <w:keepNext/>
              <w:keepLines/>
              <w:ind w:left="57"/>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(504)</w:t>
            </w:r>
          </w:p>
        </w:tc>
        <w:tc>
          <w:tcPr>
            <w:tcW w:w="281" w:type="dxa"/>
            <w:vAlign w:val="center"/>
          </w:tcPr>
          <w:p w14:paraId="44EBA137"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1405" w:type="dxa"/>
            <w:tcBorders>
              <w:top w:val="single" w:sz="4" w:space="0" w:color="auto"/>
            </w:tcBorders>
            <w:vAlign w:val="center"/>
          </w:tcPr>
          <w:p w14:paraId="1E94A29C" w14:textId="77777777" w:rsidR="006B26DC" w:rsidRPr="009B546D" w:rsidRDefault="006B26DC" w:rsidP="00F432B9">
            <w:pPr>
              <w:keepNext/>
              <w:keepLines/>
              <w:ind w:left="57"/>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95</w:t>
            </w:r>
          </w:p>
        </w:tc>
        <w:tc>
          <w:tcPr>
            <w:tcW w:w="245" w:type="dxa"/>
            <w:vAlign w:val="center"/>
          </w:tcPr>
          <w:p w14:paraId="472EF62A"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1327" w:type="dxa"/>
            <w:tcBorders>
              <w:top w:val="single" w:sz="4" w:space="0" w:color="auto"/>
            </w:tcBorders>
            <w:vAlign w:val="center"/>
          </w:tcPr>
          <w:p w14:paraId="6FA68BA3" w14:textId="77777777" w:rsidR="006B26DC" w:rsidRPr="009B546D" w:rsidRDefault="006B26DC" w:rsidP="00F432B9">
            <w:pPr>
              <w:keepNext/>
              <w:keepLines/>
              <w:ind w:left="57"/>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w:t>
            </w:r>
          </w:p>
        </w:tc>
        <w:tc>
          <w:tcPr>
            <w:tcW w:w="233" w:type="dxa"/>
            <w:vAlign w:val="center"/>
          </w:tcPr>
          <w:p w14:paraId="6347D902"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1143" w:type="dxa"/>
            <w:tcBorders>
              <w:top w:val="single" w:sz="4" w:space="0" w:color="auto"/>
            </w:tcBorders>
            <w:vAlign w:val="center"/>
          </w:tcPr>
          <w:p w14:paraId="565D180A" w14:textId="62DE088B" w:rsidR="006B26DC" w:rsidRPr="009B546D" w:rsidRDefault="005962A7" w:rsidP="00F432B9">
            <w:pPr>
              <w:keepNext/>
              <w:keepLines/>
              <w:ind w:left="57"/>
              <w:jc w:val="right"/>
              <w:rPr>
                <w:rFonts w:asciiTheme="minorHAnsi" w:hAnsiTheme="minorHAnsi" w:cstheme="minorHAnsi"/>
                <w:b/>
                <w:kern w:val="16"/>
                <w:sz w:val="16"/>
                <w:szCs w:val="16"/>
              </w:rPr>
            </w:pPr>
            <w:r>
              <w:rPr>
                <w:rFonts w:asciiTheme="minorHAnsi" w:hAnsiTheme="minorHAnsi" w:cstheme="minorHAnsi"/>
                <w:b/>
                <w:kern w:val="16"/>
                <w:sz w:val="16"/>
                <w:szCs w:val="16"/>
              </w:rPr>
              <w:t>(723</w:t>
            </w:r>
            <w:r w:rsidR="006B26DC" w:rsidRPr="009B546D">
              <w:rPr>
                <w:rFonts w:asciiTheme="minorHAnsi" w:hAnsiTheme="minorHAnsi" w:cstheme="minorHAnsi"/>
                <w:b/>
                <w:kern w:val="16"/>
                <w:sz w:val="16"/>
                <w:szCs w:val="16"/>
              </w:rPr>
              <w:t>)</w:t>
            </w:r>
          </w:p>
        </w:tc>
      </w:tr>
      <w:tr w:rsidR="006B26DC" w:rsidRPr="00E42C6E" w14:paraId="6BD53A43" w14:textId="77777777" w:rsidTr="00D632CF">
        <w:tc>
          <w:tcPr>
            <w:tcW w:w="2365" w:type="dxa"/>
            <w:vAlign w:val="center"/>
          </w:tcPr>
          <w:p w14:paraId="01444D2D" w14:textId="77777777" w:rsidR="006B26DC" w:rsidRPr="00384557" w:rsidRDefault="006B26DC" w:rsidP="00496B89">
            <w:pPr>
              <w:keepNext/>
              <w:keepLines/>
              <w:ind w:left="57"/>
              <w:jc w:val="left"/>
              <w:rPr>
                <w:rFonts w:asciiTheme="minorHAnsi" w:hAnsiTheme="minorHAnsi" w:cstheme="minorHAnsi"/>
                <w:b/>
                <w:kern w:val="16"/>
                <w:sz w:val="16"/>
                <w:szCs w:val="16"/>
              </w:rPr>
            </w:pPr>
          </w:p>
        </w:tc>
        <w:tc>
          <w:tcPr>
            <w:tcW w:w="245" w:type="dxa"/>
          </w:tcPr>
          <w:p w14:paraId="34517A7C" w14:textId="77777777" w:rsidR="006B26DC" w:rsidRPr="009B546D" w:rsidRDefault="006B26DC" w:rsidP="00F432B9">
            <w:pPr>
              <w:keepNext/>
              <w:keepLines/>
              <w:ind w:left="57"/>
              <w:jc w:val="center"/>
              <w:rPr>
                <w:rFonts w:asciiTheme="minorHAnsi" w:hAnsiTheme="minorHAnsi" w:cstheme="minorHAnsi"/>
                <w:b/>
                <w:kern w:val="16"/>
                <w:sz w:val="16"/>
                <w:szCs w:val="16"/>
              </w:rPr>
            </w:pPr>
          </w:p>
        </w:tc>
        <w:tc>
          <w:tcPr>
            <w:tcW w:w="1439" w:type="dxa"/>
            <w:vAlign w:val="center"/>
          </w:tcPr>
          <w:p w14:paraId="34D4B74C"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281" w:type="dxa"/>
            <w:vAlign w:val="center"/>
          </w:tcPr>
          <w:p w14:paraId="5F88B231"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1405" w:type="dxa"/>
            <w:vAlign w:val="center"/>
          </w:tcPr>
          <w:p w14:paraId="1A28E040"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245" w:type="dxa"/>
            <w:vAlign w:val="center"/>
          </w:tcPr>
          <w:p w14:paraId="2D2FBC56"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1327" w:type="dxa"/>
            <w:vAlign w:val="center"/>
          </w:tcPr>
          <w:p w14:paraId="1B58F4DA"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233" w:type="dxa"/>
            <w:vAlign w:val="center"/>
          </w:tcPr>
          <w:p w14:paraId="3EB61F38"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1143" w:type="dxa"/>
            <w:vAlign w:val="center"/>
          </w:tcPr>
          <w:p w14:paraId="6BD880E1" w14:textId="77777777" w:rsidR="006B26DC" w:rsidRPr="009B546D" w:rsidRDefault="006B26DC" w:rsidP="00F432B9">
            <w:pPr>
              <w:keepNext/>
              <w:keepLines/>
              <w:ind w:left="57"/>
              <w:jc w:val="right"/>
              <w:rPr>
                <w:rFonts w:asciiTheme="minorHAnsi" w:hAnsiTheme="minorHAnsi" w:cstheme="minorHAnsi"/>
                <w:b/>
                <w:kern w:val="16"/>
                <w:sz w:val="16"/>
                <w:szCs w:val="16"/>
              </w:rPr>
            </w:pPr>
          </w:p>
        </w:tc>
      </w:tr>
      <w:tr w:rsidR="006B26DC" w:rsidRPr="00E42C6E" w14:paraId="63AAB249" w14:textId="77777777" w:rsidTr="00D632CF">
        <w:tc>
          <w:tcPr>
            <w:tcW w:w="2365" w:type="dxa"/>
            <w:vAlign w:val="center"/>
          </w:tcPr>
          <w:p w14:paraId="6E29065C" w14:textId="77777777" w:rsidR="006B26DC" w:rsidRPr="009B546D" w:rsidRDefault="006B26DC" w:rsidP="00496B89">
            <w:pPr>
              <w:keepNext/>
              <w:keepLines/>
              <w:ind w:left="57"/>
              <w:jc w:val="left"/>
              <w:rPr>
                <w:rFonts w:asciiTheme="minorHAnsi" w:hAnsiTheme="minorHAnsi" w:cstheme="minorHAnsi"/>
                <w:kern w:val="16"/>
                <w:sz w:val="16"/>
                <w:szCs w:val="16"/>
              </w:rPr>
            </w:pPr>
            <w:r w:rsidRPr="00384557">
              <w:rPr>
                <w:rFonts w:asciiTheme="minorHAnsi" w:hAnsiTheme="minorHAnsi" w:cstheme="minorHAnsi"/>
                <w:kern w:val="16"/>
                <w:sz w:val="16"/>
                <w:szCs w:val="16"/>
              </w:rPr>
              <w:t>Taxation</w:t>
            </w:r>
          </w:p>
        </w:tc>
        <w:tc>
          <w:tcPr>
            <w:tcW w:w="245" w:type="dxa"/>
          </w:tcPr>
          <w:p w14:paraId="36E5F886" w14:textId="77777777" w:rsidR="006B26DC" w:rsidRPr="009B546D" w:rsidRDefault="006B26DC" w:rsidP="00F432B9">
            <w:pPr>
              <w:keepNext/>
              <w:keepLines/>
              <w:ind w:left="57"/>
              <w:jc w:val="center"/>
              <w:rPr>
                <w:rFonts w:asciiTheme="minorHAnsi" w:hAnsiTheme="minorHAnsi" w:cstheme="minorHAnsi"/>
                <w:kern w:val="16"/>
                <w:sz w:val="16"/>
                <w:szCs w:val="16"/>
              </w:rPr>
            </w:pPr>
          </w:p>
        </w:tc>
        <w:tc>
          <w:tcPr>
            <w:tcW w:w="1439" w:type="dxa"/>
            <w:tcBorders>
              <w:bottom w:val="single" w:sz="4" w:space="0" w:color="auto"/>
            </w:tcBorders>
            <w:vAlign w:val="center"/>
          </w:tcPr>
          <w:p w14:paraId="2F7C0552"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w:t>
            </w:r>
          </w:p>
        </w:tc>
        <w:tc>
          <w:tcPr>
            <w:tcW w:w="281" w:type="dxa"/>
            <w:vAlign w:val="center"/>
          </w:tcPr>
          <w:p w14:paraId="43E4F00F"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405" w:type="dxa"/>
            <w:tcBorders>
              <w:bottom w:val="single" w:sz="4" w:space="0" w:color="auto"/>
            </w:tcBorders>
            <w:vAlign w:val="center"/>
          </w:tcPr>
          <w:p w14:paraId="40DA3E0D"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(14)</w:t>
            </w:r>
          </w:p>
        </w:tc>
        <w:tc>
          <w:tcPr>
            <w:tcW w:w="245" w:type="dxa"/>
            <w:vAlign w:val="center"/>
          </w:tcPr>
          <w:p w14:paraId="0F8B40F5"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327" w:type="dxa"/>
            <w:tcBorders>
              <w:bottom w:val="single" w:sz="4" w:space="0" w:color="auto"/>
            </w:tcBorders>
            <w:vAlign w:val="center"/>
          </w:tcPr>
          <w:p w14:paraId="6C47AE60"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w:t>
            </w:r>
          </w:p>
        </w:tc>
        <w:tc>
          <w:tcPr>
            <w:tcW w:w="233" w:type="dxa"/>
            <w:vAlign w:val="center"/>
          </w:tcPr>
          <w:p w14:paraId="14F97BA2" w14:textId="77777777" w:rsidR="006B26DC" w:rsidRPr="009B546D" w:rsidRDefault="006B26DC" w:rsidP="00F432B9">
            <w:pPr>
              <w:keepNext/>
              <w:keepLines/>
              <w:ind w:left="57"/>
              <w:jc w:val="right"/>
              <w:rPr>
                <w:rFonts w:asciiTheme="minorHAnsi" w:hAnsiTheme="minorHAnsi" w:cstheme="minorHAnsi"/>
                <w:kern w:val="16"/>
                <w:sz w:val="16"/>
                <w:szCs w:val="16"/>
              </w:rPr>
            </w:pPr>
          </w:p>
        </w:tc>
        <w:tc>
          <w:tcPr>
            <w:tcW w:w="1143" w:type="dxa"/>
            <w:tcBorders>
              <w:bottom w:val="single" w:sz="4" w:space="0" w:color="auto"/>
            </w:tcBorders>
            <w:vAlign w:val="center"/>
          </w:tcPr>
          <w:p w14:paraId="4208B8EA" w14:textId="77777777" w:rsidR="006B26DC" w:rsidRPr="009B546D" w:rsidRDefault="006B26DC" w:rsidP="00F432B9">
            <w:pPr>
              <w:keepNext/>
              <w:keepLines/>
              <w:ind w:left="57"/>
              <w:jc w:val="right"/>
              <w:rPr>
                <w:rFonts w:asciiTheme="minorHAnsi" w:hAnsiTheme="minorHAnsi" w:cstheme="minorHAnsi"/>
                <w:kern w:val="16"/>
                <w:sz w:val="16"/>
                <w:szCs w:val="16"/>
              </w:rPr>
            </w:pPr>
            <w:r w:rsidRPr="009B546D">
              <w:rPr>
                <w:rFonts w:asciiTheme="minorHAnsi" w:hAnsiTheme="minorHAnsi" w:cstheme="minorHAnsi"/>
                <w:kern w:val="16"/>
                <w:sz w:val="16"/>
                <w:szCs w:val="16"/>
              </w:rPr>
              <w:t>(14)</w:t>
            </w:r>
          </w:p>
        </w:tc>
      </w:tr>
      <w:tr w:rsidR="006B26DC" w:rsidRPr="00E42C6E" w14:paraId="2D0D1499" w14:textId="77777777" w:rsidTr="00D632CF">
        <w:tc>
          <w:tcPr>
            <w:tcW w:w="2365" w:type="dxa"/>
            <w:vAlign w:val="center"/>
          </w:tcPr>
          <w:p w14:paraId="26868D16" w14:textId="77777777" w:rsidR="006B26DC" w:rsidRPr="00384557" w:rsidRDefault="006B26DC" w:rsidP="00496B89">
            <w:pPr>
              <w:keepNext/>
              <w:keepLines/>
              <w:ind w:left="57"/>
              <w:jc w:val="left"/>
              <w:rPr>
                <w:rFonts w:asciiTheme="minorHAnsi" w:hAnsiTheme="minorHAnsi" w:cstheme="minorHAnsi"/>
                <w:b/>
                <w:kern w:val="16"/>
                <w:sz w:val="16"/>
                <w:szCs w:val="16"/>
              </w:rPr>
            </w:pPr>
          </w:p>
          <w:p w14:paraId="12DF546B" w14:textId="77777777" w:rsidR="006B26DC" w:rsidRPr="009B546D" w:rsidRDefault="006B26DC" w:rsidP="00F432B9">
            <w:pPr>
              <w:keepNext/>
              <w:keepLines/>
              <w:ind w:left="57"/>
              <w:jc w:val="left"/>
              <w:rPr>
                <w:rFonts w:asciiTheme="minorHAnsi" w:hAnsiTheme="minorHAnsi" w:cstheme="minorHAnsi"/>
                <w:b/>
                <w:kern w:val="16"/>
                <w:sz w:val="16"/>
                <w:szCs w:val="16"/>
              </w:rPr>
            </w:pPr>
            <w:r w:rsidRPr="009B546D">
              <w:rPr>
                <w:rFonts w:asciiTheme="minorHAnsi" w:hAnsiTheme="minorHAnsi" w:cstheme="minorHAnsi"/>
                <w:b/>
                <w:kern w:val="16"/>
                <w:sz w:val="16"/>
                <w:szCs w:val="16"/>
              </w:rPr>
              <w:t>Net profit/(loss)</w:t>
            </w:r>
          </w:p>
        </w:tc>
        <w:tc>
          <w:tcPr>
            <w:tcW w:w="245" w:type="dxa"/>
          </w:tcPr>
          <w:p w14:paraId="1CB65508" w14:textId="77777777" w:rsidR="006B26DC" w:rsidRPr="009B546D" w:rsidRDefault="006B26DC" w:rsidP="00F432B9">
            <w:pPr>
              <w:keepNext/>
              <w:keepLines/>
              <w:ind w:left="57"/>
              <w:jc w:val="center"/>
              <w:rPr>
                <w:rFonts w:asciiTheme="minorHAnsi" w:hAnsiTheme="minorHAnsi" w:cstheme="minorHAnsi"/>
                <w:b/>
                <w:kern w:val="16"/>
                <w:sz w:val="16"/>
                <w:szCs w:val="16"/>
              </w:rPr>
            </w:pPr>
          </w:p>
        </w:tc>
        <w:tc>
          <w:tcPr>
            <w:tcW w:w="1439" w:type="dxa"/>
            <w:tcBorders>
              <w:top w:val="single" w:sz="4" w:space="0" w:color="auto"/>
              <w:bottom w:val="double" w:sz="4" w:space="0" w:color="auto"/>
            </w:tcBorders>
            <w:vAlign w:val="center"/>
          </w:tcPr>
          <w:p w14:paraId="19E8C450" w14:textId="77777777" w:rsidR="006B26DC" w:rsidRPr="009B546D" w:rsidRDefault="006B26DC" w:rsidP="00F432B9">
            <w:pPr>
              <w:keepNext/>
              <w:keepLines/>
              <w:ind w:left="57"/>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(504)</w:t>
            </w:r>
          </w:p>
        </w:tc>
        <w:tc>
          <w:tcPr>
            <w:tcW w:w="281" w:type="dxa"/>
            <w:vAlign w:val="center"/>
          </w:tcPr>
          <w:p w14:paraId="11BFF194"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1405" w:type="dxa"/>
            <w:tcBorders>
              <w:top w:val="single" w:sz="4" w:space="0" w:color="auto"/>
              <w:bottom w:val="double" w:sz="4" w:space="0" w:color="auto"/>
            </w:tcBorders>
            <w:vAlign w:val="center"/>
          </w:tcPr>
          <w:p w14:paraId="0BA37D4E" w14:textId="77777777" w:rsidR="006B26DC" w:rsidRPr="009B546D" w:rsidRDefault="006B26DC" w:rsidP="00F432B9">
            <w:pPr>
              <w:keepNext/>
              <w:keepLines/>
              <w:ind w:left="57"/>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81</w:t>
            </w:r>
          </w:p>
        </w:tc>
        <w:tc>
          <w:tcPr>
            <w:tcW w:w="245" w:type="dxa"/>
            <w:vAlign w:val="center"/>
          </w:tcPr>
          <w:p w14:paraId="1A0AD834"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1327" w:type="dxa"/>
            <w:tcBorders>
              <w:top w:val="single" w:sz="4" w:space="0" w:color="auto"/>
              <w:bottom w:val="double" w:sz="4" w:space="0" w:color="auto"/>
            </w:tcBorders>
            <w:vAlign w:val="center"/>
          </w:tcPr>
          <w:p w14:paraId="2D150594" w14:textId="77777777" w:rsidR="006B26DC" w:rsidRPr="009B546D" w:rsidRDefault="006B26DC" w:rsidP="00F432B9">
            <w:pPr>
              <w:keepNext/>
              <w:keepLines/>
              <w:ind w:left="57"/>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w:t>
            </w:r>
          </w:p>
        </w:tc>
        <w:tc>
          <w:tcPr>
            <w:tcW w:w="233" w:type="dxa"/>
            <w:vAlign w:val="center"/>
          </w:tcPr>
          <w:p w14:paraId="1A83CB92" w14:textId="77777777" w:rsidR="006B26DC" w:rsidRPr="009B546D" w:rsidRDefault="006B26DC" w:rsidP="00F432B9">
            <w:pPr>
              <w:keepNext/>
              <w:keepLines/>
              <w:ind w:left="57"/>
              <w:jc w:val="right"/>
              <w:rPr>
                <w:rFonts w:asciiTheme="minorHAnsi" w:hAnsiTheme="minorHAnsi" w:cstheme="minorHAnsi"/>
                <w:b/>
                <w:kern w:val="16"/>
                <w:sz w:val="16"/>
                <w:szCs w:val="16"/>
              </w:rPr>
            </w:pPr>
          </w:p>
        </w:tc>
        <w:tc>
          <w:tcPr>
            <w:tcW w:w="1143" w:type="dxa"/>
            <w:tcBorders>
              <w:top w:val="single" w:sz="4" w:space="0" w:color="auto"/>
              <w:bottom w:val="double" w:sz="4" w:space="0" w:color="auto"/>
            </w:tcBorders>
            <w:vAlign w:val="center"/>
          </w:tcPr>
          <w:p w14:paraId="4D255A7C" w14:textId="7AFAAE02" w:rsidR="006B26DC" w:rsidRPr="009B546D" w:rsidRDefault="006B26DC" w:rsidP="00F432B9">
            <w:pPr>
              <w:keepNext/>
              <w:keepLines/>
              <w:ind w:left="57"/>
              <w:jc w:val="right"/>
              <w:rPr>
                <w:rFonts w:asciiTheme="minorHAnsi" w:hAnsiTheme="minorHAnsi" w:cstheme="minorHAnsi"/>
                <w:b/>
                <w:kern w:val="16"/>
                <w:sz w:val="16"/>
                <w:szCs w:val="16"/>
              </w:rPr>
            </w:pPr>
            <w:r w:rsidRPr="009B546D">
              <w:rPr>
                <w:rFonts w:asciiTheme="minorHAnsi" w:hAnsiTheme="minorHAnsi" w:cstheme="minorHAnsi"/>
                <w:b/>
                <w:kern w:val="16"/>
                <w:sz w:val="16"/>
                <w:szCs w:val="16"/>
              </w:rPr>
              <w:t>(</w:t>
            </w:r>
            <w:r w:rsidR="005962A7">
              <w:rPr>
                <w:rFonts w:asciiTheme="minorHAnsi" w:hAnsiTheme="minorHAnsi" w:cstheme="minorHAnsi"/>
                <w:b/>
                <w:kern w:val="16"/>
                <w:sz w:val="16"/>
                <w:szCs w:val="16"/>
              </w:rPr>
              <w:t>787</w:t>
            </w:r>
            <w:r w:rsidRPr="009B546D">
              <w:rPr>
                <w:rFonts w:asciiTheme="minorHAnsi" w:hAnsiTheme="minorHAnsi" w:cstheme="minorHAnsi"/>
                <w:b/>
                <w:kern w:val="16"/>
                <w:sz w:val="16"/>
                <w:szCs w:val="16"/>
              </w:rPr>
              <w:t>)</w:t>
            </w:r>
          </w:p>
        </w:tc>
      </w:tr>
    </w:tbl>
    <w:p w14:paraId="69DC0B58" w14:textId="77777777" w:rsidR="006B26DC" w:rsidRPr="00384557" w:rsidRDefault="006B26DC" w:rsidP="00496B89">
      <w:pPr>
        <w:keepNext/>
        <w:keepLines/>
        <w:spacing w:after="0" w:line="240" w:lineRule="auto"/>
        <w:ind w:left="57"/>
        <w:jc w:val="center"/>
        <w:rPr>
          <w:rFonts w:eastAsia="Times New Roman" w:cstheme="minorHAnsi"/>
          <w:b/>
          <w:kern w:val="16"/>
          <w:szCs w:val="20"/>
          <w:lang w:eastAsia="en-GB"/>
        </w:rPr>
      </w:pPr>
    </w:p>
    <w:p w14:paraId="39AC2009" w14:textId="77777777" w:rsidR="006B26DC" w:rsidRPr="009B546D" w:rsidRDefault="006B26DC" w:rsidP="00F432B9">
      <w:pPr>
        <w:spacing w:after="0" w:line="240" w:lineRule="auto"/>
        <w:jc w:val="left"/>
        <w:rPr>
          <w:rFonts w:eastAsia="Times New Roman" w:cstheme="minorHAnsi"/>
          <w:szCs w:val="20"/>
          <w:lang w:eastAsia="en-GB"/>
        </w:rPr>
      </w:pPr>
    </w:p>
    <w:p w14:paraId="1B55D6C8" w14:textId="77777777" w:rsidR="006B26DC" w:rsidRPr="009B546D" w:rsidRDefault="006B26DC" w:rsidP="00F432B9">
      <w:pPr>
        <w:spacing w:after="0" w:line="240" w:lineRule="auto"/>
        <w:jc w:val="left"/>
        <w:rPr>
          <w:rFonts w:eastAsia="Times New Roman" w:cstheme="minorHAnsi"/>
          <w:szCs w:val="20"/>
          <w:lang w:eastAsia="en-GB"/>
        </w:rPr>
      </w:pPr>
      <w:r w:rsidRPr="009B546D">
        <w:rPr>
          <w:rFonts w:eastAsia="Times New Roman" w:cstheme="minorHAnsi"/>
          <w:szCs w:val="20"/>
          <w:lang w:eastAsia="en-GB"/>
        </w:rPr>
        <w:t>Notes:</w:t>
      </w:r>
    </w:p>
    <w:p w14:paraId="471D8482" w14:textId="77777777" w:rsidR="006B26DC" w:rsidRPr="009B546D" w:rsidRDefault="006B26DC" w:rsidP="00F432B9">
      <w:pPr>
        <w:spacing w:after="0" w:line="240" w:lineRule="auto"/>
        <w:jc w:val="left"/>
        <w:rPr>
          <w:rFonts w:eastAsia="Times New Roman" w:cstheme="minorHAnsi"/>
          <w:szCs w:val="20"/>
          <w:lang w:eastAsia="en-GB"/>
        </w:rPr>
      </w:pPr>
    </w:p>
    <w:p w14:paraId="52713E80" w14:textId="5CA6C9FF" w:rsidR="006B26DC" w:rsidRPr="009B546D" w:rsidRDefault="006B26DC" w:rsidP="00EA2BB6">
      <w:pPr>
        <w:numPr>
          <w:ilvl w:val="0"/>
          <w:numId w:val="95"/>
        </w:numPr>
        <w:spacing w:after="200" w:line="240" w:lineRule="auto"/>
        <w:rPr>
          <w:rFonts w:eastAsia="Times New Roman" w:cstheme="minorHAnsi"/>
          <w:szCs w:val="20"/>
          <w:lang w:eastAsia="en-GB"/>
        </w:rPr>
      </w:pPr>
      <w:r w:rsidRPr="009B546D">
        <w:rPr>
          <w:rFonts w:eastAsia="Times New Roman" w:cstheme="minorHAnsi"/>
          <w:szCs w:val="20"/>
          <w:lang w:eastAsia="en-GB"/>
        </w:rPr>
        <w:t>The income of the Company for the year ended 31 October 2019 have been extracted without adjustment from the financial information on the Company for the year ended 31 October 2019 (incorporated by reference) as referred to in Part XIII of this document.</w:t>
      </w:r>
    </w:p>
    <w:p w14:paraId="779BF5C3" w14:textId="694AC664" w:rsidR="006B246E" w:rsidRDefault="006B26DC" w:rsidP="00EA2BB6">
      <w:pPr>
        <w:numPr>
          <w:ilvl w:val="0"/>
          <w:numId w:val="95"/>
        </w:numPr>
        <w:spacing w:after="200" w:line="240" w:lineRule="auto"/>
        <w:rPr>
          <w:rFonts w:eastAsia="Times New Roman" w:cstheme="minorHAnsi"/>
          <w:szCs w:val="20"/>
          <w:lang w:eastAsia="en-GB"/>
        </w:rPr>
      </w:pPr>
      <w:r w:rsidRPr="009B546D">
        <w:rPr>
          <w:rFonts w:eastAsia="Times New Roman" w:cstheme="minorHAnsi"/>
          <w:szCs w:val="20"/>
          <w:lang w:eastAsia="en-GB"/>
        </w:rPr>
        <w:t xml:space="preserve">The translated income statement of Alchemist Codes </w:t>
      </w:r>
      <w:r w:rsidR="008C7A14" w:rsidRPr="009B546D">
        <w:rPr>
          <w:rFonts w:eastAsia="Times New Roman" w:cstheme="minorHAnsi"/>
          <w:szCs w:val="20"/>
          <w:lang w:eastAsia="en-GB"/>
        </w:rPr>
        <w:t>has</w:t>
      </w:r>
      <w:r w:rsidRPr="009B546D">
        <w:rPr>
          <w:rFonts w:eastAsia="Times New Roman" w:cstheme="minorHAnsi"/>
          <w:szCs w:val="20"/>
          <w:lang w:eastAsia="en-GB"/>
        </w:rPr>
        <w:t xml:space="preserve"> been extracted from the historical financial information of Alchemist Codes for the period from 17 April 2018 to </w:t>
      </w:r>
      <w:r w:rsidR="00450DD6" w:rsidRPr="009B546D">
        <w:rPr>
          <w:rFonts w:eastAsia="Times New Roman" w:cstheme="minorHAnsi"/>
          <w:szCs w:val="20"/>
          <w:lang w:eastAsia="en-GB"/>
        </w:rPr>
        <w:t>30 April 2019 and</w:t>
      </w:r>
      <w:r w:rsidRPr="009B546D">
        <w:rPr>
          <w:rFonts w:eastAsia="Times New Roman" w:cstheme="minorHAnsi"/>
          <w:szCs w:val="20"/>
          <w:lang w:eastAsia="en-GB"/>
        </w:rPr>
        <w:t xml:space="preserve"> translated at a rate of 5.34 (GBP:RM), set out in Part XIV of this document.</w:t>
      </w:r>
    </w:p>
    <w:p w14:paraId="299D7229" w14:textId="77777777" w:rsidR="000A6EED" w:rsidRPr="009B546D" w:rsidRDefault="000A6EED" w:rsidP="00EA2BB6">
      <w:pPr>
        <w:numPr>
          <w:ilvl w:val="0"/>
          <w:numId w:val="95"/>
        </w:numPr>
        <w:spacing w:after="200" w:line="240" w:lineRule="auto"/>
        <w:rPr>
          <w:rFonts w:eastAsia="Times New Roman" w:cstheme="minorHAnsi"/>
          <w:szCs w:val="20"/>
          <w:lang w:eastAsia="en-GB"/>
        </w:rPr>
      </w:pPr>
      <w:r w:rsidRPr="009B546D">
        <w:rPr>
          <w:rFonts w:eastAsia="Times New Roman" w:cstheme="minorHAnsi"/>
          <w:szCs w:val="20"/>
          <w:lang w:eastAsia="en-GB"/>
        </w:rPr>
        <w:t>The total expense in connection with the Proposed Acquisition and Re-Admission are estimated at £0.3</w:t>
      </w:r>
      <w:r>
        <w:rPr>
          <w:rFonts w:eastAsia="Times New Roman" w:cstheme="minorHAnsi"/>
          <w:szCs w:val="20"/>
          <w:lang w:eastAsia="en-GB"/>
        </w:rPr>
        <w:t>64</w:t>
      </w:r>
      <w:r w:rsidRPr="009B546D">
        <w:rPr>
          <w:rFonts w:eastAsia="Times New Roman" w:cstheme="minorHAnsi"/>
          <w:szCs w:val="20"/>
          <w:lang w:eastAsia="en-GB"/>
        </w:rPr>
        <w:t xml:space="preserve"> million.</w:t>
      </w:r>
    </w:p>
    <w:p w14:paraId="00C16F0A" w14:textId="77777777" w:rsidR="007373AA" w:rsidRPr="00D70C1E" w:rsidRDefault="007373AA" w:rsidP="00EA2BB6">
      <w:pPr>
        <w:numPr>
          <w:ilvl w:val="0"/>
          <w:numId w:val="95"/>
        </w:numPr>
        <w:spacing w:after="200" w:line="240" w:lineRule="auto"/>
        <w:rPr>
          <w:rFonts w:eastAsia="Times New Roman" w:cstheme="minorHAnsi"/>
          <w:szCs w:val="20"/>
          <w:lang w:eastAsia="en-GB"/>
        </w:rPr>
      </w:pPr>
      <w:r w:rsidRPr="00D70C1E">
        <w:rPr>
          <w:rFonts w:eastAsia="Times New Roman" w:cstheme="minorHAnsi"/>
          <w:szCs w:val="20"/>
          <w:lang w:eastAsia="en-GB"/>
        </w:rPr>
        <w:t>No account has been taken of the financial performance of the Company since 31 October 2019 or of Alchemist Codes since 30 April 2019, nor of any other event save as disclosed above.</w:t>
      </w:r>
    </w:p>
    <w:p w14:paraId="01FEDE29" w14:textId="77777777" w:rsidR="000A6EED" w:rsidRPr="009B546D" w:rsidRDefault="000A6EED" w:rsidP="00EA2BB6">
      <w:pPr>
        <w:spacing w:after="200" w:line="240" w:lineRule="auto"/>
        <w:rPr>
          <w:rFonts w:eastAsia="Times New Roman" w:cstheme="minorHAnsi"/>
          <w:szCs w:val="20"/>
          <w:lang w:eastAsia="en-GB"/>
        </w:rPr>
      </w:pPr>
    </w:p>
    <w:p w14:paraId="093ECEE9" w14:textId="77777777" w:rsidR="006B246E" w:rsidRPr="009B546D" w:rsidRDefault="006B246E" w:rsidP="00F432B9">
      <w:pPr>
        <w:spacing w:line="240" w:lineRule="auto"/>
        <w:jc w:val="left"/>
        <w:rPr>
          <w:rFonts w:eastAsia="Times New Roman" w:cstheme="minorHAnsi"/>
          <w:szCs w:val="20"/>
          <w:lang w:eastAsia="en-GB"/>
        </w:rPr>
      </w:pPr>
      <w:r w:rsidRPr="009B546D">
        <w:rPr>
          <w:rFonts w:eastAsia="Times New Roman" w:cstheme="minorHAnsi"/>
          <w:szCs w:val="20"/>
          <w:lang w:eastAsia="en-GB"/>
        </w:rPr>
        <w:br w:type="page"/>
      </w:r>
    </w:p>
    <w:p w14:paraId="2E6E7CEB" w14:textId="77154C3D" w:rsidR="00D90E1F" w:rsidRPr="009B546D" w:rsidRDefault="00D90E1F" w:rsidP="00F432B9">
      <w:pPr>
        <w:pStyle w:val="Heading1"/>
        <w:keepNext w:val="0"/>
        <w:widowControl w:val="0"/>
        <w:spacing w:line="240" w:lineRule="auto"/>
        <w:jc w:val="center"/>
        <w:rPr>
          <w:rFonts w:asciiTheme="minorHAnsi" w:hAnsiTheme="minorHAnsi" w:cstheme="minorHAnsi"/>
          <w:sz w:val="20"/>
          <w:szCs w:val="20"/>
        </w:rPr>
      </w:pPr>
      <w:bookmarkStart w:id="53" w:name="_Toc35456747"/>
      <w:r w:rsidRPr="009B546D">
        <w:rPr>
          <w:rFonts w:asciiTheme="minorHAnsi" w:hAnsiTheme="minorHAnsi" w:cstheme="minorHAnsi"/>
          <w:sz w:val="20"/>
          <w:szCs w:val="20"/>
        </w:rPr>
        <w:lastRenderedPageBreak/>
        <w:t>Part XVI</w:t>
      </w:r>
      <w:r w:rsidR="00C94917" w:rsidRPr="009B546D">
        <w:rPr>
          <w:rFonts w:asciiTheme="minorHAnsi" w:hAnsiTheme="minorHAnsi" w:cstheme="minorHAnsi"/>
          <w:sz w:val="20"/>
          <w:szCs w:val="20"/>
        </w:rPr>
        <w:t>I</w:t>
      </w:r>
      <w:r w:rsidR="00987B3B">
        <w:rPr>
          <w:rFonts w:asciiTheme="minorHAnsi" w:hAnsiTheme="minorHAnsi" w:cstheme="minorHAnsi"/>
          <w:sz w:val="20"/>
          <w:szCs w:val="20"/>
        </w:rPr>
        <w:t>I</w:t>
      </w:r>
      <w:r w:rsidRPr="009B546D">
        <w:rPr>
          <w:rFonts w:asciiTheme="minorHAnsi" w:hAnsiTheme="minorHAnsi" w:cstheme="minorHAnsi"/>
          <w:sz w:val="20"/>
          <w:szCs w:val="20"/>
        </w:rPr>
        <w:br/>
        <w:t>Taxation</w:t>
      </w:r>
      <w:bookmarkEnd w:id="53"/>
    </w:p>
    <w:p w14:paraId="5FBB162A" w14:textId="77777777" w:rsidR="00D90E1F" w:rsidRPr="009B546D" w:rsidRDefault="00D90E1F" w:rsidP="00F432B9">
      <w:pPr>
        <w:pStyle w:val="Heading2"/>
        <w:keepNext w:val="0"/>
        <w:widowControl w:val="0"/>
        <w:numPr>
          <w:ilvl w:val="0"/>
          <w:numId w:val="6"/>
        </w:numPr>
        <w:spacing w:before="0" w:after="160" w:line="240" w:lineRule="auto"/>
        <w:rPr>
          <w:rFonts w:asciiTheme="minorHAnsi" w:hAnsiTheme="minorHAnsi" w:cstheme="minorHAnsi"/>
          <w:szCs w:val="20"/>
        </w:rPr>
      </w:pPr>
      <w:r w:rsidRPr="009B546D">
        <w:rPr>
          <w:rFonts w:asciiTheme="minorHAnsi" w:hAnsiTheme="minorHAnsi" w:cstheme="minorHAnsi"/>
          <w:szCs w:val="20"/>
        </w:rPr>
        <w:t>Taxation in the UK</w:t>
      </w:r>
    </w:p>
    <w:p w14:paraId="274E3E73" w14:textId="77777777" w:rsidR="00D90E1F" w:rsidRPr="009B546D" w:rsidRDefault="00D90E1F" w:rsidP="00F432B9">
      <w:pPr>
        <w:widowControl w:val="0"/>
        <w:spacing w:line="240" w:lineRule="auto"/>
        <w:rPr>
          <w:rFonts w:cstheme="minorHAnsi"/>
          <w:szCs w:val="20"/>
        </w:rPr>
      </w:pPr>
      <w:r w:rsidRPr="009B546D">
        <w:rPr>
          <w:rFonts w:cstheme="minorHAnsi"/>
          <w:szCs w:val="20"/>
        </w:rPr>
        <w:t>The following information is based on UK tax law and Her Majesty’s Revenue and Customs (“</w:t>
      </w:r>
      <w:r w:rsidRPr="009B546D">
        <w:rPr>
          <w:rFonts w:cstheme="minorHAnsi"/>
          <w:b/>
          <w:bCs/>
          <w:szCs w:val="20"/>
        </w:rPr>
        <w:t>HMRC</w:t>
      </w:r>
      <w:r w:rsidRPr="009B546D">
        <w:rPr>
          <w:rFonts w:cstheme="minorHAnsi"/>
          <w:szCs w:val="20"/>
        </w:rPr>
        <w:t>”) practice currently in force in the UK. Such law and practice (including, without limitation, rates of tax) is in principle subject to change at any time. The information that follows is for guidance purposes only. Any person who is in any doubt about his or her position should contact their professional advisor immediately.</w:t>
      </w:r>
    </w:p>
    <w:p w14:paraId="7FBE788C" w14:textId="77777777" w:rsidR="00D90E1F" w:rsidRPr="009B546D" w:rsidRDefault="00D90E1F" w:rsidP="00F432B9">
      <w:pPr>
        <w:pStyle w:val="Heading2"/>
        <w:keepNext w:val="0"/>
        <w:widowControl w:val="0"/>
        <w:numPr>
          <w:ilvl w:val="1"/>
          <w:numId w:val="6"/>
        </w:numPr>
        <w:spacing w:before="0" w:after="160" w:line="240" w:lineRule="auto"/>
        <w:rPr>
          <w:rFonts w:asciiTheme="minorHAnsi" w:hAnsiTheme="minorHAnsi" w:cstheme="minorHAnsi"/>
          <w:szCs w:val="20"/>
        </w:rPr>
      </w:pPr>
      <w:r w:rsidRPr="009B546D">
        <w:rPr>
          <w:rFonts w:asciiTheme="minorHAnsi" w:hAnsiTheme="minorHAnsi" w:cstheme="minorHAnsi"/>
          <w:szCs w:val="20"/>
        </w:rPr>
        <w:t>Tax treatment of UK investors</w:t>
      </w:r>
    </w:p>
    <w:p w14:paraId="49238A98" w14:textId="77777777" w:rsidR="00D90E1F" w:rsidRPr="009B546D" w:rsidRDefault="00D90E1F" w:rsidP="00F432B9">
      <w:pPr>
        <w:widowControl w:val="0"/>
        <w:spacing w:line="240" w:lineRule="auto"/>
        <w:rPr>
          <w:rFonts w:cstheme="minorHAnsi"/>
          <w:szCs w:val="20"/>
        </w:rPr>
      </w:pPr>
      <w:r w:rsidRPr="009B546D">
        <w:rPr>
          <w:rFonts w:cstheme="minorHAnsi"/>
          <w:szCs w:val="20"/>
        </w:rPr>
        <w:t>The following information, which relates only to UK taxation, is applicable to persons who are resident in the UK and who beneficially own Ordinary Shares as investments and not as securities to be realised in the course of a trade. It is based on the law and practice currently in force in the UK. The information is not exhaustive and does not apply to potential investors:</w:t>
      </w:r>
    </w:p>
    <w:p w14:paraId="7388CD3F" w14:textId="77777777" w:rsidR="00D90E1F" w:rsidRPr="009B546D" w:rsidRDefault="00D90E1F" w:rsidP="00F432B9">
      <w:pPr>
        <w:pStyle w:val="ListParagraph"/>
        <w:numPr>
          <w:ilvl w:val="0"/>
          <w:numId w:val="3"/>
        </w:numPr>
        <w:spacing w:after="160"/>
        <w:ind w:left="426" w:hanging="426"/>
        <w:rPr>
          <w:rFonts w:asciiTheme="minorHAnsi" w:hAnsiTheme="minorHAnsi" w:cstheme="minorHAnsi"/>
          <w:sz w:val="20"/>
          <w:szCs w:val="20"/>
        </w:rPr>
      </w:pPr>
      <w:r w:rsidRPr="009B546D">
        <w:rPr>
          <w:rFonts w:asciiTheme="minorHAnsi" w:hAnsiTheme="minorHAnsi" w:cstheme="minorHAnsi"/>
          <w:sz w:val="20"/>
          <w:szCs w:val="20"/>
        </w:rPr>
        <w:t>who intend to acquire, or may acquire (either on their own or together with persons with whom they are connected or associated for tax purposes), more than 10%, of any of the classes of shares in the Company;</w:t>
      </w:r>
    </w:p>
    <w:p w14:paraId="6236D688" w14:textId="77777777" w:rsidR="00D90E1F" w:rsidRPr="009B546D" w:rsidRDefault="00D90E1F" w:rsidP="00F432B9">
      <w:pPr>
        <w:pStyle w:val="ListParagraph"/>
        <w:numPr>
          <w:ilvl w:val="0"/>
          <w:numId w:val="3"/>
        </w:numPr>
        <w:spacing w:after="160"/>
        <w:ind w:left="426" w:hanging="426"/>
        <w:rPr>
          <w:rFonts w:asciiTheme="minorHAnsi" w:hAnsiTheme="minorHAnsi" w:cstheme="minorHAnsi"/>
          <w:sz w:val="20"/>
          <w:szCs w:val="20"/>
        </w:rPr>
      </w:pPr>
      <w:r w:rsidRPr="009B546D">
        <w:rPr>
          <w:rFonts w:asciiTheme="minorHAnsi" w:hAnsiTheme="minorHAnsi" w:cstheme="minorHAnsi"/>
          <w:sz w:val="20"/>
          <w:szCs w:val="20"/>
        </w:rPr>
        <w:t>who intend to acquire Ordinary Shares as part of tax avoidance arrangements; or</w:t>
      </w:r>
    </w:p>
    <w:p w14:paraId="6CD107EE" w14:textId="77777777" w:rsidR="00D90E1F" w:rsidRPr="009B546D" w:rsidRDefault="00D90E1F" w:rsidP="00F432B9">
      <w:pPr>
        <w:pStyle w:val="ListParagraph"/>
        <w:numPr>
          <w:ilvl w:val="0"/>
          <w:numId w:val="3"/>
        </w:numPr>
        <w:spacing w:after="160"/>
        <w:ind w:left="426" w:hanging="426"/>
        <w:rPr>
          <w:rFonts w:asciiTheme="minorHAnsi" w:hAnsiTheme="minorHAnsi" w:cstheme="minorHAnsi"/>
          <w:sz w:val="20"/>
          <w:szCs w:val="20"/>
        </w:rPr>
      </w:pPr>
      <w:r w:rsidRPr="009B546D">
        <w:rPr>
          <w:rFonts w:asciiTheme="minorHAnsi" w:hAnsiTheme="minorHAnsi" w:cstheme="minorHAnsi"/>
          <w:sz w:val="20"/>
          <w:szCs w:val="20"/>
        </w:rPr>
        <w:t>who are in any doubt as to their taxation position.</w:t>
      </w:r>
    </w:p>
    <w:p w14:paraId="2A2A1E36" w14:textId="77777777" w:rsidR="00D90E1F" w:rsidRPr="009B546D" w:rsidRDefault="00D90E1F" w:rsidP="00F432B9">
      <w:pPr>
        <w:widowControl w:val="0"/>
        <w:spacing w:line="240" w:lineRule="auto"/>
        <w:rPr>
          <w:rFonts w:cstheme="minorHAnsi"/>
          <w:szCs w:val="20"/>
        </w:rPr>
      </w:pPr>
      <w:r w:rsidRPr="009B546D">
        <w:rPr>
          <w:rFonts w:cstheme="minorHAnsi"/>
          <w:szCs w:val="20"/>
        </w:rPr>
        <w:t>Such Shareholders should consult their professional advisers without delay. Shareholders should note that tax law and interpretation can change and that, in particular, the levels, basis of and reliefs from taxation may change. Such changes may alter the benefits of investment in the Company.</w:t>
      </w:r>
    </w:p>
    <w:p w14:paraId="2CD5D50F" w14:textId="77777777" w:rsidR="00D90E1F" w:rsidRPr="009B546D" w:rsidRDefault="00D90E1F" w:rsidP="00F432B9">
      <w:pPr>
        <w:widowControl w:val="0"/>
        <w:spacing w:line="240" w:lineRule="auto"/>
        <w:rPr>
          <w:rFonts w:cstheme="minorHAnsi"/>
          <w:szCs w:val="20"/>
        </w:rPr>
      </w:pPr>
      <w:r w:rsidRPr="009B546D">
        <w:rPr>
          <w:rFonts w:cstheme="minorHAnsi"/>
          <w:szCs w:val="20"/>
        </w:rPr>
        <w:t>Shareholders who are neither resident nor temporarily non-resident in the UK and who do not carry on a trade, profession or vocation through a branch, agency or permanent establishment in the UK with which the Ordinary shares are connected, will not normally be liable to UK taxation on dividends paid by the Company or on capital gains on the sale or other disposal of Ordinary Shares. Such Shareholders should consult their own tax advisers concerning their tax liabilities.</w:t>
      </w:r>
    </w:p>
    <w:p w14:paraId="225B7951" w14:textId="77777777" w:rsidR="00D90E1F" w:rsidRPr="009B546D" w:rsidRDefault="00D90E1F" w:rsidP="00F432B9">
      <w:pPr>
        <w:pStyle w:val="Heading2"/>
        <w:keepNext w:val="0"/>
        <w:widowControl w:val="0"/>
        <w:numPr>
          <w:ilvl w:val="1"/>
          <w:numId w:val="6"/>
        </w:numPr>
        <w:spacing w:before="0" w:after="160" w:line="240" w:lineRule="auto"/>
        <w:rPr>
          <w:rFonts w:asciiTheme="minorHAnsi" w:hAnsiTheme="minorHAnsi" w:cstheme="minorHAnsi"/>
          <w:szCs w:val="20"/>
        </w:rPr>
      </w:pPr>
      <w:r w:rsidRPr="009B546D">
        <w:rPr>
          <w:rFonts w:asciiTheme="minorHAnsi" w:hAnsiTheme="minorHAnsi" w:cstheme="minorHAnsi"/>
          <w:szCs w:val="20"/>
        </w:rPr>
        <w:t>Dividends</w:t>
      </w:r>
    </w:p>
    <w:p w14:paraId="2A49DC3D" w14:textId="695ED3A2" w:rsidR="00D90E1F" w:rsidRPr="009B546D" w:rsidRDefault="00D90E1F" w:rsidP="00F432B9">
      <w:pPr>
        <w:widowControl w:val="0"/>
        <w:spacing w:line="240" w:lineRule="auto"/>
        <w:rPr>
          <w:rFonts w:cstheme="minorHAnsi"/>
          <w:szCs w:val="20"/>
        </w:rPr>
      </w:pPr>
      <w:r w:rsidRPr="009B546D">
        <w:rPr>
          <w:rFonts w:cstheme="minorHAnsi"/>
          <w:szCs w:val="20"/>
        </w:rPr>
        <w:t>Where the Company pays dividends, no UK withholding taxes are deducted at source. Shareholders who are resident in the UK for tax purposes will, depending on their circumstances, be liable to UK income tax or corporation tax on those dividends.</w:t>
      </w:r>
    </w:p>
    <w:p w14:paraId="6E92D265" w14:textId="77777777" w:rsidR="00D90E1F" w:rsidRPr="009B546D" w:rsidRDefault="00D90E1F" w:rsidP="00F432B9">
      <w:pPr>
        <w:widowControl w:val="0"/>
        <w:spacing w:line="240" w:lineRule="auto"/>
        <w:rPr>
          <w:rFonts w:cstheme="minorHAnsi"/>
          <w:szCs w:val="20"/>
        </w:rPr>
      </w:pPr>
      <w:r w:rsidRPr="009B546D">
        <w:rPr>
          <w:rFonts w:cstheme="minorHAnsi"/>
          <w:szCs w:val="20"/>
        </w:rPr>
        <w:t>UK resident individual Shareholders who are domiciled in the UK, and who hold their Ordinary Shares as investments, will be subject to UK income tax on the amount of dividends received from the Company.</w:t>
      </w:r>
    </w:p>
    <w:p w14:paraId="119E5C6A" w14:textId="77777777" w:rsidR="00D90E1F" w:rsidRPr="009B546D" w:rsidRDefault="00D90E1F" w:rsidP="00F432B9">
      <w:pPr>
        <w:widowControl w:val="0"/>
        <w:spacing w:line="240" w:lineRule="auto"/>
        <w:rPr>
          <w:rFonts w:cstheme="minorHAnsi"/>
          <w:szCs w:val="20"/>
        </w:rPr>
      </w:pPr>
      <w:r w:rsidRPr="009B546D">
        <w:rPr>
          <w:rFonts w:cstheme="minorHAnsi"/>
          <w:szCs w:val="20"/>
        </w:rPr>
        <w:t>Dividend income received by UK tax resident individuals will have a £2,000 annum dividend tax allowance. Dividend receipts in excess of £2,000 will be taxed at 7.5% for basic rate taxpayers, 32.5% for higher rate taxpayers, and 38.1% for additional rate taxpayers.</w:t>
      </w:r>
    </w:p>
    <w:p w14:paraId="034BFB65" w14:textId="77777777" w:rsidR="00D90E1F" w:rsidRPr="009B546D" w:rsidRDefault="00D90E1F" w:rsidP="00F432B9">
      <w:pPr>
        <w:widowControl w:val="0"/>
        <w:spacing w:line="240" w:lineRule="auto"/>
        <w:rPr>
          <w:rFonts w:cstheme="minorHAnsi"/>
          <w:szCs w:val="20"/>
        </w:rPr>
      </w:pPr>
      <w:r w:rsidRPr="009B546D">
        <w:rPr>
          <w:rFonts w:cstheme="minorHAnsi"/>
          <w:szCs w:val="20"/>
        </w:rPr>
        <w:t>Shareholders who are subject to UK corporation tax should generally, and subject to certain anti-avoidance provisions, be able to claim exemption from UK corporation tax in respect of any dividend received but will not be entitled to claim relief in respect of any underlying tax.</w:t>
      </w:r>
    </w:p>
    <w:p w14:paraId="14F7FD9A" w14:textId="77777777" w:rsidR="00D90E1F" w:rsidRPr="009B546D" w:rsidRDefault="00D90E1F" w:rsidP="00F432B9">
      <w:pPr>
        <w:pStyle w:val="Heading2"/>
        <w:keepNext w:val="0"/>
        <w:widowControl w:val="0"/>
        <w:numPr>
          <w:ilvl w:val="1"/>
          <w:numId w:val="6"/>
        </w:numPr>
        <w:spacing w:before="0" w:after="160" w:line="240" w:lineRule="auto"/>
        <w:rPr>
          <w:rFonts w:asciiTheme="minorHAnsi" w:hAnsiTheme="minorHAnsi" w:cstheme="minorHAnsi"/>
          <w:szCs w:val="20"/>
        </w:rPr>
      </w:pPr>
      <w:r w:rsidRPr="009B546D">
        <w:rPr>
          <w:rFonts w:asciiTheme="minorHAnsi" w:hAnsiTheme="minorHAnsi" w:cstheme="minorHAnsi"/>
          <w:szCs w:val="20"/>
        </w:rPr>
        <w:t>Disposals of Ordinary Shares</w:t>
      </w:r>
    </w:p>
    <w:p w14:paraId="08C8C15C" w14:textId="77777777" w:rsidR="00D90E1F" w:rsidRPr="009B546D" w:rsidRDefault="00D90E1F" w:rsidP="00F432B9">
      <w:pPr>
        <w:widowControl w:val="0"/>
        <w:spacing w:line="240" w:lineRule="auto"/>
        <w:rPr>
          <w:rFonts w:cstheme="minorHAnsi"/>
          <w:szCs w:val="20"/>
        </w:rPr>
      </w:pPr>
      <w:r w:rsidRPr="009B546D">
        <w:rPr>
          <w:rFonts w:cstheme="minorHAnsi"/>
          <w:szCs w:val="20"/>
        </w:rPr>
        <w:t>Any gain arising on the sale, redemption or other disposal of Ordinary Shares will be taxed at the time of such sale, redemption or disposal as a capital gain.</w:t>
      </w:r>
    </w:p>
    <w:p w14:paraId="18AEAAAF" w14:textId="77777777" w:rsidR="00D90E1F" w:rsidRPr="009B546D" w:rsidRDefault="00D90E1F" w:rsidP="00F432B9">
      <w:pPr>
        <w:widowControl w:val="0"/>
        <w:spacing w:line="240" w:lineRule="auto"/>
        <w:rPr>
          <w:rFonts w:cstheme="minorHAnsi"/>
          <w:szCs w:val="20"/>
        </w:rPr>
      </w:pPr>
      <w:r w:rsidRPr="009B546D">
        <w:rPr>
          <w:rFonts w:cstheme="minorHAnsi"/>
          <w:szCs w:val="20"/>
        </w:rPr>
        <w:t>The rate of capital gains tax on disposal of Ordinary Shares by basic rate taxpayers is 10%, and 20% for upper rate and additional rate taxpayers.</w:t>
      </w:r>
    </w:p>
    <w:p w14:paraId="7FD6C141" w14:textId="4DDEE07D" w:rsidR="00D90E1F" w:rsidRPr="009B546D" w:rsidRDefault="00D90E1F" w:rsidP="00F432B9">
      <w:pPr>
        <w:widowControl w:val="0"/>
        <w:spacing w:line="240" w:lineRule="auto"/>
        <w:rPr>
          <w:rFonts w:cstheme="minorHAnsi"/>
          <w:szCs w:val="20"/>
        </w:rPr>
      </w:pPr>
      <w:r w:rsidRPr="009B546D">
        <w:rPr>
          <w:rFonts w:cstheme="minorHAnsi"/>
          <w:szCs w:val="20"/>
        </w:rPr>
        <w:t xml:space="preserve">For Shareholders within the charge to UK corporation tax, indexation allowance up until 1 January 2018 may reduce any chargeable gain arising on disposal of Ordinary </w:t>
      </w:r>
      <w:r w:rsidR="005416CE" w:rsidRPr="009B546D">
        <w:rPr>
          <w:rFonts w:cstheme="minorHAnsi"/>
          <w:szCs w:val="20"/>
        </w:rPr>
        <w:t>Shares but</w:t>
      </w:r>
      <w:r w:rsidRPr="009B546D">
        <w:rPr>
          <w:rFonts w:cstheme="minorHAnsi"/>
          <w:szCs w:val="20"/>
        </w:rPr>
        <w:t xml:space="preserve"> will not create or increase an allowable loss.</w:t>
      </w:r>
    </w:p>
    <w:p w14:paraId="6CC0D7F7" w14:textId="77777777" w:rsidR="00D90E1F" w:rsidRPr="009B546D" w:rsidRDefault="00D90E1F" w:rsidP="00F432B9">
      <w:pPr>
        <w:widowControl w:val="0"/>
        <w:spacing w:line="240" w:lineRule="auto"/>
        <w:rPr>
          <w:rFonts w:cstheme="minorHAnsi"/>
          <w:szCs w:val="20"/>
        </w:rPr>
      </w:pPr>
      <w:r w:rsidRPr="009B546D">
        <w:rPr>
          <w:rFonts w:cstheme="minorHAnsi"/>
          <w:szCs w:val="20"/>
        </w:rPr>
        <w:t>Subject to certain exemptions, the corporation tax rate applicable to taxable profits is currently 19%, falling to 17% after 1 April 2020.</w:t>
      </w:r>
    </w:p>
    <w:p w14:paraId="3D2A1A96" w14:textId="77777777" w:rsidR="00D90E1F" w:rsidRPr="009B546D" w:rsidRDefault="00D90E1F" w:rsidP="00F432B9">
      <w:pPr>
        <w:pStyle w:val="Heading2"/>
        <w:keepNext w:val="0"/>
        <w:widowControl w:val="0"/>
        <w:numPr>
          <w:ilvl w:val="1"/>
          <w:numId w:val="6"/>
        </w:numPr>
        <w:spacing w:before="0" w:after="160" w:line="240" w:lineRule="auto"/>
        <w:rPr>
          <w:rFonts w:asciiTheme="minorHAnsi" w:hAnsiTheme="minorHAnsi" w:cstheme="minorHAnsi"/>
          <w:szCs w:val="20"/>
        </w:rPr>
      </w:pPr>
      <w:r w:rsidRPr="009B546D">
        <w:rPr>
          <w:rFonts w:asciiTheme="minorHAnsi" w:hAnsiTheme="minorHAnsi" w:cstheme="minorHAnsi"/>
          <w:szCs w:val="20"/>
        </w:rPr>
        <w:lastRenderedPageBreak/>
        <w:t>Further information for Shareholders subject to UK income tax and capital gains tax</w:t>
      </w:r>
    </w:p>
    <w:p w14:paraId="134AD013" w14:textId="77777777" w:rsidR="00D90E1F" w:rsidRPr="009B546D" w:rsidRDefault="00D90E1F" w:rsidP="00F432B9">
      <w:pPr>
        <w:widowControl w:val="0"/>
        <w:spacing w:line="240" w:lineRule="auto"/>
        <w:rPr>
          <w:rFonts w:cstheme="minorHAnsi"/>
          <w:szCs w:val="20"/>
        </w:rPr>
      </w:pPr>
      <w:r w:rsidRPr="009B546D">
        <w:rPr>
          <w:rFonts w:cstheme="minorHAnsi"/>
          <w:i/>
          <w:iCs/>
          <w:szCs w:val="20"/>
        </w:rPr>
        <w:t>“Transactions in securities”</w:t>
      </w:r>
    </w:p>
    <w:p w14:paraId="381D2BBD" w14:textId="77777777" w:rsidR="00D90E1F" w:rsidRPr="009B546D" w:rsidRDefault="00D90E1F" w:rsidP="00F432B9">
      <w:pPr>
        <w:widowControl w:val="0"/>
        <w:spacing w:line="240" w:lineRule="auto"/>
        <w:rPr>
          <w:rFonts w:cstheme="minorHAnsi"/>
          <w:szCs w:val="20"/>
        </w:rPr>
      </w:pPr>
      <w:r w:rsidRPr="009B546D">
        <w:rPr>
          <w:rFonts w:cstheme="minorHAnsi"/>
          <w:szCs w:val="20"/>
        </w:rPr>
        <w:t>The attention of Shareholders (whether corporates or individuals) within the scope of UK taxation is drawn to the provisions set out in, respectively, Part 15 of the Corporation Tax Act 2010 and Chapter 1 of Part 13 of the Income Tax Act 2007, which (in each case) give powers to HMRC to raise tax assessments so as to cancel “tax advantages” derived from certain prescribed “</w:t>
      </w:r>
      <w:r w:rsidRPr="009B546D">
        <w:rPr>
          <w:rFonts w:cstheme="minorHAnsi"/>
          <w:i/>
          <w:iCs/>
          <w:szCs w:val="20"/>
        </w:rPr>
        <w:t>transactions in securities</w:t>
      </w:r>
      <w:r w:rsidRPr="009B546D">
        <w:rPr>
          <w:rFonts w:cstheme="minorHAnsi"/>
          <w:szCs w:val="20"/>
        </w:rPr>
        <w:t>”.</w:t>
      </w:r>
    </w:p>
    <w:p w14:paraId="5223CC66" w14:textId="77777777" w:rsidR="00D90E1F" w:rsidRPr="009B546D" w:rsidRDefault="00D90E1F" w:rsidP="00F432B9">
      <w:pPr>
        <w:pStyle w:val="Heading2"/>
        <w:keepNext w:val="0"/>
        <w:widowControl w:val="0"/>
        <w:numPr>
          <w:ilvl w:val="1"/>
          <w:numId w:val="6"/>
        </w:numPr>
        <w:spacing w:before="0" w:after="160" w:line="240" w:lineRule="auto"/>
        <w:rPr>
          <w:rFonts w:asciiTheme="minorHAnsi" w:hAnsiTheme="minorHAnsi" w:cstheme="minorHAnsi"/>
          <w:szCs w:val="20"/>
        </w:rPr>
      </w:pPr>
      <w:r w:rsidRPr="009B546D">
        <w:rPr>
          <w:rFonts w:asciiTheme="minorHAnsi" w:hAnsiTheme="minorHAnsi" w:cstheme="minorHAnsi"/>
          <w:szCs w:val="20"/>
        </w:rPr>
        <w:t>Stamp Duty and Stamp Duty Reserve Tax</w:t>
      </w:r>
    </w:p>
    <w:p w14:paraId="42653D9F" w14:textId="77777777" w:rsidR="00D90E1F" w:rsidRPr="009B546D" w:rsidRDefault="00D90E1F" w:rsidP="00F432B9">
      <w:pPr>
        <w:widowControl w:val="0"/>
        <w:spacing w:line="240" w:lineRule="auto"/>
        <w:rPr>
          <w:rFonts w:cstheme="minorHAnsi"/>
          <w:szCs w:val="20"/>
        </w:rPr>
      </w:pPr>
      <w:r w:rsidRPr="009B546D">
        <w:rPr>
          <w:rFonts w:cstheme="minorHAnsi"/>
          <w:szCs w:val="20"/>
        </w:rPr>
        <w:t>The statements below are intended as a general guide to the current position. They do not apply to certain intermediaries who are not liable to stamp duty or stamp duty reserve tax or (except where stated otherwise) to persons connected with depositary arrangements or clearance services who may be liable at a higher rate.</w:t>
      </w:r>
    </w:p>
    <w:p w14:paraId="40F9CB10" w14:textId="35E74F54" w:rsidR="00D90E1F" w:rsidRPr="009B546D" w:rsidRDefault="00D90E1F" w:rsidP="00F432B9">
      <w:pPr>
        <w:widowControl w:val="0"/>
        <w:spacing w:line="240" w:lineRule="auto"/>
        <w:rPr>
          <w:rFonts w:cstheme="minorHAnsi"/>
          <w:szCs w:val="20"/>
        </w:rPr>
      </w:pPr>
      <w:r w:rsidRPr="009B546D">
        <w:rPr>
          <w:rFonts w:cstheme="minorHAnsi"/>
          <w:szCs w:val="20"/>
        </w:rPr>
        <w:t>No UK stamp duty or stamp duty reserve tax will be payable on the allotment and issue of Ordinary Shares.</w:t>
      </w:r>
    </w:p>
    <w:p w14:paraId="49EFF788" w14:textId="77777777" w:rsidR="00D90E1F" w:rsidRPr="009B546D" w:rsidRDefault="00D90E1F" w:rsidP="00F432B9">
      <w:pPr>
        <w:widowControl w:val="0"/>
        <w:spacing w:line="240" w:lineRule="auto"/>
        <w:rPr>
          <w:rFonts w:cstheme="minorHAnsi"/>
          <w:szCs w:val="20"/>
        </w:rPr>
      </w:pPr>
      <w:r w:rsidRPr="009B546D">
        <w:rPr>
          <w:rFonts w:cstheme="minorHAnsi"/>
          <w:szCs w:val="20"/>
        </w:rPr>
        <w:t>Most investors will purchase existing Ordinary Shares using the CREST paperless clearance system and these acquisitions will be subject to stamp duty reserve tax at 0.5%. Where Ordinary Shares are acquired using paper (i.e. non-electronic settlement) stamp duty will become payable at 0.5% if the purchase consideration exceeds £1,000.</w:t>
      </w:r>
    </w:p>
    <w:p w14:paraId="15F80AA1" w14:textId="77777777" w:rsidR="00D90E1F" w:rsidRPr="009B546D" w:rsidRDefault="00D90E1F" w:rsidP="00F432B9">
      <w:pPr>
        <w:widowControl w:val="0"/>
        <w:spacing w:line="240" w:lineRule="auto"/>
        <w:rPr>
          <w:rFonts w:cstheme="minorHAnsi"/>
          <w:szCs w:val="20"/>
        </w:rPr>
      </w:pPr>
      <w:r w:rsidRPr="009B546D">
        <w:rPr>
          <w:rFonts w:cstheme="minorHAnsi"/>
          <w:szCs w:val="20"/>
        </w:rPr>
        <w:t>The above comments are intended as a guidance to the general stamp duty and stamp duty reserve tax positions and may not relate to persons such as charities, market makers, brokers, dealers, intermediaries and persons connected with depositary arrangements or clearance services to whom special rules apply.</w:t>
      </w:r>
    </w:p>
    <w:p w14:paraId="67BC7D61" w14:textId="77777777" w:rsidR="00D90E1F" w:rsidRPr="009B546D" w:rsidRDefault="00D90E1F" w:rsidP="00F432B9">
      <w:pPr>
        <w:pStyle w:val="Heading2"/>
        <w:keepNext w:val="0"/>
        <w:widowControl w:val="0"/>
        <w:numPr>
          <w:ilvl w:val="0"/>
          <w:numId w:val="6"/>
        </w:numPr>
        <w:spacing w:before="0" w:after="160" w:line="240" w:lineRule="auto"/>
        <w:rPr>
          <w:rFonts w:asciiTheme="minorHAnsi" w:hAnsiTheme="minorHAnsi" w:cstheme="minorHAnsi"/>
          <w:szCs w:val="20"/>
        </w:rPr>
      </w:pPr>
      <w:r w:rsidRPr="009B546D">
        <w:rPr>
          <w:rFonts w:asciiTheme="minorHAnsi" w:hAnsiTheme="minorHAnsi" w:cstheme="minorHAnsi"/>
          <w:szCs w:val="20"/>
        </w:rPr>
        <w:t>Taxation in the Cayman Islands</w:t>
      </w:r>
    </w:p>
    <w:p w14:paraId="4522E999" w14:textId="77777777" w:rsidR="00D90E1F" w:rsidRPr="009B546D" w:rsidRDefault="00D90E1F" w:rsidP="00F432B9">
      <w:pPr>
        <w:pStyle w:val="Heading2"/>
        <w:keepNext w:val="0"/>
        <w:widowControl w:val="0"/>
        <w:numPr>
          <w:ilvl w:val="1"/>
          <w:numId w:val="6"/>
        </w:numPr>
        <w:spacing w:before="0" w:after="160" w:line="240" w:lineRule="auto"/>
        <w:rPr>
          <w:rFonts w:asciiTheme="minorHAnsi" w:hAnsiTheme="minorHAnsi" w:cstheme="minorHAnsi"/>
          <w:szCs w:val="20"/>
        </w:rPr>
      </w:pPr>
      <w:r w:rsidRPr="009B546D">
        <w:rPr>
          <w:rFonts w:asciiTheme="minorHAnsi" w:hAnsiTheme="minorHAnsi" w:cstheme="minorHAnsi"/>
          <w:szCs w:val="20"/>
        </w:rPr>
        <w:t>General</w:t>
      </w:r>
    </w:p>
    <w:p w14:paraId="4062A41A" w14:textId="77777777" w:rsidR="002C5D1A" w:rsidRPr="009B546D" w:rsidRDefault="00D90E1F" w:rsidP="00F432B9">
      <w:pPr>
        <w:widowControl w:val="0"/>
        <w:spacing w:line="240" w:lineRule="auto"/>
        <w:rPr>
          <w:rFonts w:cstheme="minorHAnsi"/>
          <w:szCs w:val="20"/>
        </w:rPr>
      </w:pPr>
      <w:r w:rsidRPr="009B546D">
        <w:rPr>
          <w:rFonts w:cstheme="minorHAnsi"/>
          <w:szCs w:val="20"/>
        </w:rPr>
        <w:t xml:space="preserve">At the present time, there is no Cayman Islands income tax, corporation tax, capital gains tax or other taxes payable by the Company or the Shareholders. </w:t>
      </w:r>
    </w:p>
    <w:p w14:paraId="558174E7" w14:textId="7A5702E2" w:rsidR="009B712B" w:rsidRPr="009B546D" w:rsidRDefault="009B712B" w:rsidP="00F432B9">
      <w:pPr>
        <w:spacing w:line="240" w:lineRule="auto"/>
        <w:rPr>
          <w:rFonts w:cstheme="minorHAnsi"/>
        </w:rPr>
      </w:pPr>
      <w:r w:rsidRPr="009B546D">
        <w:rPr>
          <w:rFonts w:cstheme="minorHAnsi"/>
        </w:rPr>
        <w:t>Pursuant to the Tax Concessions Law (2011 Revision) of the Cayman Islands, the Company has obtained an undertaking from the Governor-in-Council:</w:t>
      </w:r>
      <w:r w:rsidR="00B575FC">
        <w:rPr>
          <w:rFonts w:cstheme="minorHAnsi"/>
        </w:rPr>
        <w:t xml:space="preserve"> </w:t>
      </w:r>
      <w:r w:rsidRPr="009B546D">
        <w:rPr>
          <w:rFonts w:cstheme="minorHAnsi"/>
        </w:rPr>
        <w:t>(a) that no law which is enacted in the Cayman Islands imposing any tax to be levied on profits or income or gains or appreciation</w:t>
      </w:r>
      <w:r w:rsidRPr="009B546D">
        <w:rPr>
          <w:rFonts w:cstheme="minorHAnsi"/>
          <w:lang w:eastAsia="zh-TW"/>
        </w:rPr>
        <w:t>s</w:t>
      </w:r>
      <w:r w:rsidRPr="009B546D">
        <w:rPr>
          <w:rFonts w:cstheme="minorHAnsi"/>
        </w:rPr>
        <w:t xml:space="preserve"> shall apply to the Company or its operations; and (b) that the aforesaid tax or any tax in the nature of estate duty or inheritance tax shall not be payable on the shares, debentures or other obligations of the Company.</w:t>
      </w:r>
    </w:p>
    <w:p w14:paraId="626EA126" w14:textId="4BFFAC4D" w:rsidR="009B712B" w:rsidRPr="009B546D" w:rsidRDefault="009B712B" w:rsidP="00F432B9">
      <w:pPr>
        <w:spacing w:line="240" w:lineRule="auto"/>
        <w:rPr>
          <w:rFonts w:cstheme="minorHAnsi"/>
        </w:rPr>
      </w:pPr>
      <w:r w:rsidRPr="009B546D">
        <w:rPr>
          <w:rFonts w:cstheme="minorHAnsi"/>
        </w:rPr>
        <w:t xml:space="preserve">The undertaking is for a period of twenty years from </w:t>
      </w:r>
      <w:r w:rsidR="00E77065" w:rsidRPr="009B546D">
        <w:rPr>
          <w:rFonts w:cstheme="minorHAnsi"/>
        </w:rPr>
        <w:t>19 December 2017</w:t>
      </w:r>
      <w:r w:rsidRPr="009B546D">
        <w:rPr>
          <w:rFonts w:cstheme="minorHAnsi"/>
        </w:rPr>
        <w:t>.</w:t>
      </w:r>
    </w:p>
    <w:p w14:paraId="492929D6" w14:textId="77777777" w:rsidR="009B712B" w:rsidRPr="009B546D" w:rsidRDefault="009B712B" w:rsidP="00F432B9">
      <w:pPr>
        <w:spacing w:line="240" w:lineRule="auto"/>
        <w:rPr>
          <w:rFonts w:cstheme="minorHAnsi"/>
        </w:rPr>
      </w:pPr>
      <w:r w:rsidRPr="009B546D">
        <w:rPr>
          <w:rFonts w:cstheme="minorHAnsi"/>
        </w:rPr>
        <w:t xml:space="preserve">The </w:t>
      </w:r>
      <w:smartTag w:uri="urn:schemas-microsoft-com:office:smarttags" w:element="place">
        <w:r w:rsidRPr="009B546D">
          <w:rPr>
            <w:rFonts w:cstheme="minorHAnsi"/>
          </w:rPr>
          <w:t>Cayman Islands</w:t>
        </w:r>
      </w:smartTag>
      <w:r w:rsidRPr="009B546D">
        <w:rPr>
          <w:rFonts w:cstheme="minorHAnsi"/>
        </w:rPr>
        <w:t xml:space="preserve"> are a party to a double tax treaty entered into with the United Kingdom in 2010 but otherwise is not party to any double tax treaties.</w:t>
      </w:r>
    </w:p>
    <w:p w14:paraId="6E980BBF" w14:textId="77169262" w:rsidR="0012768F" w:rsidRPr="009B546D" w:rsidRDefault="009B712B" w:rsidP="00F432B9">
      <w:pPr>
        <w:spacing w:line="240" w:lineRule="auto"/>
        <w:rPr>
          <w:rFonts w:cstheme="minorHAnsi"/>
        </w:rPr>
      </w:pPr>
      <w:r w:rsidRPr="009B546D">
        <w:rPr>
          <w:rFonts w:cstheme="minorHAnsi"/>
        </w:rPr>
        <w:t xml:space="preserve">Certain stamp duties may be applicable, from time to time, on certain instruments executed in or brought into the </w:t>
      </w:r>
      <w:smartTag w:uri="urn:schemas-microsoft-com:office:smarttags" w:element="place">
        <w:r w:rsidRPr="009B546D">
          <w:rPr>
            <w:rFonts w:cstheme="minorHAnsi"/>
          </w:rPr>
          <w:t>Cayman Islands</w:t>
        </w:r>
      </w:smartTag>
      <w:r w:rsidRPr="009B546D">
        <w:rPr>
          <w:rFonts w:cstheme="minorHAnsi"/>
        </w:rPr>
        <w:t>.</w:t>
      </w:r>
      <w:r w:rsidR="00B575FC">
        <w:rPr>
          <w:rFonts w:cstheme="minorHAnsi"/>
        </w:rPr>
        <w:t xml:space="preserve"> </w:t>
      </w:r>
      <w:r w:rsidRPr="009B546D">
        <w:rPr>
          <w:rFonts w:cstheme="minorHAnsi"/>
        </w:rPr>
        <w:t>No stamp duty is payable in the Cayman Islands on transfers of shares of Cayman Islands companies except those which hold interests in land in the Cayman Islands.</w:t>
      </w:r>
    </w:p>
    <w:p w14:paraId="676879FB" w14:textId="4D9880F5" w:rsidR="00D90E1F" w:rsidRPr="009B546D" w:rsidRDefault="00D90E1F" w:rsidP="00F432B9">
      <w:pPr>
        <w:widowControl w:val="0"/>
        <w:spacing w:line="240" w:lineRule="auto"/>
        <w:rPr>
          <w:rFonts w:cstheme="minorHAnsi"/>
          <w:szCs w:val="20"/>
        </w:rPr>
      </w:pPr>
      <w:r w:rsidRPr="009B546D">
        <w:rPr>
          <w:rFonts w:cstheme="minorHAnsi"/>
          <w:szCs w:val="20"/>
        </w:rPr>
        <w:t>An annual registration fee will be payable by the Company to the Cayman Islands government which will be calculated by reference to the nominal amount of its authorised capital.</w:t>
      </w:r>
    </w:p>
    <w:p w14:paraId="2E1C8580" w14:textId="77777777" w:rsidR="00D90E1F" w:rsidRPr="009B546D" w:rsidRDefault="00D90E1F" w:rsidP="00F432B9">
      <w:pPr>
        <w:widowControl w:val="0"/>
        <w:spacing w:line="240" w:lineRule="auto"/>
        <w:rPr>
          <w:rFonts w:cstheme="minorHAnsi"/>
          <w:szCs w:val="20"/>
        </w:rPr>
      </w:pPr>
      <w:r w:rsidRPr="009B546D">
        <w:rPr>
          <w:rFonts w:cstheme="minorHAnsi"/>
          <w:szCs w:val="20"/>
        </w:rPr>
        <w:t>The foregoing summary does not address tax considerations that may be applicable to certain Shareholders under the laws of jurisdictions other than the Cayman Islands.</w:t>
      </w:r>
    </w:p>
    <w:p w14:paraId="173A47E2" w14:textId="77777777" w:rsidR="00D90E1F" w:rsidRPr="009B546D" w:rsidRDefault="00D90E1F" w:rsidP="00F432B9">
      <w:pPr>
        <w:pStyle w:val="ListParagraph"/>
        <w:numPr>
          <w:ilvl w:val="0"/>
          <w:numId w:val="6"/>
        </w:numPr>
        <w:spacing w:after="160"/>
        <w:rPr>
          <w:rFonts w:asciiTheme="minorHAnsi" w:hAnsiTheme="minorHAnsi" w:cstheme="minorHAnsi"/>
          <w:b/>
          <w:sz w:val="20"/>
          <w:szCs w:val="20"/>
        </w:rPr>
      </w:pPr>
      <w:r w:rsidRPr="009B546D">
        <w:rPr>
          <w:rFonts w:asciiTheme="minorHAnsi" w:hAnsiTheme="minorHAnsi" w:cstheme="minorHAnsi"/>
          <w:b/>
          <w:sz w:val="20"/>
          <w:szCs w:val="20"/>
        </w:rPr>
        <w:t>Other jurisdictions</w:t>
      </w:r>
    </w:p>
    <w:p w14:paraId="31E46E69" w14:textId="77777777" w:rsidR="00D90E1F" w:rsidRPr="009B546D" w:rsidRDefault="00D90E1F" w:rsidP="00F432B9">
      <w:pPr>
        <w:widowControl w:val="0"/>
        <w:spacing w:line="240" w:lineRule="auto"/>
        <w:rPr>
          <w:rFonts w:cstheme="minorHAnsi"/>
          <w:szCs w:val="20"/>
        </w:rPr>
      </w:pPr>
      <w:r w:rsidRPr="009B546D">
        <w:rPr>
          <w:rFonts w:cstheme="minorHAnsi"/>
          <w:szCs w:val="20"/>
        </w:rPr>
        <w:t>The Company has no present plans to apply for any certifications or registrations, or to take any other actions under the laws of any jurisdictions, which would afford relief to local investors therein from the normal tax regime otherwise applicable to an investment in Ordinary Shares.</w:t>
      </w:r>
    </w:p>
    <w:p w14:paraId="236C8CA9" w14:textId="77777777" w:rsidR="00D90E1F" w:rsidRPr="009B546D" w:rsidRDefault="00D90E1F" w:rsidP="00F432B9">
      <w:pPr>
        <w:widowControl w:val="0"/>
        <w:spacing w:line="240" w:lineRule="auto"/>
        <w:rPr>
          <w:rFonts w:cstheme="minorHAnsi"/>
          <w:szCs w:val="20"/>
        </w:rPr>
      </w:pPr>
      <w:r w:rsidRPr="009B546D">
        <w:rPr>
          <w:rFonts w:cstheme="minorHAnsi"/>
          <w:szCs w:val="20"/>
        </w:rPr>
        <w:t>It is therefore the responsibility of all prospective investors to inform themselves as to any income or other tax consequences arising in the jurisdictions in which they are resident or domiciled for tax purposes.</w:t>
      </w:r>
    </w:p>
    <w:p w14:paraId="165CF30F" w14:textId="77777777" w:rsidR="00D90E1F" w:rsidRPr="009B546D" w:rsidRDefault="00D90E1F" w:rsidP="00F432B9">
      <w:pPr>
        <w:widowControl w:val="0"/>
        <w:spacing w:line="240" w:lineRule="auto"/>
        <w:rPr>
          <w:rFonts w:cstheme="minorHAnsi"/>
          <w:szCs w:val="20"/>
        </w:rPr>
      </w:pPr>
      <w:r w:rsidRPr="009B546D">
        <w:rPr>
          <w:rFonts w:cstheme="minorHAnsi"/>
          <w:szCs w:val="20"/>
        </w:rPr>
        <w:t xml:space="preserve">Prospective investors should note that fiscal law and practice might change. It is also the responsibility of all </w:t>
      </w:r>
      <w:r w:rsidRPr="009B546D">
        <w:rPr>
          <w:rFonts w:cstheme="minorHAnsi"/>
          <w:szCs w:val="20"/>
        </w:rPr>
        <w:lastRenderedPageBreak/>
        <w:t>prospective investors to inform themselves as to any foreign exchange or other fiscal or legal restrictions, which are relevant to their particular circumstances in connection with the acquisition, holding or disposition of the Ordinary Shares.</w:t>
      </w:r>
    </w:p>
    <w:p w14:paraId="06E53AC1" w14:textId="77777777" w:rsidR="00D90E1F" w:rsidRPr="009B546D" w:rsidRDefault="00D90E1F" w:rsidP="00F432B9">
      <w:pPr>
        <w:widowControl w:val="0"/>
        <w:spacing w:line="240" w:lineRule="auto"/>
        <w:rPr>
          <w:rFonts w:cstheme="minorHAnsi"/>
          <w:szCs w:val="20"/>
        </w:rPr>
      </w:pPr>
      <w:r w:rsidRPr="00EA2BB6">
        <w:rPr>
          <w:rFonts w:cstheme="minorHAnsi"/>
          <w:b/>
          <w:bCs/>
          <w:sz w:val="16"/>
          <w:szCs w:val="16"/>
        </w:rPr>
        <w:t>THIS SUMMARY OF UK TAXATION AND CAYMAN ISLANDS TAXATION ISSUES CAN ONLY PROVIDE A GENERAL OVERVIEW OF THESE AREAS AND IT IS NOT A DESCRIPTION OF ALL THE TAX CONSIDERATIONS THAT MAY BE RELEVANT TO A DECISION TO INVEST IN THE COMPANY. THE SUMMARY OF CERTAIN UK AND CAYMAN ISLANDS TAX ISSUES IS BASED ON THE LAWS AND REGULATIONS IN FORCE AS OF THE DATE OF THIS PROSPECTUS AND MAY BE SUBJECT TO ANY CHANGES IN UK AND CAYMAND ISLAND LAWS OCCURRING AFTER SUCH DATE. LEGAL ADVICE SHOULD BE TAKEN WITH REGARD TO INDIVIDUAL CIRCUMSTANCES. ANY PERSON WHO IS IN ANY DOUBT AS TO THEIR TAX POSITION OR WHERE THEY ARE RESIDENT, OR OTHERWISE SUBJECT TO TAXATION, IN A JURISDICTION OTHER THAN THE UK OR THE CAYMAN ISLANDS, SHOULD CONSULT THEIR PROFESSIONAL ADVISER</w:t>
      </w:r>
      <w:r w:rsidRPr="009B546D">
        <w:rPr>
          <w:rFonts w:cstheme="minorHAnsi"/>
          <w:b/>
          <w:bCs/>
          <w:szCs w:val="20"/>
        </w:rPr>
        <w:t>.</w:t>
      </w:r>
      <w:r w:rsidRPr="009B546D">
        <w:rPr>
          <w:rFonts w:cstheme="minorHAnsi"/>
          <w:szCs w:val="20"/>
        </w:rPr>
        <w:br w:type="page"/>
      </w:r>
    </w:p>
    <w:p w14:paraId="230BA959" w14:textId="3E441C23" w:rsidR="00D90E1F" w:rsidRPr="009B546D" w:rsidRDefault="00D90E1F" w:rsidP="00154BDB">
      <w:pPr>
        <w:pStyle w:val="Heading1"/>
        <w:keepNext w:val="0"/>
        <w:widowControl w:val="0"/>
        <w:spacing w:after="120" w:line="240" w:lineRule="auto"/>
        <w:jc w:val="center"/>
        <w:rPr>
          <w:rFonts w:asciiTheme="minorHAnsi" w:hAnsiTheme="minorHAnsi" w:cstheme="minorHAnsi"/>
          <w:sz w:val="20"/>
          <w:szCs w:val="20"/>
        </w:rPr>
      </w:pPr>
      <w:bookmarkStart w:id="54" w:name="_Toc35456748"/>
      <w:r w:rsidRPr="009B546D">
        <w:rPr>
          <w:rFonts w:asciiTheme="minorHAnsi" w:hAnsiTheme="minorHAnsi" w:cstheme="minorHAnsi"/>
          <w:sz w:val="20"/>
          <w:szCs w:val="20"/>
        </w:rPr>
        <w:lastRenderedPageBreak/>
        <w:t>Part X</w:t>
      </w:r>
      <w:r w:rsidR="00987B3B">
        <w:rPr>
          <w:rFonts w:asciiTheme="minorHAnsi" w:hAnsiTheme="minorHAnsi" w:cstheme="minorHAnsi"/>
          <w:sz w:val="20"/>
          <w:szCs w:val="20"/>
        </w:rPr>
        <w:t>IX</w:t>
      </w:r>
      <w:r w:rsidRPr="009B546D">
        <w:rPr>
          <w:rFonts w:asciiTheme="minorHAnsi" w:hAnsiTheme="minorHAnsi" w:cstheme="minorHAnsi"/>
          <w:sz w:val="20"/>
          <w:szCs w:val="20"/>
        </w:rPr>
        <w:br/>
        <w:t>Consequences of a Standard Listing</w:t>
      </w:r>
      <w:bookmarkEnd w:id="54"/>
    </w:p>
    <w:p w14:paraId="6B30FB52" w14:textId="77777777" w:rsidR="00244BAB" w:rsidRPr="009B546D" w:rsidRDefault="00244BAB" w:rsidP="00154BDB">
      <w:pPr>
        <w:spacing w:after="120" w:line="240" w:lineRule="auto"/>
        <w:rPr>
          <w:rFonts w:cstheme="minorHAnsi"/>
          <w:szCs w:val="24"/>
        </w:rPr>
      </w:pPr>
      <w:r w:rsidRPr="009B546D">
        <w:rPr>
          <w:rFonts w:cstheme="minorHAnsi"/>
          <w:szCs w:val="24"/>
        </w:rPr>
        <w:t>Application has been made for the Ordinary Shares to be admitted to the standard segment of the Official List (“</w:t>
      </w:r>
      <w:r w:rsidRPr="009B546D">
        <w:rPr>
          <w:rFonts w:cstheme="minorHAnsi"/>
          <w:b/>
          <w:bCs/>
          <w:szCs w:val="24"/>
        </w:rPr>
        <w:t>Standard Listing</w:t>
      </w:r>
      <w:r w:rsidRPr="009B546D">
        <w:rPr>
          <w:rFonts w:cstheme="minorHAnsi"/>
          <w:szCs w:val="24"/>
        </w:rPr>
        <w:t>”). A Standard Listing affords Shareholders and investors in the Company a lower level of regulatory protection than that afforded to investors in companies whose securities are admitted to the premium segment of the Official List, which are subject to additional obligations under the Listing Rules.</w:t>
      </w:r>
    </w:p>
    <w:p w14:paraId="5126729F" w14:textId="77777777" w:rsidR="00244BAB" w:rsidRPr="009B546D" w:rsidRDefault="00244BAB" w:rsidP="00EA2BB6">
      <w:pPr>
        <w:spacing w:after="120" w:line="240" w:lineRule="auto"/>
        <w:rPr>
          <w:rFonts w:cstheme="minorHAnsi"/>
          <w:szCs w:val="20"/>
        </w:rPr>
      </w:pPr>
      <w:r w:rsidRPr="009B546D">
        <w:rPr>
          <w:rFonts w:cstheme="minorHAnsi"/>
          <w:szCs w:val="24"/>
        </w:rPr>
        <w:t xml:space="preserve">The Ordinary Shares will be admitted to listing on the standard segment of the Official List pursuant to Chapter 14 of the Listing Rules, which sets out the requirements for Standard Listings and does not require the Company to comply with, </w:t>
      </w:r>
      <w:r w:rsidRPr="009B546D">
        <w:rPr>
          <w:rFonts w:cstheme="minorHAnsi"/>
          <w:i/>
          <w:szCs w:val="20"/>
        </w:rPr>
        <w:t>inter alia</w:t>
      </w:r>
      <w:r w:rsidRPr="009B546D">
        <w:rPr>
          <w:rFonts w:cstheme="minorHAnsi"/>
          <w:szCs w:val="20"/>
        </w:rPr>
        <w:t xml:space="preserve">, the provisions of Chapters 6 to 13 of the Listing Rules. The Company will comply with the Listing Principles set out in Chapter 7 of the Listing Rules (Listing Rules) 7.2.1 which apply to all companies with their securities admitted to the Official List. In addition, the Enlarged Group also intends, from Re-Admission, to comply with the Listing Particulars at Listing Rule 7.2.1A notwithstanding that they only apply to companies which obtain a Premium Listing on the Official List. With regard to Listing Principles at 7.2.1A, the Company is not, however formally subject to such Listing Principles and will not be required to comply with them by the UK Listing Authority. </w:t>
      </w:r>
    </w:p>
    <w:p w14:paraId="3B6400A3" w14:textId="7B1CEB39" w:rsidR="009061B2" w:rsidRPr="009B546D" w:rsidRDefault="009061B2" w:rsidP="00024D72">
      <w:pPr>
        <w:pStyle w:val="ListParagraph"/>
        <w:numPr>
          <w:ilvl w:val="0"/>
          <w:numId w:val="3"/>
        </w:numPr>
        <w:spacing w:after="120"/>
        <w:ind w:left="425" w:hanging="425"/>
        <w:contextualSpacing w:val="0"/>
        <w:rPr>
          <w:rFonts w:asciiTheme="minorHAnsi" w:hAnsiTheme="minorHAnsi" w:cstheme="minorHAnsi"/>
          <w:sz w:val="20"/>
          <w:szCs w:val="20"/>
        </w:rPr>
      </w:pPr>
      <w:r w:rsidRPr="009B546D">
        <w:rPr>
          <w:rFonts w:asciiTheme="minorHAnsi" w:hAnsiTheme="minorHAnsi" w:cstheme="minorHAnsi"/>
          <w:sz w:val="20"/>
          <w:szCs w:val="20"/>
        </w:rPr>
        <w:t xml:space="preserve">Chapter 6 of the Listing Rules regarding, among other things, the content of the Historical Financial Information, provisions pertaining to, control of the business, working capital, constitutional arrangements of the Company and </w:t>
      </w:r>
      <w:r w:rsidR="00E61E54">
        <w:rPr>
          <w:rFonts w:asciiTheme="minorHAnsi" w:hAnsiTheme="minorHAnsi" w:cstheme="minorHAnsi"/>
          <w:sz w:val="20"/>
          <w:szCs w:val="20"/>
        </w:rPr>
        <w:t xml:space="preserve">Ordinary </w:t>
      </w:r>
      <w:r w:rsidRPr="009B546D">
        <w:rPr>
          <w:rFonts w:asciiTheme="minorHAnsi" w:hAnsiTheme="minorHAnsi" w:cstheme="minorHAnsi"/>
          <w:sz w:val="20"/>
          <w:szCs w:val="20"/>
        </w:rPr>
        <w:t xml:space="preserve">Shares in public hands; </w:t>
      </w:r>
    </w:p>
    <w:p w14:paraId="3C0588F5" w14:textId="6636E84A" w:rsidR="009061B2" w:rsidRPr="009B546D" w:rsidRDefault="009061B2" w:rsidP="00024D72">
      <w:pPr>
        <w:pStyle w:val="ListParagraph"/>
        <w:numPr>
          <w:ilvl w:val="0"/>
          <w:numId w:val="3"/>
        </w:numPr>
        <w:spacing w:after="120"/>
        <w:ind w:left="425" w:hanging="425"/>
        <w:contextualSpacing w:val="0"/>
        <w:rPr>
          <w:rFonts w:asciiTheme="minorHAnsi" w:hAnsiTheme="minorHAnsi" w:cstheme="minorHAnsi"/>
          <w:sz w:val="20"/>
          <w:szCs w:val="20"/>
        </w:rPr>
      </w:pPr>
      <w:r w:rsidRPr="009B546D">
        <w:rPr>
          <w:rFonts w:asciiTheme="minorHAnsi" w:hAnsiTheme="minorHAnsi" w:cstheme="minorHAnsi"/>
          <w:sz w:val="20"/>
          <w:szCs w:val="20"/>
        </w:rPr>
        <w:t>Chapter 7 of the Listing Rules other than the listing principles relating to (i) taking reasonable steps to establish and maintain adequate procedures, systems and controls to enable the Company to comply with its obligations; and (ii) dealing with the FCA in an open and co-operative manner;</w:t>
      </w:r>
    </w:p>
    <w:p w14:paraId="30D0353F" w14:textId="05DB2A2D" w:rsidR="00D90E1F" w:rsidRPr="009B546D" w:rsidRDefault="00D90E1F" w:rsidP="00024D72">
      <w:pPr>
        <w:pStyle w:val="ListParagraph"/>
        <w:numPr>
          <w:ilvl w:val="0"/>
          <w:numId w:val="3"/>
        </w:numPr>
        <w:spacing w:after="120"/>
        <w:ind w:left="425" w:hanging="425"/>
        <w:contextualSpacing w:val="0"/>
        <w:rPr>
          <w:rFonts w:asciiTheme="minorHAnsi" w:hAnsiTheme="minorHAnsi" w:cstheme="minorHAnsi"/>
          <w:sz w:val="20"/>
          <w:szCs w:val="20"/>
        </w:rPr>
      </w:pPr>
      <w:r w:rsidRPr="009B546D">
        <w:rPr>
          <w:rFonts w:asciiTheme="minorHAnsi" w:hAnsiTheme="minorHAnsi" w:cstheme="minorHAnsi"/>
          <w:sz w:val="20"/>
          <w:szCs w:val="20"/>
        </w:rPr>
        <w:t xml:space="preserve">Chapter 8 of the Listing Rules regarding the appointment of a sponsor to guide the Company in understanding and meeting its responsibilities under the Listing Rules in connection with certain matters. The Company has not and does not intend to appoint such a sponsor in connection with </w:t>
      </w:r>
      <w:r w:rsidR="00AB1054" w:rsidRPr="009B546D">
        <w:rPr>
          <w:rFonts w:asciiTheme="minorHAnsi" w:hAnsiTheme="minorHAnsi" w:cstheme="minorHAnsi"/>
          <w:sz w:val="20"/>
          <w:szCs w:val="20"/>
        </w:rPr>
        <w:t>Re-</w:t>
      </w:r>
      <w:r w:rsidRPr="009B546D">
        <w:rPr>
          <w:rFonts w:asciiTheme="minorHAnsi" w:hAnsiTheme="minorHAnsi" w:cstheme="minorHAnsi"/>
          <w:sz w:val="20"/>
          <w:szCs w:val="20"/>
        </w:rPr>
        <w:t>Admission;</w:t>
      </w:r>
    </w:p>
    <w:p w14:paraId="3E978163" w14:textId="77777777" w:rsidR="00D90E1F" w:rsidRPr="009B546D" w:rsidRDefault="00D90E1F" w:rsidP="00024D72">
      <w:pPr>
        <w:pStyle w:val="ListParagraph"/>
        <w:numPr>
          <w:ilvl w:val="0"/>
          <w:numId w:val="3"/>
        </w:numPr>
        <w:spacing w:after="120"/>
        <w:ind w:left="425" w:hanging="425"/>
        <w:contextualSpacing w:val="0"/>
        <w:rPr>
          <w:rFonts w:asciiTheme="minorHAnsi" w:hAnsiTheme="minorHAnsi" w:cstheme="minorHAnsi"/>
          <w:sz w:val="20"/>
          <w:szCs w:val="20"/>
        </w:rPr>
      </w:pPr>
      <w:r w:rsidRPr="009B546D">
        <w:rPr>
          <w:rFonts w:asciiTheme="minorHAnsi" w:hAnsiTheme="minorHAnsi" w:cstheme="minorHAnsi"/>
          <w:sz w:val="20"/>
          <w:szCs w:val="20"/>
        </w:rPr>
        <w:t>Chapter 9 of the Listing Rules relating to the ongoing obligations for companies admitted to the Premium List, which therefore does not apply to the Company;</w:t>
      </w:r>
    </w:p>
    <w:p w14:paraId="554B8217" w14:textId="77777777" w:rsidR="00D90E1F" w:rsidRPr="009B546D" w:rsidRDefault="00D90E1F" w:rsidP="00024D72">
      <w:pPr>
        <w:pStyle w:val="ListParagraph"/>
        <w:numPr>
          <w:ilvl w:val="0"/>
          <w:numId w:val="3"/>
        </w:numPr>
        <w:spacing w:after="120"/>
        <w:ind w:left="425" w:hanging="425"/>
        <w:contextualSpacing w:val="0"/>
        <w:rPr>
          <w:rFonts w:asciiTheme="minorHAnsi" w:hAnsiTheme="minorHAnsi" w:cstheme="minorHAnsi"/>
          <w:sz w:val="20"/>
          <w:szCs w:val="20"/>
        </w:rPr>
      </w:pPr>
      <w:r w:rsidRPr="009B546D">
        <w:rPr>
          <w:rFonts w:asciiTheme="minorHAnsi" w:hAnsiTheme="minorHAnsi" w:cstheme="minorHAnsi"/>
          <w:sz w:val="20"/>
          <w:szCs w:val="20"/>
        </w:rPr>
        <w:t>Chapter 10 of the Listing Rules relating to significant transactions. It should be noted therefore that an acquisition will not require Shareholder consent, even if Ordinary Shares are being issued as consideration for an acquisition (subject to the Company having sufficient existing authorisation from Shareholders to issue such number of Ordinary Shares in relation to such acquisition on a non-pre-emptive basis);</w:t>
      </w:r>
    </w:p>
    <w:p w14:paraId="4CCA7F00" w14:textId="77777777" w:rsidR="00D90E1F" w:rsidRPr="009B546D" w:rsidRDefault="00D90E1F" w:rsidP="00024D72">
      <w:pPr>
        <w:pStyle w:val="ListParagraph"/>
        <w:numPr>
          <w:ilvl w:val="0"/>
          <w:numId w:val="3"/>
        </w:numPr>
        <w:spacing w:after="120"/>
        <w:ind w:left="425" w:hanging="425"/>
        <w:contextualSpacing w:val="0"/>
        <w:rPr>
          <w:rFonts w:asciiTheme="minorHAnsi" w:hAnsiTheme="minorHAnsi" w:cstheme="minorHAnsi"/>
          <w:sz w:val="20"/>
          <w:szCs w:val="20"/>
        </w:rPr>
      </w:pPr>
      <w:r w:rsidRPr="009B546D">
        <w:rPr>
          <w:rFonts w:asciiTheme="minorHAnsi" w:hAnsiTheme="minorHAnsi" w:cstheme="minorHAnsi"/>
          <w:sz w:val="20"/>
          <w:szCs w:val="20"/>
        </w:rPr>
        <w:t>Chapter 11 of the Listing Rules regarding related party transactions. Nevertheless, the Company will not enter into any transaction which would constitute a ‘related party transaction’ as defined in Chapter 11 of the Listing Rules without the specific prior approval of the independent Directors;</w:t>
      </w:r>
    </w:p>
    <w:p w14:paraId="0F770A41" w14:textId="4E6FA155" w:rsidR="00D90E1F" w:rsidRPr="009B546D" w:rsidRDefault="00D90E1F" w:rsidP="00024D72">
      <w:pPr>
        <w:pStyle w:val="ListParagraph"/>
        <w:numPr>
          <w:ilvl w:val="0"/>
          <w:numId w:val="3"/>
        </w:numPr>
        <w:spacing w:after="120"/>
        <w:ind w:left="425" w:hanging="425"/>
        <w:contextualSpacing w:val="0"/>
        <w:rPr>
          <w:rFonts w:asciiTheme="minorHAnsi" w:hAnsiTheme="minorHAnsi" w:cstheme="minorHAnsi"/>
          <w:sz w:val="20"/>
          <w:szCs w:val="20"/>
        </w:rPr>
      </w:pPr>
      <w:r w:rsidRPr="009B546D">
        <w:rPr>
          <w:rFonts w:asciiTheme="minorHAnsi" w:hAnsiTheme="minorHAnsi" w:cstheme="minorHAnsi"/>
          <w:sz w:val="20"/>
          <w:szCs w:val="20"/>
        </w:rPr>
        <w:t xml:space="preserve">Chapter 12 of the Listing Rules regarding purchases by the Company of its Ordinary Shares. In particular, the Company has not adopted a policy consistent with the provisions of Listing Rules 12.4.1 and 12.4.2. The Company will have unlimited authority to purchase Ordinary </w:t>
      </w:r>
      <w:r w:rsidR="00E61E54">
        <w:rPr>
          <w:rFonts w:asciiTheme="minorHAnsi" w:hAnsiTheme="minorHAnsi" w:cstheme="minorHAnsi"/>
          <w:sz w:val="20"/>
          <w:szCs w:val="20"/>
        </w:rPr>
        <w:t>S</w:t>
      </w:r>
      <w:r w:rsidRPr="009B546D">
        <w:rPr>
          <w:rFonts w:asciiTheme="minorHAnsi" w:hAnsiTheme="minorHAnsi" w:cstheme="minorHAnsi"/>
          <w:sz w:val="20"/>
          <w:szCs w:val="20"/>
        </w:rPr>
        <w:t>hares, subject to the restrictions set out in the Companies Act; and</w:t>
      </w:r>
    </w:p>
    <w:p w14:paraId="64D11EA0" w14:textId="77777777" w:rsidR="00D90E1F" w:rsidRPr="009B546D" w:rsidRDefault="00D90E1F" w:rsidP="00024D72">
      <w:pPr>
        <w:pStyle w:val="ListParagraph"/>
        <w:numPr>
          <w:ilvl w:val="0"/>
          <w:numId w:val="3"/>
        </w:numPr>
        <w:spacing w:after="120"/>
        <w:ind w:left="425" w:hanging="425"/>
        <w:contextualSpacing w:val="0"/>
        <w:rPr>
          <w:rFonts w:asciiTheme="minorHAnsi" w:hAnsiTheme="minorHAnsi" w:cstheme="minorHAnsi"/>
          <w:sz w:val="20"/>
          <w:szCs w:val="20"/>
        </w:rPr>
      </w:pPr>
      <w:r w:rsidRPr="009B546D">
        <w:rPr>
          <w:rFonts w:asciiTheme="minorHAnsi" w:hAnsiTheme="minorHAnsi" w:cstheme="minorHAnsi"/>
          <w:sz w:val="20"/>
          <w:szCs w:val="20"/>
        </w:rPr>
        <w:t>Chapter 13 of the Listing Rules regarding the form and content of circulars to be sent to Shareholders.</w:t>
      </w:r>
    </w:p>
    <w:p w14:paraId="4590D71C" w14:textId="77777777" w:rsidR="00D90E1F" w:rsidRPr="009B546D" w:rsidRDefault="00D90E1F" w:rsidP="00EA2BB6">
      <w:pPr>
        <w:pStyle w:val="Heading2"/>
        <w:keepNext w:val="0"/>
        <w:widowControl w:val="0"/>
        <w:spacing w:before="0" w:after="120" w:line="240" w:lineRule="auto"/>
        <w:rPr>
          <w:rFonts w:asciiTheme="minorHAnsi" w:hAnsiTheme="minorHAnsi" w:cstheme="minorHAnsi"/>
          <w:szCs w:val="20"/>
        </w:rPr>
      </w:pPr>
      <w:r w:rsidRPr="009B546D">
        <w:rPr>
          <w:rFonts w:asciiTheme="minorHAnsi" w:hAnsiTheme="minorHAnsi" w:cstheme="minorHAnsi"/>
          <w:szCs w:val="20"/>
        </w:rPr>
        <w:t>Listing Rules with which the Company must comply under a Standard Listing</w:t>
      </w:r>
    </w:p>
    <w:p w14:paraId="60993818" w14:textId="77777777" w:rsidR="00D90E1F" w:rsidRPr="009B546D" w:rsidRDefault="00D90E1F" w:rsidP="00024D72">
      <w:pPr>
        <w:widowControl w:val="0"/>
        <w:spacing w:after="120" w:line="240" w:lineRule="auto"/>
        <w:rPr>
          <w:rFonts w:cstheme="minorHAnsi"/>
          <w:szCs w:val="20"/>
        </w:rPr>
      </w:pPr>
      <w:r w:rsidRPr="009B546D">
        <w:rPr>
          <w:rFonts w:cstheme="minorHAnsi"/>
          <w:szCs w:val="20"/>
        </w:rPr>
        <w:t>There are, however, a number of continuing obligations set out in Chapter 14 of the Listing Rules that will be applicable to the Company. These include requirements as to:</w:t>
      </w:r>
    </w:p>
    <w:p w14:paraId="7109D246" w14:textId="77777777" w:rsidR="00D90E1F" w:rsidRPr="009B546D" w:rsidRDefault="00D90E1F" w:rsidP="00024D72">
      <w:pPr>
        <w:pStyle w:val="ListParagraph"/>
        <w:numPr>
          <w:ilvl w:val="0"/>
          <w:numId w:val="3"/>
        </w:numPr>
        <w:spacing w:after="120"/>
        <w:ind w:left="425" w:hanging="425"/>
        <w:contextualSpacing w:val="0"/>
        <w:rPr>
          <w:rFonts w:asciiTheme="minorHAnsi" w:hAnsiTheme="minorHAnsi" w:cstheme="minorHAnsi"/>
          <w:sz w:val="20"/>
          <w:szCs w:val="20"/>
        </w:rPr>
      </w:pPr>
      <w:r w:rsidRPr="009B546D">
        <w:rPr>
          <w:rFonts w:asciiTheme="minorHAnsi" w:hAnsiTheme="minorHAnsi" w:cstheme="minorHAnsi"/>
          <w:sz w:val="20"/>
          <w:szCs w:val="20"/>
        </w:rPr>
        <w:t>the forwarding of circulars and other documentation to the UKLA for publication through the document viewing facility and related notification to a regulatory information service;</w:t>
      </w:r>
    </w:p>
    <w:p w14:paraId="20D4B44D" w14:textId="77777777" w:rsidR="00D90E1F" w:rsidRPr="009B546D" w:rsidRDefault="00D90E1F" w:rsidP="00024D72">
      <w:pPr>
        <w:pStyle w:val="ListParagraph"/>
        <w:numPr>
          <w:ilvl w:val="0"/>
          <w:numId w:val="3"/>
        </w:numPr>
        <w:spacing w:after="120"/>
        <w:ind w:left="425" w:hanging="425"/>
        <w:contextualSpacing w:val="0"/>
        <w:rPr>
          <w:rFonts w:asciiTheme="minorHAnsi" w:hAnsiTheme="minorHAnsi" w:cstheme="minorHAnsi"/>
          <w:sz w:val="20"/>
          <w:szCs w:val="20"/>
        </w:rPr>
      </w:pPr>
      <w:r w:rsidRPr="009B546D">
        <w:rPr>
          <w:rFonts w:asciiTheme="minorHAnsi" w:hAnsiTheme="minorHAnsi" w:cstheme="minorHAnsi"/>
          <w:sz w:val="20"/>
          <w:szCs w:val="20"/>
        </w:rPr>
        <w:t>the provision of contact details of appropriate persons nominated to act as a first pint of contact with the FCA in relation to compliance with the Listing Rules and the Disclosure and Transparency Rules;</w:t>
      </w:r>
    </w:p>
    <w:p w14:paraId="1B15C4F8" w14:textId="77777777" w:rsidR="00D90E1F" w:rsidRPr="009B546D" w:rsidRDefault="00D90E1F" w:rsidP="00024D72">
      <w:pPr>
        <w:pStyle w:val="ListParagraph"/>
        <w:numPr>
          <w:ilvl w:val="0"/>
          <w:numId w:val="3"/>
        </w:numPr>
        <w:spacing w:after="120"/>
        <w:ind w:left="425" w:hanging="425"/>
        <w:contextualSpacing w:val="0"/>
        <w:rPr>
          <w:rFonts w:asciiTheme="minorHAnsi" w:hAnsiTheme="minorHAnsi" w:cstheme="minorHAnsi"/>
          <w:sz w:val="20"/>
          <w:szCs w:val="20"/>
        </w:rPr>
      </w:pPr>
      <w:r w:rsidRPr="009B546D">
        <w:rPr>
          <w:rFonts w:asciiTheme="minorHAnsi" w:hAnsiTheme="minorHAnsi" w:cstheme="minorHAnsi"/>
          <w:sz w:val="20"/>
          <w:szCs w:val="20"/>
        </w:rPr>
        <w:t>the form and content of temporary and definitive documents of title;</w:t>
      </w:r>
    </w:p>
    <w:p w14:paraId="2D320D26" w14:textId="77777777" w:rsidR="00D90E1F" w:rsidRPr="009B546D" w:rsidRDefault="00D90E1F" w:rsidP="00024D72">
      <w:pPr>
        <w:pStyle w:val="ListParagraph"/>
        <w:numPr>
          <w:ilvl w:val="0"/>
          <w:numId w:val="3"/>
        </w:numPr>
        <w:spacing w:after="120"/>
        <w:ind w:left="425" w:hanging="425"/>
        <w:contextualSpacing w:val="0"/>
        <w:rPr>
          <w:rFonts w:asciiTheme="minorHAnsi" w:hAnsiTheme="minorHAnsi" w:cstheme="minorHAnsi"/>
          <w:sz w:val="20"/>
          <w:szCs w:val="20"/>
        </w:rPr>
      </w:pPr>
      <w:r w:rsidRPr="009B546D">
        <w:rPr>
          <w:rFonts w:asciiTheme="minorHAnsi" w:hAnsiTheme="minorHAnsi" w:cstheme="minorHAnsi"/>
          <w:sz w:val="20"/>
          <w:szCs w:val="20"/>
        </w:rPr>
        <w:t>the appointment of a registrar;</w:t>
      </w:r>
    </w:p>
    <w:p w14:paraId="742F4757" w14:textId="77777777" w:rsidR="00D90E1F" w:rsidRPr="009B546D" w:rsidRDefault="00D90E1F" w:rsidP="00024D72">
      <w:pPr>
        <w:pStyle w:val="ListParagraph"/>
        <w:numPr>
          <w:ilvl w:val="0"/>
          <w:numId w:val="3"/>
        </w:numPr>
        <w:spacing w:after="120"/>
        <w:ind w:left="425" w:hanging="425"/>
        <w:contextualSpacing w:val="0"/>
        <w:rPr>
          <w:rFonts w:asciiTheme="minorHAnsi" w:hAnsiTheme="minorHAnsi" w:cstheme="minorHAnsi"/>
          <w:sz w:val="20"/>
          <w:szCs w:val="20"/>
        </w:rPr>
      </w:pPr>
      <w:r w:rsidRPr="009B546D">
        <w:rPr>
          <w:rFonts w:asciiTheme="minorHAnsi" w:hAnsiTheme="minorHAnsi" w:cstheme="minorHAnsi"/>
          <w:sz w:val="20"/>
          <w:szCs w:val="20"/>
        </w:rPr>
        <w:t xml:space="preserve">the making of regulatory information service notifications in relation to a range of debt and equity capital </w:t>
      </w:r>
      <w:r w:rsidRPr="009B546D">
        <w:rPr>
          <w:rFonts w:asciiTheme="minorHAnsi" w:hAnsiTheme="minorHAnsi" w:cstheme="minorHAnsi"/>
          <w:sz w:val="20"/>
          <w:szCs w:val="20"/>
        </w:rPr>
        <w:lastRenderedPageBreak/>
        <w:t>issues; and</w:t>
      </w:r>
    </w:p>
    <w:p w14:paraId="54D0BAF5" w14:textId="70308528" w:rsidR="00D90E1F" w:rsidRPr="009B546D" w:rsidRDefault="00D90E1F" w:rsidP="00024D72">
      <w:pPr>
        <w:pStyle w:val="ListParagraph"/>
        <w:numPr>
          <w:ilvl w:val="0"/>
          <w:numId w:val="3"/>
        </w:numPr>
        <w:spacing w:after="120"/>
        <w:ind w:left="425" w:hanging="425"/>
        <w:contextualSpacing w:val="0"/>
        <w:rPr>
          <w:rFonts w:asciiTheme="minorHAnsi" w:hAnsiTheme="minorHAnsi" w:cstheme="minorHAnsi"/>
          <w:sz w:val="20"/>
          <w:szCs w:val="20"/>
        </w:rPr>
      </w:pPr>
      <w:r w:rsidRPr="009B546D">
        <w:rPr>
          <w:rFonts w:asciiTheme="minorHAnsi" w:hAnsiTheme="minorHAnsi" w:cstheme="minorHAnsi"/>
          <w:sz w:val="20"/>
          <w:szCs w:val="20"/>
        </w:rPr>
        <w:t xml:space="preserve">at least 25 per cent. of the </w:t>
      </w:r>
      <w:r w:rsidR="00E61E54">
        <w:rPr>
          <w:rFonts w:asciiTheme="minorHAnsi" w:hAnsiTheme="minorHAnsi" w:cstheme="minorHAnsi"/>
          <w:sz w:val="20"/>
          <w:szCs w:val="20"/>
        </w:rPr>
        <w:t xml:space="preserve">Ordinary </w:t>
      </w:r>
      <w:r w:rsidRPr="009B546D">
        <w:rPr>
          <w:rFonts w:asciiTheme="minorHAnsi" w:hAnsiTheme="minorHAnsi" w:cstheme="minorHAnsi"/>
          <w:sz w:val="20"/>
          <w:szCs w:val="20"/>
        </w:rPr>
        <w:t>Shares being held by the public in one or more EEA States.</w:t>
      </w:r>
    </w:p>
    <w:p w14:paraId="66A127A3" w14:textId="77777777" w:rsidR="00D90E1F" w:rsidRPr="009B546D" w:rsidRDefault="00D90E1F" w:rsidP="00024D72">
      <w:pPr>
        <w:widowControl w:val="0"/>
        <w:spacing w:after="120" w:line="240" w:lineRule="auto"/>
        <w:rPr>
          <w:rFonts w:cstheme="minorHAnsi"/>
          <w:szCs w:val="20"/>
        </w:rPr>
      </w:pPr>
      <w:r w:rsidRPr="009B546D">
        <w:rPr>
          <w:rFonts w:cstheme="minorHAnsi"/>
          <w:szCs w:val="20"/>
        </w:rPr>
        <w:t>In addition, as a company whose securities are admitted to trading on a regulated market, the Company will be required to comply with the Disclosure and Transparency Rules.</w:t>
      </w:r>
    </w:p>
    <w:p w14:paraId="4F7A81DD" w14:textId="60138C91" w:rsidR="00D90E1F" w:rsidRPr="009B546D" w:rsidRDefault="00D90E1F" w:rsidP="00024D72">
      <w:pPr>
        <w:widowControl w:val="0"/>
        <w:spacing w:after="120" w:line="240" w:lineRule="auto"/>
        <w:rPr>
          <w:rFonts w:cstheme="minorHAnsi"/>
          <w:b/>
          <w:bCs/>
          <w:szCs w:val="20"/>
        </w:rPr>
      </w:pPr>
      <w:r w:rsidRPr="00EA2BB6">
        <w:rPr>
          <w:rFonts w:cstheme="minorHAnsi"/>
          <w:b/>
          <w:bCs/>
          <w:sz w:val="16"/>
          <w:szCs w:val="16"/>
        </w:rPr>
        <w:t xml:space="preserve">It should be noted that the FCA will not have the authority to (and will not) monitor the Company’s compliance with any of the Listing Rules which the Company has indicated herein that it intends to comply with on a voluntary basis, nor to impose sanctions in respect of any failure by the Company so to comply. However, the FCA would be able to impose sanctions for non-compliance where the statements regarding compliance in this </w:t>
      </w:r>
      <w:r w:rsidR="0077279D" w:rsidRPr="00EA2BB6">
        <w:rPr>
          <w:rFonts w:cstheme="minorHAnsi"/>
          <w:b/>
          <w:bCs/>
          <w:sz w:val="16"/>
          <w:szCs w:val="16"/>
        </w:rPr>
        <w:t>Prospectus</w:t>
      </w:r>
      <w:r w:rsidRPr="00EA2BB6">
        <w:rPr>
          <w:rFonts w:cstheme="minorHAnsi"/>
          <w:b/>
          <w:bCs/>
          <w:sz w:val="16"/>
          <w:szCs w:val="16"/>
        </w:rPr>
        <w:t xml:space="preserve"> are themselves misleading, false or deceptive</w:t>
      </w:r>
      <w:r w:rsidRPr="009B546D">
        <w:rPr>
          <w:rFonts w:cstheme="minorHAnsi"/>
          <w:b/>
          <w:bCs/>
          <w:szCs w:val="20"/>
        </w:rPr>
        <w:t>.</w:t>
      </w:r>
    </w:p>
    <w:p w14:paraId="56C20332" w14:textId="6C016B54" w:rsidR="00106E88" w:rsidRPr="009B546D" w:rsidRDefault="00106E88" w:rsidP="00F432B9">
      <w:pPr>
        <w:spacing w:line="240" w:lineRule="auto"/>
        <w:jc w:val="left"/>
        <w:rPr>
          <w:rFonts w:cstheme="minorHAnsi"/>
          <w:b/>
          <w:bCs/>
          <w:szCs w:val="20"/>
        </w:rPr>
      </w:pPr>
      <w:r w:rsidRPr="009B546D">
        <w:rPr>
          <w:rFonts w:cstheme="minorHAnsi"/>
          <w:b/>
          <w:bCs/>
          <w:szCs w:val="20"/>
        </w:rPr>
        <w:br w:type="page"/>
      </w:r>
    </w:p>
    <w:p w14:paraId="29D4D979" w14:textId="2B8D1332" w:rsidR="00D90E1F" w:rsidRPr="009B546D" w:rsidRDefault="00D90E1F" w:rsidP="00F432B9">
      <w:pPr>
        <w:pStyle w:val="Heading1"/>
        <w:keepNext w:val="0"/>
        <w:widowControl w:val="0"/>
        <w:spacing w:before="0" w:after="160" w:line="240" w:lineRule="auto"/>
        <w:jc w:val="center"/>
        <w:rPr>
          <w:rFonts w:asciiTheme="minorHAnsi" w:hAnsiTheme="minorHAnsi" w:cstheme="minorHAnsi"/>
          <w:sz w:val="20"/>
          <w:szCs w:val="20"/>
        </w:rPr>
      </w:pPr>
      <w:bookmarkStart w:id="55" w:name="_Toc35456749"/>
      <w:r w:rsidRPr="009B546D">
        <w:rPr>
          <w:rFonts w:asciiTheme="minorHAnsi" w:hAnsiTheme="minorHAnsi" w:cstheme="minorHAnsi"/>
          <w:sz w:val="20"/>
          <w:szCs w:val="20"/>
        </w:rPr>
        <w:lastRenderedPageBreak/>
        <w:t>Part X</w:t>
      </w:r>
      <w:r w:rsidR="00C94917" w:rsidRPr="009B546D">
        <w:rPr>
          <w:rFonts w:asciiTheme="minorHAnsi" w:hAnsiTheme="minorHAnsi" w:cstheme="minorHAnsi"/>
          <w:sz w:val="20"/>
          <w:szCs w:val="20"/>
        </w:rPr>
        <w:t>X</w:t>
      </w:r>
      <w:r w:rsidRPr="009B546D">
        <w:rPr>
          <w:rFonts w:asciiTheme="minorHAnsi" w:hAnsiTheme="minorHAnsi" w:cstheme="minorHAnsi"/>
          <w:sz w:val="20"/>
          <w:szCs w:val="20"/>
        </w:rPr>
        <w:br/>
        <w:t>Additional Information</w:t>
      </w:r>
      <w:bookmarkEnd w:id="55"/>
    </w:p>
    <w:p w14:paraId="65A7B6CB" w14:textId="33E1E7E3"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r w:rsidRPr="00384557">
        <w:rPr>
          <w:rFonts w:asciiTheme="minorHAnsi" w:hAnsiTheme="minorHAnsi" w:cstheme="minorHAnsi"/>
          <w:szCs w:val="20"/>
        </w:rPr>
        <w:t>Responsibility</w:t>
      </w:r>
    </w:p>
    <w:p w14:paraId="6E1C80A8" w14:textId="5E34B718" w:rsidR="00D90E1F" w:rsidRPr="009B546D" w:rsidRDefault="00174A60" w:rsidP="00F432B9">
      <w:pPr>
        <w:pStyle w:val="BodyText"/>
        <w:widowControl w:val="0"/>
        <w:spacing w:after="160" w:line="240" w:lineRule="auto"/>
        <w:ind w:right="113"/>
        <w:rPr>
          <w:rFonts w:asciiTheme="minorHAnsi" w:hAnsiTheme="minorHAnsi" w:cstheme="minorHAnsi"/>
          <w:sz w:val="20"/>
          <w:szCs w:val="20"/>
        </w:rPr>
      </w:pPr>
      <w:r w:rsidRPr="009B546D">
        <w:rPr>
          <w:rFonts w:asciiTheme="minorHAnsi" w:hAnsiTheme="minorHAnsi" w:cstheme="minorHAnsi"/>
          <w:sz w:val="20"/>
          <w:szCs w:val="20"/>
        </w:rPr>
        <w:t>T</w:t>
      </w:r>
      <w:r w:rsidR="00CA0EBC" w:rsidRPr="009B546D">
        <w:rPr>
          <w:rFonts w:asciiTheme="minorHAnsi" w:hAnsiTheme="minorHAnsi" w:cstheme="minorHAnsi"/>
          <w:sz w:val="20"/>
          <w:szCs w:val="20"/>
        </w:rPr>
        <w:t>he</w:t>
      </w:r>
      <w:r w:rsidR="00D90E1F" w:rsidRPr="009B546D">
        <w:rPr>
          <w:rFonts w:asciiTheme="minorHAnsi" w:hAnsiTheme="minorHAnsi" w:cstheme="minorHAnsi"/>
          <w:sz w:val="20"/>
          <w:szCs w:val="20"/>
        </w:rPr>
        <w:t xml:space="preserve"> Existing Directors and the Proposed Director, whose names appear on page </w:t>
      </w:r>
      <w:r w:rsidR="001F1DCD" w:rsidRPr="009B546D">
        <w:rPr>
          <w:rFonts w:asciiTheme="minorHAnsi" w:hAnsiTheme="minorHAnsi" w:cstheme="minorHAnsi"/>
          <w:sz w:val="20"/>
          <w:szCs w:val="20"/>
        </w:rPr>
        <w:t>49</w:t>
      </w:r>
      <w:r w:rsidR="00D90E1F" w:rsidRPr="009B546D">
        <w:rPr>
          <w:rFonts w:asciiTheme="minorHAnsi" w:hAnsiTheme="minorHAnsi" w:cstheme="minorHAnsi"/>
          <w:sz w:val="20"/>
          <w:szCs w:val="20"/>
        </w:rPr>
        <w:t xml:space="preserve"> of this Prospectus, and the Company accept responsibility for the information contained in this Prospectus. To the best of the knowledge of the Company, the Existing Directors and the Proposed Director (who have each taken all reasonable care to ensure that such is the case), the information contained in this Prospectus is in accordance with the facts and contains no omission likely to affect its import.</w:t>
      </w:r>
    </w:p>
    <w:p w14:paraId="568090FC" w14:textId="77777777"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The</w:t>
      </w:r>
      <w:r w:rsidRPr="009B546D">
        <w:rPr>
          <w:rFonts w:asciiTheme="minorHAnsi" w:hAnsiTheme="minorHAnsi" w:cstheme="minorHAnsi"/>
          <w:b w:val="0"/>
          <w:spacing w:val="-1"/>
          <w:szCs w:val="20"/>
        </w:rPr>
        <w:t xml:space="preserve"> </w:t>
      </w:r>
      <w:r w:rsidRPr="009B546D">
        <w:rPr>
          <w:rFonts w:asciiTheme="minorHAnsi" w:hAnsiTheme="minorHAnsi" w:cstheme="minorHAnsi"/>
          <w:szCs w:val="20"/>
        </w:rPr>
        <w:t>Company</w:t>
      </w:r>
    </w:p>
    <w:p w14:paraId="1D46F960" w14:textId="150454D3"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zCs w:val="20"/>
        </w:rPr>
      </w:pPr>
      <w:r w:rsidRPr="00384557">
        <w:rPr>
          <w:rFonts w:asciiTheme="minorHAnsi" w:hAnsiTheme="minorHAnsi" w:cstheme="minorHAnsi"/>
          <w:b w:val="0"/>
          <w:szCs w:val="20"/>
        </w:rPr>
        <w:t xml:space="preserve">The Company was incorporated in the Cayman Islands on 11 October 2017 under the Companies </w:t>
      </w:r>
      <w:r w:rsidRPr="009B546D">
        <w:rPr>
          <w:rFonts w:asciiTheme="minorHAnsi" w:hAnsiTheme="minorHAnsi" w:cstheme="minorHAnsi"/>
          <w:b w:val="0"/>
          <w:spacing w:val="-4"/>
          <w:szCs w:val="20"/>
        </w:rPr>
        <w:t xml:space="preserve">Law, </w:t>
      </w:r>
      <w:r w:rsidRPr="009B546D">
        <w:rPr>
          <w:rFonts w:asciiTheme="minorHAnsi" w:hAnsiTheme="minorHAnsi" w:cstheme="minorHAnsi"/>
          <w:b w:val="0"/>
          <w:szCs w:val="20"/>
        </w:rPr>
        <w:t>as an exempted company with limited liability with the name AIQ Limited. The Company’s registered number is 327983.</w:t>
      </w:r>
    </w:p>
    <w:p w14:paraId="46D9ABF2" w14:textId="50BBEE8A"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zCs w:val="20"/>
        </w:rPr>
      </w:pPr>
      <w:r w:rsidRPr="00384557">
        <w:rPr>
          <w:rFonts w:asciiTheme="minorHAnsi" w:hAnsiTheme="minorHAnsi" w:cstheme="minorHAnsi"/>
          <w:b w:val="0"/>
          <w:szCs w:val="20"/>
        </w:rPr>
        <w:t xml:space="preserve">The principal legislation under which the Company was incorporated and operates, and pursuant to which the </w:t>
      </w:r>
      <w:r w:rsidRPr="009B546D">
        <w:rPr>
          <w:rFonts w:asciiTheme="minorHAnsi" w:hAnsiTheme="minorHAnsi" w:cstheme="minorHAnsi"/>
          <w:b w:val="0"/>
          <w:szCs w:val="20"/>
        </w:rPr>
        <w:t>Ordinary Shares have been created, is the Companies Law and regulations made under the Companies</w:t>
      </w:r>
      <w:r w:rsidRPr="009B546D">
        <w:rPr>
          <w:rFonts w:asciiTheme="minorHAnsi" w:hAnsiTheme="minorHAnsi" w:cstheme="minorHAnsi"/>
          <w:b w:val="0"/>
          <w:spacing w:val="-29"/>
          <w:szCs w:val="20"/>
        </w:rPr>
        <w:t xml:space="preserve"> </w:t>
      </w:r>
      <w:r w:rsidRPr="009B546D">
        <w:rPr>
          <w:rFonts w:asciiTheme="minorHAnsi" w:hAnsiTheme="minorHAnsi" w:cstheme="minorHAnsi"/>
          <w:b w:val="0"/>
          <w:spacing w:val="-4"/>
          <w:szCs w:val="20"/>
        </w:rPr>
        <w:t>Law.</w:t>
      </w:r>
    </w:p>
    <w:p w14:paraId="27A6351D" w14:textId="549F0494"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zCs w:val="20"/>
        </w:rPr>
      </w:pPr>
      <w:r w:rsidRPr="00384557">
        <w:rPr>
          <w:rFonts w:asciiTheme="minorHAnsi" w:hAnsiTheme="minorHAnsi" w:cstheme="minorHAnsi"/>
          <w:b w:val="0"/>
          <w:szCs w:val="20"/>
        </w:rPr>
        <w:t>The</w:t>
      </w:r>
      <w:r w:rsidRPr="009B546D">
        <w:rPr>
          <w:rFonts w:asciiTheme="minorHAnsi" w:hAnsiTheme="minorHAnsi" w:cstheme="minorHAnsi"/>
          <w:b w:val="0"/>
          <w:spacing w:val="-4"/>
          <w:szCs w:val="20"/>
        </w:rPr>
        <w:t xml:space="preserve"> </w:t>
      </w:r>
      <w:r w:rsidRPr="009B546D">
        <w:rPr>
          <w:rFonts w:asciiTheme="minorHAnsi" w:hAnsiTheme="minorHAnsi" w:cstheme="minorHAnsi"/>
          <w:b w:val="0"/>
          <w:szCs w:val="20"/>
        </w:rPr>
        <w:t>Company’s</w:t>
      </w:r>
      <w:r w:rsidRPr="009B546D">
        <w:rPr>
          <w:rFonts w:asciiTheme="minorHAnsi" w:hAnsiTheme="minorHAnsi" w:cstheme="minorHAnsi"/>
          <w:b w:val="0"/>
          <w:spacing w:val="-4"/>
          <w:szCs w:val="20"/>
        </w:rPr>
        <w:t xml:space="preserve"> </w:t>
      </w:r>
      <w:r w:rsidRPr="009B546D">
        <w:rPr>
          <w:rFonts w:asciiTheme="minorHAnsi" w:hAnsiTheme="minorHAnsi" w:cstheme="minorHAnsi"/>
          <w:b w:val="0"/>
          <w:szCs w:val="20"/>
        </w:rPr>
        <w:t>registered</w:t>
      </w:r>
      <w:r w:rsidRPr="009B546D">
        <w:rPr>
          <w:rFonts w:asciiTheme="minorHAnsi" w:hAnsiTheme="minorHAnsi" w:cstheme="minorHAnsi"/>
          <w:b w:val="0"/>
          <w:spacing w:val="-4"/>
          <w:szCs w:val="20"/>
        </w:rPr>
        <w:t xml:space="preserve"> </w:t>
      </w:r>
      <w:r w:rsidRPr="009B546D">
        <w:rPr>
          <w:rFonts w:asciiTheme="minorHAnsi" w:hAnsiTheme="minorHAnsi" w:cstheme="minorHAnsi"/>
          <w:b w:val="0"/>
          <w:szCs w:val="20"/>
        </w:rPr>
        <w:t>office</w:t>
      </w:r>
      <w:r w:rsidRPr="009B546D">
        <w:rPr>
          <w:rFonts w:asciiTheme="minorHAnsi" w:hAnsiTheme="minorHAnsi" w:cstheme="minorHAnsi"/>
          <w:b w:val="0"/>
          <w:spacing w:val="-4"/>
          <w:szCs w:val="20"/>
        </w:rPr>
        <w:t xml:space="preserve"> </w:t>
      </w:r>
      <w:r w:rsidRPr="009B546D">
        <w:rPr>
          <w:rFonts w:asciiTheme="minorHAnsi" w:hAnsiTheme="minorHAnsi" w:cstheme="minorHAnsi"/>
          <w:b w:val="0"/>
          <w:szCs w:val="20"/>
        </w:rPr>
        <w:t>is</w:t>
      </w:r>
      <w:r w:rsidRPr="009B546D">
        <w:rPr>
          <w:rFonts w:asciiTheme="minorHAnsi" w:hAnsiTheme="minorHAnsi" w:cstheme="minorHAnsi"/>
          <w:b w:val="0"/>
          <w:spacing w:val="-4"/>
          <w:szCs w:val="20"/>
        </w:rPr>
        <w:t xml:space="preserve"> </w:t>
      </w:r>
      <w:r w:rsidRPr="009B546D">
        <w:rPr>
          <w:rFonts w:asciiTheme="minorHAnsi" w:hAnsiTheme="minorHAnsi" w:cstheme="minorHAnsi"/>
          <w:b w:val="0"/>
          <w:szCs w:val="20"/>
        </w:rPr>
        <w:t>at</w:t>
      </w:r>
      <w:r w:rsidRPr="009B546D">
        <w:rPr>
          <w:rFonts w:asciiTheme="minorHAnsi" w:hAnsiTheme="minorHAnsi" w:cstheme="minorHAnsi"/>
          <w:b w:val="0"/>
          <w:spacing w:val="-2"/>
          <w:szCs w:val="20"/>
        </w:rPr>
        <w:t xml:space="preserve"> </w:t>
      </w:r>
      <w:r w:rsidRPr="009B546D">
        <w:rPr>
          <w:rFonts w:asciiTheme="minorHAnsi" w:hAnsiTheme="minorHAnsi" w:cstheme="minorHAnsi"/>
          <w:b w:val="0"/>
          <w:szCs w:val="20"/>
        </w:rPr>
        <w:t>Genesis</w:t>
      </w:r>
      <w:r w:rsidRPr="009B546D">
        <w:rPr>
          <w:rFonts w:asciiTheme="minorHAnsi" w:hAnsiTheme="minorHAnsi" w:cstheme="minorHAnsi"/>
          <w:b w:val="0"/>
          <w:spacing w:val="-4"/>
          <w:szCs w:val="20"/>
        </w:rPr>
        <w:t xml:space="preserve"> </w:t>
      </w:r>
      <w:r w:rsidRPr="009B546D">
        <w:rPr>
          <w:rFonts w:asciiTheme="minorHAnsi" w:hAnsiTheme="minorHAnsi" w:cstheme="minorHAnsi"/>
          <w:b w:val="0"/>
          <w:szCs w:val="20"/>
        </w:rPr>
        <w:t>Building,</w:t>
      </w:r>
      <w:r w:rsidRPr="009B546D">
        <w:rPr>
          <w:rFonts w:asciiTheme="minorHAnsi" w:hAnsiTheme="minorHAnsi" w:cstheme="minorHAnsi"/>
          <w:b w:val="0"/>
          <w:spacing w:val="-3"/>
          <w:szCs w:val="20"/>
        </w:rPr>
        <w:t xml:space="preserve"> </w:t>
      </w:r>
      <w:r w:rsidRPr="009B546D">
        <w:rPr>
          <w:rFonts w:asciiTheme="minorHAnsi" w:hAnsiTheme="minorHAnsi" w:cstheme="minorHAnsi"/>
          <w:b w:val="0"/>
          <w:szCs w:val="20"/>
        </w:rPr>
        <w:t>5th</w:t>
      </w:r>
      <w:r w:rsidRPr="009B546D">
        <w:rPr>
          <w:rFonts w:asciiTheme="minorHAnsi" w:hAnsiTheme="minorHAnsi" w:cstheme="minorHAnsi"/>
          <w:b w:val="0"/>
          <w:spacing w:val="-2"/>
          <w:szCs w:val="20"/>
        </w:rPr>
        <w:t xml:space="preserve"> </w:t>
      </w:r>
      <w:r w:rsidRPr="009B546D">
        <w:rPr>
          <w:rFonts w:asciiTheme="minorHAnsi" w:hAnsiTheme="minorHAnsi" w:cstheme="minorHAnsi"/>
          <w:b w:val="0"/>
          <w:spacing w:val="-3"/>
          <w:szCs w:val="20"/>
        </w:rPr>
        <w:t xml:space="preserve">Floor, </w:t>
      </w:r>
      <w:r w:rsidRPr="009B546D">
        <w:rPr>
          <w:rFonts w:asciiTheme="minorHAnsi" w:hAnsiTheme="minorHAnsi" w:cstheme="minorHAnsi"/>
          <w:b w:val="0"/>
          <w:szCs w:val="20"/>
        </w:rPr>
        <w:t>Genesis</w:t>
      </w:r>
      <w:r w:rsidRPr="009B546D">
        <w:rPr>
          <w:rFonts w:asciiTheme="minorHAnsi" w:hAnsiTheme="minorHAnsi" w:cstheme="minorHAnsi"/>
          <w:b w:val="0"/>
          <w:spacing w:val="-4"/>
          <w:szCs w:val="20"/>
        </w:rPr>
        <w:t xml:space="preserve"> </w:t>
      </w:r>
      <w:r w:rsidRPr="009B546D">
        <w:rPr>
          <w:rFonts w:asciiTheme="minorHAnsi" w:hAnsiTheme="minorHAnsi" w:cstheme="minorHAnsi"/>
          <w:b w:val="0"/>
          <w:szCs w:val="20"/>
        </w:rPr>
        <w:t>Close,</w:t>
      </w:r>
      <w:r w:rsidRPr="009B546D">
        <w:rPr>
          <w:rFonts w:asciiTheme="minorHAnsi" w:hAnsiTheme="minorHAnsi" w:cstheme="minorHAnsi"/>
          <w:b w:val="0"/>
          <w:spacing w:val="-3"/>
          <w:szCs w:val="20"/>
        </w:rPr>
        <w:t xml:space="preserve"> </w:t>
      </w:r>
      <w:r w:rsidRPr="009B546D">
        <w:rPr>
          <w:rFonts w:asciiTheme="minorHAnsi" w:hAnsiTheme="minorHAnsi" w:cstheme="minorHAnsi"/>
          <w:b w:val="0"/>
          <w:szCs w:val="20"/>
        </w:rPr>
        <w:t>PO</w:t>
      </w:r>
      <w:r w:rsidRPr="009B546D">
        <w:rPr>
          <w:rFonts w:asciiTheme="minorHAnsi" w:hAnsiTheme="minorHAnsi" w:cstheme="minorHAnsi"/>
          <w:b w:val="0"/>
          <w:spacing w:val="-3"/>
          <w:szCs w:val="20"/>
        </w:rPr>
        <w:t xml:space="preserve"> </w:t>
      </w:r>
      <w:r w:rsidRPr="009B546D">
        <w:rPr>
          <w:rFonts w:asciiTheme="minorHAnsi" w:hAnsiTheme="minorHAnsi" w:cstheme="minorHAnsi"/>
          <w:b w:val="0"/>
          <w:szCs w:val="20"/>
        </w:rPr>
        <w:t>Box</w:t>
      </w:r>
      <w:r w:rsidRPr="009B546D">
        <w:rPr>
          <w:rFonts w:asciiTheme="minorHAnsi" w:hAnsiTheme="minorHAnsi" w:cstheme="minorHAnsi"/>
          <w:b w:val="0"/>
          <w:spacing w:val="-5"/>
          <w:szCs w:val="20"/>
        </w:rPr>
        <w:t xml:space="preserve"> </w:t>
      </w:r>
      <w:r w:rsidRPr="009B546D">
        <w:rPr>
          <w:rFonts w:asciiTheme="minorHAnsi" w:hAnsiTheme="minorHAnsi" w:cstheme="minorHAnsi"/>
          <w:b w:val="0"/>
          <w:szCs w:val="20"/>
        </w:rPr>
        <w:t>446,</w:t>
      </w:r>
      <w:r w:rsidRPr="009B546D">
        <w:rPr>
          <w:rFonts w:asciiTheme="minorHAnsi" w:hAnsiTheme="minorHAnsi" w:cstheme="minorHAnsi"/>
          <w:b w:val="0"/>
          <w:spacing w:val="-3"/>
          <w:szCs w:val="20"/>
        </w:rPr>
        <w:t xml:space="preserve"> </w:t>
      </w:r>
      <w:r w:rsidRPr="009B546D">
        <w:rPr>
          <w:rFonts w:asciiTheme="minorHAnsi" w:hAnsiTheme="minorHAnsi" w:cstheme="minorHAnsi"/>
          <w:b w:val="0"/>
          <w:szCs w:val="20"/>
        </w:rPr>
        <w:t>Cayman</w:t>
      </w:r>
      <w:r w:rsidRPr="009B546D">
        <w:rPr>
          <w:rFonts w:asciiTheme="minorHAnsi" w:hAnsiTheme="minorHAnsi" w:cstheme="minorHAnsi"/>
          <w:b w:val="0"/>
          <w:spacing w:val="-4"/>
          <w:szCs w:val="20"/>
        </w:rPr>
        <w:t xml:space="preserve"> </w:t>
      </w:r>
      <w:r w:rsidRPr="009B546D">
        <w:rPr>
          <w:rFonts w:asciiTheme="minorHAnsi" w:hAnsiTheme="minorHAnsi" w:cstheme="minorHAnsi"/>
          <w:b w:val="0"/>
          <w:szCs w:val="20"/>
        </w:rPr>
        <w:t>Islands,</w:t>
      </w:r>
      <w:r w:rsidRPr="009B546D">
        <w:rPr>
          <w:rFonts w:asciiTheme="minorHAnsi" w:hAnsiTheme="minorHAnsi" w:cstheme="minorHAnsi"/>
          <w:b w:val="0"/>
          <w:spacing w:val="2"/>
          <w:szCs w:val="20"/>
        </w:rPr>
        <w:t xml:space="preserve"> </w:t>
      </w:r>
      <w:r w:rsidRPr="009B546D">
        <w:rPr>
          <w:rFonts w:asciiTheme="minorHAnsi" w:hAnsiTheme="minorHAnsi" w:cstheme="minorHAnsi"/>
          <w:b w:val="0"/>
          <w:szCs w:val="20"/>
        </w:rPr>
        <w:t>KY1- 1106. The head office and principal place of business of the Company, and the business address of each of the Directors, is 10 Margaret Street, London, Greater London, W1W 8RL, United Kingdom. The telephone number of the Company’s head office and principal place of business is 0203 911 8716.</w:t>
      </w:r>
      <w:r w:rsidR="007D7B13" w:rsidRPr="009B546D">
        <w:rPr>
          <w:rFonts w:asciiTheme="minorHAnsi" w:hAnsiTheme="minorHAnsi" w:cstheme="minorHAnsi"/>
          <w:b w:val="0"/>
          <w:szCs w:val="20"/>
        </w:rPr>
        <w:t xml:space="preserve"> </w:t>
      </w:r>
      <w:r w:rsidRPr="009B546D">
        <w:rPr>
          <w:rFonts w:asciiTheme="minorHAnsi" w:hAnsiTheme="minorHAnsi" w:cstheme="minorHAnsi"/>
          <w:b w:val="0"/>
          <w:szCs w:val="20"/>
        </w:rPr>
        <w:t xml:space="preserve">The Company’s website is </w:t>
      </w:r>
      <w:hyperlink r:id="rId17" w:history="1">
        <w:r w:rsidRPr="009B546D">
          <w:rPr>
            <w:rStyle w:val="Hyperlink"/>
            <w:rFonts w:asciiTheme="minorHAnsi" w:hAnsiTheme="minorHAnsi" w:cstheme="minorHAnsi"/>
            <w:b w:val="0"/>
            <w:szCs w:val="20"/>
          </w:rPr>
          <w:t>www.aiqhub.com</w:t>
        </w:r>
      </w:hyperlink>
      <w:r w:rsidRPr="00384557">
        <w:rPr>
          <w:rFonts w:asciiTheme="minorHAnsi" w:hAnsiTheme="minorHAnsi" w:cstheme="minorHAnsi"/>
          <w:b w:val="0"/>
          <w:szCs w:val="20"/>
        </w:rPr>
        <w:t xml:space="preserve"> the contents of which do not form part of this Prospectus unless that information is incorporated by reference into this Prospectus.</w:t>
      </w:r>
    </w:p>
    <w:p w14:paraId="06002188" w14:textId="4C64F181" w:rsidR="00CF1793"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szCs w:val="20"/>
        </w:rPr>
        <w:t>The Company is subject to the Listing Rules (and the resulting jurisdiction of the FCA) to the extent such rules apply to companies with a Standard Listing pursuant to Chapter 14 of the Listing</w:t>
      </w:r>
      <w:r w:rsidRPr="009B546D">
        <w:rPr>
          <w:rFonts w:asciiTheme="minorHAnsi" w:hAnsiTheme="minorHAnsi" w:cstheme="minorHAnsi"/>
          <w:b w:val="0"/>
          <w:spacing w:val="-9"/>
          <w:szCs w:val="20"/>
        </w:rPr>
        <w:t xml:space="preserve"> </w:t>
      </w:r>
      <w:r w:rsidRPr="009B546D">
        <w:rPr>
          <w:rFonts w:asciiTheme="minorHAnsi" w:hAnsiTheme="minorHAnsi" w:cstheme="minorHAnsi"/>
          <w:b w:val="0"/>
          <w:szCs w:val="20"/>
        </w:rPr>
        <w:t>Rules and the Disclosure Guidance and the Transparency Rules. The Company is also subject to the Market Abuse Regulation</w:t>
      </w:r>
      <w:r w:rsidR="00CF1793" w:rsidRPr="009B546D">
        <w:rPr>
          <w:rFonts w:asciiTheme="minorHAnsi" w:hAnsiTheme="minorHAnsi" w:cstheme="minorHAnsi"/>
          <w:b w:val="0"/>
          <w:szCs w:val="20"/>
        </w:rPr>
        <w:t>.</w:t>
      </w:r>
    </w:p>
    <w:p w14:paraId="77D0A5C3" w14:textId="4D29A75D" w:rsidR="004D3656"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zCs w:val="20"/>
        </w:rPr>
      </w:pPr>
      <w:r w:rsidRPr="00384557">
        <w:rPr>
          <w:rFonts w:asciiTheme="minorHAnsi" w:hAnsiTheme="minorHAnsi" w:cstheme="minorHAnsi"/>
          <w:b w:val="0"/>
          <w:szCs w:val="20"/>
        </w:rPr>
        <w:t>As at the date of this Prospectus, the Company did not have any</w:t>
      </w:r>
      <w:r w:rsidRPr="009B546D">
        <w:rPr>
          <w:rFonts w:asciiTheme="minorHAnsi" w:hAnsiTheme="minorHAnsi" w:cstheme="minorHAnsi"/>
          <w:b w:val="0"/>
          <w:spacing w:val="-14"/>
          <w:szCs w:val="20"/>
        </w:rPr>
        <w:t xml:space="preserve"> </w:t>
      </w:r>
      <w:r w:rsidRPr="009B546D">
        <w:rPr>
          <w:rFonts w:asciiTheme="minorHAnsi" w:hAnsiTheme="minorHAnsi" w:cstheme="minorHAnsi"/>
          <w:b w:val="0"/>
          <w:szCs w:val="20"/>
        </w:rPr>
        <w:t xml:space="preserve">subsidiaries. On completion of the </w:t>
      </w:r>
      <w:r w:rsidR="00142D95" w:rsidRPr="009B546D">
        <w:rPr>
          <w:rFonts w:asciiTheme="minorHAnsi" w:hAnsiTheme="minorHAnsi" w:cstheme="minorHAnsi"/>
          <w:b w:val="0"/>
          <w:szCs w:val="20"/>
        </w:rPr>
        <w:t>Proposed Acquisition</w:t>
      </w:r>
      <w:r w:rsidRPr="009B546D">
        <w:rPr>
          <w:rFonts w:asciiTheme="minorHAnsi" w:hAnsiTheme="minorHAnsi" w:cstheme="minorHAnsi"/>
          <w:b w:val="0"/>
          <w:szCs w:val="20"/>
        </w:rPr>
        <w:t xml:space="preserve"> and on Re-Admission, the Company will have one wholly-owned subsidiary</w:t>
      </w:r>
      <w:r w:rsidR="003321AC" w:rsidRPr="009B546D">
        <w:rPr>
          <w:rFonts w:asciiTheme="minorHAnsi" w:hAnsiTheme="minorHAnsi" w:cstheme="minorHAnsi"/>
          <w:b w:val="0"/>
          <w:szCs w:val="20"/>
        </w:rPr>
        <w:t>:</w:t>
      </w:r>
    </w:p>
    <w:tbl>
      <w:tblPr>
        <w:tblStyle w:val="TableGrid"/>
        <w:tblW w:w="0" w:type="auto"/>
        <w:tblInd w:w="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56"/>
        <w:gridCol w:w="2713"/>
      </w:tblGrid>
      <w:tr w:rsidR="0043602D" w:rsidRPr="009B546D" w14:paraId="6B57EDF9" w14:textId="77777777" w:rsidTr="00682BB9">
        <w:tc>
          <w:tcPr>
            <w:tcW w:w="3082" w:type="dxa"/>
          </w:tcPr>
          <w:p w14:paraId="75ADF8ED" w14:textId="77777777" w:rsidR="0043602D" w:rsidRPr="009B546D" w:rsidRDefault="0043602D" w:rsidP="00F432B9">
            <w:pPr>
              <w:pStyle w:val="ListParagraph"/>
              <w:spacing w:after="160"/>
              <w:ind w:left="0"/>
              <w:rPr>
                <w:rFonts w:asciiTheme="minorHAnsi" w:hAnsiTheme="minorHAnsi" w:cstheme="minorHAnsi"/>
                <w:b/>
                <w:sz w:val="20"/>
                <w:szCs w:val="20"/>
              </w:rPr>
            </w:pPr>
            <w:r w:rsidRPr="009B546D">
              <w:rPr>
                <w:rFonts w:asciiTheme="minorHAnsi" w:hAnsiTheme="minorHAnsi" w:cstheme="minorHAnsi"/>
                <w:b/>
                <w:sz w:val="20"/>
                <w:szCs w:val="20"/>
              </w:rPr>
              <w:t>Name of Subsidiary</w:t>
            </w:r>
          </w:p>
        </w:tc>
        <w:tc>
          <w:tcPr>
            <w:tcW w:w="3082" w:type="dxa"/>
          </w:tcPr>
          <w:p w14:paraId="2E338945" w14:textId="77777777" w:rsidR="0043602D" w:rsidRPr="009B546D" w:rsidRDefault="0043602D" w:rsidP="00F432B9">
            <w:pPr>
              <w:pStyle w:val="ListParagraph"/>
              <w:spacing w:after="160"/>
              <w:ind w:left="0"/>
              <w:rPr>
                <w:rFonts w:asciiTheme="minorHAnsi" w:hAnsiTheme="minorHAnsi" w:cstheme="minorHAnsi"/>
                <w:b/>
                <w:sz w:val="20"/>
                <w:szCs w:val="20"/>
              </w:rPr>
            </w:pPr>
            <w:r w:rsidRPr="009B546D">
              <w:rPr>
                <w:rFonts w:asciiTheme="minorHAnsi" w:hAnsiTheme="minorHAnsi" w:cstheme="minorHAnsi"/>
                <w:b/>
                <w:sz w:val="20"/>
                <w:szCs w:val="20"/>
              </w:rPr>
              <w:t>Country of Incorporation</w:t>
            </w:r>
          </w:p>
        </w:tc>
        <w:tc>
          <w:tcPr>
            <w:tcW w:w="3082" w:type="dxa"/>
          </w:tcPr>
          <w:p w14:paraId="0A25E892" w14:textId="77777777" w:rsidR="0043602D" w:rsidRPr="009B546D" w:rsidRDefault="0043602D" w:rsidP="00F432B9">
            <w:pPr>
              <w:pStyle w:val="ListParagraph"/>
              <w:spacing w:after="160"/>
              <w:ind w:left="0"/>
              <w:rPr>
                <w:rFonts w:asciiTheme="minorHAnsi" w:hAnsiTheme="minorHAnsi" w:cstheme="minorHAnsi"/>
                <w:b/>
                <w:sz w:val="20"/>
                <w:szCs w:val="20"/>
              </w:rPr>
            </w:pPr>
            <w:r w:rsidRPr="009B546D">
              <w:rPr>
                <w:rFonts w:asciiTheme="minorHAnsi" w:hAnsiTheme="minorHAnsi" w:cstheme="minorHAnsi"/>
                <w:b/>
                <w:sz w:val="20"/>
                <w:szCs w:val="20"/>
              </w:rPr>
              <w:t xml:space="preserve">Ownership </w:t>
            </w:r>
          </w:p>
        </w:tc>
      </w:tr>
      <w:tr w:rsidR="0043602D" w:rsidRPr="009B546D" w14:paraId="45F2E17B" w14:textId="77777777" w:rsidTr="00682BB9">
        <w:tc>
          <w:tcPr>
            <w:tcW w:w="3082" w:type="dxa"/>
          </w:tcPr>
          <w:p w14:paraId="2751477E" w14:textId="77777777" w:rsidR="0043602D" w:rsidRPr="009B546D" w:rsidRDefault="0043602D" w:rsidP="00F432B9">
            <w:pPr>
              <w:pStyle w:val="ListParagraph"/>
              <w:spacing w:after="160"/>
              <w:ind w:left="0"/>
              <w:rPr>
                <w:rFonts w:asciiTheme="minorHAnsi" w:hAnsiTheme="minorHAnsi" w:cstheme="minorHAnsi"/>
                <w:sz w:val="20"/>
                <w:szCs w:val="20"/>
              </w:rPr>
            </w:pPr>
            <w:r w:rsidRPr="009B546D">
              <w:rPr>
                <w:rFonts w:asciiTheme="minorHAnsi" w:hAnsiTheme="minorHAnsi" w:cstheme="minorHAnsi"/>
                <w:sz w:val="20"/>
                <w:szCs w:val="20"/>
              </w:rPr>
              <w:t>Alchemist Codes Sdn Bhd</w:t>
            </w:r>
          </w:p>
        </w:tc>
        <w:tc>
          <w:tcPr>
            <w:tcW w:w="3082" w:type="dxa"/>
          </w:tcPr>
          <w:p w14:paraId="7430851C" w14:textId="77777777" w:rsidR="0043602D" w:rsidRPr="009B546D" w:rsidRDefault="0043602D" w:rsidP="00F432B9">
            <w:pPr>
              <w:pStyle w:val="ListParagraph"/>
              <w:spacing w:after="160"/>
              <w:ind w:left="0"/>
              <w:rPr>
                <w:rFonts w:asciiTheme="minorHAnsi" w:hAnsiTheme="minorHAnsi" w:cstheme="minorHAnsi"/>
                <w:sz w:val="20"/>
                <w:szCs w:val="20"/>
              </w:rPr>
            </w:pPr>
            <w:r w:rsidRPr="009B546D">
              <w:rPr>
                <w:rFonts w:asciiTheme="minorHAnsi" w:hAnsiTheme="minorHAnsi" w:cstheme="minorHAnsi"/>
                <w:sz w:val="20"/>
                <w:szCs w:val="20"/>
              </w:rPr>
              <w:t>Malaysia</w:t>
            </w:r>
          </w:p>
        </w:tc>
        <w:tc>
          <w:tcPr>
            <w:tcW w:w="3082" w:type="dxa"/>
          </w:tcPr>
          <w:p w14:paraId="046F894C" w14:textId="77777777" w:rsidR="0043602D" w:rsidRPr="009B546D" w:rsidRDefault="0043602D" w:rsidP="00F432B9">
            <w:pPr>
              <w:pStyle w:val="ListParagraph"/>
              <w:spacing w:after="160"/>
              <w:ind w:left="0"/>
              <w:rPr>
                <w:rFonts w:asciiTheme="minorHAnsi" w:hAnsiTheme="minorHAnsi" w:cstheme="minorHAnsi"/>
                <w:sz w:val="20"/>
                <w:szCs w:val="20"/>
              </w:rPr>
            </w:pPr>
            <w:r w:rsidRPr="009B546D">
              <w:rPr>
                <w:rFonts w:asciiTheme="minorHAnsi" w:hAnsiTheme="minorHAnsi" w:cstheme="minorHAnsi"/>
                <w:sz w:val="20"/>
                <w:szCs w:val="20"/>
              </w:rPr>
              <w:t>100 per cent. (direct)</w:t>
            </w:r>
          </w:p>
        </w:tc>
      </w:tr>
    </w:tbl>
    <w:p w14:paraId="04D7008C" w14:textId="7D9326A6" w:rsidR="00CF1793" w:rsidRPr="009B546D" w:rsidRDefault="00D2603F" w:rsidP="00F432B9">
      <w:pPr>
        <w:pStyle w:val="Heading2"/>
        <w:keepNext w:val="0"/>
        <w:widowControl w:val="0"/>
        <w:numPr>
          <w:ilvl w:val="1"/>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szCs w:val="20"/>
        </w:rPr>
        <w:t xml:space="preserve">As at the financial year end 31 October 2019, the Company had </w:t>
      </w:r>
      <w:r w:rsidR="000914D0">
        <w:rPr>
          <w:rFonts w:asciiTheme="minorHAnsi" w:hAnsiTheme="minorHAnsi" w:cstheme="minorHAnsi"/>
          <w:b w:val="0"/>
          <w:szCs w:val="20"/>
        </w:rPr>
        <w:t>three</w:t>
      </w:r>
      <w:r w:rsidR="000914D0" w:rsidRPr="009B546D">
        <w:rPr>
          <w:rFonts w:asciiTheme="minorHAnsi" w:hAnsiTheme="minorHAnsi" w:cstheme="minorHAnsi"/>
          <w:b w:val="0"/>
          <w:szCs w:val="20"/>
        </w:rPr>
        <w:t xml:space="preserve"> </w:t>
      </w:r>
      <w:r w:rsidRPr="009B546D">
        <w:rPr>
          <w:rFonts w:asciiTheme="minorHAnsi" w:hAnsiTheme="minorHAnsi" w:cstheme="minorHAnsi"/>
          <w:b w:val="0"/>
          <w:szCs w:val="20"/>
        </w:rPr>
        <w:t xml:space="preserve">employees and as at the date of this Prospectus, the Company has </w:t>
      </w:r>
      <w:r w:rsidR="000914D0">
        <w:rPr>
          <w:rFonts w:asciiTheme="minorHAnsi" w:hAnsiTheme="minorHAnsi" w:cstheme="minorHAnsi"/>
          <w:b w:val="0"/>
          <w:szCs w:val="20"/>
        </w:rPr>
        <w:t>three</w:t>
      </w:r>
      <w:r w:rsidRPr="009B546D">
        <w:rPr>
          <w:rFonts w:asciiTheme="minorHAnsi" w:hAnsiTheme="minorHAnsi" w:cstheme="minorHAnsi"/>
          <w:b w:val="0"/>
          <w:szCs w:val="20"/>
        </w:rPr>
        <w:t xml:space="preserve"> employees</w:t>
      </w:r>
    </w:p>
    <w:p w14:paraId="57BA984A" w14:textId="6F6883F2"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r w:rsidRPr="00384557">
        <w:rPr>
          <w:rFonts w:asciiTheme="minorHAnsi" w:hAnsiTheme="minorHAnsi" w:cstheme="minorHAnsi"/>
          <w:szCs w:val="20"/>
        </w:rPr>
        <w:t>Share</w:t>
      </w:r>
      <w:r w:rsidRPr="009B546D">
        <w:rPr>
          <w:rFonts w:asciiTheme="minorHAnsi" w:hAnsiTheme="minorHAnsi" w:cstheme="minorHAnsi"/>
          <w:spacing w:val="-1"/>
          <w:szCs w:val="20"/>
        </w:rPr>
        <w:t xml:space="preserve"> </w:t>
      </w:r>
      <w:r w:rsidRPr="009B546D">
        <w:rPr>
          <w:rFonts w:asciiTheme="minorHAnsi" w:hAnsiTheme="minorHAnsi" w:cstheme="minorHAnsi"/>
          <w:szCs w:val="20"/>
        </w:rPr>
        <w:t>Capital</w:t>
      </w:r>
    </w:p>
    <w:p w14:paraId="2C712BB8" w14:textId="77777777"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szCs w:val="20"/>
        </w:rPr>
        <w:t>Upon incorporation on 11 October 2017:</w:t>
      </w:r>
    </w:p>
    <w:p w14:paraId="0CA70DB6" w14:textId="3CA6051D" w:rsidR="00D90E1F" w:rsidRPr="009B546D" w:rsidRDefault="00D90E1F" w:rsidP="00F432B9">
      <w:pPr>
        <w:pStyle w:val="Heading2"/>
        <w:keepNext w:val="0"/>
        <w:widowControl w:val="0"/>
        <w:numPr>
          <w:ilvl w:val="2"/>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szCs w:val="20"/>
        </w:rPr>
        <w:t xml:space="preserve">the Company issued one ordinary share of US$1.00 to McGrath </w:t>
      </w:r>
      <w:r w:rsidRPr="009B546D">
        <w:rPr>
          <w:rFonts w:asciiTheme="minorHAnsi" w:hAnsiTheme="minorHAnsi" w:cstheme="minorHAnsi"/>
          <w:b w:val="0"/>
          <w:spacing w:val="-4"/>
          <w:szCs w:val="20"/>
        </w:rPr>
        <w:t xml:space="preserve">Tonner </w:t>
      </w:r>
      <w:r w:rsidRPr="009B546D">
        <w:rPr>
          <w:rFonts w:asciiTheme="minorHAnsi" w:hAnsiTheme="minorHAnsi" w:cstheme="minorHAnsi"/>
          <w:b w:val="0"/>
          <w:szCs w:val="20"/>
        </w:rPr>
        <w:t xml:space="preserve">Corporate Services Limited. The one share was transferred to GBS Infinity Holding Ltd, a BVI company wholly-owned by Soon Beng Gee, on the same </w:t>
      </w:r>
      <w:r w:rsidRPr="009B546D">
        <w:rPr>
          <w:rFonts w:asciiTheme="minorHAnsi" w:hAnsiTheme="minorHAnsi" w:cstheme="minorHAnsi"/>
          <w:b w:val="0"/>
          <w:spacing w:val="-4"/>
          <w:szCs w:val="20"/>
        </w:rPr>
        <w:t>day;</w:t>
      </w:r>
      <w:r w:rsidR="007D7B13" w:rsidRPr="009B546D">
        <w:rPr>
          <w:rFonts w:asciiTheme="minorHAnsi" w:hAnsiTheme="minorHAnsi" w:cstheme="minorHAnsi"/>
          <w:b w:val="0"/>
          <w:spacing w:val="-4"/>
          <w:szCs w:val="20"/>
        </w:rPr>
        <w:t xml:space="preserve"> </w:t>
      </w:r>
    </w:p>
    <w:p w14:paraId="7FC5A6C0" w14:textId="77777777" w:rsidR="00D90E1F" w:rsidRPr="009B546D" w:rsidRDefault="00D90E1F" w:rsidP="00F432B9">
      <w:pPr>
        <w:pStyle w:val="Heading2"/>
        <w:keepNext w:val="0"/>
        <w:widowControl w:val="0"/>
        <w:numPr>
          <w:ilvl w:val="2"/>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szCs w:val="20"/>
        </w:rPr>
        <w:t xml:space="preserve">GBS Infinity Holding Ltd subscribed </w:t>
      </w:r>
      <w:r w:rsidRPr="009B546D">
        <w:rPr>
          <w:rFonts w:asciiTheme="minorHAnsi" w:hAnsiTheme="minorHAnsi" w:cstheme="minorHAnsi"/>
          <w:b w:val="0"/>
          <w:spacing w:val="-5"/>
          <w:szCs w:val="20"/>
        </w:rPr>
        <w:t xml:space="preserve">for, </w:t>
      </w:r>
      <w:r w:rsidRPr="009B546D">
        <w:rPr>
          <w:rFonts w:asciiTheme="minorHAnsi" w:hAnsiTheme="minorHAnsi" w:cstheme="minorHAnsi"/>
          <w:b w:val="0"/>
          <w:szCs w:val="20"/>
        </w:rPr>
        <w:t xml:space="preserve">and the Company issued, a further 99 ordinary shares of US$1.00 each to GBS Infinity Holding Ltd; and </w:t>
      </w:r>
    </w:p>
    <w:p w14:paraId="5C9B1753" w14:textId="77777777" w:rsidR="00D90E1F" w:rsidRPr="009B546D" w:rsidRDefault="00D90E1F" w:rsidP="00F432B9">
      <w:pPr>
        <w:pStyle w:val="Heading2"/>
        <w:keepNext w:val="0"/>
        <w:widowControl w:val="0"/>
        <w:numPr>
          <w:ilvl w:val="2"/>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szCs w:val="20"/>
        </w:rPr>
        <w:t xml:space="preserve">ML Infinity Holding Ltd, a BVI company wholly-owned by Lee Chong Liang, subscribed for, and the Company issued, 100 ordinary shares of US$1.00 each to ML Infinity Holding Ltd. </w:t>
      </w:r>
    </w:p>
    <w:p w14:paraId="44DAA37E" w14:textId="77777777"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spacing w:val="-8"/>
          <w:szCs w:val="20"/>
        </w:rPr>
        <w:t xml:space="preserve">To </w:t>
      </w:r>
      <w:r w:rsidRPr="009B546D">
        <w:rPr>
          <w:rFonts w:asciiTheme="minorHAnsi" w:hAnsiTheme="minorHAnsi" w:cstheme="minorHAnsi"/>
          <w:b w:val="0"/>
          <w:szCs w:val="20"/>
        </w:rPr>
        <w:t>change the currency of the share capital of the Company from Dollars to Sterling, on 29 November 2017, the Company undertook the following</w:t>
      </w:r>
      <w:r w:rsidRPr="009B546D">
        <w:rPr>
          <w:rFonts w:asciiTheme="minorHAnsi" w:hAnsiTheme="minorHAnsi" w:cstheme="minorHAnsi"/>
          <w:b w:val="0"/>
          <w:spacing w:val="-1"/>
          <w:szCs w:val="20"/>
        </w:rPr>
        <w:t xml:space="preserve"> </w:t>
      </w:r>
      <w:r w:rsidRPr="009B546D">
        <w:rPr>
          <w:rFonts w:asciiTheme="minorHAnsi" w:hAnsiTheme="minorHAnsi" w:cstheme="minorHAnsi"/>
          <w:b w:val="0"/>
          <w:szCs w:val="20"/>
        </w:rPr>
        <w:t>steps:</w:t>
      </w:r>
    </w:p>
    <w:p w14:paraId="12BEF889" w14:textId="77777777" w:rsidR="00D90E1F" w:rsidRPr="009B546D" w:rsidRDefault="00D90E1F" w:rsidP="00F432B9">
      <w:pPr>
        <w:pStyle w:val="Heading2"/>
        <w:keepNext w:val="0"/>
        <w:widowControl w:val="0"/>
        <w:numPr>
          <w:ilvl w:val="2"/>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i/>
          <w:szCs w:val="20"/>
        </w:rPr>
        <w:t>Increase of authorised share capital</w:t>
      </w:r>
      <w:r w:rsidRPr="009B546D">
        <w:rPr>
          <w:rFonts w:asciiTheme="minorHAnsi" w:hAnsiTheme="minorHAnsi" w:cstheme="minorHAnsi"/>
          <w:b w:val="0"/>
          <w:szCs w:val="20"/>
        </w:rPr>
        <w:t>: the authorised share capital of the Company was increased</w:t>
      </w:r>
      <w:r w:rsidRPr="009B546D">
        <w:rPr>
          <w:rFonts w:asciiTheme="minorHAnsi" w:hAnsiTheme="minorHAnsi" w:cstheme="minorHAnsi"/>
          <w:b w:val="0"/>
          <w:spacing w:val="15"/>
          <w:szCs w:val="20"/>
        </w:rPr>
        <w:t xml:space="preserve"> </w:t>
      </w:r>
      <w:r w:rsidRPr="009B546D">
        <w:rPr>
          <w:rFonts w:asciiTheme="minorHAnsi" w:hAnsiTheme="minorHAnsi" w:cstheme="minorHAnsi"/>
          <w:b w:val="0"/>
          <w:szCs w:val="20"/>
        </w:rPr>
        <w:t>by £8,000,000 by the creation of additional 800,000,000 ordinary shares of £0.01 each (the “</w:t>
      </w:r>
      <w:r w:rsidRPr="00EA2BB6">
        <w:rPr>
          <w:rFonts w:asciiTheme="minorHAnsi" w:hAnsiTheme="minorHAnsi" w:cstheme="minorHAnsi"/>
          <w:bCs/>
          <w:szCs w:val="20"/>
        </w:rPr>
        <w:t>Increase</w:t>
      </w:r>
      <w:r w:rsidRPr="009B546D">
        <w:rPr>
          <w:rFonts w:asciiTheme="minorHAnsi" w:hAnsiTheme="minorHAnsi" w:cstheme="minorHAnsi"/>
          <w:b w:val="0"/>
          <w:szCs w:val="20"/>
        </w:rPr>
        <w:t xml:space="preserve">”); </w:t>
      </w:r>
    </w:p>
    <w:p w14:paraId="4351587E" w14:textId="77777777" w:rsidR="00D90E1F" w:rsidRPr="009B546D" w:rsidRDefault="00D90E1F" w:rsidP="00F432B9">
      <w:pPr>
        <w:pStyle w:val="Heading2"/>
        <w:keepNext w:val="0"/>
        <w:widowControl w:val="0"/>
        <w:numPr>
          <w:ilvl w:val="2"/>
          <w:numId w:val="11"/>
        </w:numPr>
        <w:spacing w:before="0" w:after="160" w:line="240" w:lineRule="auto"/>
        <w:rPr>
          <w:rFonts w:asciiTheme="minorHAnsi" w:hAnsiTheme="minorHAnsi" w:cstheme="minorHAnsi"/>
          <w:b w:val="0"/>
          <w:szCs w:val="20"/>
        </w:rPr>
      </w:pPr>
      <w:bookmarkStart w:id="56" w:name="_Ref20401443"/>
      <w:r w:rsidRPr="009B546D">
        <w:rPr>
          <w:rFonts w:asciiTheme="minorHAnsi" w:hAnsiTheme="minorHAnsi" w:cstheme="minorHAnsi"/>
          <w:b w:val="0"/>
          <w:i/>
          <w:szCs w:val="20"/>
        </w:rPr>
        <w:lastRenderedPageBreak/>
        <w:t xml:space="preserve">Allotment and issue of new shares: </w:t>
      </w:r>
      <w:r w:rsidRPr="009B546D">
        <w:rPr>
          <w:rFonts w:asciiTheme="minorHAnsi" w:hAnsiTheme="minorHAnsi" w:cstheme="minorHAnsi"/>
          <w:b w:val="0"/>
          <w:szCs w:val="20"/>
        </w:rPr>
        <w:t>following the Increase, the Company issued (i) 7,580 Ordinary Shares, nil-paid, to GBS Infinity Holding Ltd and (ii) 7,580 Ordinary Shares, nil-paid, to ML Infinity Holding Ltd (the “</w:t>
      </w:r>
      <w:r w:rsidRPr="00EA2BB6">
        <w:rPr>
          <w:rFonts w:asciiTheme="minorHAnsi" w:hAnsiTheme="minorHAnsi" w:cstheme="minorHAnsi"/>
          <w:bCs/>
          <w:szCs w:val="20"/>
        </w:rPr>
        <w:t>Issue</w:t>
      </w:r>
      <w:r w:rsidRPr="009B546D">
        <w:rPr>
          <w:rFonts w:asciiTheme="minorHAnsi" w:hAnsiTheme="minorHAnsi" w:cstheme="minorHAnsi"/>
          <w:b w:val="0"/>
          <w:szCs w:val="20"/>
        </w:rPr>
        <w:t>”) at the price of £151.60 (equivalent to US$200) (the “</w:t>
      </w:r>
      <w:r w:rsidRPr="00EA2BB6">
        <w:rPr>
          <w:rFonts w:asciiTheme="minorHAnsi" w:hAnsiTheme="minorHAnsi" w:cstheme="minorHAnsi"/>
          <w:bCs/>
          <w:szCs w:val="20"/>
        </w:rPr>
        <w:t>Subscription</w:t>
      </w:r>
      <w:r w:rsidRPr="00EA2BB6">
        <w:rPr>
          <w:rFonts w:asciiTheme="minorHAnsi" w:hAnsiTheme="minorHAnsi" w:cstheme="minorHAnsi"/>
          <w:bCs/>
          <w:spacing w:val="-5"/>
          <w:szCs w:val="20"/>
        </w:rPr>
        <w:t xml:space="preserve"> </w:t>
      </w:r>
      <w:r w:rsidRPr="00EA2BB6">
        <w:rPr>
          <w:rFonts w:asciiTheme="minorHAnsi" w:hAnsiTheme="minorHAnsi" w:cstheme="minorHAnsi"/>
          <w:bCs/>
          <w:szCs w:val="20"/>
        </w:rPr>
        <w:t>Price</w:t>
      </w:r>
      <w:r w:rsidRPr="009B546D">
        <w:rPr>
          <w:rFonts w:asciiTheme="minorHAnsi" w:hAnsiTheme="minorHAnsi" w:cstheme="minorHAnsi"/>
          <w:b w:val="0"/>
          <w:szCs w:val="20"/>
        </w:rPr>
        <w:t>”);</w:t>
      </w:r>
      <w:bookmarkEnd w:id="56"/>
    </w:p>
    <w:p w14:paraId="22BCA082" w14:textId="77777777" w:rsidR="00D90E1F" w:rsidRPr="009B546D" w:rsidRDefault="00D90E1F" w:rsidP="00F432B9">
      <w:pPr>
        <w:pStyle w:val="Heading2"/>
        <w:keepNext w:val="0"/>
        <w:widowControl w:val="0"/>
        <w:numPr>
          <w:ilvl w:val="2"/>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i/>
          <w:szCs w:val="20"/>
        </w:rPr>
        <w:t xml:space="preserve">Repurchase: </w:t>
      </w:r>
      <w:r w:rsidRPr="009B546D">
        <w:rPr>
          <w:rFonts w:asciiTheme="minorHAnsi" w:hAnsiTheme="minorHAnsi" w:cstheme="minorHAnsi"/>
          <w:b w:val="0"/>
          <w:szCs w:val="20"/>
        </w:rPr>
        <w:t>following the Issue, the Company repurchased (the “</w:t>
      </w:r>
      <w:r w:rsidRPr="00EA2BB6">
        <w:rPr>
          <w:rFonts w:asciiTheme="minorHAnsi" w:hAnsiTheme="minorHAnsi" w:cstheme="minorHAnsi"/>
          <w:bCs/>
          <w:szCs w:val="20"/>
        </w:rPr>
        <w:t>Repurchase</w:t>
      </w:r>
      <w:r w:rsidRPr="009B546D">
        <w:rPr>
          <w:rFonts w:asciiTheme="minorHAnsi" w:hAnsiTheme="minorHAnsi" w:cstheme="minorHAnsi"/>
          <w:b w:val="0"/>
          <w:szCs w:val="20"/>
        </w:rPr>
        <w:t>”) the 200 existing ordinary shares of US$1.00 each in issue (the “</w:t>
      </w:r>
      <w:r w:rsidRPr="00EA2BB6">
        <w:rPr>
          <w:rFonts w:asciiTheme="minorHAnsi" w:hAnsiTheme="minorHAnsi" w:cstheme="minorHAnsi"/>
          <w:bCs/>
          <w:szCs w:val="20"/>
        </w:rPr>
        <w:t>Existing Shares</w:t>
      </w:r>
      <w:r w:rsidRPr="009B546D">
        <w:rPr>
          <w:rFonts w:asciiTheme="minorHAnsi" w:hAnsiTheme="minorHAnsi" w:cstheme="minorHAnsi"/>
          <w:b w:val="0"/>
          <w:szCs w:val="20"/>
        </w:rPr>
        <w:t>”), held (i) as to 100 Existing Shares by GBS Infinity Holding Ltd, and (ii) as to 100 Existing Shares by ML Infinity Holding Ltd, at the price of £151.60 (equivalent to US$200) (the “</w:t>
      </w:r>
      <w:r w:rsidRPr="00EA2BB6">
        <w:rPr>
          <w:rFonts w:asciiTheme="minorHAnsi" w:hAnsiTheme="minorHAnsi" w:cstheme="minorHAnsi"/>
          <w:bCs/>
          <w:szCs w:val="20"/>
        </w:rPr>
        <w:t>Repurchase Price</w:t>
      </w:r>
      <w:r w:rsidRPr="009B546D">
        <w:rPr>
          <w:rFonts w:asciiTheme="minorHAnsi" w:hAnsiTheme="minorHAnsi" w:cstheme="minorHAnsi"/>
          <w:b w:val="0"/>
          <w:szCs w:val="20"/>
        </w:rPr>
        <w:t>”) following which the Existing Shares were</w:t>
      </w:r>
      <w:r w:rsidRPr="009B546D">
        <w:rPr>
          <w:rFonts w:asciiTheme="minorHAnsi" w:hAnsiTheme="minorHAnsi" w:cstheme="minorHAnsi"/>
          <w:b w:val="0"/>
          <w:spacing w:val="-8"/>
          <w:szCs w:val="20"/>
        </w:rPr>
        <w:t xml:space="preserve"> </w:t>
      </w:r>
      <w:r w:rsidRPr="009B546D">
        <w:rPr>
          <w:rFonts w:asciiTheme="minorHAnsi" w:hAnsiTheme="minorHAnsi" w:cstheme="minorHAnsi"/>
          <w:b w:val="0"/>
          <w:szCs w:val="20"/>
        </w:rPr>
        <w:t>cancelled;</w:t>
      </w:r>
    </w:p>
    <w:p w14:paraId="396660B0" w14:textId="5F97F53C" w:rsidR="00D90E1F" w:rsidRPr="009B546D" w:rsidRDefault="00D90E1F" w:rsidP="00F432B9">
      <w:pPr>
        <w:pStyle w:val="Heading2"/>
        <w:keepNext w:val="0"/>
        <w:widowControl w:val="0"/>
        <w:numPr>
          <w:ilvl w:val="2"/>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i/>
          <w:szCs w:val="20"/>
        </w:rPr>
        <w:t xml:space="preserve">Paying up of Ordinary Shares: </w:t>
      </w:r>
      <w:r w:rsidRPr="009B546D">
        <w:rPr>
          <w:rFonts w:asciiTheme="minorHAnsi" w:hAnsiTheme="minorHAnsi" w:cstheme="minorHAnsi"/>
          <w:b w:val="0"/>
          <w:szCs w:val="20"/>
        </w:rPr>
        <w:t xml:space="preserve">the Subscription Price was set-off against the Repurchase Price and the 15,160 nil-paid Ordinary Shares referred to in paragraph </w:t>
      </w:r>
      <w:r w:rsidRPr="009B546D">
        <w:rPr>
          <w:rFonts w:asciiTheme="minorHAnsi" w:hAnsiTheme="minorHAnsi" w:cstheme="minorHAnsi"/>
          <w:b w:val="0"/>
          <w:szCs w:val="20"/>
        </w:rPr>
        <w:fldChar w:fldCharType="begin"/>
      </w:r>
      <w:r w:rsidRPr="009B546D">
        <w:rPr>
          <w:rFonts w:asciiTheme="minorHAnsi" w:hAnsiTheme="minorHAnsi" w:cstheme="minorHAnsi"/>
          <w:b w:val="0"/>
          <w:szCs w:val="20"/>
        </w:rPr>
        <w:instrText xml:space="preserve"> REF _Ref20401443 \r \h  \* MERGEFORMAT </w:instrText>
      </w:r>
      <w:r w:rsidRPr="009B546D">
        <w:rPr>
          <w:rFonts w:asciiTheme="minorHAnsi" w:hAnsiTheme="minorHAnsi" w:cstheme="minorHAnsi"/>
          <w:b w:val="0"/>
          <w:szCs w:val="20"/>
        </w:rPr>
      </w:r>
      <w:r w:rsidRPr="009B546D">
        <w:rPr>
          <w:rFonts w:asciiTheme="minorHAnsi" w:hAnsiTheme="minorHAnsi" w:cstheme="minorHAnsi"/>
          <w:b w:val="0"/>
          <w:szCs w:val="20"/>
        </w:rPr>
        <w:fldChar w:fldCharType="separate"/>
      </w:r>
      <w:r w:rsidR="00B75DEA" w:rsidRPr="009B546D">
        <w:rPr>
          <w:rFonts w:asciiTheme="minorHAnsi" w:hAnsiTheme="minorHAnsi" w:cstheme="minorHAnsi"/>
          <w:b w:val="0"/>
          <w:szCs w:val="20"/>
        </w:rPr>
        <w:t>3.2.2</w:t>
      </w:r>
      <w:r w:rsidRPr="009B546D">
        <w:rPr>
          <w:rFonts w:asciiTheme="minorHAnsi" w:hAnsiTheme="minorHAnsi" w:cstheme="minorHAnsi"/>
          <w:b w:val="0"/>
          <w:szCs w:val="20"/>
        </w:rPr>
        <w:fldChar w:fldCharType="end"/>
      </w:r>
      <w:r w:rsidRPr="00384557">
        <w:rPr>
          <w:rFonts w:asciiTheme="minorHAnsi" w:hAnsiTheme="minorHAnsi" w:cstheme="minorHAnsi"/>
          <w:b w:val="0"/>
          <w:szCs w:val="20"/>
        </w:rPr>
        <w:t xml:space="preserve"> above were credited as fully-paid;</w:t>
      </w:r>
      <w:r w:rsidRPr="009B546D">
        <w:rPr>
          <w:rFonts w:asciiTheme="minorHAnsi" w:hAnsiTheme="minorHAnsi" w:cstheme="minorHAnsi"/>
          <w:b w:val="0"/>
          <w:spacing w:val="-17"/>
          <w:szCs w:val="20"/>
        </w:rPr>
        <w:t xml:space="preserve"> </w:t>
      </w:r>
      <w:r w:rsidRPr="009B546D">
        <w:rPr>
          <w:rFonts w:asciiTheme="minorHAnsi" w:hAnsiTheme="minorHAnsi" w:cstheme="minorHAnsi"/>
          <w:b w:val="0"/>
          <w:szCs w:val="20"/>
        </w:rPr>
        <w:t>and</w:t>
      </w:r>
    </w:p>
    <w:p w14:paraId="27980207" w14:textId="77777777" w:rsidR="00D90E1F" w:rsidRPr="009B546D" w:rsidRDefault="00D90E1F" w:rsidP="00F432B9">
      <w:pPr>
        <w:pStyle w:val="Heading2"/>
        <w:keepNext w:val="0"/>
        <w:widowControl w:val="0"/>
        <w:numPr>
          <w:ilvl w:val="2"/>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i/>
          <w:szCs w:val="20"/>
        </w:rPr>
        <w:t xml:space="preserve">Diminution of </w:t>
      </w:r>
      <w:r w:rsidRPr="009B546D">
        <w:rPr>
          <w:rFonts w:asciiTheme="minorHAnsi" w:hAnsiTheme="minorHAnsi" w:cstheme="minorHAnsi"/>
          <w:b w:val="0"/>
          <w:szCs w:val="20"/>
        </w:rPr>
        <w:t>authorised</w:t>
      </w:r>
      <w:r w:rsidRPr="009B546D">
        <w:rPr>
          <w:rFonts w:asciiTheme="minorHAnsi" w:hAnsiTheme="minorHAnsi" w:cstheme="minorHAnsi"/>
          <w:b w:val="0"/>
          <w:i/>
          <w:szCs w:val="20"/>
        </w:rPr>
        <w:t xml:space="preserve"> share capital: </w:t>
      </w:r>
      <w:r w:rsidRPr="009B546D">
        <w:rPr>
          <w:rFonts w:asciiTheme="minorHAnsi" w:hAnsiTheme="minorHAnsi" w:cstheme="minorHAnsi"/>
          <w:b w:val="0"/>
          <w:szCs w:val="20"/>
        </w:rPr>
        <w:t>following the Repurchase, the authorised but unissued share capital of the Company was diminished by the cancellation of all the remaining unissued shares of US$1.00 each in the capital of the</w:t>
      </w:r>
      <w:r w:rsidRPr="009B546D">
        <w:rPr>
          <w:rFonts w:asciiTheme="minorHAnsi" w:hAnsiTheme="minorHAnsi" w:cstheme="minorHAnsi"/>
          <w:b w:val="0"/>
          <w:spacing w:val="-5"/>
          <w:szCs w:val="20"/>
        </w:rPr>
        <w:t xml:space="preserve"> </w:t>
      </w:r>
      <w:r w:rsidRPr="009B546D">
        <w:rPr>
          <w:rFonts w:asciiTheme="minorHAnsi" w:hAnsiTheme="minorHAnsi" w:cstheme="minorHAnsi"/>
          <w:b w:val="0"/>
          <w:spacing w:val="-3"/>
          <w:szCs w:val="20"/>
        </w:rPr>
        <w:t xml:space="preserve">Company. </w:t>
      </w:r>
    </w:p>
    <w:p w14:paraId="0D9281F7" w14:textId="77777777" w:rsidR="00D90E1F" w:rsidRPr="009B546D" w:rsidRDefault="00D90E1F" w:rsidP="00F432B9">
      <w:pPr>
        <w:pStyle w:val="Heading2"/>
        <w:keepNext w:val="0"/>
        <w:widowControl w:val="0"/>
        <w:numPr>
          <w:ilvl w:val="1"/>
          <w:numId w:val="11"/>
        </w:numPr>
        <w:spacing w:before="0" w:after="12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Pursuant to a Directors’ resolution passed on 6 December 2017, the Company issued and allotted (i) 1,250,000 Ordinary Shares at £0.08 per share to GBS Infinity Holding Ltd, a BVI company wholly-owned by Soon Beng Gee, and (ii) 1,250,000 Ordinary Shares at £0.08 per share to ML Infinity Holding Ltd, a BVI company wholly-owned by Lee Chong Liang, for an aggregate consideration of £200,000 in cash.</w:t>
      </w:r>
    </w:p>
    <w:p w14:paraId="489095C8" w14:textId="35BFCB64" w:rsidR="00D90E1F" w:rsidRPr="009B546D" w:rsidRDefault="00D90E1F" w:rsidP="00F432B9">
      <w:pPr>
        <w:pStyle w:val="Heading2"/>
        <w:keepNext w:val="0"/>
        <w:widowControl w:val="0"/>
        <w:numPr>
          <w:ilvl w:val="1"/>
          <w:numId w:val="11"/>
        </w:numPr>
        <w:spacing w:before="0" w:after="12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Pursuant to a Directors resolution passed on 21 December 2017, the Company further issued and allotted (i) 17,242,420 Ordinary Shares at £0.08 per share to GBS Infinity Holding Ltd, a BVI company wholly-owned by Soon Beng Gee, and (ii) 17,242,420 Ordinary Shares at £0.08 per share to ML Infinity Holding Ltd, a BVI company wholly-owned by Lee Chong Liang, for an aggregate consideration of approximately £2.7 million in cash.</w:t>
      </w:r>
      <w:r w:rsidR="007D7B13" w:rsidRPr="009B546D">
        <w:rPr>
          <w:rFonts w:asciiTheme="minorHAnsi" w:hAnsiTheme="minorHAnsi" w:cstheme="minorHAnsi"/>
          <w:b w:val="0"/>
          <w:spacing w:val="-8"/>
          <w:szCs w:val="20"/>
        </w:rPr>
        <w:t xml:space="preserve"> </w:t>
      </w:r>
    </w:p>
    <w:p w14:paraId="6DCEE435" w14:textId="13F6795C" w:rsidR="00D90E1F" w:rsidRPr="009B546D" w:rsidRDefault="00D90E1F" w:rsidP="00F432B9">
      <w:pPr>
        <w:pStyle w:val="Heading2"/>
        <w:keepNext w:val="0"/>
        <w:widowControl w:val="0"/>
        <w:numPr>
          <w:ilvl w:val="1"/>
          <w:numId w:val="11"/>
        </w:numPr>
        <w:spacing w:before="0" w:after="120" w:line="240" w:lineRule="auto"/>
        <w:rPr>
          <w:rFonts w:asciiTheme="minorHAnsi" w:hAnsiTheme="minorHAnsi" w:cstheme="minorHAnsi"/>
          <w:b w:val="0"/>
          <w:spacing w:val="-8"/>
          <w:szCs w:val="20"/>
        </w:rPr>
      </w:pPr>
      <w:r w:rsidRPr="00384557">
        <w:rPr>
          <w:rFonts w:asciiTheme="minorHAnsi" w:hAnsiTheme="minorHAnsi" w:cstheme="minorHAnsi"/>
          <w:b w:val="0"/>
          <w:spacing w:val="-8"/>
          <w:szCs w:val="20"/>
        </w:rPr>
        <w:t xml:space="preserve">On 22 December 2017, the Company adopted its current Memorandum and the Articles (further details of which are set out in paragraph </w:t>
      </w:r>
      <w:r w:rsidR="00CD06AA">
        <w:rPr>
          <w:rFonts w:asciiTheme="minorHAnsi" w:hAnsiTheme="minorHAnsi" w:cstheme="minorHAnsi"/>
          <w:b w:val="0"/>
          <w:spacing w:val="-8"/>
          <w:szCs w:val="20"/>
        </w:rPr>
        <w:t>4</w:t>
      </w:r>
      <w:r w:rsidRPr="009B546D">
        <w:rPr>
          <w:rFonts w:asciiTheme="minorHAnsi" w:hAnsiTheme="minorHAnsi" w:cstheme="minorHAnsi"/>
          <w:b w:val="0"/>
          <w:spacing w:val="-8"/>
          <w:szCs w:val="20"/>
        </w:rPr>
        <w:t xml:space="preserve"> of this Part </w:t>
      </w:r>
      <w:r w:rsidR="006953F0" w:rsidRPr="009B546D">
        <w:rPr>
          <w:rFonts w:asciiTheme="minorHAnsi" w:hAnsiTheme="minorHAnsi" w:cstheme="minorHAnsi"/>
          <w:b w:val="0"/>
          <w:spacing w:val="-8"/>
          <w:szCs w:val="20"/>
        </w:rPr>
        <w:t>XX</w:t>
      </w:r>
      <w:r w:rsidRPr="009B546D">
        <w:rPr>
          <w:rFonts w:asciiTheme="minorHAnsi" w:hAnsiTheme="minorHAnsi" w:cstheme="minorHAnsi"/>
          <w:b w:val="0"/>
          <w:spacing w:val="-8"/>
          <w:szCs w:val="20"/>
        </w:rPr>
        <w:t xml:space="preserve"> with effect from 9 January 2018. </w:t>
      </w:r>
      <w:r w:rsidR="00B55A91" w:rsidRPr="009B546D">
        <w:rPr>
          <w:rFonts w:asciiTheme="minorHAnsi" w:hAnsiTheme="minorHAnsi" w:cstheme="minorHAnsi"/>
          <w:b w:val="0"/>
          <w:spacing w:val="-8"/>
          <w:szCs w:val="20"/>
        </w:rPr>
        <w:t>Pursuant to a</w:t>
      </w:r>
      <w:r w:rsidRPr="009B546D">
        <w:rPr>
          <w:rFonts w:asciiTheme="minorHAnsi" w:hAnsiTheme="minorHAnsi" w:cstheme="minorHAnsi"/>
          <w:b w:val="0"/>
          <w:spacing w:val="-8"/>
          <w:szCs w:val="20"/>
        </w:rPr>
        <w:t xml:space="preserve"> shareholder resolution passed on 22 December 2017, the Directors were authorised in accordance with the Articles to exercise all powers of the Company</w:t>
      </w:r>
      <w:r w:rsidR="007D7B13" w:rsidRPr="009B546D">
        <w:rPr>
          <w:rFonts w:asciiTheme="minorHAnsi" w:hAnsiTheme="minorHAnsi" w:cstheme="minorHAnsi"/>
          <w:b w:val="0"/>
          <w:spacing w:val="-8"/>
          <w:szCs w:val="20"/>
        </w:rPr>
        <w:t xml:space="preserve"> </w:t>
      </w:r>
      <w:r w:rsidRPr="009B546D">
        <w:rPr>
          <w:rFonts w:asciiTheme="minorHAnsi" w:hAnsiTheme="minorHAnsi" w:cstheme="minorHAnsi"/>
          <w:b w:val="0"/>
          <w:spacing w:val="-8"/>
          <w:szCs w:val="20"/>
        </w:rPr>
        <w:t>to:</w:t>
      </w:r>
    </w:p>
    <w:p w14:paraId="3515BB31" w14:textId="77777777" w:rsidR="00D90E1F" w:rsidRPr="009B546D" w:rsidRDefault="00D90E1F" w:rsidP="00F432B9">
      <w:pPr>
        <w:pStyle w:val="Heading2"/>
        <w:keepNext w:val="0"/>
        <w:widowControl w:val="0"/>
        <w:numPr>
          <w:ilvl w:val="2"/>
          <w:numId w:val="11"/>
        </w:numPr>
        <w:spacing w:before="0" w:after="160" w:line="240" w:lineRule="auto"/>
        <w:rPr>
          <w:rFonts w:asciiTheme="minorHAnsi" w:hAnsiTheme="minorHAnsi" w:cstheme="minorHAnsi"/>
          <w:b w:val="0"/>
          <w:szCs w:val="20"/>
        </w:rPr>
      </w:pPr>
      <w:bookmarkStart w:id="57" w:name="_Ref20489934"/>
      <w:r w:rsidRPr="009B546D">
        <w:rPr>
          <w:rFonts w:asciiTheme="minorHAnsi" w:hAnsiTheme="minorHAnsi" w:cstheme="minorHAnsi"/>
          <w:b w:val="0"/>
          <w:szCs w:val="20"/>
        </w:rPr>
        <w:t>allot up to 13,000,000 Ordinary Shares connection with the Company’s admission to the Main Market;</w:t>
      </w:r>
      <w:bookmarkEnd w:id="57"/>
      <w:r w:rsidRPr="009B546D">
        <w:rPr>
          <w:rFonts w:asciiTheme="minorHAnsi" w:hAnsiTheme="minorHAnsi" w:cstheme="minorHAnsi"/>
          <w:b w:val="0"/>
          <w:szCs w:val="20"/>
        </w:rPr>
        <w:t xml:space="preserve"> </w:t>
      </w:r>
    </w:p>
    <w:p w14:paraId="1DBB1D0C" w14:textId="77777777" w:rsidR="00D90E1F" w:rsidRPr="009B546D" w:rsidRDefault="00D90E1F" w:rsidP="00F432B9">
      <w:pPr>
        <w:pStyle w:val="Heading2"/>
        <w:keepNext w:val="0"/>
        <w:widowControl w:val="0"/>
        <w:numPr>
          <w:ilvl w:val="2"/>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szCs w:val="20"/>
        </w:rPr>
        <w:t>allot Ordinary Shares in connection with an initial acquisition by the Company (including in respect of consideration payable for such acquisition);</w:t>
      </w:r>
    </w:p>
    <w:p w14:paraId="2E560B76" w14:textId="719A7FD5" w:rsidR="00D90E1F" w:rsidRPr="009B546D" w:rsidRDefault="00D90E1F" w:rsidP="00F432B9">
      <w:pPr>
        <w:pStyle w:val="Heading2"/>
        <w:keepNext w:val="0"/>
        <w:widowControl w:val="0"/>
        <w:numPr>
          <w:ilvl w:val="2"/>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szCs w:val="20"/>
        </w:rPr>
        <w:t>waive all pre-emption rights in the Articles (</w:t>
      </w:r>
      <w:r w:rsidR="0005731D" w:rsidRPr="009B546D">
        <w:rPr>
          <w:rFonts w:asciiTheme="minorHAnsi" w:hAnsiTheme="minorHAnsi" w:cstheme="minorHAnsi"/>
          <w:b w:val="0"/>
          <w:szCs w:val="20"/>
        </w:rPr>
        <w:t>a</w:t>
      </w:r>
      <w:r w:rsidRPr="009B546D">
        <w:rPr>
          <w:rFonts w:asciiTheme="minorHAnsi" w:hAnsiTheme="minorHAnsi" w:cstheme="minorHAnsi"/>
          <w:b w:val="0"/>
          <w:szCs w:val="20"/>
        </w:rPr>
        <w:t xml:space="preserve">) for the purposes of </w:t>
      </w:r>
      <w:r w:rsidR="00740F75" w:rsidRPr="009B546D">
        <w:rPr>
          <w:rFonts w:asciiTheme="minorHAnsi" w:hAnsiTheme="minorHAnsi" w:cstheme="minorHAnsi"/>
          <w:b w:val="0"/>
          <w:szCs w:val="20"/>
        </w:rPr>
        <w:t>an</w:t>
      </w:r>
      <w:r w:rsidRPr="009B546D">
        <w:rPr>
          <w:rFonts w:asciiTheme="minorHAnsi" w:hAnsiTheme="minorHAnsi" w:cstheme="minorHAnsi"/>
          <w:b w:val="0"/>
          <w:szCs w:val="20"/>
        </w:rPr>
        <w:t xml:space="preserve"> initial acquisition (including in respect of consideration payable for such acquisition); and (</w:t>
      </w:r>
      <w:r w:rsidR="0005731D" w:rsidRPr="009B546D">
        <w:rPr>
          <w:rFonts w:asciiTheme="minorHAnsi" w:hAnsiTheme="minorHAnsi" w:cstheme="minorHAnsi"/>
          <w:b w:val="0"/>
          <w:szCs w:val="20"/>
        </w:rPr>
        <w:t>b</w:t>
      </w:r>
      <w:r w:rsidRPr="009B546D">
        <w:rPr>
          <w:rFonts w:asciiTheme="minorHAnsi" w:hAnsiTheme="minorHAnsi" w:cstheme="minorHAnsi"/>
          <w:b w:val="0"/>
          <w:szCs w:val="20"/>
        </w:rPr>
        <w:t xml:space="preserve">) </w:t>
      </w:r>
      <w:r w:rsidRPr="009B546D">
        <w:rPr>
          <w:rFonts w:asciiTheme="minorHAnsi" w:hAnsiTheme="minorHAnsi" w:cstheme="minorHAnsi"/>
          <w:b w:val="0"/>
          <w:spacing w:val="-3"/>
          <w:szCs w:val="20"/>
        </w:rPr>
        <w:t xml:space="preserve">generally, </w:t>
      </w:r>
      <w:r w:rsidRPr="009B546D">
        <w:rPr>
          <w:rFonts w:asciiTheme="minorHAnsi" w:hAnsiTheme="minorHAnsi" w:cstheme="minorHAnsi"/>
          <w:b w:val="0"/>
          <w:szCs w:val="20"/>
        </w:rPr>
        <w:t>and in addition, for such purposes as the Directors think fit, up to an aggregate amount of 50 per cent. of the value of Ordinary Shares (as at the close of business on 9 January 2018);</w:t>
      </w:r>
      <w:r w:rsidRPr="009B546D">
        <w:rPr>
          <w:rFonts w:asciiTheme="minorHAnsi" w:hAnsiTheme="minorHAnsi" w:cstheme="minorHAnsi"/>
          <w:b w:val="0"/>
          <w:spacing w:val="-2"/>
          <w:szCs w:val="20"/>
        </w:rPr>
        <w:t xml:space="preserve"> </w:t>
      </w:r>
      <w:r w:rsidRPr="009B546D">
        <w:rPr>
          <w:rFonts w:asciiTheme="minorHAnsi" w:hAnsiTheme="minorHAnsi" w:cstheme="minorHAnsi"/>
          <w:b w:val="0"/>
          <w:szCs w:val="20"/>
        </w:rPr>
        <w:t>and</w:t>
      </w:r>
    </w:p>
    <w:p w14:paraId="360266E3" w14:textId="77777777" w:rsidR="00D90E1F" w:rsidRPr="009B546D" w:rsidRDefault="00D90E1F" w:rsidP="00F432B9">
      <w:pPr>
        <w:pStyle w:val="Heading2"/>
        <w:keepNext w:val="0"/>
        <w:widowControl w:val="0"/>
        <w:numPr>
          <w:ilvl w:val="2"/>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spacing w:val="-3"/>
          <w:szCs w:val="20"/>
        </w:rPr>
        <w:t xml:space="preserve">generally, </w:t>
      </w:r>
      <w:r w:rsidRPr="009B546D">
        <w:rPr>
          <w:rFonts w:asciiTheme="minorHAnsi" w:hAnsiTheme="minorHAnsi" w:cstheme="minorHAnsi"/>
          <w:b w:val="0"/>
          <w:szCs w:val="20"/>
        </w:rPr>
        <w:t xml:space="preserve">and in addition, allot Ordinary Shares for cash in the number up to 25,000,000 Ordinary Shares. </w:t>
      </w:r>
    </w:p>
    <w:p w14:paraId="1531F513" w14:textId="77777777"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Accordingly: </w:t>
      </w:r>
    </w:p>
    <w:p w14:paraId="38938EE1" w14:textId="77777777" w:rsidR="00D90E1F" w:rsidRPr="009B546D" w:rsidRDefault="00D90E1F" w:rsidP="00F432B9">
      <w:pPr>
        <w:pStyle w:val="Heading2"/>
        <w:keepNext w:val="0"/>
        <w:widowControl w:val="0"/>
        <w:numPr>
          <w:ilvl w:val="2"/>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szCs w:val="20"/>
        </w:rPr>
        <w:t xml:space="preserve">on 9 January 2018, the Company issued and allotted 13,000,000 Ordinary Shares at £0.08 per share in a subscription in connection with the Company’s admission to the Main Market; </w:t>
      </w:r>
    </w:p>
    <w:p w14:paraId="0FDD1154" w14:textId="4F26FE2C" w:rsidR="00D90E1F" w:rsidRPr="009B546D" w:rsidRDefault="00D90E1F" w:rsidP="00F432B9">
      <w:pPr>
        <w:pStyle w:val="Heading2"/>
        <w:keepNext w:val="0"/>
        <w:widowControl w:val="0"/>
        <w:numPr>
          <w:ilvl w:val="2"/>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szCs w:val="20"/>
        </w:rPr>
        <w:t xml:space="preserve">on </w:t>
      </w:r>
      <w:r w:rsidR="00D5184D">
        <w:rPr>
          <w:rFonts w:asciiTheme="minorHAnsi" w:hAnsiTheme="minorHAnsi" w:cstheme="minorHAnsi"/>
          <w:b w:val="0"/>
          <w:szCs w:val="20"/>
        </w:rPr>
        <w:t>13 June</w:t>
      </w:r>
      <w:r w:rsidRPr="009B546D">
        <w:rPr>
          <w:rFonts w:asciiTheme="minorHAnsi" w:hAnsiTheme="minorHAnsi" w:cstheme="minorHAnsi"/>
          <w:b w:val="0"/>
          <w:szCs w:val="20"/>
        </w:rPr>
        <w:t xml:space="preserve"> 2019, the Company issued and allotted 575,000 Ordinary Shares at £0.20 per share in a placing; and </w:t>
      </w:r>
    </w:p>
    <w:p w14:paraId="2EEE70D9" w14:textId="25F1B820" w:rsidR="00D90E1F" w:rsidRDefault="00D90E1F" w:rsidP="00F432B9">
      <w:pPr>
        <w:pStyle w:val="Heading2"/>
        <w:keepNext w:val="0"/>
        <w:widowControl w:val="0"/>
        <w:numPr>
          <w:ilvl w:val="2"/>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szCs w:val="20"/>
        </w:rPr>
        <w:t xml:space="preserve">on </w:t>
      </w:r>
      <w:r w:rsidR="00D5184D">
        <w:rPr>
          <w:rFonts w:asciiTheme="minorHAnsi" w:hAnsiTheme="minorHAnsi" w:cstheme="minorHAnsi"/>
          <w:b w:val="0"/>
          <w:szCs w:val="20"/>
        </w:rPr>
        <w:t>13 June</w:t>
      </w:r>
      <w:r w:rsidRPr="009B546D">
        <w:rPr>
          <w:rFonts w:asciiTheme="minorHAnsi" w:hAnsiTheme="minorHAnsi" w:cstheme="minorHAnsi"/>
          <w:b w:val="0"/>
          <w:szCs w:val="20"/>
        </w:rPr>
        <w:t xml:space="preserve"> 2019, the Company issued and allotted 1,264,375 Ordinary Shares at £0.20 in an open offer. </w:t>
      </w:r>
    </w:p>
    <w:p w14:paraId="649D5367" w14:textId="77777777" w:rsidR="00740F75" w:rsidRPr="00740F75" w:rsidRDefault="00740F75" w:rsidP="00EA2BB6"/>
    <w:p w14:paraId="0C6C0A8E" w14:textId="77777777"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lastRenderedPageBreak/>
        <w:t xml:space="preserve">The following table shows the issued and fully paid shares of the Company at the date of this Prospectus: </w:t>
      </w:r>
    </w:p>
    <w:tbl>
      <w:tblPr>
        <w:tblStyle w:val="TableGrid"/>
        <w:tblW w:w="0" w:type="auto"/>
        <w:tblInd w:w="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1"/>
        <w:gridCol w:w="2308"/>
        <w:gridCol w:w="1384"/>
        <w:gridCol w:w="1389"/>
        <w:gridCol w:w="1612"/>
      </w:tblGrid>
      <w:tr w:rsidR="00D90E1F" w:rsidRPr="009B546D" w14:paraId="1D6537E7" w14:textId="77777777" w:rsidTr="007B5E1A">
        <w:tc>
          <w:tcPr>
            <w:tcW w:w="1481" w:type="dxa"/>
          </w:tcPr>
          <w:p w14:paraId="27DD9545" w14:textId="77777777" w:rsidR="00D90E1F" w:rsidRPr="009B546D" w:rsidRDefault="00D90E1F" w:rsidP="00F432B9">
            <w:pPr>
              <w:pStyle w:val="ListParagraph"/>
              <w:spacing w:after="160"/>
              <w:ind w:left="0" w:right="107"/>
              <w:rPr>
                <w:rFonts w:asciiTheme="minorHAnsi" w:hAnsiTheme="minorHAnsi" w:cstheme="minorHAnsi"/>
                <w:b/>
                <w:sz w:val="20"/>
                <w:szCs w:val="20"/>
              </w:rPr>
            </w:pPr>
          </w:p>
        </w:tc>
        <w:tc>
          <w:tcPr>
            <w:tcW w:w="2308" w:type="dxa"/>
          </w:tcPr>
          <w:p w14:paraId="7AB44DEE" w14:textId="77777777" w:rsidR="00D90E1F" w:rsidRPr="009B546D" w:rsidRDefault="00D90E1F" w:rsidP="00F432B9">
            <w:pPr>
              <w:pStyle w:val="ListParagraph"/>
              <w:spacing w:after="160"/>
              <w:ind w:left="0" w:right="107"/>
              <w:rPr>
                <w:rFonts w:asciiTheme="minorHAnsi" w:hAnsiTheme="minorHAnsi" w:cstheme="minorHAnsi"/>
                <w:b/>
                <w:sz w:val="20"/>
                <w:szCs w:val="20"/>
              </w:rPr>
            </w:pPr>
          </w:p>
        </w:tc>
        <w:tc>
          <w:tcPr>
            <w:tcW w:w="4385" w:type="dxa"/>
            <w:gridSpan w:val="3"/>
          </w:tcPr>
          <w:p w14:paraId="721EA9CE" w14:textId="77777777" w:rsidR="00D90E1F" w:rsidRPr="009B546D" w:rsidRDefault="00D90E1F" w:rsidP="00F432B9">
            <w:pPr>
              <w:pStyle w:val="ListParagraph"/>
              <w:spacing w:after="160"/>
              <w:ind w:left="0" w:right="107"/>
              <w:jc w:val="center"/>
              <w:rPr>
                <w:rFonts w:asciiTheme="minorHAnsi" w:hAnsiTheme="minorHAnsi" w:cstheme="minorHAnsi"/>
                <w:b/>
                <w:sz w:val="20"/>
                <w:szCs w:val="20"/>
              </w:rPr>
            </w:pPr>
            <w:r w:rsidRPr="009B546D">
              <w:rPr>
                <w:rFonts w:asciiTheme="minorHAnsi" w:hAnsiTheme="minorHAnsi" w:cstheme="minorHAnsi"/>
                <w:b/>
                <w:sz w:val="20"/>
                <w:szCs w:val="20"/>
              </w:rPr>
              <w:t>Issued and credited as fully paid</w:t>
            </w:r>
          </w:p>
        </w:tc>
      </w:tr>
      <w:tr w:rsidR="00D90E1F" w:rsidRPr="009B546D" w14:paraId="0875771C" w14:textId="77777777" w:rsidTr="007B5E1A">
        <w:tc>
          <w:tcPr>
            <w:tcW w:w="1481" w:type="dxa"/>
          </w:tcPr>
          <w:p w14:paraId="4F1E5A54" w14:textId="77777777" w:rsidR="00D90E1F" w:rsidRPr="009B546D" w:rsidRDefault="00D90E1F" w:rsidP="00F432B9">
            <w:pPr>
              <w:pStyle w:val="ListParagraph"/>
              <w:spacing w:after="160"/>
              <w:ind w:left="0" w:right="107"/>
              <w:rPr>
                <w:rFonts w:asciiTheme="minorHAnsi" w:hAnsiTheme="minorHAnsi" w:cstheme="minorHAnsi"/>
                <w:b/>
                <w:sz w:val="20"/>
                <w:szCs w:val="20"/>
              </w:rPr>
            </w:pPr>
            <w:r w:rsidRPr="009B546D">
              <w:rPr>
                <w:rFonts w:asciiTheme="minorHAnsi" w:hAnsiTheme="minorHAnsi" w:cstheme="minorHAnsi"/>
                <w:b/>
                <w:sz w:val="20"/>
                <w:szCs w:val="20"/>
              </w:rPr>
              <w:t>Class of share</w:t>
            </w:r>
          </w:p>
        </w:tc>
        <w:tc>
          <w:tcPr>
            <w:tcW w:w="2308" w:type="dxa"/>
          </w:tcPr>
          <w:p w14:paraId="5A7C384F" w14:textId="77777777" w:rsidR="00D90E1F" w:rsidRPr="009B546D" w:rsidRDefault="00D90E1F" w:rsidP="00F432B9">
            <w:pPr>
              <w:pStyle w:val="ListParagraph"/>
              <w:spacing w:after="160"/>
              <w:ind w:left="0" w:right="107"/>
              <w:jc w:val="right"/>
              <w:rPr>
                <w:rFonts w:asciiTheme="minorHAnsi" w:hAnsiTheme="minorHAnsi" w:cstheme="minorHAnsi"/>
                <w:b/>
                <w:sz w:val="20"/>
                <w:szCs w:val="20"/>
              </w:rPr>
            </w:pPr>
            <w:r w:rsidRPr="009B546D">
              <w:rPr>
                <w:rFonts w:asciiTheme="minorHAnsi" w:hAnsiTheme="minorHAnsi" w:cstheme="minorHAnsi"/>
                <w:b/>
                <w:sz w:val="20"/>
                <w:szCs w:val="20"/>
              </w:rPr>
              <w:t>Authorised share capital</w:t>
            </w:r>
          </w:p>
        </w:tc>
        <w:tc>
          <w:tcPr>
            <w:tcW w:w="1384" w:type="dxa"/>
          </w:tcPr>
          <w:p w14:paraId="6A8908D6" w14:textId="77777777" w:rsidR="00D90E1F" w:rsidRPr="009B546D" w:rsidRDefault="00D90E1F" w:rsidP="00F432B9">
            <w:pPr>
              <w:pStyle w:val="ListParagraph"/>
              <w:spacing w:after="160"/>
              <w:ind w:left="0" w:right="107"/>
              <w:jc w:val="right"/>
              <w:rPr>
                <w:rFonts w:asciiTheme="minorHAnsi" w:hAnsiTheme="minorHAnsi" w:cstheme="minorHAnsi"/>
                <w:b/>
                <w:sz w:val="20"/>
                <w:szCs w:val="20"/>
              </w:rPr>
            </w:pPr>
            <w:r w:rsidRPr="009B546D">
              <w:rPr>
                <w:rFonts w:asciiTheme="minorHAnsi" w:hAnsiTheme="minorHAnsi" w:cstheme="minorHAnsi"/>
                <w:b/>
                <w:sz w:val="20"/>
                <w:szCs w:val="20"/>
              </w:rPr>
              <w:t>Nominal value</w:t>
            </w:r>
          </w:p>
        </w:tc>
        <w:tc>
          <w:tcPr>
            <w:tcW w:w="1389" w:type="dxa"/>
          </w:tcPr>
          <w:p w14:paraId="2624E74A" w14:textId="77777777" w:rsidR="00D90E1F" w:rsidRPr="009B546D" w:rsidRDefault="00D90E1F" w:rsidP="00F432B9">
            <w:pPr>
              <w:pStyle w:val="ListParagraph"/>
              <w:spacing w:after="160"/>
              <w:ind w:left="0" w:right="107"/>
              <w:jc w:val="right"/>
              <w:rPr>
                <w:rFonts w:asciiTheme="minorHAnsi" w:hAnsiTheme="minorHAnsi" w:cstheme="minorHAnsi"/>
                <w:b/>
                <w:sz w:val="20"/>
                <w:szCs w:val="20"/>
              </w:rPr>
            </w:pPr>
            <w:r w:rsidRPr="009B546D">
              <w:rPr>
                <w:rFonts w:asciiTheme="minorHAnsi" w:hAnsiTheme="minorHAnsi" w:cstheme="minorHAnsi"/>
                <w:b/>
                <w:sz w:val="20"/>
                <w:szCs w:val="20"/>
              </w:rPr>
              <w:t>Number</w:t>
            </w:r>
          </w:p>
        </w:tc>
        <w:tc>
          <w:tcPr>
            <w:tcW w:w="1612" w:type="dxa"/>
          </w:tcPr>
          <w:p w14:paraId="70C9CAC9" w14:textId="77777777" w:rsidR="00D90E1F" w:rsidRPr="009B546D" w:rsidRDefault="00D90E1F" w:rsidP="00F432B9">
            <w:pPr>
              <w:pStyle w:val="ListParagraph"/>
              <w:spacing w:after="160"/>
              <w:ind w:left="0" w:right="107"/>
              <w:jc w:val="right"/>
              <w:rPr>
                <w:rFonts w:asciiTheme="minorHAnsi" w:hAnsiTheme="minorHAnsi" w:cstheme="minorHAnsi"/>
                <w:b/>
                <w:sz w:val="20"/>
                <w:szCs w:val="20"/>
              </w:rPr>
            </w:pPr>
            <w:r w:rsidRPr="009B546D">
              <w:rPr>
                <w:rFonts w:asciiTheme="minorHAnsi" w:hAnsiTheme="minorHAnsi" w:cstheme="minorHAnsi"/>
                <w:b/>
                <w:sz w:val="20"/>
                <w:szCs w:val="20"/>
              </w:rPr>
              <w:t>Amount paid up</w:t>
            </w:r>
          </w:p>
        </w:tc>
      </w:tr>
      <w:tr w:rsidR="00D90E1F" w:rsidRPr="009B546D" w14:paraId="1EF6A20A" w14:textId="77777777" w:rsidTr="007B5E1A">
        <w:tc>
          <w:tcPr>
            <w:tcW w:w="1481" w:type="dxa"/>
          </w:tcPr>
          <w:p w14:paraId="1D672AD7" w14:textId="77777777" w:rsidR="00D90E1F" w:rsidRPr="009B546D" w:rsidRDefault="00D90E1F" w:rsidP="00F432B9">
            <w:pPr>
              <w:pStyle w:val="ListParagraph"/>
              <w:spacing w:after="160"/>
              <w:ind w:left="0" w:right="107"/>
              <w:rPr>
                <w:rFonts w:asciiTheme="minorHAnsi" w:hAnsiTheme="minorHAnsi" w:cstheme="minorHAnsi"/>
                <w:sz w:val="20"/>
                <w:szCs w:val="20"/>
              </w:rPr>
            </w:pPr>
            <w:r w:rsidRPr="009B546D">
              <w:rPr>
                <w:rFonts w:asciiTheme="minorHAnsi" w:hAnsiTheme="minorHAnsi" w:cstheme="minorHAnsi"/>
                <w:sz w:val="20"/>
                <w:szCs w:val="20"/>
              </w:rPr>
              <w:t>Ordinary</w:t>
            </w:r>
          </w:p>
        </w:tc>
        <w:tc>
          <w:tcPr>
            <w:tcW w:w="2308" w:type="dxa"/>
          </w:tcPr>
          <w:p w14:paraId="19E34064" w14:textId="77777777" w:rsidR="00D90E1F" w:rsidRPr="009B546D" w:rsidRDefault="00D90E1F" w:rsidP="00F432B9">
            <w:pPr>
              <w:pStyle w:val="ListParagraph"/>
              <w:spacing w:after="160"/>
              <w:ind w:left="0" w:right="107"/>
              <w:jc w:val="right"/>
              <w:rPr>
                <w:rFonts w:asciiTheme="minorHAnsi" w:hAnsiTheme="minorHAnsi" w:cstheme="minorHAnsi"/>
                <w:sz w:val="20"/>
                <w:szCs w:val="20"/>
              </w:rPr>
            </w:pPr>
            <w:r w:rsidRPr="009B546D">
              <w:rPr>
                <w:rFonts w:asciiTheme="minorHAnsi" w:hAnsiTheme="minorHAnsi" w:cstheme="minorHAnsi"/>
                <w:sz w:val="20"/>
                <w:szCs w:val="20"/>
              </w:rPr>
              <w:t>£8,000,000</w:t>
            </w:r>
          </w:p>
        </w:tc>
        <w:tc>
          <w:tcPr>
            <w:tcW w:w="1384" w:type="dxa"/>
          </w:tcPr>
          <w:p w14:paraId="3E29FE57" w14:textId="77777777" w:rsidR="00D90E1F" w:rsidRPr="009B546D" w:rsidRDefault="00D90E1F" w:rsidP="00F432B9">
            <w:pPr>
              <w:pStyle w:val="ListParagraph"/>
              <w:spacing w:after="160"/>
              <w:ind w:left="0" w:right="107"/>
              <w:jc w:val="right"/>
              <w:rPr>
                <w:rFonts w:asciiTheme="minorHAnsi" w:hAnsiTheme="minorHAnsi" w:cstheme="minorHAnsi"/>
                <w:sz w:val="20"/>
                <w:szCs w:val="20"/>
              </w:rPr>
            </w:pPr>
            <w:r w:rsidRPr="009B546D">
              <w:rPr>
                <w:rFonts w:asciiTheme="minorHAnsi" w:hAnsiTheme="minorHAnsi" w:cstheme="minorHAnsi"/>
                <w:sz w:val="20"/>
                <w:szCs w:val="20"/>
              </w:rPr>
              <w:t>£0.01</w:t>
            </w:r>
          </w:p>
        </w:tc>
        <w:tc>
          <w:tcPr>
            <w:tcW w:w="1389" w:type="dxa"/>
          </w:tcPr>
          <w:p w14:paraId="6C0F2A6B" w14:textId="77777777" w:rsidR="00D90E1F" w:rsidRPr="009B546D" w:rsidRDefault="00D90E1F" w:rsidP="00F432B9">
            <w:pPr>
              <w:pStyle w:val="ListParagraph"/>
              <w:spacing w:after="160"/>
              <w:ind w:left="0" w:right="107"/>
              <w:jc w:val="right"/>
              <w:rPr>
                <w:rFonts w:asciiTheme="minorHAnsi" w:hAnsiTheme="minorHAnsi" w:cstheme="minorHAnsi"/>
                <w:sz w:val="20"/>
                <w:szCs w:val="20"/>
              </w:rPr>
            </w:pPr>
            <w:r w:rsidRPr="009B546D">
              <w:rPr>
                <w:rFonts w:asciiTheme="minorHAnsi" w:hAnsiTheme="minorHAnsi" w:cstheme="minorHAnsi"/>
                <w:sz w:val="20"/>
                <w:szCs w:val="20"/>
              </w:rPr>
              <w:t>51,839,375</w:t>
            </w:r>
          </w:p>
        </w:tc>
        <w:tc>
          <w:tcPr>
            <w:tcW w:w="1612" w:type="dxa"/>
          </w:tcPr>
          <w:p w14:paraId="1CDB2A68" w14:textId="77777777" w:rsidR="00D90E1F" w:rsidRPr="009B546D" w:rsidRDefault="00D90E1F" w:rsidP="00F432B9">
            <w:pPr>
              <w:pStyle w:val="ListParagraph"/>
              <w:spacing w:after="160"/>
              <w:ind w:left="0" w:right="107"/>
              <w:jc w:val="right"/>
              <w:rPr>
                <w:rFonts w:asciiTheme="minorHAnsi" w:hAnsiTheme="minorHAnsi" w:cstheme="minorHAnsi"/>
                <w:sz w:val="20"/>
                <w:szCs w:val="20"/>
              </w:rPr>
            </w:pPr>
            <w:r w:rsidRPr="009B546D">
              <w:rPr>
                <w:rFonts w:asciiTheme="minorHAnsi" w:hAnsiTheme="minorHAnsi" w:cstheme="minorHAnsi"/>
                <w:sz w:val="20"/>
                <w:szCs w:val="20"/>
              </w:rPr>
              <w:t>£518,393.75</w:t>
            </w:r>
          </w:p>
        </w:tc>
      </w:tr>
    </w:tbl>
    <w:p w14:paraId="76B30D55" w14:textId="70098465"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Following the issue of the Consideration Shares</w:t>
      </w:r>
      <w:r w:rsidR="00200BE8" w:rsidRPr="009B546D">
        <w:rPr>
          <w:rFonts w:asciiTheme="minorHAnsi" w:hAnsiTheme="minorHAnsi" w:cstheme="minorHAnsi"/>
          <w:b w:val="0"/>
          <w:spacing w:val="-8"/>
          <w:szCs w:val="20"/>
        </w:rPr>
        <w:t xml:space="preserve">, </w:t>
      </w:r>
      <w:r w:rsidRPr="009B546D">
        <w:rPr>
          <w:rFonts w:asciiTheme="minorHAnsi" w:hAnsiTheme="minorHAnsi" w:cstheme="minorHAnsi"/>
          <w:b w:val="0"/>
          <w:spacing w:val="-8"/>
          <w:szCs w:val="20"/>
        </w:rPr>
        <w:t xml:space="preserve">the Enlarged Share Capital of the Company will be as shown in the following table: </w:t>
      </w:r>
    </w:p>
    <w:tbl>
      <w:tblPr>
        <w:tblStyle w:val="TableGrid"/>
        <w:tblW w:w="0" w:type="auto"/>
        <w:tblInd w:w="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4"/>
        <w:gridCol w:w="2217"/>
        <w:gridCol w:w="165"/>
        <w:gridCol w:w="1189"/>
        <w:gridCol w:w="229"/>
        <w:gridCol w:w="1249"/>
        <w:gridCol w:w="26"/>
        <w:gridCol w:w="1655"/>
      </w:tblGrid>
      <w:tr w:rsidR="00D90E1F" w:rsidRPr="009B546D" w14:paraId="6671368E" w14:textId="77777777" w:rsidTr="00EA2BB6">
        <w:tc>
          <w:tcPr>
            <w:tcW w:w="1444" w:type="dxa"/>
          </w:tcPr>
          <w:p w14:paraId="4E135C75" w14:textId="77777777" w:rsidR="00D90E1F" w:rsidRPr="009B546D" w:rsidRDefault="00D90E1F" w:rsidP="00F432B9">
            <w:pPr>
              <w:pStyle w:val="ListParagraph"/>
              <w:spacing w:after="160"/>
              <w:ind w:left="0" w:right="107"/>
              <w:rPr>
                <w:rFonts w:asciiTheme="minorHAnsi" w:hAnsiTheme="minorHAnsi" w:cstheme="minorHAnsi"/>
                <w:b/>
                <w:sz w:val="20"/>
                <w:szCs w:val="20"/>
              </w:rPr>
            </w:pPr>
          </w:p>
        </w:tc>
        <w:tc>
          <w:tcPr>
            <w:tcW w:w="2217" w:type="dxa"/>
          </w:tcPr>
          <w:p w14:paraId="57CEC19B" w14:textId="77777777" w:rsidR="00D90E1F" w:rsidRPr="009B546D" w:rsidRDefault="00D90E1F" w:rsidP="00F432B9">
            <w:pPr>
              <w:pStyle w:val="ListParagraph"/>
              <w:spacing w:after="160"/>
              <w:ind w:left="0" w:right="107"/>
              <w:rPr>
                <w:rFonts w:asciiTheme="minorHAnsi" w:hAnsiTheme="minorHAnsi" w:cstheme="minorHAnsi"/>
                <w:b/>
                <w:sz w:val="20"/>
                <w:szCs w:val="20"/>
              </w:rPr>
            </w:pPr>
          </w:p>
        </w:tc>
        <w:tc>
          <w:tcPr>
            <w:tcW w:w="4513" w:type="dxa"/>
            <w:gridSpan w:val="6"/>
          </w:tcPr>
          <w:p w14:paraId="31E62DA1" w14:textId="77777777" w:rsidR="00D90E1F" w:rsidRPr="009B546D" w:rsidRDefault="00D90E1F" w:rsidP="00F432B9">
            <w:pPr>
              <w:pStyle w:val="ListParagraph"/>
              <w:spacing w:after="160"/>
              <w:ind w:left="0" w:right="107"/>
              <w:jc w:val="center"/>
              <w:rPr>
                <w:rFonts w:asciiTheme="minorHAnsi" w:hAnsiTheme="minorHAnsi" w:cstheme="minorHAnsi"/>
                <w:b/>
                <w:sz w:val="20"/>
                <w:szCs w:val="20"/>
              </w:rPr>
            </w:pPr>
            <w:r w:rsidRPr="009B546D">
              <w:rPr>
                <w:rFonts w:asciiTheme="minorHAnsi" w:hAnsiTheme="minorHAnsi" w:cstheme="minorHAnsi"/>
                <w:b/>
                <w:sz w:val="20"/>
                <w:szCs w:val="20"/>
              </w:rPr>
              <w:t>Issued and credited as fully paid</w:t>
            </w:r>
          </w:p>
        </w:tc>
      </w:tr>
      <w:tr w:rsidR="00D90E1F" w:rsidRPr="009B546D" w14:paraId="5C1C3023" w14:textId="77777777" w:rsidTr="00EA2BB6">
        <w:tc>
          <w:tcPr>
            <w:tcW w:w="1444" w:type="dxa"/>
          </w:tcPr>
          <w:p w14:paraId="2046C0DA" w14:textId="77777777" w:rsidR="00D90E1F" w:rsidRPr="009B546D" w:rsidRDefault="00D90E1F" w:rsidP="00F432B9">
            <w:pPr>
              <w:pStyle w:val="ListParagraph"/>
              <w:spacing w:after="160"/>
              <w:ind w:left="0" w:right="107"/>
              <w:rPr>
                <w:rFonts w:asciiTheme="minorHAnsi" w:hAnsiTheme="minorHAnsi" w:cstheme="minorHAnsi"/>
                <w:b/>
                <w:sz w:val="20"/>
                <w:szCs w:val="20"/>
              </w:rPr>
            </w:pPr>
            <w:r w:rsidRPr="009B546D">
              <w:rPr>
                <w:rFonts w:asciiTheme="minorHAnsi" w:hAnsiTheme="minorHAnsi" w:cstheme="minorHAnsi"/>
                <w:b/>
                <w:sz w:val="20"/>
                <w:szCs w:val="20"/>
              </w:rPr>
              <w:t>Class of share</w:t>
            </w:r>
          </w:p>
        </w:tc>
        <w:tc>
          <w:tcPr>
            <w:tcW w:w="2217" w:type="dxa"/>
          </w:tcPr>
          <w:p w14:paraId="556127D0" w14:textId="77777777" w:rsidR="00D90E1F" w:rsidRPr="009B546D" w:rsidRDefault="00D90E1F" w:rsidP="00F432B9">
            <w:pPr>
              <w:pStyle w:val="ListParagraph"/>
              <w:spacing w:after="160"/>
              <w:ind w:left="0" w:right="107"/>
              <w:jc w:val="right"/>
              <w:rPr>
                <w:rFonts w:asciiTheme="minorHAnsi" w:hAnsiTheme="minorHAnsi" w:cstheme="minorHAnsi"/>
                <w:b/>
                <w:sz w:val="20"/>
                <w:szCs w:val="20"/>
              </w:rPr>
            </w:pPr>
            <w:r w:rsidRPr="009B546D">
              <w:rPr>
                <w:rFonts w:asciiTheme="minorHAnsi" w:hAnsiTheme="minorHAnsi" w:cstheme="minorHAnsi"/>
                <w:b/>
                <w:sz w:val="20"/>
                <w:szCs w:val="20"/>
              </w:rPr>
              <w:t>Authorised share capital</w:t>
            </w:r>
          </w:p>
        </w:tc>
        <w:tc>
          <w:tcPr>
            <w:tcW w:w="1354" w:type="dxa"/>
            <w:gridSpan w:val="2"/>
          </w:tcPr>
          <w:p w14:paraId="0B412E62" w14:textId="77777777" w:rsidR="00D90E1F" w:rsidRPr="009B546D" w:rsidRDefault="00D90E1F" w:rsidP="00F432B9">
            <w:pPr>
              <w:pStyle w:val="ListParagraph"/>
              <w:spacing w:after="160"/>
              <w:ind w:left="0" w:right="107"/>
              <w:jc w:val="right"/>
              <w:rPr>
                <w:rFonts w:asciiTheme="minorHAnsi" w:hAnsiTheme="minorHAnsi" w:cstheme="minorHAnsi"/>
                <w:b/>
                <w:sz w:val="20"/>
                <w:szCs w:val="20"/>
              </w:rPr>
            </w:pPr>
            <w:r w:rsidRPr="009B546D">
              <w:rPr>
                <w:rFonts w:asciiTheme="minorHAnsi" w:hAnsiTheme="minorHAnsi" w:cstheme="minorHAnsi"/>
                <w:b/>
                <w:sz w:val="20"/>
                <w:szCs w:val="20"/>
              </w:rPr>
              <w:t>Nominal value</w:t>
            </w:r>
          </w:p>
        </w:tc>
        <w:tc>
          <w:tcPr>
            <w:tcW w:w="1478" w:type="dxa"/>
            <w:gridSpan w:val="2"/>
          </w:tcPr>
          <w:p w14:paraId="5E9D1494" w14:textId="77777777" w:rsidR="00D90E1F" w:rsidRPr="009B546D" w:rsidRDefault="00D90E1F" w:rsidP="00F432B9">
            <w:pPr>
              <w:pStyle w:val="ListParagraph"/>
              <w:spacing w:after="160"/>
              <w:ind w:left="0" w:right="107"/>
              <w:jc w:val="right"/>
              <w:rPr>
                <w:rFonts w:asciiTheme="minorHAnsi" w:hAnsiTheme="minorHAnsi" w:cstheme="minorHAnsi"/>
                <w:b/>
                <w:sz w:val="20"/>
                <w:szCs w:val="20"/>
              </w:rPr>
            </w:pPr>
            <w:r w:rsidRPr="009B546D">
              <w:rPr>
                <w:rFonts w:asciiTheme="minorHAnsi" w:hAnsiTheme="minorHAnsi" w:cstheme="minorHAnsi"/>
                <w:b/>
                <w:sz w:val="20"/>
                <w:szCs w:val="20"/>
              </w:rPr>
              <w:t>Number</w:t>
            </w:r>
          </w:p>
        </w:tc>
        <w:tc>
          <w:tcPr>
            <w:tcW w:w="1681" w:type="dxa"/>
            <w:gridSpan w:val="2"/>
          </w:tcPr>
          <w:p w14:paraId="4B2B6DB2" w14:textId="77777777" w:rsidR="00D90E1F" w:rsidRPr="009B546D" w:rsidRDefault="00D90E1F" w:rsidP="00F432B9">
            <w:pPr>
              <w:pStyle w:val="ListParagraph"/>
              <w:spacing w:after="160"/>
              <w:ind w:left="0" w:right="107"/>
              <w:jc w:val="right"/>
              <w:rPr>
                <w:rFonts w:asciiTheme="minorHAnsi" w:hAnsiTheme="minorHAnsi" w:cstheme="minorHAnsi"/>
                <w:b/>
                <w:sz w:val="20"/>
                <w:szCs w:val="20"/>
              </w:rPr>
            </w:pPr>
            <w:r w:rsidRPr="009B546D">
              <w:rPr>
                <w:rFonts w:asciiTheme="minorHAnsi" w:hAnsiTheme="minorHAnsi" w:cstheme="minorHAnsi"/>
                <w:b/>
                <w:sz w:val="20"/>
                <w:szCs w:val="20"/>
              </w:rPr>
              <w:t>Amount paid up</w:t>
            </w:r>
          </w:p>
        </w:tc>
      </w:tr>
      <w:tr w:rsidR="0004233A" w:rsidRPr="009B546D" w14:paraId="6A316E00" w14:textId="77777777" w:rsidTr="0004233A">
        <w:tc>
          <w:tcPr>
            <w:tcW w:w="1444" w:type="dxa"/>
          </w:tcPr>
          <w:p w14:paraId="406F8CD3" w14:textId="77777777" w:rsidR="00D90E1F" w:rsidRPr="009B546D" w:rsidRDefault="00D90E1F" w:rsidP="00EA2BB6">
            <w:pPr>
              <w:pStyle w:val="ListParagraph"/>
              <w:spacing w:after="160"/>
              <w:ind w:left="0" w:right="107"/>
              <w:jc w:val="left"/>
              <w:rPr>
                <w:rFonts w:asciiTheme="minorHAnsi" w:hAnsiTheme="minorHAnsi" w:cstheme="minorHAnsi"/>
                <w:sz w:val="20"/>
                <w:szCs w:val="20"/>
              </w:rPr>
            </w:pPr>
            <w:r w:rsidRPr="009B546D">
              <w:rPr>
                <w:rFonts w:asciiTheme="minorHAnsi" w:hAnsiTheme="minorHAnsi" w:cstheme="minorHAnsi"/>
                <w:sz w:val="20"/>
                <w:szCs w:val="20"/>
              </w:rPr>
              <w:t>Ordinary</w:t>
            </w:r>
          </w:p>
        </w:tc>
        <w:tc>
          <w:tcPr>
            <w:tcW w:w="2382" w:type="dxa"/>
            <w:gridSpan w:val="2"/>
          </w:tcPr>
          <w:p w14:paraId="127A59E4" w14:textId="77777777" w:rsidR="00D90E1F" w:rsidRPr="009B546D" w:rsidRDefault="00D90E1F" w:rsidP="0004233A">
            <w:pPr>
              <w:pStyle w:val="ListParagraph"/>
              <w:spacing w:after="160"/>
              <w:ind w:left="0" w:right="107"/>
              <w:jc w:val="right"/>
              <w:rPr>
                <w:rFonts w:asciiTheme="minorHAnsi" w:hAnsiTheme="minorHAnsi" w:cstheme="minorHAnsi"/>
                <w:sz w:val="20"/>
                <w:szCs w:val="20"/>
              </w:rPr>
            </w:pPr>
            <w:r w:rsidRPr="009B546D">
              <w:rPr>
                <w:rFonts w:asciiTheme="minorHAnsi" w:hAnsiTheme="minorHAnsi" w:cstheme="minorHAnsi"/>
                <w:sz w:val="20"/>
                <w:szCs w:val="20"/>
              </w:rPr>
              <w:t>£8,000,000</w:t>
            </w:r>
          </w:p>
        </w:tc>
        <w:tc>
          <w:tcPr>
            <w:tcW w:w="1418" w:type="dxa"/>
            <w:gridSpan w:val="2"/>
          </w:tcPr>
          <w:p w14:paraId="7AD72E21" w14:textId="77777777" w:rsidR="00D90E1F" w:rsidRPr="009B546D" w:rsidRDefault="00D90E1F" w:rsidP="0004233A">
            <w:pPr>
              <w:pStyle w:val="ListParagraph"/>
              <w:spacing w:after="160"/>
              <w:ind w:left="0" w:right="107"/>
              <w:jc w:val="right"/>
              <w:rPr>
                <w:rFonts w:asciiTheme="minorHAnsi" w:hAnsiTheme="minorHAnsi" w:cstheme="minorHAnsi"/>
                <w:sz w:val="20"/>
                <w:szCs w:val="20"/>
              </w:rPr>
            </w:pPr>
            <w:r w:rsidRPr="009B546D">
              <w:rPr>
                <w:rFonts w:asciiTheme="minorHAnsi" w:hAnsiTheme="minorHAnsi" w:cstheme="minorHAnsi"/>
                <w:sz w:val="20"/>
                <w:szCs w:val="20"/>
              </w:rPr>
              <w:t>£0.01</w:t>
            </w:r>
          </w:p>
        </w:tc>
        <w:tc>
          <w:tcPr>
            <w:tcW w:w="1275" w:type="dxa"/>
            <w:gridSpan w:val="2"/>
          </w:tcPr>
          <w:p w14:paraId="2C11B1EF" w14:textId="45316ACF" w:rsidR="00D90E1F" w:rsidRPr="009B546D" w:rsidRDefault="00DF0C2B" w:rsidP="0004233A">
            <w:pPr>
              <w:pStyle w:val="ListParagraph"/>
              <w:spacing w:after="160"/>
              <w:ind w:left="0" w:right="107"/>
              <w:jc w:val="right"/>
              <w:rPr>
                <w:rFonts w:asciiTheme="minorHAnsi" w:hAnsiTheme="minorHAnsi" w:cstheme="minorHAnsi"/>
                <w:sz w:val="20"/>
                <w:szCs w:val="20"/>
              </w:rPr>
            </w:pPr>
            <w:r>
              <w:rPr>
                <w:rFonts w:asciiTheme="minorHAnsi" w:hAnsiTheme="minorHAnsi" w:cstheme="minorHAnsi"/>
                <w:sz w:val="20"/>
                <w:szCs w:val="20"/>
              </w:rPr>
              <w:t>64,760,721</w:t>
            </w:r>
          </w:p>
        </w:tc>
        <w:tc>
          <w:tcPr>
            <w:tcW w:w="1655" w:type="dxa"/>
          </w:tcPr>
          <w:p w14:paraId="3DE3E0BC" w14:textId="13DB501C" w:rsidR="00D90E1F" w:rsidRPr="009B546D" w:rsidRDefault="00DF0C2B" w:rsidP="0004233A">
            <w:pPr>
              <w:pStyle w:val="ListParagraph"/>
              <w:spacing w:after="160"/>
              <w:ind w:left="0" w:right="107"/>
              <w:jc w:val="right"/>
              <w:rPr>
                <w:rFonts w:asciiTheme="minorHAnsi" w:hAnsiTheme="minorHAnsi" w:cstheme="minorHAnsi"/>
                <w:sz w:val="20"/>
                <w:szCs w:val="20"/>
              </w:rPr>
            </w:pPr>
            <w:r w:rsidRPr="009B546D">
              <w:rPr>
                <w:rFonts w:asciiTheme="minorHAnsi" w:hAnsiTheme="minorHAnsi" w:cstheme="minorHAnsi"/>
                <w:sz w:val="20"/>
                <w:szCs w:val="20"/>
              </w:rPr>
              <w:t>£</w:t>
            </w:r>
            <w:r>
              <w:rPr>
                <w:rFonts w:asciiTheme="minorHAnsi" w:hAnsiTheme="minorHAnsi" w:cstheme="minorHAnsi"/>
                <w:sz w:val="20"/>
                <w:szCs w:val="20"/>
              </w:rPr>
              <w:t>647,607</w:t>
            </w:r>
            <w:r w:rsidR="00FD7E7D">
              <w:rPr>
                <w:rFonts w:asciiTheme="minorHAnsi" w:hAnsiTheme="minorHAnsi" w:cstheme="minorHAnsi"/>
                <w:sz w:val="20"/>
                <w:szCs w:val="20"/>
              </w:rPr>
              <w:t>.</w:t>
            </w:r>
            <w:r>
              <w:rPr>
                <w:rFonts w:asciiTheme="minorHAnsi" w:hAnsiTheme="minorHAnsi" w:cstheme="minorHAnsi"/>
                <w:sz w:val="20"/>
                <w:szCs w:val="20"/>
              </w:rPr>
              <w:t>21</w:t>
            </w:r>
          </w:p>
        </w:tc>
      </w:tr>
    </w:tbl>
    <w:p w14:paraId="0555F0D0" w14:textId="272522F9"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None of the capital of the Company has been paid for with assets other than cash within the period covered by the Company’s historical financial information </w:t>
      </w:r>
      <w:r w:rsidR="008A2103" w:rsidRPr="009B546D">
        <w:rPr>
          <w:rFonts w:asciiTheme="minorHAnsi" w:hAnsiTheme="minorHAnsi" w:cstheme="minorHAnsi"/>
          <w:b w:val="0"/>
          <w:spacing w:val="-8"/>
          <w:szCs w:val="20"/>
        </w:rPr>
        <w:t xml:space="preserve">and </w:t>
      </w:r>
      <w:r w:rsidRPr="009B546D">
        <w:rPr>
          <w:rFonts w:asciiTheme="minorHAnsi" w:hAnsiTheme="minorHAnsi" w:cstheme="minorHAnsi"/>
          <w:b w:val="0"/>
          <w:spacing w:val="-8"/>
          <w:szCs w:val="20"/>
        </w:rPr>
        <w:t xml:space="preserve">incorporated by reference into this Prospectus. </w:t>
      </w:r>
    </w:p>
    <w:p w14:paraId="4D0403E0" w14:textId="3845C80E"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No Ordinary Shares are held by or on behalf of the Company either by itself or by </w:t>
      </w:r>
      <w:r w:rsidR="00AF0C4A" w:rsidRPr="009B546D">
        <w:rPr>
          <w:rFonts w:asciiTheme="minorHAnsi" w:hAnsiTheme="minorHAnsi" w:cstheme="minorHAnsi"/>
          <w:b w:val="0"/>
          <w:spacing w:val="-8"/>
          <w:szCs w:val="20"/>
        </w:rPr>
        <w:t>Alchemist Codes</w:t>
      </w:r>
      <w:r w:rsidRPr="009B546D">
        <w:rPr>
          <w:rFonts w:asciiTheme="minorHAnsi" w:hAnsiTheme="minorHAnsi" w:cstheme="minorHAnsi"/>
          <w:b w:val="0"/>
          <w:spacing w:val="-8"/>
          <w:szCs w:val="20"/>
        </w:rPr>
        <w:t xml:space="preserve">. </w:t>
      </w:r>
    </w:p>
    <w:p w14:paraId="2E157793" w14:textId="0EF0370C"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the Company has not granted any options, convertible securities, exchangeable securities or securities with warrants pursuant to which the Company is bound to issue Ordinary Shares. </w:t>
      </w:r>
    </w:p>
    <w:p w14:paraId="08991C05" w14:textId="77777777"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The Ordinary Shares will be listed on the Official List and will be traded on the standard segment of the Main Market of the London Stock Exchange. The Ordinary Shares are not listed or traded on, and no application has been or is being made for the admission of the Ordinary Shares to listing or trading on any other stock exchange or securities market.</w:t>
      </w:r>
    </w:p>
    <w:p w14:paraId="74D4A895" w14:textId="04E1F2F2"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The Ordinary Shares are in registered form and, from Re-Admission, will be capable of being held in uncertificated form and title to such shares may be transferred by means of a relevant system (as defined in the Uncertificated Securities Regulations 2001 (SI 2001 No. 3755) (the “</w:t>
      </w:r>
      <w:r w:rsidRPr="00EA2BB6">
        <w:rPr>
          <w:rFonts w:asciiTheme="minorHAnsi" w:hAnsiTheme="minorHAnsi" w:cstheme="minorHAnsi"/>
          <w:bCs/>
          <w:spacing w:val="-8"/>
          <w:szCs w:val="20"/>
        </w:rPr>
        <w:t>Regulations</w:t>
      </w:r>
      <w:r w:rsidRPr="009B546D">
        <w:rPr>
          <w:rFonts w:asciiTheme="minorHAnsi" w:hAnsiTheme="minorHAnsi" w:cstheme="minorHAnsi"/>
          <w:b w:val="0"/>
          <w:spacing w:val="-8"/>
          <w:szCs w:val="20"/>
        </w:rPr>
        <w:t xml:space="preserve">”)). Where Ordinary Shares are held in certificated form, subject to the Companies Law and except where otherwise provided in the Articles, shares certificates will be sent to the registered members. Where Ordinary Shares are held in CREST, the relevant CREST stock account of the relevant members will be credited. A register of Ordinary Shares will be maintained by the Registrar. </w:t>
      </w:r>
    </w:p>
    <w:p w14:paraId="229488F4" w14:textId="3EC7883F"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Memorandum and Articles</w:t>
      </w:r>
    </w:p>
    <w:p w14:paraId="3756AD77" w14:textId="77777777" w:rsidR="00D90E1F" w:rsidRPr="009B546D" w:rsidRDefault="00D90E1F" w:rsidP="00F432B9">
      <w:pPr>
        <w:pStyle w:val="BodyText"/>
        <w:widowControl w:val="0"/>
        <w:spacing w:after="160" w:line="240" w:lineRule="auto"/>
        <w:ind w:right="108"/>
        <w:rPr>
          <w:rFonts w:asciiTheme="minorHAnsi" w:hAnsiTheme="minorHAnsi" w:cstheme="minorHAnsi"/>
          <w:sz w:val="20"/>
          <w:szCs w:val="20"/>
        </w:rPr>
      </w:pPr>
      <w:r w:rsidRPr="009B546D">
        <w:rPr>
          <w:rFonts w:asciiTheme="minorHAnsi" w:hAnsiTheme="minorHAnsi" w:cstheme="minorHAnsi"/>
          <w:sz w:val="20"/>
          <w:szCs w:val="20"/>
        </w:rPr>
        <w:t xml:space="preserve">On 22 December 2017, the Company adopted its current Memorandum and the Articles which became effective on 9 January 2018 in substitution for and to the exclusion of the Company’s then existing memorandum and articles of association. </w:t>
      </w:r>
    </w:p>
    <w:p w14:paraId="13498A3F" w14:textId="4F1B1787" w:rsidR="00D90E1F" w:rsidRPr="009B546D" w:rsidRDefault="00D90E1F" w:rsidP="00F432B9">
      <w:pPr>
        <w:pStyle w:val="BodyText"/>
        <w:widowControl w:val="0"/>
        <w:spacing w:after="160" w:line="240" w:lineRule="auto"/>
        <w:ind w:right="108"/>
        <w:rPr>
          <w:rFonts w:asciiTheme="minorHAnsi" w:hAnsiTheme="minorHAnsi" w:cstheme="minorHAnsi"/>
          <w:sz w:val="20"/>
          <w:szCs w:val="20"/>
        </w:rPr>
      </w:pPr>
      <w:r w:rsidRPr="009B546D">
        <w:rPr>
          <w:rFonts w:asciiTheme="minorHAnsi" w:hAnsiTheme="minorHAnsi" w:cstheme="minorHAnsi"/>
          <w:sz w:val="20"/>
          <w:szCs w:val="20"/>
        </w:rPr>
        <w:t xml:space="preserve">The Memorandum and the Articles and the summary on the provisions of the same as set out in the Listing Prospectus have been incorporated by reference as detailed in Part </w:t>
      </w:r>
      <w:r w:rsidR="006953F0" w:rsidRPr="009B546D">
        <w:rPr>
          <w:rFonts w:asciiTheme="minorHAnsi" w:hAnsiTheme="minorHAnsi" w:cstheme="minorHAnsi"/>
          <w:sz w:val="20"/>
          <w:szCs w:val="20"/>
        </w:rPr>
        <w:t>IV</w:t>
      </w:r>
      <w:r w:rsidRPr="009B546D">
        <w:rPr>
          <w:rFonts w:asciiTheme="minorHAnsi" w:hAnsiTheme="minorHAnsi" w:cstheme="minorHAnsi"/>
          <w:sz w:val="20"/>
          <w:szCs w:val="20"/>
        </w:rPr>
        <w:t xml:space="preserve"> of this Prospectus (</w:t>
      </w:r>
      <w:r w:rsidRPr="009B546D">
        <w:rPr>
          <w:rFonts w:asciiTheme="minorHAnsi" w:hAnsiTheme="minorHAnsi" w:cstheme="minorHAnsi"/>
          <w:i/>
          <w:sz w:val="20"/>
          <w:szCs w:val="20"/>
        </w:rPr>
        <w:t>Relevant Documentation Incorporated by Reference</w:t>
      </w:r>
      <w:r w:rsidRPr="009B546D">
        <w:rPr>
          <w:rFonts w:asciiTheme="minorHAnsi" w:hAnsiTheme="minorHAnsi" w:cstheme="minorHAnsi"/>
          <w:sz w:val="20"/>
          <w:szCs w:val="20"/>
        </w:rPr>
        <w:t>).</w:t>
      </w:r>
    </w:p>
    <w:p w14:paraId="07494877" w14:textId="7C0770FE"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Information on the Existing Directors and the Proposed Director</w:t>
      </w:r>
    </w:p>
    <w:p w14:paraId="216DABD7" w14:textId="280D48F1"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zCs w:val="20"/>
        </w:rPr>
      </w:pPr>
      <w:r w:rsidRPr="009B546D">
        <w:rPr>
          <w:rFonts w:asciiTheme="minorHAnsi" w:hAnsiTheme="minorHAnsi" w:cstheme="minorHAnsi"/>
          <w:b w:val="0"/>
          <w:szCs w:val="20"/>
        </w:rPr>
        <w:t xml:space="preserve">The </w:t>
      </w:r>
      <w:r w:rsidRPr="009B546D">
        <w:rPr>
          <w:rFonts w:asciiTheme="minorHAnsi" w:hAnsiTheme="minorHAnsi" w:cstheme="minorHAnsi"/>
          <w:b w:val="0"/>
          <w:spacing w:val="-8"/>
          <w:szCs w:val="20"/>
        </w:rPr>
        <w:t>Existing</w:t>
      </w:r>
      <w:r w:rsidRPr="009B546D">
        <w:rPr>
          <w:rFonts w:asciiTheme="minorHAnsi" w:hAnsiTheme="minorHAnsi" w:cstheme="minorHAnsi"/>
          <w:b w:val="0"/>
          <w:szCs w:val="20"/>
        </w:rPr>
        <w:t xml:space="preserve"> Directors and the Proposed Director and their respective functions are set out in Part </w:t>
      </w:r>
      <w:r w:rsidR="00D63E43" w:rsidRPr="009B546D">
        <w:rPr>
          <w:rFonts w:asciiTheme="minorHAnsi" w:hAnsiTheme="minorHAnsi" w:cstheme="minorHAnsi"/>
          <w:b w:val="0"/>
          <w:szCs w:val="20"/>
        </w:rPr>
        <w:t>X (Existing Directors, Proposed Director and Corporate Governance)</w:t>
      </w:r>
      <w:r w:rsidRPr="009B546D">
        <w:rPr>
          <w:rFonts w:asciiTheme="minorHAnsi" w:hAnsiTheme="minorHAnsi" w:cstheme="minorHAnsi"/>
          <w:b w:val="0"/>
          <w:szCs w:val="20"/>
        </w:rPr>
        <w:t xml:space="preserve"> of this Prospectus.</w:t>
      </w:r>
    </w:p>
    <w:p w14:paraId="076609D6" w14:textId="77777777" w:rsidR="00D90E1F"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In addition to their directorship or proposed directorship in the Company, the Existing Directors and the Proposed Director hold or have held the following directorships and/or are or were members of the following partnerships within the five years prior to the date of this Prospectus.</w:t>
      </w:r>
    </w:p>
    <w:p w14:paraId="7C895F98" w14:textId="77777777" w:rsidR="00BA78BA" w:rsidRDefault="00BA78BA" w:rsidP="00BA78BA"/>
    <w:p w14:paraId="7D27ED87" w14:textId="5A35AA39" w:rsidR="00BA78BA" w:rsidRDefault="00BA78BA" w:rsidP="00BA78BA"/>
    <w:p w14:paraId="57D03ADA" w14:textId="77777777" w:rsidR="0004233A" w:rsidRDefault="0004233A" w:rsidP="00BA78BA"/>
    <w:p w14:paraId="0A8741ED" w14:textId="77777777" w:rsidR="00BA78BA" w:rsidRPr="00D4158A" w:rsidRDefault="00BA78BA" w:rsidP="00D4158A">
      <w:pPr>
        <w:rPr>
          <w:b/>
        </w:rPr>
      </w:pPr>
    </w:p>
    <w:tbl>
      <w:tblPr>
        <w:tblW w:w="8646" w:type="dxa"/>
        <w:tblInd w:w="426" w:type="dxa"/>
        <w:tblLayout w:type="fixed"/>
        <w:tblCellMar>
          <w:left w:w="0" w:type="dxa"/>
          <w:right w:w="0" w:type="dxa"/>
        </w:tblCellMar>
        <w:tblLook w:val="01E0" w:firstRow="1" w:lastRow="1" w:firstColumn="1" w:lastColumn="1" w:noHBand="0" w:noVBand="0"/>
      </w:tblPr>
      <w:tblGrid>
        <w:gridCol w:w="2126"/>
        <w:gridCol w:w="3260"/>
        <w:gridCol w:w="3260"/>
      </w:tblGrid>
      <w:tr w:rsidR="00D90E1F" w:rsidRPr="009B546D" w14:paraId="0BBF5B9A" w14:textId="77777777" w:rsidTr="00EA2BB6">
        <w:trPr>
          <w:trHeight w:val="260"/>
        </w:trPr>
        <w:tc>
          <w:tcPr>
            <w:tcW w:w="2126" w:type="dxa"/>
          </w:tcPr>
          <w:p w14:paraId="70940917" w14:textId="77777777" w:rsidR="00D90E1F" w:rsidRPr="009B546D" w:rsidRDefault="00D90E1F" w:rsidP="00F432B9">
            <w:pPr>
              <w:pStyle w:val="TableParagraph"/>
              <w:spacing w:after="160"/>
              <w:ind w:left="1"/>
              <w:jc w:val="both"/>
              <w:rPr>
                <w:rFonts w:asciiTheme="minorHAnsi" w:hAnsiTheme="minorHAnsi" w:cstheme="minorHAnsi"/>
                <w:b/>
                <w:sz w:val="20"/>
                <w:szCs w:val="20"/>
                <w:lang w:val="en-GB"/>
              </w:rPr>
            </w:pPr>
            <w:r w:rsidRPr="009B546D">
              <w:rPr>
                <w:rFonts w:asciiTheme="minorHAnsi" w:hAnsiTheme="minorHAnsi" w:cstheme="minorHAnsi"/>
                <w:b/>
                <w:sz w:val="20"/>
                <w:szCs w:val="20"/>
                <w:lang w:val="en-GB"/>
              </w:rPr>
              <w:t>Director</w:t>
            </w:r>
          </w:p>
        </w:tc>
        <w:tc>
          <w:tcPr>
            <w:tcW w:w="3260" w:type="dxa"/>
          </w:tcPr>
          <w:p w14:paraId="7A2DB9F4" w14:textId="77777777" w:rsidR="00D90E1F" w:rsidRPr="009B546D" w:rsidRDefault="00D90E1F" w:rsidP="00F432B9">
            <w:pPr>
              <w:pStyle w:val="TableParagraph"/>
              <w:spacing w:after="160"/>
              <w:ind w:left="1"/>
              <w:jc w:val="both"/>
              <w:rPr>
                <w:rFonts w:asciiTheme="minorHAnsi" w:hAnsiTheme="minorHAnsi" w:cstheme="minorHAnsi"/>
                <w:b/>
                <w:sz w:val="20"/>
                <w:szCs w:val="20"/>
                <w:lang w:val="en-GB"/>
              </w:rPr>
            </w:pPr>
            <w:r w:rsidRPr="009B546D">
              <w:rPr>
                <w:rFonts w:asciiTheme="minorHAnsi" w:hAnsiTheme="minorHAnsi" w:cstheme="minorHAnsi"/>
                <w:b/>
                <w:sz w:val="20"/>
                <w:szCs w:val="20"/>
                <w:lang w:val="en-GB"/>
              </w:rPr>
              <w:t>Current Directorships/Partnerships</w:t>
            </w:r>
          </w:p>
        </w:tc>
        <w:tc>
          <w:tcPr>
            <w:tcW w:w="3260" w:type="dxa"/>
          </w:tcPr>
          <w:p w14:paraId="4743B68F" w14:textId="77777777" w:rsidR="00D90E1F" w:rsidRPr="009B546D" w:rsidRDefault="00D90E1F" w:rsidP="00F432B9">
            <w:pPr>
              <w:pStyle w:val="TableParagraph"/>
              <w:spacing w:after="160"/>
              <w:ind w:left="1"/>
              <w:jc w:val="both"/>
              <w:rPr>
                <w:rFonts w:asciiTheme="minorHAnsi" w:hAnsiTheme="minorHAnsi" w:cstheme="minorHAnsi"/>
                <w:b/>
                <w:sz w:val="20"/>
                <w:szCs w:val="20"/>
                <w:lang w:val="en-GB"/>
              </w:rPr>
            </w:pPr>
            <w:r w:rsidRPr="009B546D">
              <w:rPr>
                <w:rFonts w:asciiTheme="minorHAnsi" w:hAnsiTheme="minorHAnsi" w:cstheme="minorHAnsi"/>
                <w:b/>
                <w:sz w:val="20"/>
                <w:szCs w:val="20"/>
                <w:lang w:val="en-GB"/>
              </w:rPr>
              <w:t>Past Directorships/Partnerships</w:t>
            </w:r>
          </w:p>
        </w:tc>
      </w:tr>
      <w:tr w:rsidR="00D90E1F" w:rsidRPr="009B546D" w14:paraId="4258446E" w14:textId="77777777" w:rsidTr="00EA2BB6">
        <w:trPr>
          <w:trHeight w:val="260"/>
        </w:trPr>
        <w:tc>
          <w:tcPr>
            <w:tcW w:w="2126" w:type="dxa"/>
          </w:tcPr>
          <w:p w14:paraId="4729D9A5" w14:textId="77777777" w:rsidR="00D90E1F" w:rsidRPr="009B546D" w:rsidRDefault="00D90E1F" w:rsidP="00F432B9">
            <w:pPr>
              <w:pStyle w:val="TableParagraph"/>
              <w:spacing w:after="160"/>
              <w:ind w:left="1"/>
              <w:jc w:val="both"/>
              <w:rPr>
                <w:rFonts w:asciiTheme="minorHAnsi" w:hAnsiTheme="minorHAnsi" w:cstheme="minorHAnsi"/>
                <w:b/>
                <w:sz w:val="20"/>
                <w:szCs w:val="20"/>
                <w:u w:val="single"/>
                <w:lang w:val="en-GB"/>
              </w:rPr>
            </w:pPr>
            <w:r w:rsidRPr="009B546D">
              <w:rPr>
                <w:rFonts w:asciiTheme="minorHAnsi" w:hAnsiTheme="minorHAnsi" w:cstheme="minorHAnsi"/>
                <w:b/>
                <w:sz w:val="20"/>
                <w:szCs w:val="20"/>
                <w:u w:val="single"/>
                <w:lang w:val="en-GB"/>
              </w:rPr>
              <w:t>Existing Directors</w:t>
            </w:r>
          </w:p>
        </w:tc>
        <w:tc>
          <w:tcPr>
            <w:tcW w:w="3260" w:type="dxa"/>
          </w:tcPr>
          <w:p w14:paraId="2B8F5959" w14:textId="77777777" w:rsidR="00D90E1F" w:rsidRPr="009B546D" w:rsidRDefault="00D90E1F" w:rsidP="00F432B9">
            <w:pPr>
              <w:pStyle w:val="TableParagraph"/>
              <w:spacing w:after="160"/>
              <w:ind w:left="1"/>
              <w:jc w:val="both"/>
              <w:rPr>
                <w:rFonts w:asciiTheme="minorHAnsi" w:hAnsiTheme="minorHAnsi" w:cstheme="minorHAnsi"/>
                <w:b/>
                <w:sz w:val="20"/>
                <w:szCs w:val="20"/>
                <w:lang w:val="en-GB"/>
              </w:rPr>
            </w:pPr>
          </w:p>
        </w:tc>
        <w:tc>
          <w:tcPr>
            <w:tcW w:w="3260" w:type="dxa"/>
          </w:tcPr>
          <w:p w14:paraId="35636CF8" w14:textId="77777777" w:rsidR="00D90E1F" w:rsidRPr="009B546D" w:rsidRDefault="00D90E1F" w:rsidP="00F432B9">
            <w:pPr>
              <w:pStyle w:val="TableParagraph"/>
              <w:spacing w:after="160"/>
              <w:ind w:left="1"/>
              <w:jc w:val="both"/>
              <w:rPr>
                <w:rFonts w:asciiTheme="minorHAnsi" w:hAnsiTheme="minorHAnsi" w:cstheme="minorHAnsi"/>
                <w:b/>
                <w:sz w:val="20"/>
                <w:szCs w:val="20"/>
                <w:lang w:val="en-GB"/>
              </w:rPr>
            </w:pPr>
          </w:p>
        </w:tc>
      </w:tr>
      <w:tr w:rsidR="0063338F" w:rsidRPr="009B546D" w14:paraId="5D14B465" w14:textId="77777777" w:rsidTr="00EA2BB6">
        <w:trPr>
          <w:trHeight w:val="778"/>
        </w:trPr>
        <w:tc>
          <w:tcPr>
            <w:tcW w:w="2126" w:type="dxa"/>
          </w:tcPr>
          <w:p w14:paraId="4F45FDBC" w14:textId="77777777" w:rsidR="0063338F" w:rsidRPr="009B546D" w:rsidRDefault="0063338F" w:rsidP="00F432B9">
            <w:pPr>
              <w:pStyle w:val="TableParagraph"/>
              <w:spacing w:after="160"/>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Graham Duncan</w:t>
            </w:r>
          </w:p>
        </w:tc>
        <w:tc>
          <w:tcPr>
            <w:tcW w:w="3260" w:type="dxa"/>
          </w:tcPr>
          <w:p w14:paraId="4F2DEC26" w14:textId="77777777" w:rsidR="0063338F" w:rsidRPr="009B546D" w:rsidRDefault="0063338F"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Graham Duncan Limited</w:t>
            </w:r>
          </w:p>
          <w:p w14:paraId="2FC94B8B" w14:textId="77777777" w:rsidR="0063338F" w:rsidRPr="009B546D" w:rsidRDefault="0063338F"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 xml:space="preserve">Herencia Resources Plc </w:t>
            </w:r>
          </w:p>
          <w:p w14:paraId="5863CFE3" w14:textId="77777777" w:rsidR="0063338F" w:rsidRPr="009B546D" w:rsidRDefault="0063338F"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Rent Guarantor Limited</w:t>
            </w:r>
          </w:p>
          <w:p w14:paraId="082B20BE" w14:textId="77777777" w:rsidR="0063338F" w:rsidRPr="009B546D" w:rsidRDefault="0063338F"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Code Investing Limited</w:t>
            </w:r>
          </w:p>
          <w:p w14:paraId="7993D45D" w14:textId="77777777" w:rsidR="0063338F" w:rsidRPr="009B546D" w:rsidRDefault="0063338F"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 xml:space="preserve">Co-Investment Debt Exchange Plc </w:t>
            </w:r>
          </w:p>
          <w:p w14:paraId="3746EE98" w14:textId="77777777" w:rsidR="0063338F" w:rsidRPr="009B546D" w:rsidRDefault="0063338F"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Ezylet Plc</w:t>
            </w:r>
          </w:p>
          <w:p w14:paraId="372C23F6" w14:textId="4673574E" w:rsidR="0063338F" w:rsidRPr="009B546D" w:rsidRDefault="0063338F" w:rsidP="00F432B9">
            <w:pPr>
              <w:pStyle w:val="TableParagraph"/>
              <w:spacing w:after="160"/>
              <w:ind w:left="145" w:hanging="145"/>
              <w:contextualSpacing/>
              <w:jc w:val="both"/>
              <w:rPr>
                <w:rFonts w:asciiTheme="minorHAnsi" w:hAnsiTheme="minorHAnsi" w:cstheme="minorHAnsi"/>
                <w:sz w:val="20"/>
                <w:szCs w:val="20"/>
                <w:lang w:val="en-GB"/>
              </w:rPr>
            </w:pPr>
          </w:p>
        </w:tc>
        <w:tc>
          <w:tcPr>
            <w:tcW w:w="3260" w:type="dxa"/>
          </w:tcPr>
          <w:p w14:paraId="299C08E3" w14:textId="77777777" w:rsidR="0063338F" w:rsidRPr="009B546D" w:rsidRDefault="0063338F" w:rsidP="00EA2BB6">
            <w:pPr>
              <w:pStyle w:val="TableParagraph"/>
              <w:spacing w:after="160"/>
              <w:ind w:left="145" w:hanging="145"/>
              <w:contextualSpacing/>
              <w:rPr>
                <w:rFonts w:asciiTheme="minorHAnsi" w:hAnsiTheme="minorHAnsi" w:cstheme="minorHAnsi"/>
                <w:sz w:val="20"/>
                <w:szCs w:val="20"/>
                <w:lang w:val="en-GB"/>
              </w:rPr>
            </w:pPr>
            <w:r w:rsidRPr="009B546D">
              <w:rPr>
                <w:rFonts w:asciiTheme="minorHAnsi" w:hAnsiTheme="minorHAnsi" w:cstheme="minorHAnsi"/>
                <w:sz w:val="20"/>
                <w:szCs w:val="20"/>
                <w:lang w:val="en-GB"/>
              </w:rPr>
              <w:t>CFPro Limited</w:t>
            </w:r>
          </w:p>
          <w:p w14:paraId="620DA855" w14:textId="77777777" w:rsidR="0063338F" w:rsidRPr="009B546D" w:rsidRDefault="0063338F" w:rsidP="00EA2BB6">
            <w:pPr>
              <w:pStyle w:val="TableParagraph"/>
              <w:spacing w:after="160"/>
              <w:ind w:left="145" w:hanging="145"/>
              <w:contextualSpacing/>
              <w:rPr>
                <w:rFonts w:asciiTheme="minorHAnsi" w:hAnsiTheme="minorHAnsi" w:cstheme="minorHAnsi"/>
                <w:sz w:val="20"/>
                <w:szCs w:val="20"/>
                <w:lang w:val="en-GB"/>
              </w:rPr>
            </w:pPr>
            <w:r w:rsidRPr="009B546D">
              <w:rPr>
                <w:rFonts w:asciiTheme="minorHAnsi" w:hAnsiTheme="minorHAnsi" w:cstheme="minorHAnsi"/>
                <w:sz w:val="20"/>
                <w:szCs w:val="20"/>
                <w:lang w:val="en-GB"/>
              </w:rPr>
              <w:t>Waratah Resources Limited (Australia)</w:t>
            </w:r>
          </w:p>
          <w:p w14:paraId="40FFA3BD" w14:textId="77777777" w:rsidR="0063338F" w:rsidRPr="009B546D" w:rsidRDefault="0063338F" w:rsidP="00EA2BB6">
            <w:pPr>
              <w:pStyle w:val="TableParagraph"/>
              <w:spacing w:after="160"/>
              <w:ind w:left="145" w:hanging="145"/>
              <w:contextualSpacing/>
              <w:rPr>
                <w:rFonts w:asciiTheme="minorHAnsi" w:hAnsiTheme="minorHAnsi" w:cstheme="minorHAnsi"/>
                <w:sz w:val="20"/>
                <w:szCs w:val="20"/>
                <w:lang w:val="en-GB"/>
              </w:rPr>
            </w:pPr>
            <w:r w:rsidRPr="009B546D">
              <w:rPr>
                <w:rFonts w:asciiTheme="minorHAnsi" w:hAnsiTheme="minorHAnsi" w:cstheme="minorHAnsi"/>
                <w:sz w:val="20"/>
                <w:szCs w:val="20"/>
                <w:lang w:val="en-GB"/>
              </w:rPr>
              <w:t>Lynwilg Limited</w:t>
            </w:r>
          </w:p>
          <w:p w14:paraId="2A3961DA" w14:textId="77777777" w:rsidR="0063338F" w:rsidRPr="009B546D" w:rsidRDefault="0063338F" w:rsidP="00EA2BB6">
            <w:pPr>
              <w:pStyle w:val="TableParagraph"/>
              <w:spacing w:after="160"/>
              <w:ind w:left="145" w:hanging="145"/>
              <w:contextualSpacing/>
              <w:rPr>
                <w:rFonts w:asciiTheme="minorHAnsi" w:hAnsiTheme="minorHAnsi" w:cstheme="minorHAnsi"/>
                <w:sz w:val="20"/>
                <w:szCs w:val="20"/>
                <w:lang w:val="en-GB"/>
              </w:rPr>
            </w:pPr>
            <w:r w:rsidRPr="009B546D">
              <w:rPr>
                <w:rFonts w:asciiTheme="minorHAnsi" w:hAnsiTheme="minorHAnsi" w:cstheme="minorHAnsi"/>
                <w:sz w:val="20"/>
                <w:szCs w:val="20"/>
                <w:lang w:val="en-GB"/>
              </w:rPr>
              <w:t>A Spokesman Said Limited</w:t>
            </w:r>
          </w:p>
          <w:p w14:paraId="5E6B7FDA" w14:textId="7B30702B" w:rsidR="0063338F" w:rsidRPr="009B546D" w:rsidRDefault="0063338F" w:rsidP="00EA2BB6">
            <w:pPr>
              <w:pStyle w:val="TableParagraph"/>
              <w:spacing w:after="160"/>
              <w:ind w:left="145" w:hanging="145"/>
              <w:contextualSpacing/>
              <w:rPr>
                <w:rFonts w:asciiTheme="minorHAnsi" w:hAnsiTheme="minorHAnsi" w:cstheme="minorHAnsi"/>
                <w:sz w:val="20"/>
                <w:szCs w:val="20"/>
                <w:lang w:val="en-GB"/>
              </w:rPr>
            </w:pPr>
          </w:p>
        </w:tc>
      </w:tr>
      <w:tr w:rsidR="0063338F" w:rsidRPr="009B546D" w14:paraId="4058E032" w14:textId="77777777" w:rsidTr="00EA2BB6">
        <w:trPr>
          <w:trHeight w:val="391"/>
        </w:trPr>
        <w:tc>
          <w:tcPr>
            <w:tcW w:w="2126" w:type="dxa"/>
          </w:tcPr>
          <w:p w14:paraId="7E597D99" w14:textId="77777777" w:rsidR="0063338F" w:rsidRPr="009B546D" w:rsidRDefault="0063338F" w:rsidP="00F432B9">
            <w:pPr>
              <w:pStyle w:val="TableParagraph"/>
              <w:spacing w:after="160"/>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Soon Beng Gee</w:t>
            </w:r>
          </w:p>
        </w:tc>
        <w:tc>
          <w:tcPr>
            <w:tcW w:w="3260" w:type="dxa"/>
          </w:tcPr>
          <w:p w14:paraId="4A3460E6" w14:textId="77777777" w:rsidR="0063338F" w:rsidRPr="009B546D" w:rsidRDefault="0063338F"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 xml:space="preserve">Plymouth Infotech Limited </w:t>
            </w:r>
          </w:p>
          <w:p w14:paraId="5538B0E6" w14:textId="48B33581" w:rsidR="0063338F" w:rsidRPr="009B546D" w:rsidRDefault="0063338F"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Eyevent Co. Ltd</w:t>
            </w:r>
          </w:p>
          <w:p w14:paraId="1E186631" w14:textId="60237A24" w:rsidR="00A202CE" w:rsidRPr="009B546D" w:rsidRDefault="00A202CE"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GBS Infinity Holding Ltd (BVI)</w:t>
            </w:r>
          </w:p>
          <w:p w14:paraId="56763D62" w14:textId="4C64E1D6" w:rsidR="00D27C56" w:rsidRPr="009B546D" w:rsidRDefault="00D27C56" w:rsidP="00F432B9">
            <w:pPr>
              <w:pStyle w:val="TableParagraph"/>
              <w:spacing w:after="160"/>
              <w:ind w:left="145" w:hanging="145"/>
              <w:contextualSpacing/>
              <w:jc w:val="both"/>
              <w:rPr>
                <w:rFonts w:asciiTheme="minorHAnsi" w:hAnsiTheme="minorHAnsi" w:cstheme="minorHAnsi"/>
                <w:sz w:val="20"/>
                <w:szCs w:val="20"/>
                <w:lang w:val="en-GB"/>
              </w:rPr>
            </w:pPr>
          </w:p>
        </w:tc>
        <w:tc>
          <w:tcPr>
            <w:tcW w:w="3260" w:type="dxa"/>
          </w:tcPr>
          <w:p w14:paraId="111DACAD" w14:textId="77777777" w:rsidR="0063338F" w:rsidRPr="009B546D" w:rsidRDefault="0063338F" w:rsidP="00EA2BB6">
            <w:pPr>
              <w:pStyle w:val="TableParagraph"/>
              <w:spacing w:after="160"/>
              <w:ind w:left="145" w:hanging="145"/>
              <w:contextualSpacing/>
              <w:rPr>
                <w:rFonts w:asciiTheme="minorHAnsi" w:hAnsiTheme="minorHAnsi" w:cstheme="minorHAnsi"/>
                <w:sz w:val="20"/>
                <w:szCs w:val="20"/>
                <w:lang w:val="en-GB"/>
              </w:rPr>
            </w:pPr>
            <w:r w:rsidRPr="009B546D">
              <w:rPr>
                <w:rFonts w:asciiTheme="minorHAnsi" w:hAnsiTheme="minorHAnsi" w:cstheme="minorHAnsi"/>
                <w:sz w:val="20"/>
                <w:szCs w:val="20"/>
                <w:lang w:val="en-GB"/>
              </w:rPr>
              <w:t>MAMA11 MART (M) Sdn. Bhd.</w:t>
            </w:r>
          </w:p>
          <w:p w14:paraId="3A7614AE" w14:textId="77777777" w:rsidR="0063338F" w:rsidRPr="009B546D" w:rsidRDefault="0063338F" w:rsidP="00EA2BB6">
            <w:pPr>
              <w:pStyle w:val="TableParagraph"/>
              <w:spacing w:after="160"/>
              <w:ind w:left="145" w:hanging="145"/>
              <w:contextualSpacing/>
              <w:rPr>
                <w:rFonts w:asciiTheme="minorHAnsi" w:hAnsiTheme="minorHAnsi" w:cstheme="minorHAnsi"/>
                <w:sz w:val="20"/>
                <w:szCs w:val="20"/>
                <w:lang w:val="en-GB"/>
              </w:rPr>
            </w:pPr>
            <w:r w:rsidRPr="009B546D">
              <w:rPr>
                <w:rFonts w:asciiTheme="minorHAnsi" w:hAnsiTheme="minorHAnsi" w:cstheme="minorHAnsi"/>
                <w:sz w:val="20"/>
                <w:szCs w:val="20"/>
                <w:lang w:val="en-GB"/>
              </w:rPr>
              <w:t>MGM Global Ltd</w:t>
            </w:r>
          </w:p>
          <w:p w14:paraId="1B81E4B3" w14:textId="77777777" w:rsidR="0063338F" w:rsidRPr="009B546D" w:rsidRDefault="0063338F" w:rsidP="00EA2BB6">
            <w:pPr>
              <w:pStyle w:val="TableParagraph"/>
              <w:spacing w:after="160"/>
              <w:ind w:left="145" w:hanging="145"/>
              <w:contextualSpacing/>
              <w:rPr>
                <w:rFonts w:asciiTheme="minorHAnsi" w:hAnsiTheme="minorHAnsi" w:cstheme="minorHAnsi"/>
                <w:sz w:val="20"/>
                <w:szCs w:val="20"/>
                <w:lang w:val="en-GB"/>
              </w:rPr>
            </w:pPr>
            <w:r w:rsidRPr="009B546D">
              <w:rPr>
                <w:rFonts w:asciiTheme="minorHAnsi" w:hAnsiTheme="minorHAnsi" w:cstheme="minorHAnsi"/>
                <w:sz w:val="20"/>
                <w:szCs w:val="20"/>
                <w:lang w:val="en-GB"/>
              </w:rPr>
              <w:t>Menes Gold Management Global Limited</w:t>
            </w:r>
          </w:p>
          <w:p w14:paraId="7D9ED8F1" w14:textId="77777777" w:rsidR="00891FE1" w:rsidRPr="009B546D" w:rsidRDefault="00891FE1" w:rsidP="00EA2BB6">
            <w:pPr>
              <w:pStyle w:val="TableParagraph"/>
              <w:spacing w:after="160"/>
              <w:ind w:left="145" w:hanging="145"/>
              <w:contextualSpacing/>
              <w:rPr>
                <w:rFonts w:asciiTheme="minorHAnsi" w:hAnsiTheme="minorHAnsi" w:cstheme="minorHAnsi"/>
                <w:sz w:val="20"/>
                <w:szCs w:val="20"/>
                <w:lang w:val="en-GB"/>
              </w:rPr>
            </w:pPr>
            <w:r w:rsidRPr="009B546D">
              <w:rPr>
                <w:rFonts w:asciiTheme="minorHAnsi" w:hAnsiTheme="minorHAnsi" w:cstheme="minorHAnsi"/>
                <w:sz w:val="20"/>
                <w:szCs w:val="20"/>
                <w:lang w:val="en-GB"/>
              </w:rPr>
              <w:t>Proudbuild Trading Co</w:t>
            </w:r>
          </w:p>
          <w:p w14:paraId="5F043B04" w14:textId="635943C5" w:rsidR="00891FE1" w:rsidRPr="009B546D" w:rsidRDefault="00891FE1" w:rsidP="00EA2BB6">
            <w:pPr>
              <w:pStyle w:val="TableParagraph"/>
              <w:spacing w:after="160"/>
              <w:ind w:left="145" w:hanging="145"/>
              <w:contextualSpacing/>
              <w:rPr>
                <w:rFonts w:asciiTheme="minorHAnsi" w:hAnsiTheme="minorHAnsi" w:cstheme="minorHAnsi"/>
                <w:sz w:val="20"/>
                <w:szCs w:val="20"/>
                <w:lang w:val="en-GB"/>
              </w:rPr>
            </w:pPr>
            <w:r w:rsidRPr="009B546D">
              <w:rPr>
                <w:rFonts w:asciiTheme="minorHAnsi" w:hAnsiTheme="minorHAnsi" w:cstheme="minorHAnsi"/>
                <w:sz w:val="20"/>
                <w:szCs w:val="20"/>
                <w:lang w:val="en-GB"/>
              </w:rPr>
              <w:t>MMCapVen Limited</w:t>
            </w:r>
          </w:p>
        </w:tc>
      </w:tr>
      <w:tr w:rsidR="0063338F" w:rsidRPr="009B546D" w14:paraId="249F370F" w14:textId="77777777" w:rsidTr="00EA2BB6">
        <w:trPr>
          <w:trHeight w:val="559"/>
        </w:trPr>
        <w:tc>
          <w:tcPr>
            <w:tcW w:w="2126" w:type="dxa"/>
          </w:tcPr>
          <w:p w14:paraId="2C9DAC8A" w14:textId="77777777" w:rsidR="0063338F" w:rsidRPr="009B546D" w:rsidRDefault="0063338F" w:rsidP="00F432B9">
            <w:pPr>
              <w:pStyle w:val="TableParagraph"/>
              <w:spacing w:after="160"/>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Lee Chong Liang</w:t>
            </w:r>
          </w:p>
        </w:tc>
        <w:tc>
          <w:tcPr>
            <w:tcW w:w="3260" w:type="dxa"/>
          </w:tcPr>
          <w:p w14:paraId="37F103D3" w14:textId="77777777" w:rsidR="0063338F" w:rsidRPr="009B546D" w:rsidRDefault="0063338F"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 xml:space="preserve">Plymouth Infotech Limited </w:t>
            </w:r>
          </w:p>
          <w:p w14:paraId="5AEE2227" w14:textId="77777777" w:rsidR="0063338F" w:rsidRPr="009B546D" w:rsidRDefault="0063338F"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Marcusz Events Co. Ltd</w:t>
            </w:r>
          </w:p>
          <w:p w14:paraId="59C753A3" w14:textId="77777777" w:rsidR="00A202CE" w:rsidRPr="009B546D" w:rsidRDefault="00A202CE"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ML Infinit</w:t>
            </w:r>
            <w:r w:rsidR="0074170C" w:rsidRPr="009B546D">
              <w:rPr>
                <w:rFonts w:asciiTheme="minorHAnsi" w:hAnsiTheme="minorHAnsi" w:cstheme="minorHAnsi"/>
                <w:sz w:val="20"/>
                <w:szCs w:val="20"/>
                <w:lang w:val="en-GB"/>
              </w:rPr>
              <w:t>y Holding Ltd (BVI)</w:t>
            </w:r>
          </w:p>
          <w:p w14:paraId="342C7963" w14:textId="29AFD691" w:rsidR="0074170C" w:rsidRPr="009B546D" w:rsidRDefault="0074170C" w:rsidP="00F432B9">
            <w:pPr>
              <w:pStyle w:val="TableParagraph"/>
              <w:spacing w:after="160"/>
              <w:ind w:left="145" w:hanging="145"/>
              <w:contextualSpacing/>
              <w:jc w:val="both"/>
              <w:rPr>
                <w:rFonts w:asciiTheme="minorHAnsi" w:hAnsiTheme="minorHAnsi" w:cstheme="minorHAnsi"/>
                <w:sz w:val="20"/>
                <w:szCs w:val="20"/>
                <w:lang w:val="en-GB"/>
              </w:rPr>
            </w:pPr>
          </w:p>
        </w:tc>
        <w:tc>
          <w:tcPr>
            <w:tcW w:w="3260" w:type="dxa"/>
          </w:tcPr>
          <w:p w14:paraId="2939AC99" w14:textId="79AD06C8" w:rsidR="0063338F" w:rsidRPr="009B546D" w:rsidRDefault="00A22959" w:rsidP="00EA2BB6">
            <w:pPr>
              <w:pStyle w:val="TableParagraph"/>
              <w:spacing w:after="160"/>
              <w:ind w:left="145" w:hanging="145"/>
              <w:contextualSpacing/>
              <w:rPr>
                <w:rFonts w:asciiTheme="minorHAnsi" w:hAnsiTheme="minorHAnsi" w:cstheme="minorHAnsi"/>
                <w:sz w:val="20"/>
                <w:szCs w:val="20"/>
                <w:lang w:val="en-GB"/>
              </w:rPr>
            </w:pPr>
            <w:r w:rsidRPr="009B546D">
              <w:rPr>
                <w:rFonts w:asciiTheme="minorHAnsi" w:hAnsiTheme="minorHAnsi" w:cstheme="minorHAnsi"/>
                <w:sz w:val="20"/>
                <w:szCs w:val="20"/>
                <w:lang w:val="en-GB"/>
              </w:rPr>
              <w:t>Resultbuild Property Investment Co.</w:t>
            </w:r>
            <w:r w:rsidR="0004233A">
              <w:rPr>
                <w:rFonts w:asciiTheme="minorHAnsi" w:hAnsiTheme="minorHAnsi" w:cstheme="minorHAnsi"/>
                <w:sz w:val="20"/>
                <w:szCs w:val="20"/>
                <w:lang w:val="en-GB"/>
              </w:rPr>
              <w:t xml:space="preserve"> </w:t>
            </w:r>
            <w:r w:rsidRPr="009B546D">
              <w:rPr>
                <w:rFonts w:asciiTheme="minorHAnsi" w:hAnsiTheme="minorHAnsi" w:cstheme="minorHAnsi"/>
                <w:sz w:val="20"/>
                <w:szCs w:val="20"/>
                <w:lang w:val="en-GB"/>
              </w:rPr>
              <w:t>Limited</w:t>
            </w:r>
          </w:p>
        </w:tc>
      </w:tr>
      <w:tr w:rsidR="0063338F" w:rsidRPr="009B546D" w14:paraId="1F93AD3C" w14:textId="77777777" w:rsidTr="00EA2BB6">
        <w:trPr>
          <w:trHeight w:val="356"/>
        </w:trPr>
        <w:tc>
          <w:tcPr>
            <w:tcW w:w="2126" w:type="dxa"/>
          </w:tcPr>
          <w:p w14:paraId="0B100D40" w14:textId="77777777" w:rsidR="0063338F" w:rsidRPr="009B546D" w:rsidRDefault="0063338F" w:rsidP="00F432B9">
            <w:pPr>
              <w:pStyle w:val="TableParagraph"/>
              <w:spacing w:after="160"/>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Harry Chathli</w:t>
            </w:r>
          </w:p>
        </w:tc>
        <w:tc>
          <w:tcPr>
            <w:tcW w:w="3260" w:type="dxa"/>
          </w:tcPr>
          <w:p w14:paraId="01D8F8B7" w14:textId="77777777" w:rsidR="0063338F" w:rsidRPr="009B546D" w:rsidRDefault="0063338F"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 xml:space="preserve">Access Capital Markets Limited </w:t>
            </w:r>
          </w:p>
          <w:p w14:paraId="7BCA3B40" w14:textId="77777777" w:rsidR="0063338F" w:rsidRPr="009B546D" w:rsidRDefault="0063338F"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 xml:space="preserve">Lokcom Networks Limited </w:t>
            </w:r>
          </w:p>
          <w:p w14:paraId="184FFDFE" w14:textId="77777777" w:rsidR="0063338F" w:rsidRPr="009B546D" w:rsidRDefault="0063338F"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Luther Pendragon Limited</w:t>
            </w:r>
          </w:p>
          <w:p w14:paraId="4FCFA781" w14:textId="77777777" w:rsidR="0063338F" w:rsidRPr="009B546D" w:rsidRDefault="0063338F"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Luther Pendragon Holdings Limited</w:t>
            </w:r>
          </w:p>
          <w:p w14:paraId="6C59DC79" w14:textId="77777777" w:rsidR="0063338F" w:rsidRPr="009B546D" w:rsidRDefault="0063338F" w:rsidP="00F432B9">
            <w:pPr>
              <w:pStyle w:val="TableParagraph"/>
              <w:spacing w:after="160"/>
              <w:ind w:left="145" w:hanging="145"/>
              <w:contextualSpacing/>
              <w:jc w:val="both"/>
              <w:rPr>
                <w:rFonts w:asciiTheme="minorHAnsi" w:hAnsiTheme="minorHAnsi" w:cstheme="minorHAnsi"/>
                <w:sz w:val="20"/>
                <w:szCs w:val="20"/>
                <w:lang w:val="en-GB"/>
              </w:rPr>
            </w:pPr>
          </w:p>
        </w:tc>
        <w:tc>
          <w:tcPr>
            <w:tcW w:w="3260" w:type="dxa"/>
          </w:tcPr>
          <w:p w14:paraId="4E6BFB47" w14:textId="77777777" w:rsidR="0063338F" w:rsidRPr="009B546D" w:rsidRDefault="0063338F"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Corfin Public Relations Limited</w:t>
            </w:r>
          </w:p>
        </w:tc>
      </w:tr>
      <w:tr w:rsidR="0063338F" w:rsidRPr="009B546D" w14:paraId="1CA307C8" w14:textId="77777777" w:rsidTr="00EA2BB6">
        <w:trPr>
          <w:trHeight w:val="143"/>
        </w:trPr>
        <w:tc>
          <w:tcPr>
            <w:tcW w:w="2126" w:type="dxa"/>
          </w:tcPr>
          <w:p w14:paraId="7F69937C" w14:textId="77777777" w:rsidR="0063338F" w:rsidRPr="009B546D" w:rsidRDefault="0063338F" w:rsidP="00F432B9">
            <w:pPr>
              <w:pStyle w:val="TableParagraph"/>
              <w:spacing w:after="160"/>
              <w:ind w:left="1"/>
              <w:jc w:val="both"/>
              <w:rPr>
                <w:rFonts w:asciiTheme="minorHAnsi" w:hAnsiTheme="minorHAnsi" w:cstheme="minorHAnsi"/>
                <w:b/>
                <w:sz w:val="20"/>
                <w:szCs w:val="20"/>
                <w:u w:val="single"/>
                <w:lang w:val="en-GB"/>
              </w:rPr>
            </w:pPr>
            <w:r w:rsidRPr="009B546D">
              <w:rPr>
                <w:rFonts w:asciiTheme="minorHAnsi" w:hAnsiTheme="minorHAnsi" w:cstheme="minorHAnsi"/>
                <w:b/>
                <w:sz w:val="20"/>
                <w:szCs w:val="20"/>
                <w:u w:val="single"/>
                <w:lang w:val="en-GB"/>
              </w:rPr>
              <w:t>Proposed Director</w:t>
            </w:r>
          </w:p>
        </w:tc>
        <w:tc>
          <w:tcPr>
            <w:tcW w:w="3260" w:type="dxa"/>
          </w:tcPr>
          <w:p w14:paraId="104C0133" w14:textId="77777777" w:rsidR="0063338F" w:rsidRPr="009B546D" w:rsidRDefault="0063338F" w:rsidP="00F432B9">
            <w:pPr>
              <w:pStyle w:val="TableParagraph"/>
              <w:spacing w:after="160"/>
              <w:ind w:left="1"/>
              <w:jc w:val="both"/>
              <w:rPr>
                <w:rFonts w:asciiTheme="minorHAnsi" w:hAnsiTheme="minorHAnsi" w:cstheme="minorHAnsi"/>
                <w:b/>
                <w:sz w:val="20"/>
                <w:szCs w:val="20"/>
                <w:lang w:val="en-GB"/>
              </w:rPr>
            </w:pPr>
          </w:p>
        </w:tc>
        <w:tc>
          <w:tcPr>
            <w:tcW w:w="3260" w:type="dxa"/>
          </w:tcPr>
          <w:p w14:paraId="4ED6AC76" w14:textId="77777777" w:rsidR="0063338F" w:rsidRPr="009B546D" w:rsidRDefault="0063338F" w:rsidP="00F432B9">
            <w:pPr>
              <w:pStyle w:val="TableParagraph"/>
              <w:spacing w:after="160"/>
              <w:ind w:left="1"/>
              <w:jc w:val="both"/>
              <w:rPr>
                <w:rFonts w:asciiTheme="minorHAnsi" w:hAnsiTheme="minorHAnsi" w:cstheme="minorHAnsi"/>
                <w:b/>
                <w:sz w:val="20"/>
                <w:szCs w:val="20"/>
                <w:lang w:val="en-GB"/>
              </w:rPr>
            </w:pPr>
          </w:p>
        </w:tc>
      </w:tr>
      <w:tr w:rsidR="0063338F" w:rsidRPr="009B546D" w14:paraId="11327799" w14:textId="77777777" w:rsidTr="00EA2BB6">
        <w:trPr>
          <w:trHeight w:val="62"/>
        </w:trPr>
        <w:tc>
          <w:tcPr>
            <w:tcW w:w="2126" w:type="dxa"/>
          </w:tcPr>
          <w:p w14:paraId="356E4020" w14:textId="77777777" w:rsidR="0063338F" w:rsidRPr="009B546D" w:rsidRDefault="0063338F" w:rsidP="00F432B9">
            <w:pPr>
              <w:pStyle w:val="TableParagraph"/>
              <w:spacing w:after="160"/>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Charles Yong Kai Yee</w:t>
            </w:r>
          </w:p>
        </w:tc>
        <w:tc>
          <w:tcPr>
            <w:tcW w:w="3260" w:type="dxa"/>
          </w:tcPr>
          <w:p w14:paraId="619ED581" w14:textId="20B40EE8" w:rsidR="0063338F" w:rsidRPr="009B546D" w:rsidRDefault="00266E8A"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N/A</w:t>
            </w:r>
          </w:p>
        </w:tc>
        <w:tc>
          <w:tcPr>
            <w:tcW w:w="3260" w:type="dxa"/>
          </w:tcPr>
          <w:p w14:paraId="25719373" w14:textId="36ACAD74" w:rsidR="0063338F" w:rsidRPr="009B546D" w:rsidRDefault="00266E8A" w:rsidP="00F432B9">
            <w:pPr>
              <w:pStyle w:val="TableParagraph"/>
              <w:spacing w:after="160"/>
              <w:ind w:left="145" w:hanging="145"/>
              <w:contextualSpacing/>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N/A</w:t>
            </w:r>
          </w:p>
        </w:tc>
      </w:tr>
    </w:tbl>
    <w:p w14:paraId="5822F3BC" w14:textId="38291C4A"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Bidi"/>
          <w:b w:val="0"/>
          <w:spacing w:val="-8"/>
        </w:rPr>
      </w:pPr>
      <w:r w:rsidRPr="15D66BA0">
        <w:rPr>
          <w:rFonts w:asciiTheme="minorHAnsi" w:hAnsiTheme="minorHAnsi" w:cstheme="minorBidi"/>
          <w:b w:val="0"/>
          <w:spacing w:val="-8"/>
        </w:rPr>
        <w:t>None of the Existing Directors or the Proposed Director has:</w:t>
      </w:r>
    </w:p>
    <w:p w14:paraId="4FED5441" w14:textId="77777777" w:rsidR="00D90E1F" w:rsidRPr="009B546D" w:rsidRDefault="00D90E1F" w:rsidP="00F432B9">
      <w:pPr>
        <w:pStyle w:val="Heading2"/>
        <w:keepNext w:val="0"/>
        <w:widowControl w:val="0"/>
        <w:numPr>
          <w:ilvl w:val="2"/>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has had any convictions in relation to fraudulent offences;</w:t>
      </w:r>
    </w:p>
    <w:p w14:paraId="5EC61D19" w14:textId="77777777" w:rsidR="00D90E1F" w:rsidRPr="009B546D" w:rsidRDefault="00D90E1F" w:rsidP="00F432B9">
      <w:pPr>
        <w:pStyle w:val="Heading2"/>
        <w:keepNext w:val="0"/>
        <w:widowControl w:val="0"/>
        <w:numPr>
          <w:ilvl w:val="2"/>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has been a member of the administrative, management or supervisory bodies or a director or senior manager (who is relevant to establishing that a company has the appropriate expertise and experience for the management of that company) of any company at the time of any bankruptcy, receivership or liquidation of such company; or </w:t>
      </w:r>
    </w:p>
    <w:p w14:paraId="71573FF7" w14:textId="77777777" w:rsidR="00D90E1F" w:rsidRPr="009B546D" w:rsidRDefault="00D90E1F" w:rsidP="00F432B9">
      <w:pPr>
        <w:pStyle w:val="Heading2"/>
        <w:keepNext w:val="0"/>
        <w:widowControl w:val="0"/>
        <w:numPr>
          <w:ilvl w:val="2"/>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has received any official public incrimination and/or sanction by any statutory or regulatory authorities (including designated professional bodies) or has been disqualified by a court from acting as a director or member of an administrative, management or supervisory body of a company or from acting in the management or conduct of the affairs of a company.</w:t>
      </w:r>
    </w:p>
    <w:p w14:paraId="3B3DD88C" w14:textId="77777777"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Bidi"/>
          <w:b w:val="0"/>
          <w:spacing w:val="-8"/>
        </w:rPr>
      </w:pPr>
      <w:r w:rsidRPr="15D66BA0">
        <w:rPr>
          <w:rFonts w:asciiTheme="minorHAnsi" w:hAnsiTheme="minorHAnsi" w:cstheme="minorBidi"/>
          <w:b w:val="0"/>
          <w:spacing w:val="-8"/>
        </w:rPr>
        <w:t xml:space="preserve">None of the Existing Directors or the Proposed Director has any family relationship with any of the other Existing Directors and/or the Proposed Director. </w:t>
      </w:r>
    </w:p>
    <w:p w14:paraId="4EA94967" w14:textId="718B0E16"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Bidi"/>
          <w:b w:val="0"/>
          <w:spacing w:val="-8"/>
        </w:rPr>
      </w:pPr>
      <w:r w:rsidRPr="15D66BA0">
        <w:rPr>
          <w:rFonts w:asciiTheme="minorHAnsi" w:hAnsiTheme="minorHAnsi" w:cstheme="minorBidi"/>
          <w:b w:val="0"/>
          <w:spacing w:val="-8"/>
        </w:rPr>
        <w:t xml:space="preserve">Save as set out in paragraph </w:t>
      </w:r>
      <w:r w:rsidR="00CD06AA">
        <w:rPr>
          <w:rFonts w:asciiTheme="minorHAnsi" w:hAnsiTheme="minorHAnsi" w:cstheme="minorBidi"/>
          <w:b w:val="0"/>
          <w:spacing w:val="-8"/>
        </w:rPr>
        <w:t>10</w:t>
      </w:r>
      <w:r w:rsidR="00CD06AA" w:rsidRPr="15D66BA0">
        <w:rPr>
          <w:rFonts w:asciiTheme="minorHAnsi" w:hAnsiTheme="minorHAnsi" w:cstheme="minorBidi"/>
          <w:b w:val="0"/>
          <w:spacing w:val="-8"/>
        </w:rPr>
        <w:t xml:space="preserve"> </w:t>
      </w:r>
      <w:r w:rsidRPr="15D66BA0">
        <w:rPr>
          <w:rFonts w:asciiTheme="minorHAnsi" w:hAnsiTheme="minorHAnsi" w:cstheme="minorBidi"/>
          <w:b w:val="0"/>
          <w:spacing w:val="-8"/>
        </w:rPr>
        <w:t xml:space="preserve">(Related Party Transactions) and paragraph </w:t>
      </w:r>
      <w:r w:rsidR="00E851C4" w:rsidRPr="15D66BA0">
        <w:rPr>
          <w:rFonts w:asciiTheme="minorHAnsi" w:hAnsiTheme="minorHAnsi" w:cstheme="minorBidi"/>
          <w:b w:val="0"/>
          <w:spacing w:val="-8"/>
        </w:rPr>
        <w:t>1</w:t>
      </w:r>
      <w:r w:rsidR="00CD06AA">
        <w:rPr>
          <w:rFonts w:asciiTheme="minorHAnsi" w:hAnsiTheme="minorHAnsi" w:cstheme="minorBidi"/>
          <w:b w:val="0"/>
          <w:spacing w:val="-8"/>
        </w:rPr>
        <w:t>2</w:t>
      </w:r>
      <w:r w:rsidRPr="15D66BA0">
        <w:rPr>
          <w:rFonts w:asciiTheme="minorHAnsi" w:hAnsiTheme="minorHAnsi" w:cstheme="minorBidi"/>
          <w:b w:val="0"/>
          <w:spacing w:val="-8"/>
        </w:rPr>
        <w:t xml:space="preserve"> (Material Contracts) of this Part </w:t>
      </w:r>
      <w:r w:rsidR="00E851C4" w:rsidRPr="15D66BA0">
        <w:rPr>
          <w:rFonts w:asciiTheme="minorHAnsi" w:hAnsiTheme="minorHAnsi" w:cstheme="minorBidi"/>
          <w:b w:val="0"/>
          <w:spacing w:val="-8"/>
        </w:rPr>
        <w:t xml:space="preserve">XX </w:t>
      </w:r>
      <w:r w:rsidRPr="15D66BA0">
        <w:rPr>
          <w:rFonts w:asciiTheme="minorHAnsi" w:hAnsiTheme="minorHAnsi" w:cstheme="minorBidi"/>
          <w:b w:val="0"/>
          <w:spacing w:val="-8"/>
        </w:rPr>
        <w:t>and in respect of their interests and duties as Existing Directors or the Proposed Director of the Company, none of the Existing Directors nor the Proposed Director has any actual or potential conflicts of interests between their duties to the Enlarged Group and their private interests or other duties.</w:t>
      </w:r>
    </w:p>
    <w:p w14:paraId="4F71C664" w14:textId="77777777"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Directors’ service contracts, remuneration and benefits in kind</w:t>
      </w:r>
    </w:p>
    <w:p w14:paraId="5AD4B93A" w14:textId="316177B3"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Existing Directors</w:t>
      </w:r>
      <w:r w:rsidR="007D7B13" w:rsidRPr="009B546D">
        <w:rPr>
          <w:rFonts w:asciiTheme="minorHAnsi" w:hAnsiTheme="minorHAnsi" w:cstheme="minorHAnsi"/>
          <w:szCs w:val="20"/>
        </w:rPr>
        <w:t xml:space="preserve"> </w:t>
      </w:r>
    </w:p>
    <w:p w14:paraId="2DD2CA2D" w14:textId="77777777" w:rsidR="00D90E1F" w:rsidRPr="009B546D" w:rsidRDefault="00D90E1F" w:rsidP="00F432B9">
      <w:pPr>
        <w:pStyle w:val="BodyText"/>
        <w:widowControl w:val="0"/>
        <w:spacing w:after="160" w:line="240" w:lineRule="auto"/>
        <w:ind w:left="357"/>
        <w:rPr>
          <w:rFonts w:asciiTheme="minorHAnsi" w:hAnsiTheme="minorHAnsi" w:cstheme="minorHAnsi"/>
          <w:b/>
          <w:i/>
          <w:sz w:val="20"/>
          <w:szCs w:val="20"/>
        </w:rPr>
      </w:pPr>
      <w:r w:rsidRPr="009B546D">
        <w:rPr>
          <w:rFonts w:asciiTheme="minorHAnsi" w:hAnsiTheme="minorHAnsi" w:cstheme="minorHAnsi"/>
          <w:b/>
          <w:i/>
          <w:sz w:val="20"/>
          <w:szCs w:val="20"/>
        </w:rPr>
        <w:t>Graham Duncan</w:t>
      </w:r>
    </w:p>
    <w:p w14:paraId="0AA2ED9A" w14:textId="1BC09604" w:rsidR="00D90E1F" w:rsidRPr="009B546D" w:rsidRDefault="00D90E1F" w:rsidP="00F432B9">
      <w:pPr>
        <w:pStyle w:val="BodyText"/>
        <w:widowControl w:val="0"/>
        <w:spacing w:after="160" w:line="240" w:lineRule="auto"/>
        <w:ind w:left="357"/>
        <w:rPr>
          <w:rFonts w:asciiTheme="minorHAnsi" w:hAnsiTheme="minorHAnsi" w:cstheme="minorHAnsi"/>
          <w:sz w:val="20"/>
          <w:szCs w:val="20"/>
        </w:rPr>
      </w:pPr>
      <w:r w:rsidRPr="009B546D">
        <w:rPr>
          <w:rFonts w:asciiTheme="minorHAnsi" w:hAnsiTheme="minorHAnsi" w:cstheme="minorHAnsi"/>
          <w:sz w:val="20"/>
          <w:szCs w:val="20"/>
        </w:rPr>
        <w:t xml:space="preserve">By way of a letter of appointment dated 22 December 2017, Graham Duncan was appointed as an </w:t>
      </w:r>
      <w:r w:rsidR="006B7A8C">
        <w:rPr>
          <w:rFonts w:asciiTheme="minorHAnsi" w:hAnsiTheme="minorHAnsi" w:cstheme="minorHAnsi"/>
          <w:sz w:val="20"/>
          <w:szCs w:val="20"/>
        </w:rPr>
        <w:lastRenderedPageBreak/>
        <w:t>I</w:t>
      </w:r>
      <w:r w:rsidRPr="009B546D">
        <w:rPr>
          <w:rFonts w:asciiTheme="minorHAnsi" w:hAnsiTheme="minorHAnsi" w:cstheme="minorHAnsi"/>
          <w:sz w:val="20"/>
          <w:szCs w:val="20"/>
        </w:rPr>
        <w:t>ndependent Non-</w:t>
      </w:r>
      <w:r w:rsidR="00281299">
        <w:rPr>
          <w:rFonts w:asciiTheme="minorHAnsi" w:hAnsiTheme="minorHAnsi" w:cstheme="minorHAnsi"/>
          <w:sz w:val="20"/>
          <w:szCs w:val="20"/>
        </w:rPr>
        <w:t>E</w:t>
      </w:r>
      <w:r w:rsidRPr="009B546D">
        <w:rPr>
          <w:rFonts w:asciiTheme="minorHAnsi" w:hAnsiTheme="minorHAnsi" w:cstheme="minorHAnsi"/>
          <w:sz w:val="20"/>
          <w:szCs w:val="20"/>
        </w:rPr>
        <w:t>xecutive Director with effect from 9 January 2018 for a minimum period of twelve (12) months (“</w:t>
      </w:r>
      <w:r w:rsidRPr="009B546D">
        <w:rPr>
          <w:rFonts w:asciiTheme="minorHAnsi" w:hAnsiTheme="minorHAnsi" w:cstheme="minorHAnsi"/>
          <w:b/>
          <w:sz w:val="20"/>
          <w:szCs w:val="20"/>
        </w:rPr>
        <w:t>Basic Term</w:t>
      </w:r>
      <w:r w:rsidRPr="009B546D">
        <w:rPr>
          <w:rFonts w:asciiTheme="minorHAnsi" w:hAnsiTheme="minorHAnsi" w:cstheme="minorHAnsi"/>
          <w:sz w:val="20"/>
          <w:szCs w:val="20"/>
        </w:rPr>
        <w:t xml:space="preserve">”). The letter of appointment may be terminated (a) after the Basic Term by either party giving three (3) months’ prior written notice to the other party; or (b) immediately and at any time by either a resolution of Shareholders or due to unsatisfactory performance. Pursuant to his letter of appointment, Graham Duncan will be paid an annual fee of £30,000 to be paid quarterly in arrears. </w:t>
      </w:r>
    </w:p>
    <w:p w14:paraId="2A4CFC79" w14:textId="77777777" w:rsidR="00D90E1F" w:rsidRPr="009B546D" w:rsidRDefault="00D90E1F" w:rsidP="00F432B9">
      <w:pPr>
        <w:pStyle w:val="BodyText"/>
        <w:widowControl w:val="0"/>
        <w:spacing w:after="160" w:line="240" w:lineRule="auto"/>
        <w:ind w:left="357"/>
        <w:rPr>
          <w:rFonts w:asciiTheme="minorHAnsi" w:hAnsiTheme="minorHAnsi" w:cstheme="minorHAnsi"/>
          <w:b/>
          <w:i/>
          <w:sz w:val="20"/>
          <w:szCs w:val="20"/>
        </w:rPr>
      </w:pPr>
      <w:r w:rsidRPr="009B546D">
        <w:rPr>
          <w:rFonts w:asciiTheme="minorHAnsi" w:hAnsiTheme="minorHAnsi" w:cstheme="minorHAnsi"/>
          <w:b/>
          <w:i/>
          <w:sz w:val="20"/>
          <w:szCs w:val="20"/>
        </w:rPr>
        <w:t>Lee Chong Liang</w:t>
      </w:r>
    </w:p>
    <w:p w14:paraId="667E89E4" w14:textId="27F6B155" w:rsidR="00D90E1F" w:rsidRPr="009B546D" w:rsidRDefault="00D90E1F" w:rsidP="00F432B9">
      <w:pPr>
        <w:pStyle w:val="BodyText"/>
        <w:widowControl w:val="0"/>
        <w:spacing w:after="160" w:line="240" w:lineRule="auto"/>
        <w:ind w:left="357"/>
        <w:rPr>
          <w:rFonts w:asciiTheme="minorHAnsi" w:hAnsiTheme="minorHAnsi" w:cstheme="minorHAnsi"/>
          <w:sz w:val="20"/>
          <w:szCs w:val="20"/>
        </w:rPr>
      </w:pPr>
      <w:r w:rsidRPr="009B546D">
        <w:rPr>
          <w:rFonts w:asciiTheme="minorHAnsi" w:hAnsiTheme="minorHAnsi" w:cstheme="minorHAnsi"/>
          <w:sz w:val="20"/>
          <w:szCs w:val="20"/>
        </w:rPr>
        <w:t>By way of a service agreement dated 22 December 2017, Lee Chong Liang was appointed as Executive Director with effect from 9 January 2018 for a minimum period of twenty-four (24) months, after which the service agreement may be terminated by either party giving not less than three (3) months’ prior written notice to the other party. The service agreement can be terminated at any time and immediately by the Company in certain circumstances, including the repeated or continued breach of Lee Chong Liang’s obligations to the Company, or the criminal conviction of Lee Chong Liang of which imprisonment is a sanction. Lee Chong Liang is be entitled to a salary of £3,500 per month to be paid in arrears quarterly.</w:t>
      </w:r>
    </w:p>
    <w:p w14:paraId="4CE5803E" w14:textId="77777777" w:rsidR="00BF448F" w:rsidRPr="009B546D" w:rsidRDefault="00BF448F" w:rsidP="00F432B9">
      <w:pPr>
        <w:pStyle w:val="BodyText"/>
        <w:widowControl w:val="0"/>
        <w:spacing w:after="160" w:line="240" w:lineRule="auto"/>
        <w:ind w:left="357"/>
        <w:rPr>
          <w:rFonts w:asciiTheme="minorHAnsi" w:hAnsiTheme="minorHAnsi" w:cstheme="minorHAnsi"/>
          <w:b/>
          <w:i/>
          <w:sz w:val="20"/>
          <w:szCs w:val="20"/>
        </w:rPr>
      </w:pPr>
      <w:r w:rsidRPr="009B546D">
        <w:rPr>
          <w:rFonts w:asciiTheme="minorHAnsi" w:hAnsiTheme="minorHAnsi" w:cstheme="minorHAnsi"/>
          <w:b/>
          <w:i/>
          <w:sz w:val="20"/>
          <w:szCs w:val="20"/>
        </w:rPr>
        <w:t xml:space="preserve">Soon Beng Gee </w:t>
      </w:r>
    </w:p>
    <w:p w14:paraId="3DFDCE70" w14:textId="4647D81E" w:rsidR="00BF448F" w:rsidRPr="009B546D" w:rsidRDefault="00BF448F" w:rsidP="00F432B9">
      <w:pPr>
        <w:pStyle w:val="BodyText"/>
        <w:widowControl w:val="0"/>
        <w:spacing w:after="160" w:line="240" w:lineRule="auto"/>
        <w:ind w:left="357"/>
        <w:rPr>
          <w:rFonts w:asciiTheme="minorHAnsi" w:hAnsiTheme="minorHAnsi" w:cstheme="minorHAnsi"/>
          <w:sz w:val="20"/>
          <w:szCs w:val="20"/>
        </w:rPr>
      </w:pPr>
      <w:r w:rsidRPr="009B546D">
        <w:rPr>
          <w:rFonts w:asciiTheme="minorHAnsi" w:hAnsiTheme="minorHAnsi" w:cstheme="minorHAnsi"/>
          <w:sz w:val="20"/>
          <w:szCs w:val="20"/>
        </w:rPr>
        <w:t>By way of a service agreement dated 22 December 2017, Soon Beng Gee was appointed as Executive Director with effect from 9 January 2018 for a minimum period of twenty-four (24) months, after which the service agreement may be terminated by either party giving not less than three (3) months’ prior written notice to the other party. The service agreement can be terminated at any time and immediately by the Company in certain circumstances, including the repeated or continued breach of Soon Beng Gee’s obligations to the Company, or the criminal conviction of Soon Beng Gee of which imprisonment is a sanction. Soon Beng Gee is entitled to a salary of £3,500 per month to be paid quarterly</w:t>
      </w:r>
      <w:r w:rsidR="00E851C4" w:rsidRPr="009B546D">
        <w:rPr>
          <w:rFonts w:asciiTheme="minorHAnsi" w:hAnsiTheme="minorHAnsi" w:cstheme="minorHAnsi"/>
          <w:sz w:val="20"/>
          <w:szCs w:val="20"/>
        </w:rPr>
        <w:t xml:space="preserve"> in arrears</w:t>
      </w:r>
      <w:r w:rsidRPr="009B546D">
        <w:rPr>
          <w:rFonts w:asciiTheme="minorHAnsi" w:hAnsiTheme="minorHAnsi" w:cstheme="minorHAnsi"/>
          <w:sz w:val="20"/>
          <w:szCs w:val="20"/>
        </w:rPr>
        <w:t>.</w:t>
      </w:r>
    </w:p>
    <w:p w14:paraId="1F7CEB2A" w14:textId="77777777" w:rsidR="00D90E1F" w:rsidRPr="009B546D" w:rsidRDefault="00D90E1F" w:rsidP="00F432B9">
      <w:pPr>
        <w:pStyle w:val="BodyText"/>
        <w:widowControl w:val="0"/>
        <w:spacing w:after="160" w:line="240" w:lineRule="auto"/>
        <w:ind w:left="357"/>
        <w:rPr>
          <w:rFonts w:asciiTheme="minorHAnsi" w:hAnsiTheme="minorHAnsi" w:cstheme="minorHAnsi"/>
          <w:b/>
          <w:i/>
          <w:sz w:val="20"/>
          <w:szCs w:val="20"/>
        </w:rPr>
      </w:pPr>
      <w:r w:rsidRPr="009B546D">
        <w:rPr>
          <w:rFonts w:asciiTheme="minorHAnsi" w:hAnsiTheme="minorHAnsi" w:cstheme="minorHAnsi"/>
          <w:b/>
          <w:i/>
          <w:sz w:val="20"/>
          <w:szCs w:val="20"/>
        </w:rPr>
        <w:t xml:space="preserve">Harry Chathli </w:t>
      </w:r>
    </w:p>
    <w:p w14:paraId="16565CFD" w14:textId="62FF647F" w:rsidR="00D90E1F" w:rsidRPr="009B546D" w:rsidRDefault="00D90E1F" w:rsidP="00F432B9">
      <w:pPr>
        <w:pStyle w:val="BodyText"/>
        <w:widowControl w:val="0"/>
        <w:spacing w:after="160" w:line="240" w:lineRule="auto"/>
        <w:ind w:left="357"/>
        <w:rPr>
          <w:rFonts w:asciiTheme="minorHAnsi" w:hAnsiTheme="minorHAnsi" w:cstheme="minorHAnsi"/>
          <w:sz w:val="20"/>
          <w:szCs w:val="20"/>
        </w:rPr>
      </w:pPr>
      <w:r w:rsidRPr="009B546D">
        <w:rPr>
          <w:rFonts w:asciiTheme="minorHAnsi" w:hAnsiTheme="minorHAnsi" w:cstheme="minorHAnsi"/>
          <w:sz w:val="20"/>
          <w:szCs w:val="20"/>
        </w:rPr>
        <w:t xml:space="preserve">By way of a letter of appointment dated 21 December 2017, Harry Chathli was appointed as an </w:t>
      </w:r>
      <w:r w:rsidR="006B7A8C">
        <w:rPr>
          <w:rFonts w:asciiTheme="minorHAnsi" w:hAnsiTheme="minorHAnsi" w:cstheme="minorHAnsi"/>
          <w:sz w:val="20"/>
          <w:szCs w:val="20"/>
        </w:rPr>
        <w:t>I</w:t>
      </w:r>
      <w:r w:rsidRPr="009B546D">
        <w:rPr>
          <w:rFonts w:asciiTheme="minorHAnsi" w:hAnsiTheme="minorHAnsi" w:cstheme="minorHAnsi"/>
          <w:sz w:val="20"/>
          <w:szCs w:val="20"/>
        </w:rPr>
        <w:t>ndependent Non-</w:t>
      </w:r>
      <w:r w:rsidR="006B7A8C">
        <w:rPr>
          <w:rFonts w:asciiTheme="minorHAnsi" w:hAnsiTheme="minorHAnsi" w:cstheme="minorHAnsi"/>
          <w:sz w:val="20"/>
          <w:szCs w:val="20"/>
        </w:rPr>
        <w:t>E</w:t>
      </w:r>
      <w:r w:rsidRPr="009B546D">
        <w:rPr>
          <w:rFonts w:asciiTheme="minorHAnsi" w:hAnsiTheme="minorHAnsi" w:cstheme="minorHAnsi"/>
          <w:sz w:val="20"/>
          <w:szCs w:val="20"/>
        </w:rPr>
        <w:t>xecutive Director with effect from 9 January 2018 for a minimum period of twelve (12) months (“</w:t>
      </w:r>
      <w:r w:rsidRPr="009B546D">
        <w:rPr>
          <w:rFonts w:asciiTheme="minorHAnsi" w:hAnsiTheme="minorHAnsi" w:cstheme="minorHAnsi"/>
          <w:b/>
          <w:sz w:val="20"/>
          <w:szCs w:val="20"/>
        </w:rPr>
        <w:t>Basic</w:t>
      </w:r>
      <w:r w:rsidRPr="009B546D">
        <w:rPr>
          <w:rFonts w:asciiTheme="minorHAnsi" w:hAnsiTheme="minorHAnsi" w:cstheme="minorHAnsi"/>
          <w:sz w:val="20"/>
          <w:szCs w:val="20"/>
        </w:rPr>
        <w:t xml:space="preserve"> </w:t>
      </w:r>
      <w:r w:rsidRPr="009B546D">
        <w:rPr>
          <w:rFonts w:asciiTheme="minorHAnsi" w:hAnsiTheme="minorHAnsi" w:cstheme="minorHAnsi"/>
          <w:b/>
          <w:sz w:val="20"/>
          <w:szCs w:val="20"/>
        </w:rPr>
        <w:t>Term</w:t>
      </w:r>
      <w:r w:rsidRPr="009B546D">
        <w:rPr>
          <w:rFonts w:asciiTheme="minorHAnsi" w:hAnsiTheme="minorHAnsi" w:cstheme="minorHAnsi"/>
          <w:sz w:val="20"/>
          <w:szCs w:val="20"/>
        </w:rPr>
        <w:t xml:space="preserve">”). The letter of appointment may be terminated (a) after the Basic Term by either party giving three (3) months’ prior written notice to the other party; or (b) immediately and at any time by either a resolution of Shareholders or due to unsatisfactory performance. Pursuant to his letter of appointment, Harry Chathli will be paid an annual fee of £25,000 to be paid quarterly in arrears. </w:t>
      </w:r>
    </w:p>
    <w:p w14:paraId="0A3A0844" w14:textId="77777777"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 xml:space="preserve">Proposed Director </w:t>
      </w:r>
    </w:p>
    <w:p w14:paraId="6F5BCE93" w14:textId="77777777" w:rsidR="00D90E1F" w:rsidRPr="009B546D" w:rsidRDefault="00D90E1F" w:rsidP="00F432B9">
      <w:pPr>
        <w:pStyle w:val="BodyText"/>
        <w:widowControl w:val="0"/>
        <w:spacing w:after="160" w:line="240" w:lineRule="auto"/>
        <w:ind w:left="357"/>
        <w:rPr>
          <w:rFonts w:asciiTheme="minorHAnsi" w:hAnsiTheme="minorHAnsi" w:cstheme="minorHAnsi"/>
          <w:b/>
          <w:i/>
          <w:sz w:val="20"/>
          <w:szCs w:val="20"/>
        </w:rPr>
      </w:pPr>
      <w:r w:rsidRPr="009B546D">
        <w:rPr>
          <w:rFonts w:asciiTheme="minorHAnsi" w:hAnsiTheme="minorHAnsi" w:cstheme="minorHAnsi"/>
          <w:b/>
          <w:i/>
          <w:sz w:val="20"/>
          <w:szCs w:val="20"/>
        </w:rPr>
        <w:t>Charles Yong Kai Yee</w:t>
      </w:r>
    </w:p>
    <w:p w14:paraId="3010CE3F" w14:textId="7ABF45EF" w:rsidR="00D90E1F" w:rsidRPr="009B546D" w:rsidRDefault="00D90E1F" w:rsidP="00F432B9">
      <w:pPr>
        <w:pStyle w:val="BodyText"/>
        <w:widowControl w:val="0"/>
        <w:spacing w:after="160" w:line="240" w:lineRule="auto"/>
        <w:ind w:left="357"/>
        <w:rPr>
          <w:rFonts w:asciiTheme="minorHAnsi" w:hAnsiTheme="minorHAnsi" w:cstheme="minorHAnsi"/>
          <w:sz w:val="20"/>
          <w:szCs w:val="20"/>
        </w:rPr>
      </w:pPr>
      <w:r w:rsidRPr="009B546D">
        <w:rPr>
          <w:rFonts w:asciiTheme="minorHAnsi" w:hAnsiTheme="minorHAnsi" w:cstheme="minorHAnsi"/>
          <w:sz w:val="20"/>
          <w:szCs w:val="20"/>
        </w:rPr>
        <w:t xml:space="preserve">By way of a service agreement dated </w:t>
      </w:r>
      <w:r w:rsidR="009F37C0">
        <w:rPr>
          <w:rFonts w:asciiTheme="minorHAnsi" w:hAnsiTheme="minorHAnsi" w:cstheme="minorHAnsi"/>
          <w:sz w:val="20"/>
          <w:szCs w:val="20"/>
        </w:rPr>
        <w:t>26</w:t>
      </w:r>
      <w:r w:rsidR="004C1BC6" w:rsidRPr="009B546D">
        <w:rPr>
          <w:rFonts w:asciiTheme="minorHAnsi" w:hAnsiTheme="minorHAnsi" w:cstheme="minorHAnsi"/>
          <w:sz w:val="20"/>
          <w:szCs w:val="20"/>
        </w:rPr>
        <w:t xml:space="preserve"> </w:t>
      </w:r>
      <w:r w:rsidR="002D64EE" w:rsidRPr="009B546D">
        <w:rPr>
          <w:rFonts w:asciiTheme="minorHAnsi" w:hAnsiTheme="minorHAnsi" w:cstheme="minorHAnsi"/>
          <w:sz w:val="20"/>
          <w:szCs w:val="20"/>
        </w:rPr>
        <w:t>March 2020</w:t>
      </w:r>
      <w:r w:rsidRPr="009B546D">
        <w:rPr>
          <w:rFonts w:asciiTheme="minorHAnsi" w:hAnsiTheme="minorHAnsi" w:cstheme="minorHAnsi"/>
          <w:sz w:val="20"/>
          <w:szCs w:val="20"/>
        </w:rPr>
        <w:t>, Charles Yong Kai Yee will be appointed as Executive Director with effect from Re-Admission for a minimum period of twenty-four (24) months, after which the service agreement may be terminated by either party giving not less than three (3) months’ prior written notice to the other party. The service agreement can be terminated at any time and immediately by the Company in certain circumstances, including the repeated or continued breach of Charles Yong Kai Yee’s obligations to the Company, or the criminal conviction of Charles Yong Kai Yee of which imprisonment is a sanction. Charles Yong Kai is be entitled to a salary of £3,</w:t>
      </w:r>
      <w:r w:rsidR="00922C04" w:rsidRPr="009B546D">
        <w:rPr>
          <w:rFonts w:asciiTheme="minorHAnsi" w:hAnsiTheme="minorHAnsi" w:cstheme="minorHAnsi"/>
          <w:sz w:val="20"/>
          <w:szCs w:val="20"/>
        </w:rPr>
        <w:t>0</w:t>
      </w:r>
      <w:r w:rsidRPr="009B546D">
        <w:rPr>
          <w:rFonts w:asciiTheme="minorHAnsi" w:hAnsiTheme="minorHAnsi" w:cstheme="minorHAnsi"/>
          <w:sz w:val="20"/>
          <w:szCs w:val="20"/>
        </w:rPr>
        <w:t>00 per month to be paid in arrears quarterly.</w:t>
      </w:r>
    </w:p>
    <w:p w14:paraId="0FC50FA5" w14:textId="11A4348C"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Existing Directors’ Compensation</w:t>
      </w:r>
    </w:p>
    <w:p w14:paraId="15F5EEBB" w14:textId="0E58668E" w:rsidR="00D90E1F" w:rsidRPr="009B546D" w:rsidRDefault="00D90E1F" w:rsidP="00F432B9">
      <w:pPr>
        <w:widowControl w:val="0"/>
        <w:autoSpaceDE w:val="0"/>
        <w:autoSpaceDN w:val="0"/>
        <w:spacing w:line="240" w:lineRule="auto"/>
        <w:ind w:right="107"/>
        <w:rPr>
          <w:rFonts w:cstheme="minorHAnsi"/>
          <w:szCs w:val="20"/>
        </w:rPr>
      </w:pPr>
      <w:r w:rsidRPr="009B546D">
        <w:rPr>
          <w:rFonts w:cstheme="minorHAnsi"/>
          <w:szCs w:val="20"/>
        </w:rPr>
        <w:t>In the year ended 31 October 2018, the aggregate total remuneration paid (including contingent or deferred compensation) and benefits in kind granted (under any description whatsoever) to each of the Existing Directors by the Company was approximately £</w:t>
      </w:r>
      <w:r w:rsidR="0008537C">
        <w:rPr>
          <w:rFonts w:cstheme="minorHAnsi"/>
          <w:szCs w:val="20"/>
        </w:rPr>
        <w:t>115,833</w:t>
      </w:r>
      <w:r w:rsidRPr="009B546D">
        <w:rPr>
          <w:rFonts w:cstheme="minorHAnsi"/>
          <w:szCs w:val="20"/>
        </w:rPr>
        <w:t xml:space="preserve">. </w:t>
      </w:r>
    </w:p>
    <w:tbl>
      <w:tblPr>
        <w:tblW w:w="4814" w:type="pct"/>
        <w:jc w:val="right"/>
        <w:tblLayout w:type="fixed"/>
        <w:tblCellMar>
          <w:left w:w="0" w:type="dxa"/>
          <w:right w:w="0" w:type="dxa"/>
        </w:tblCellMar>
        <w:tblLook w:val="01E0" w:firstRow="1" w:lastRow="1" w:firstColumn="1" w:lastColumn="1" w:noHBand="0" w:noVBand="0"/>
      </w:tblPr>
      <w:tblGrid>
        <w:gridCol w:w="2641"/>
        <w:gridCol w:w="1558"/>
        <w:gridCol w:w="1133"/>
        <w:gridCol w:w="1133"/>
        <w:gridCol w:w="941"/>
        <w:gridCol w:w="1284"/>
      </w:tblGrid>
      <w:tr w:rsidR="00D90E1F" w:rsidRPr="009B546D" w14:paraId="608E9F7F" w14:textId="77777777" w:rsidTr="007B5E1A">
        <w:trPr>
          <w:trHeight w:val="273"/>
          <w:jc w:val="right"/>
        </w:trPr>
        <w:tc>
          <w:tcPr>
            <w:tcW w:w="2641" w:type="dxa"/>
          </w:tcPr>
          <w:p w14:paraId="16D441D8" w14:textId="77777777" w:rsidR="00D90E1F" w:rsidRPr="009B546D" w:rsidRDefault="00D90E1F" w:rsidP="00F432B9">
            <w:pPr>
              <w:pStyle w:val="TableParagraph"/>
              <w:spacing w:after="160"/>
              <w:ind w:left="69"/>
              <w:jc w:val="both"/>
              <w:rPr>
                <w:rFonts w:asciiTheme="minorHAnsi" w:hAnsiTheme="minorHAnsi" w:cstheme="minorHAnsi"/>
                <w:b/>
                <w:sz w:val="20"/>
                <w:szCs w:val="20"/>
                <w:lang w:val="en-GB"/>
              </w:rPr>
            </w:pPr>
            <w:r w:rsidRPr="009B546D">
              <w:rPr>
                <w:rFonts w:asciiTheme="minorHAnsi" w:hAnsiTheme="minorHAnsi" w:cstheme="minorHAnsi"/>
                <w:b/>
                <w:sz w:val="20"/>
                <w:szCs w:val="20"/>
                <w:lang w:val="en-GB"/>
              </w:rPr>
              <w:t>Name</w:t>
            </w:r>
          </w:p>
        </w:tc>
        <w:tc>
          <w:tcPr>
            <w:tcW w:w="1558" w:type="dxa"/>
          </w:tcPr>
          <w:p w14:paraId="67EEC100"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r w:rsidRPr="009B546D">
              <w:rPr>
                <w:rFonts w:asciiTheme="minorHAnsi" w:hAnsiTheme="minorHAnsi" w:cstheme="minorHAnsi"/>
                <w:b/>
                <w:sz w:val="20"/>
                <w:szCs w:val="20"/>
                <w:lang w:val="en-GB"/>
              </w:rPr>
              <w:t>Fees/basic salary</w:t>
            </w:r>
          </w:p>
        </w:tc>
        <w:tc>
          <w:tcPr>
            <w:tcW w:w="1133" w:type="dxa"/>
          </w:tcPr>
          <w:p w14:paraId="4D6F0C6B"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r w:rsidRPr="009B546D">
              <w:rPr>
                <w:rFonts w:asciiTheme="minorHAnsi" w:hAnsiTheme="minorHAnsi" w:cstheme="minorHAnsi"/>
                <w:b/>
                <w:sz w:val="20"/>
                <w:szCs w:val="20"/>
                <w:lang w:val="en-GB"/>
              </w:rPr>
              <w:t>Bonus</w:t>
            </w:r>
          </w:p>
        </w:tc>
        <w:tc>
          <w:tcPr>
            <w:tcW w:w="1133" w:type="dxa"/>
          </w:tcPr>
          <w:p w14:paraId="383C4288"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r w:rsidRPr="009B546D">
              <w:rPr>
                <w:rFonts w:asciiTheme="minorHAnsi" w:hAnsiTheme="minorHAnsi" w:cstheme="minorHAnsi"/>
                <w:b/>
                <w:sz w:val="20"/>
                <w:szCs w:val="20"/>
                <w:lang w:val="en-GB"/>
              </w:rPr>
              <w:t>Pension</w:t>
            </w:r>
          </w:p>
        </w:tc>
        <w:tc>
          <w:tcPr>
            <w:tcW w:w="941" w:type="dxa"/>
          </w:tcPr>
          <w:p w14:paraId="7AD13731"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r w:rsidRPr="009B546D">
              <w:rPr>
                <w:rFonts w:asciiTheme="minorHAnsi" w:hAnsiTheme="minorHAnsi" w:cstheme="minorHAnsi"/>
                <w:b/>
                <w:sz w:val="20"/>
                <w:szCs w:val="20"/>
                <w:lang w:val="en-GB"/>
              </w:rPr>
              <w:t>Benefits</w:t>
            </w:r>
          </w:p>
        </w:tc>
        <w:tc>
          <w:tcPr>
            <w:tcW w:w="1284" w:type="dxa"/>
          </w:tcPr>
          <w:p w14:paraId="473F4032"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r w:rsidRPr="009B546D">
              <w:rPr>
                <w:rFonts w:asciiTheme="minorHAnsi" w:hAnsiTheme="minorHAnsi" w:cstheme="minorHAnsi"/>
                <w:b/>
                <w:sz w:val="20"/>
                <w:szCs w:val="20"/>
                <w:lang w:val="en-GB"/>
              </w:rPr>
              <w:t>Total</w:t>
            </w:r>
          </w:p>
        </w:tc>
      </w:tr>
      <w:tr w:rsidR="00D90E1F" w:rsidRPr="009B546D" w14:paraId="422A80CC" w14:textId="77777777" w:rsidTr="007B5E1A">
        <w:trPr>
          <w:trHeight w:val="316"/>
          <w:jc w:val="right"/>
        </w:trPr>
        <w:tc>
          <w:tcPr>
            <w:tcW w:w="2641" w:type="dxa"/>
          </w:tcPr>
          <w:p w14:paraId="5A89A31A" w14:textId="77777777" w:rsidR="00D90E1F" w:rsidRPr="009B546D" w:rsidRDefault="00D90E1F" w:rsidP="00F432B9">
            <w:pPr>
              <w:pStyle w:val="TableParagraph"/>
              <w:spacing w:after="160"/>
              <w:ind w:left="69"/>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Graham Duncan</w:t>
            </w:r>
          </w:p>
        </w:tc>
        <w:tc>
          <w:tcPr>
            <w:tcW w:w="1558" w:type="dxa"/>
          </w:tcPr>
          <w:p w14:paraId="6D42FFB9" w14:textId="77777777" w:rsidR="00D90E1F" w:rsidRPr="009B546D" w:rsidRDefault="00D90E1F" w:rsidP="00F432B9">
            <w:pPr>
              <w:widowControl w:val="0"/>
              <w:spacing w:line="240" w:lineRule="auto"/>
              <w:jc w:val="right"/>
              <w:rPr>
                <w:rFonts w:cstheme="minorHAnsi"/>
                <w:szCs w:val="20"/>
              </w:rPr>
            </w:pPr>
            <w:r w:rsidRPr="009B546D">
              <w:rPr>
                <w:rFonts w:cstheme="minorHAnsi"/>
                <w:szCs w:val="20"/>
              </w:rPr>
              <w:t>£35,000</w:t>
            </w:r>
          </w:p>
        </w:tc>
        <w:tc>
          <w:tcPr>
            <w:tcW w:w="1133" w:type="dxa"/>
          </w:tcPr>
          <w:p w14:paraId="3E594FE6" w14:textId="77777777" w:rsidR="00D90E1F" w:rsidRPr="009B546D" w:rsidRDefault="00D90E1F" w:rsidP="00F432B9">
            <w:pPr>
              <w:widowControl w:val="0"/>
              <w:spacing w:line="240" w:lineRule="auto"/>
              <w:jc w:val="right"/>
              <w:rPr>
                <w:rFonts w:cstheme="minorHAnsi"/>
                <w:szCs w:val="20"/>
              </w:rPr>
            </w:pPr>
            <w:r w:rsidRPr="009B546D">
              <w:rPr>
                <w:rFonts w:cstheme="minorHAnsi"/>
                <w:szCs w:val="20"/>
              </w:rPr>
              <w:t>-</w:t>
            </w:r>
          </w:p>
        </w:tc>
        <w:tc>
          <w:tcPr>
            <w:tcW w:w="1133" w:type="dxa"/>
          </w:tcPr>
          <w:p w14:paraId="035AEF6B" w14:textId="77777777" w:rsidR="00D90E1F" w:rsidRPr="009B546D" w:rsidRDefault="00D90E1F" w:rsidP="00F432B9">
            <w:pPr>
              <w:widowControl w:val="0"/>
              <w:spacing w:line="240" w:lineRule="auto"/>
              <w:jc w:val="right"/>
              <w:rPr>
                <w:rFonts w:cstheme="minorHAnsi"/>
                <w:szCs w:val="20"/>
              </w:rPr>
            </w:pPr>
            <w:r w:rsidRPr="009B546D">
              <w:rPr>
                <w:rFonts w:cstheme="minorHAnsi"/>
                <w:szCs w:val="20"/>
              </w:rPr>
              <w:t>-</w:t>
            </w:r>
          </w:p>
        </w:tc>
        <w:tc>
          <w:tcPr>
            <w:tcW w:w="941" w:type="dxa"/>
          </w:tcPr>
          <w:p w14:paraId="529F8C93" w14:textId="77777777" w:rsidR="00D90E1F" w:rsidRPr="009B546D" w:rsidRDefault="00D90E1F" w:rsidP="00F432B9">
            <w:pPr>
              <w:widowControl w:val="0"/>
              <w:spacing w:line="240" w:lineRule="auto"/>
              <w:jc w:val="right"/>
              <w:rPr>
                <w:rFonts w:cstheme="minorHAnsi"/>
                <w:szCs w:val="20"/>
              </w:rPr>
            </w:pPr>
            <w:r w:rsidRPr="009B546D">
              <w:rPr>
                <w:rFonts w:cstheme="minorHAnsi"/>
                <w:szCs w:val="20"/>
              </w:rPr>
              <w:t>-</w:t>
            </w:r>
          </w:p>
        </w:tc>
        <w:tc>
          <w:tcPr>
            <w:tcW w:w="1284" w:type="dxa"/>
          </w:tcPr>
          <w:p w14:paraId="4DE0BFCA" w14:textId="77777777" w:rsidR="00D90E1F" w:rsidRPr="009B546D" w:rsidRDefault="00D90E1F" w:rsidP="00F432B9">
            <w:pPr>
              <w:widowControl w:val="0"/>
              <w:spacing w:line="240" w:lineRule="auto"/>
              <w:jc w:val="right"/>
              <w:rPr>
                <w:rFonts w:cstheme="minorHAnsi"/>
                <w:b/>
                <w:szCs w:val="20"/>
              </w:rPr>
            </w:pPr>
            <w:r w:rsidRPr="009B546D">
              <w:rPr>
                <w:rFonts w:cstheme="minorHAnsi"/>
                <w:b/>
                <w:szCs w:val="20"/>
              </w:rPr>
              <w:t>£35,000</w:t>
            </w:r>
          </w:p>
        </w:tc>
      </w:tr>
      <w:tr w:rsidR="00D90E1F" w:rsidRPr="009B546D" w14:paraId="1E372C27" w14:textId="77777777" w:rsidTr="007B5E1A">
        <w:trPr>
          <w:trHeight w:val="340"/>
          <w:jc w:val="right"/>
        </w:trPr>
        <w:tc>
          <w:tcPr>
            <w:tcW w:w="2641" w:type="dxa"/>
          </w:tcPr>
          <w:p w14:paraId="739BF8D5" w14:textId="77777777" w:rsidR="00D90E1F" w:rsidRPr="009B546D" w:rsidRDefault="00D90E1F" w:rsidP="00F432B9">
            <w:pPr>
              <w:pStyle w:val="TableParagraph"/>
              <w:spacing w:after="160"/>
              <w:ind w:left="69"/>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Soon Beng Gee</w:t>
            </w:r>
          </w:p>
        </w:tc>
        <w:tc>
          <w:tcPr>
            <w:tcW w:w="1558" w:type="dxa"/>
          </w:tcPr>
          <w:p w14:paraId="41A604B5" w14:textId="77777777" w:rsidR="00D90E1F" w:rsidRPr="009B546D" w:rsidRDefault="00D90E1F" w:rsidP="00F432B9">
            <w:pPr>
              <w:widowControl w:val="0"/>
              <w:spacing w:line="240" w:lineRule="auto"/>
              <w:jc w:val="right"/>
              <w:rPr>
                <w:rFonts w:cstheme="minorHAnsi"/>
                <w:szCs w:val="20"/>
              </w:rPr>
            </w:pPr>
            <w:r w:rsidRPr="009B546D">
              <w:rPr>
                <w:rFonts w:cstheme="minorHAnsi"/>
                <w:szCs w:val="20"/>
              </w:rPr>
              <w:t>£35,000</w:t>
            </w:r>
          </w:p>
        </w:tc>
        <w:tc>
          <w:tcPr>
            <w:tcW w:w="1133" w:type="dxa"/>
          </w:tcPr>
          <w:p w14:paraId="190F5B03" w14:textId="77777777" w:rsidR="00D90E1F" w:rsidRPr="009B546D" w:rsidRDefault="00D90E1F" w:rsidP="00F432B9">
            <w:pPr>
              <w:widowControl w:val="0"/>
              <w:spacing w:line="240" w:lineRule="auto"/>
              <w:jc w:val="right"/>
              <w:rPr>
                <w:rFonts w:cstheme="minorHAnsi"/>
                <w:szCs w:val="20"/>
              </w:rPr>
            </w:pPr>
            <w:r w:rsidRPr="009B546D">
              <w:rPr>
                <w:rFonts w:cstheme="minorHAnsi"/>
                <w:szCs w:val="20"/>
              </w:rPr>
              <w:t>-</w:t>
            </w:r>
          </w:p>
        </w:tc>
        <w:tc>
          <w:tcPr>
            <w:tcW w:w="1133" w:type="dxa"/>
          </w:tcPr>
          <w:p w14:paraId="7D2351F6" w14:textId="77777777" w:rsidR="00D90E1F" w:rsidRPr="009B546D" w:rsidRDefault="00D90E1F" w:rsidP="00F432B9">
            <w:pPr>
              <w:widowControl w:val="0"/>
              <w:spacing w:line="240" w:lineRule="auto"/>
              <w:jc w:val="right"/>
              <w:rPr>
                <w:rFonts w:cstheme="minorHAnsi"/>
                <w:szCs w:val="20"/>
              </w:rPr>
            </w:pPr>
            <w:r w:rsidRPr="009B546D">
              <w:rPr>
                <w:rFonts w:cstheme="minorHAnsi"/>
                <w:szCs w:val="20"/>
              </w:rPr>
              <w:t>-</w:t>
            </w:r>
          </w:p>
        </w:tc>
        <w:tc>
          <w:tcPr>
            <w:tcW w:w="941" w:type="dxa"/>
          </w:tcPr>
          <w:p w14:paraId="4F0C3C55" w14:textId="77777777" w:rsidR="00D90E1F" w:rsidRPr="009B546D" w:rsidRDefault="00D90E1F" w:rsidP="00F432B9">
            <w:pPr>
              <w:widowControl w:val="0"/>
              <w:spacing w:line="240" w:lineRule="auto"/>
              <w:jc w:val="right"/>
              <w:rPr>
                <w:rFonts w:cstheme="minorHAnsi"/>
                <w:szCs w:val="20"/>
              </w:rPr>
            </w:pPr>
            <w:r w:rsidRPr="009B546D">
              <w:rPr>
                <w:rFonts w:cstheme="minorHAnsi"/>
                <w:szCs w:val="20"/>
              </w:rPr>
              <w:t>-</w:t>
            </w:r>
          </w:p>
        </w:tc>
        <w:tc>
          <w:tcPr>
            <w:tcW w:w="1284" w:type="dxa"/>
          </w:tcPr>
          <w:p w14:paraId="23736D5C" w14:textId="77777777" w:rsidR="00D90E1F" w:rsidRPr="009B546D" w:rsidRDefault="00D90E1F" w:rsidP="00F432B9">
            <w:pPr>
              <w:widowControl w:val="0"/>
              <w:spacing w:line="240" w:lineRule="auto"/>
              <w:jc w:val="right"/>
              <w:rPr>
                <w:rFonts w:cstheme="minorHAnsi"/>
                <w:b/>
                <w:szCs w:val="20"/>
              </w:rPr>
            </w:pPr>
            <w:r w:rsidRPr="009B546D">
              <w:rPr>
                <w:rFonts w:cstheme="minorHAnsi"/>
                <w:b/>
                <w:szCs w:val="20"/>
              </w:rPr>
              <w:t>£35,000</w:t>
            </w:r>
          </w:p>
        </w:tc>
      </w:tr>
      <w:tr w:rsidR="00D90E1F" w:rsidRPr="009B546D" w14:paraId="35B2E1A3" w14:textId="77777777" w:rsidTr="007B5E1A">
        <w:trPr>
          <w:trHeight w:val="362"/>
          <w:jc w:val="right"/>
        </w:trPr>
        <w:tc>
          <w:tcPr>
            <w:tcW w:w="2641" w:type="dxa"/>
          </w:tcPr>
          <w:p w14:paraId="45A5A3D1" w14:textId="77777777" w:rsidR="00D90E1F" w:rsidRPr="009B546D" w:rsidRDefault="00D90E1F" w:rsidP="00F432B9">
            <w:pPr>
              <w:pStyle w:val="TableParagraph"/>
              <w:spacing w:after="160"/>
              <w:ind w:left="69"/>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 xml:space="preserve">Lee Chong Liang </w:t>
            </w:r>
          </w:p>
        </w:tc>
        <w:tc>
          <w:tcPr>
            <w:tcW w:w="1558" w:type="dxa"/>
          </w:tcPr>
          <w:p w14:paraId="7E8A65FC" w14:textId="77777777" w:rsidR="00D90E1F" w:rsidRPr="009B546D" w:rsidRDefault="00D90E1F" w:rsidP="00F432B9">
            <w:pPr>
              <w:widowControl w:val="0"/>
              <w:spacing w:line="240" w:lineRule="auto"/>
              <w:jc w:val="right"/>
              <w:rPr>
                <w:rFonts w:cstheme="minorHAnsi"/>
                <w:szCs w:val="20"/>
              </w:rPr>
            </w:pPr>
            <w:r w:rsidRPr="009B546D">
              <w:rPr>
                <w:rFonts w:cstheme="minorHAnsi"/>
                <w:szCs w:val="20"/>
              </w:rPr>
              <w:t>£25,000</w:t>
            </w:r>
          </w:p>
        </w:tc>
        <w:tc>
          <w:tcPr>
            <w:tcW w:w="1133" w:type="dxa"/>
          </w:tcPr>
          <w:p w14:paraId="1E776551" w14:textId="77777777" w:rsidR="00D90E1F" w:rsidRPr="009B546D" w:rsidRDefault="00D90E1F" w:rsidP="00F432B9">
            <w:pPr>
              <w:widowControl w:val="0"/>
              <w:spacing w:line="240" w:lineRule="auto"/>
              <w:jc w:val="right"/>
              <w:rPr>
                <w:rFonts w:cstheme="minorHAnsi"/>
                <w:szCs w:val="20"/>
              </w:rPr>
            </w:pPr>
            <w:r w:rsidRPr="009B546D">
              <w:rPr>
                <w:rFonts w:cstheme="minorHAnsi"/>
                <w:szCs w:val="20"/>
              </w:rPr>
              <w:t>-</w:t>
            </w:r>
          </w:p>
        </w:tc>
        <w:tc>
          <w:tcPr>
            <w:tcW w:w="1133" w:type="dxa"/>
          </w:tcPr>
          <w:p w14:paraId="65769623" w14:textId="77777777" w:rsidR="00D90E1F" w:rsidRPr="009B546D" w:rsidRDefault="00D90E1F" w:rsidP="00F432B9">
            <w:pPr>
              <w:widowControl w:val="0"/>
              <w:spacing w:line="240" w:lineRule="auto"/>
              <w:jc w:val="right"/>
              <w:rPr>
                <w:rFonts w:cstheme="minorHAnsi"/>
                <w:szCs w:val="20"/>
              </w:rPr>
            </w:pPr>
            <w:r w:rsidRPr="009B546D">
              <w:rPr>
                <w:rFonts w:cstheme="minorHAnsi"/>
                <w:szCs w:val="20"/>
              </w:rPr>
              <w:t>-</w:t>
            </w:r>
          </w:p>
        </w:tc>
        <w:tc>
          <w:tcPr>
            <w:tcW w:w="941" w:type="dxa"/>
          </w:tcPr>
          <w:p w14:paraId="116AA205" w14:textId="77777777" w:rsidR="00D90E1F" w:rsidRPr="009B546D" w:rsidRDefault="00D90E1F" w:rsidP="00F432B9">
            <w:pPr>
              <w:widowControl w:val="0"/>
              <w:spacing w:line="240" w:lineRule="auto"/>
              <w:jc w:val="right"/>
              <w:rPr>
                <w:rFonts w:cstheme="minorHAnsi"/>
                <w:szCs w:val="20"/>
              </w:rPr>
            </w:pPr>
            <w:r w:rsidRPr="009B546D">
              <w:rPr>
                <w:rFonts w:cstheme="minorHAnsi"/>
                <w:szCs w:val="20"/>
              </w:rPr>
              <w:t>-</w:t>
            </w:r>
          </w:p>
        </w:tc>
        <w:tc>
          <w:tcPr>
            <w:tcW w:w="1284" w:type="dxa"/>
          </w:tcPr>
          <w:p w14:paraId="42D66379" w14:textId="77777777" w:rsidR="00D90E1F" w:rsidRPr="009B546D" w:rsidRDefault="00D90E1F" w:rsidP="00F432B9">
            <w:pPr>
              <w:widowControl w:val="0"/>
              <w:spacing w:line="240" w:lineRule="auto"/>
              <w:jc w:val="right"/>
              <w:rPr>
                <w:rFonts w:cstheme="minorHAnsi"/>
                <w:b/>
                <w:szCs w:val="20"/>
              </w:rPr>
            </w:pPr>
            <w:r w:rsidRPr="009B546D">
              <w:rPr>
                <w:rFonts w:cstheme="minorHAnsi"/>
                <w:b/>
                <w:szCs w:val="20"/>
              </w:rPr>
              <w:t>£25,000</w:t>
            </w:r>
          </w:p>
        </w:tc>
      </w:tr>
      <w:tr w:rsidR="00D90E1F" w:rsidRPr="009B546D" w14:paraId="44123088" w14:textId="77777777" w:rsidTr="007B5E1A">
        <w:trPr>
          <w:trHeight w:val="362"/>
          <w:jc w:val="right"/>
        </w:trPr>
        <w:tc>
          <w:tcPr>
            <w:tcW w:w="2641" w:type="dxa"/>
          </w:tcPr>
          <w:p w14:paraId="2A870B66" w14:textId="77777777" w:rsidR="00D90E1F" w:rsidRPr="009B546D" w:rsidRDefault="00D90E1F" w:rsidP="00F432B9">
            <w:pPr>
              <w:pStyle w:val="TableParagraph"/>
              <w:spacing w:after="160"/>
              <w:ind w:left="69"/>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Harry Chathli</w:t>
            </w:r>
          </w:p>
        </w:tc>
        <w:tc>
          <w:tcPr>
            <w:tcW w:w="1558" w:type="dxa"/>
          </w:tcPr>
          <w:p w14:paraId="19CD1216" w14:textId="77777777" w:rsidR="00D90E1F" w:rsidRPr="009B546D" w:rsidRDefault="00D90E1F" w:rsidP="00F432B9">
            <w:pPr>
              <w:widowControl w:val="0"/>
              <w:spacing w:line="240" w:lineRule="auto"/>
              <w:jc w:val="right"/>
              <w:rPr>
                <w:rFonts w:cstheme="minorHAnsi"/>
                <w:szCs w:val="20"/>
              </w:rPr>
            </w:pPr>
            <w:r w:rsidRPr="009B546D">
              <w:rPr>
                <w:rFonts w:cstheme="minorHAnsi"/>
                <w:szCs w:val="20"/>
              </w:rPr>
              <w:t>£20,833</w:t>
            </w:r>
          </w:p>
        </w:tc>
        <w:tc>
          <w:tcPr>
            <w:tcW w:w="1133" w:type="dxa"/>
          </w:tcPr>
          <w:p w14:paraId="6B3B9B26" w14:textId="77777777" w:rsidR="00D90E1F" w:rsidRPr="009B546D" w:rsidRDefault="00D90E1F" w:rsidP="00F432B9">
            <w:pPr>
              <w:widowControl w:val="0"/>
              <w:spacing w:line="240" w:lineRule="auto"/>
              <w:jc w:val="right"/>
              <w:rPr>
                <w:rFonts w:cstheme="minorHAnsi"/>
                <w:szCs w:val="20"/>
              </w:rPr>
            </w:pPr>
            <w:r w:rsidRPr="009B546D">
              <w:rPr>
                <w:rFonts w:cstheme="minorHAnsi"/>
                <w:szCs w:val="20"/>
              </w:rPr>
              <w:t>-</w:t>
            </w:r>
          </w:p>
        </w:tc>
        <w:tc>
          <w:tcPr>
            <w:tcW w:w="1133" w:type="dxa"/>
          </w:tcPr>
          <w:p w14:paraId="68BBF3BE" w14:textId="77777777" w:rsidR="00D90E1F" w:rsidRPr="009B546D" w:rsidRDefault="00D90E1F" w:rsidP="00F432B9">
            <w:pPr>
              <w:widowControl w:val="0"/>
              <w:spacing w:line="240" w:lineRule="auto"/>
              <w:jc w:val="right"/>
              <w:rPr>
                <w:rFonts w:cstheme="minorHAnsi"/>
                <w:szCs w:val="20"/>
              </w:rPr>
            </w:pPr>
            <w:r w:rsidRPr="009B546D">
              <w:rPr>
                <w:rFonts w:cstheme="minorHAnsi"/>
                <w:szCs w:val="20"/>
              </w:rPr>
              <w:t>-</w:t>
            </w:r>
          </w:p>
        </w:tc>
        <w:tc>
          <w:tcPr>
            <w:tcW w:w="941" w:type="dxa"/>
          </w:tcPr>
          <w:p w14:paraId="0D82B271" w14:textId="77777777" w:rsidR="00D90E1F" w:rsidRPr="009B546D" w:rsidRDefault="00D90E1F" w:rsidP="00F432B9">
            <w:pPr>
              <w:widowControl w:val="0"/>
              <w:spacing w:line="240" w:lineRule="auto"/>
              <w:jc w:val="right"/>
              <w:rPr>
                <w:rFonts w:cstheme="minorHAnsi"/>
                <w:szCs w:val="20"/>
              </w:rPr>
            </w:pPr>
            <w:r w:rsidRPr="009B546D">
              <w:rPr>
                <w:rFonts w:cstheme="minorHAnsi"/>
                <w:szCs w:val="20"/>
              </w:rPr>
              <w:t>-</w:t>
            </w:r>
          </w:p>
        </w:tc>
        <w:tc>
          <w:tcPr>
            <w:tcW w:w="1284" w:type="dxa"/>
          </w:tcPr>
          <w:p w14:paraId="6A045A89" w14:textId="77777777" w:rsidR="00D90E1F" w:rsidRPr="009B546D" w:rsidRDefault="00D90E1F" w:rsidP="00F432B9">
            <w:pPr>
              <w:widowControl w:val="0"/>
              <w:spacing w:line="240" w:lineRule="auto"/>
              <w:jc w:val="right"/>
              <w:rPr>
                <w:rFonts w:cstheme="minorHAnsi"/>
                <w:b/>
                <w:szCs w:val="20"/>
              </w:rPr>
            </w:pPr>
            <w:r w:rsidRPr="009B546D">
              <w:rPr>
                <w:rFonts w:cstheme="minorHAnsi"/>
                <w:b/>
                <w:szCs w:val="20"/>
              </w:rPr>
              <w:t>£20,833</w:t>
            </w:r>
          </w:p>
        </w:tc>
      </w:tr>
    </w:tbl>
    <w:p w14:paraId="08DCA76D" w14:textId="26F56ED7"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lastRenderedPageBreak/>
        <w:t>Existing Directors’ and Proposed Director’s Interests</w:t>
      </w:r>
    </w:p>
    <w:p w14:paraId="140FC828" w14:textId="77777777"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bookmarkStart w:id="58" w:name="_Ref20411867"/>
      <w:r w:rsidRPr="009B546D">
        <w:rPr>
          <w:rFonts w:asciiTheme="minorHAnsi" w:hAnsiTheme="minorHAnsi" w:cstheme="minorHAnsi"/>
          <w:b w:val="0"/>
          <w:spacing w:val="-8"/>
          <w:szCs w:val="20"/>
        </w:rPr>
        <w:t>The interests of each of the Existing Directors and the Proposed Director in the issued share capital of the Company (all of which, unless stated otherwise, are beneficial and include interests of persons connected with an Existing Director or the Proposed Director and the existence of which is known or could, with reasonable diligence, be ascertained by an Existing Director or the Proposed Director, as the case may be) as at the Latest Practicable Date and as they are expected to be immediately following Re-Admission are as follows:</w:t>
      </w:r>
      <w:bookmarkEnd w:id="58"/>
    </w:p>
    <w:tbl>
      <w:tblPr>
        <w:tblW w:w="0" w:type="auto"/>
        <w:jc w:val="right"/>
        <w:tblLayout w:type="fixed"/>
        <w:tblCellMar>
          <w:left w:w="0" w:type="dxa"/>
          <w:right w:w="0" w:type="dxa"/>
        </w:tblCellMar>
        <w:tblLook w:val="01E0" w:firstRow="1" w:lastRow="1" w:firstColumn="1" w:lastColumn="1" w:noHBand="0" w:noVBand="0"/>
      </w:tblPr>
      <w:tblGrid>
        <w:gridCol w:w="2192"/>
        <w:gridCol w:w="1559"/>
        <w:gridCol w:w="1322"/>
        <w:gridCol w:w="1624"/>
        <w:gridCol w:w="1548"/>
      </w:tblGrid>
      <w:tr w:rsidR="00D90E1F" w:rsidRPr="009B546D" w14:paraId="42B78E50" w14:textId="77777777" w:rsidTr="007B5E1A">
        <w:trPr>
          <w:trHeight w:val="260"/>
          <w:jc w:val="right"/>
        </w:trPr>
        <w:tc>
          <w:tcPr>
            <w:tcW w:w="5073" w:type="dxa"/>
            <w:gridSpan w:val="3"/>
          </w:tcPr>
          <w:p w14:paraId="3C7E6BEA"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r w:rsidRPr="009B546D">
              <w:rPr>
                <w:rFonts w:asciiTheme="minorHAnsi" w:hAnsiTheme="minorHAnsi" w:cstheme="minorHAnsi"/>
                <w:b/>
                <w:sz w:val="20"/>
                <w:szCs w:val="20"/>
                <w:lang w:val="en-GB"/>
              </w:rPr>
              <w:t>As at the Latest Practicable Date</w:t>
            </w:r>
          </w:p>
        </w:tc>
        <w:tc>
          <w:tcPr>
            <w:tcW w:w="3172" w:type="dxa"/>
            <w:gridSpan w:val="2"/>
          </w:tcPr>
          <w:p w14:paraId="58FED17D"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r w:rsidRPr="009B546D">
              <w:rPr>
                <w:rFonts w:asciiTheme="minorHAnsi" w:hAnsiTheme="minorHAnsi" w:cstheme="minorHAnsi"/>
                <w:b/>
                <w:sz w:val="20"/>
                <w:szCs w:val="20"/>
                <w:lang w:val="en-GB"/>
              </w:rPr>
              <w:t>Upon Re-Admission</w:t>
            </w:r>
          </w:p>
        </w:tc>
      </w:tr>
      <w:tr w:rsidR="00D90E1F" w:rsidRPr="009B546D" w14:paraId="4B28E320" w14:textId="77777777" w:rsidTr="007B5E1A">
        <w:trPr>
          <w:trHeight w:val="778"/>
          <w:jc w:val="right"/>
        </w:trPr>
        <w:tc>
          <w:tcPr>
            <w:tcW w:w="2192" w:type="dxa"/>
          </w:tcPr>
          <w:p w14:paraId="16DB6E1A" w14:textId="77777777" w:rsidR="00D90E1F" w:rsidRPr="009B546D" w:rsidRDefault="00D90E1F" w:rsidP="00F432B9">
            <w:pPr>
              <w:pStyle w:val="TableParagraph"/>
              <w:spacing w:after="160"/>
              <w:ind w:left="69"/>
              <w:jc w:val="both"/>
              <w:rPr>
                <w:rFonts w:asciiTheme="minorHAnsi" w:hAnsiTheme="minorHAnsi" w:cstheme="minorHAnsi"/>
                <w:b/>
                <w:sz w:val="20"/>
                <w:szCs w:val="20"/>
                <w:lang w:val="en-GB"/>
              </w:rPr>
            </w:pPr>
            <w:r w:rsidRPr="009B546D">
              <w:rPr>
                <w:rFonts w:asciiTheme="minorHAnsi" w:hAnsiTheme="minorHAnsi" w:cstheme="minorHAnsi"/>
                <w:b/>
                <w:sz w:val="20"/>
                <w:szCs w:val="20"/>
                <w:lang w:val="en-GB"/>
              </w:rPr>
              <w:t>Name</w:t>
            </w:r>
          </w:p>
        </w:tc>
        <w:tc>
          <w:tcPr>
            <w:tcW w:w="1559" w:type="dxa"/>
          </w:tcPr>
          <w:p w14:paraId="7B1BA984"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r w:rsidRPr="009B546D">
              <w:rPr>
                <w:rFonts w:asciiTheme="minorHAnsi" w:hAnsiTheme="minorHAnsi" w:cstheme="minorHAnsi"/>
                <w:b/>
                <w:sz w:val="20"/>
                <w:szCs w:val="20"/>
                <w:lang w:val="en-GB"/>
              </w:rPr>
              <w:t>Number of Ordinary Shares held</w:t>
            </w:r>
          </w:p>
        </w:tc>
        <w:tc>
          <w:tcPr>
            <w:tcW w:w="1322" w:type="dxa"/>
          </w:tcPr>
          <w:p w14:paraId="6F43377E"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r w:rsidRPr="009B546D">
              <w:rPr>
                <w:rFonts w:asciiTheme="minorHAnsi" w:hAnsiTheme="minorHAnsi" w:cstheme="minorHAnsi"/>
                <w:b/>
                <w:sz w:val="20"/>
                <w:szCs w:val="20"/>
                <w:lang w:val="en-GB"/>
              </w:rPr>
              <w:t>Percentage of Ordinary Shares</w:t>
            </w:r>
          </w:p>
        </w:tc>
        <w:tc>
          <w:tcPr>
            <w:tcW w:w="1624" w:type="dxa"/>
          </w:tcPr>
          <w:p w14:paraId="00B4D76F"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r w:rsidRPr="009B546D">
              <w:rPr>
                <w:rFonts w:asciiTheme="minorHAnsi" w:hAnsiTheme="minorHAnsi" w:cstheme="minorHAnsi"/>
                <w:b/>
                <w:sz w:val="20"/>
                <w:szCs w:val="20"/>
                <w:lang w:val="en-GB"/>
              </w:rPr>
              <w:t>Number of Ordinary Shares held</w:t>
            </w:r>
          </w:p>
        </w:tc>
        <w:tc>
          <w:tcPr>
            <w:tcW w:w="1548" w:type="dxa"/>
          </w:tcPr>
          <w:p w14:paraId="34B97E23"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r w:rsidRPr="009B546D">
              <w:rPr>
                <w:rFonts w:asciiTheme="minorHAnsi" w:hAnsiTheme="minorHAnsi" w:cstheme="minorHAnsi"/>
                <w:b/>
                <w:sz w:val="20"/>
                <w:szCs w:val="20"/>
                <w:lang w:val="en-GB"/>
              </w:rPr>
              <w:t>Percentage of Enlarged Share Capital</w:t>
            </w:r>
          </w:p>
        </w:tc>
      </w:tr>
      <w:tr w:rsidR="00D90E1F" w:rsidRPr="009B546D" w14:paraId="469617C3" w14:textId="77777777" w:rsidTr="007B5E1A">
        <w:trPr>
          <w:trHeight w:val="56"/>
          <w:jc w:val="right"/>
        </w:trPr>
        <w:tc>
          <w:tcPr>
            <w:tcW w:w="2192" w:type="dxa"/>
          </w:tcPr>
          <w:p w14:paraId="7A9E22DE" w14:textId="77777777" w:rsidR="00D90E1F" w:rsidRPr="009B546D" w:rsidRDefault="00D90E1F" w:rsidP="00F432B9">
            <w:pPr>
              <w:pStyle w:val="TableParagraph"/>
              <w:spacing w:after="160"/>
              <w:ind w:left="69"/>
              <w:jc w:val="both"/>
              <w:rPr>
                <w:rFonts w:asciiTheme="minorHAnsi" w:hAnsiTheme="minorHAnsi" w:cstheme="minorHAnsi"/>
                <w:b/>
                <w:sz w:val="20"/>
                <w:szCs w:val="20"/>
                <w:u w:val="single"/>
                <w:lang w:val="en-GB"/>
              </w:rPr>
            </w:pPr>
            <w:r w:rsidRPr="009B546D">
              <w:rPr>
                <w:rFonts w:asciiTheme="minorHAnsi" w:hAnsiTheme="minorHAnsi" w:cstheme="minorHAnsi"/>
                <w:b/>
                <w:sz w:val="20"/>
                <w:szCs w:val="20"/>
                <w:u w:val="single"/>
                <w:lang w:val="en-GB"/>
              </w:rPr>
              <w:t>Existing Directors</w:t>
            </w:r>
          </w:p>
        </w:tc>
        <w:tc>
          <w:tcPr>
            <w:tcW w:w="1559" w:type="dxa"/>
          </w:tcPr>
          <w:p w14:paraId="1FAC97E2"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p>
        </w:tc>
        <w:tc>
          <w:tcPr>
            <w:tcW w:w="1322" w:type="dxa"/>
          </w:tcPr>
          <w:p w14:paraId="3B4B8F0C"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p>
        </w:tc>
        <w:tc>
          <w:tcPr>
            <w:tcW w:w="1624" w:type="dxa"/>
          </w:tcPr>
          <w:p w14:paraId="5CBB7FF2"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p>
        </w:tc>
        <w:tc>
          <w:tcPr>
            <w:tcW w:w="1548" w:type="dxa"/>
          </w:tcPr>
          <w:p w14:paraId="202856C9"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p>
        </w:tc>
      </w:tr>
      <w:tr w:rsidR="00D90E1F" w:rsidRPr="009B546D" w14:paraId="66B9A3A1" w14:textId="77777777" w:rsidTr="007B5E1A">
        <w:trPr>
          <w:trHeight w:val="316"/>
          <w:jc w:val="right"/>
        </w:trPr>
        <w:tc>
          <w:tcPr>
            <w:tcW w:w="2192" w:type="dxa"/>
          </w:tcPr>
          <w:p w14:paraId="071A7D45" w14:textId="77777777" w:rsidR="00D90E1F" w:rsidRPr="009B546D" w:rsidRDefault="00D90E1F" w:rsidP="00F432B9">
            <w:pPr>
              <w:pStyle w:val="TableParagraph"/>
              <w:spacing w:after="160"/>
              <w:ind w:left="69"/>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Graham Duncan</w:t>
            </w:r>
          </w:p>
        </w:tc>
        <w:tc>
          <w:tcPr>
            <w:tcW w:w="1559" w:type="dxa"/>
          </w:tcPr>
          <w:p w14:paraId="1E4462FC" w14:textId="77777777" w:rsidR="00D90E1F" w:rsidRPr="009B546D" w:rsidRDefault="00D90E1F" w:rsidP="00F432B9">
            <w:pPr>
              <w:pStyle w:val="TableParagraph"/>
              <w:spacing w:after="160"/>
              <w:ind w:left="69"/>
              <w:jc w:val="right"/>
              <w:rPr>
                <w:rFonts w:asciiTheme="minorHAnsi" w:hAnsiTheme="minorHAnsi" w:cstheme="minorHAnsi"/>
                <w:sz w:val="20"/>
                <w:szCs w:val="20"/>
                <w:lang w:val="en-GB"/>
              </w:rPr>
            </w:pPr>
            <w:r w:rsidRPr="009B546D">
              <w:rPr>
                <w:rFonts w:asciiTheme="minorHAnsi" w:hAnsiTheme="minorHAnsi" w:cstheme="minorHAnsi"/>
                <w:sz w:val="20"/>
                <w:szCs w:val="20"/>
                <w:lang w:val="en-GB"/>
              </w:rPr>
              <w:t>-</w:t>
            </w:r>
          </w:p>
        </w:tc>
        <w:tc>
          <w:tcPr>
            <w:tcW w:w="1322" w:type="dxa"/>
          </w:tcPr>
          <w:p w14:paraId="409629C0" w14:textId="77777777" w:rsidR="00D90E1F" w:rsidRPr="009B546D" w:rsidRDefault="00D90E1F" w:rsidP="00F432B9">
            <w:pPr>
              <w:pStyle w:val="TableParagraph"/>
              <w:spacing w:after="160"/>
              <w:ind w:left="69"/>
              <w:jc w:val="right"/>
              <w:rPr>
                <w:rFonts w:asciiTheme="minorHAnsi" w:hAnsiTheme="minorHAnsi" w:cstheme="minorHAnsi"/>
                <w:sz w:val="20"/>
                <w:szCs w:val="20"/>
                <w:lang w:val="en-GB"/>
              </w:rPr>
            </w:pPr>
            <w:r w:rsidRPr="009B546D">
              <w:rPr>
                <w:rFonts w:asciiTheme="minorHAnsi" w:hAnsiTheme="minorHAnsi" w:cstheme="minorHAnsi"/>
                <w:sz w:val="20"/>
                <w:szCs w:val="20"/>
                <w:lang w:val="en-GB"/>
              </w:rPr>
              <w:t>-</w:t>
            </w:r>
          </w:p>
        </w:tc>
        <w:tc>
          <w:tcPr>
            <w:tcW w:w="1624" w:type="dxa"/>
          </w:tcPr>
          <w:p w14:paraId="5BCC7A2C" w14:textId="77777777" w:rsidR="00D90E1F" w:rsidRPr="009B546D" w:rsidRDefault="00D90E1F" w:rsidP="00F432B9">
            <w:pPr>
              <w:pStyle w:val="TableParagraph"/>
              <w:spacing w:after="160"/>
              <w:ind w:left="69"/>
              <w:jc w:val="right"/>
              <w:rPr>
                <w:rFonts w:asciiTheme="minorHAnsi" w:hAnsiTheme="minorHAnsi" w:cstheme="minorHAnsi"/>
                <w:sz w:val="20"/>
                <w:szCs w:val="20"/>
                <w:lang w:val="en-GB"/>
              </w:rPr>
            </w:pPr>
            <w:r w:rsidRPr="009B546D">
              <w:rPr>
                <w:rFonts w:asciiTheme="minorHAnsi" w:hAnsiTheme="minorHAnsi" w:cstheme="minorHAnsi"/>
                <w:sz w:val="20"/>
                <w:szCs w:val="20"/>
                <w:lang w:val="en-GB"/>
              </w:rPr>
              <w:t>-</w:t>
            </w:r>
          </w:p>
        </w:tc>
        <w:tc>
          <w:tcPr>
            <w:tcW w:w="1548" w:type="dxa"/>
          </w:tcPr>
          <w:p w14:paraId="4E77D881" w14:textId="77777777" w:rsidR="00D90E1F" w:rsidRPr="009B546D" w:rsidRDefault="00D90E1F" w:rsidP="00F432B9">
            <w:pPr>
              <w:pStyle w:val="TableParagraph"/>
              <w:spacing w:after="160"/>
              <w:ind w:left="69"/>
              <w:jc w:val="right"/>
              <w:rPr>
                <w:rFonts w:asciiTheme="minorHAnsi" w:hAnsiTheme="minorHAnsi" w:cstheme="minorHAnsi"/>
                <w:sz w:val="20"/>
                <w:szCs w:val="20"/>
                <w:lang w:val="en-GB"/>
              </w:rPr>
            </w:pPr>
            <w:r w:rsidRPr="009B546D">
              <w:rPr>
                <w:rFonts w:asciiTheme="minorHAnsi" w:hAnsiTheme="minorHAnsi" w:cstheme="minorHAnsi"/>
                <w:sz w:val="20"/>
                <w:szCs w:val="20"/>
                <w:lang w:val="en-GB"/>
              </w:rPr>
              <w:t>-</w:t>
            </w:r>
          </w:p>
        </w:tc>
      </w:tr>
      <w:tr w:rsidR="00D90E1F" w:rsidRPr="00297669" w14:paraId="6097C97D" w14:textId="77777777" w:rsidTr="007B5E1A">
        <w:trPr>
          <w:trHeight w:val="340"/>
          <w:jc w:val="right"/>
        </w:trPr>
        <w:tc>
          <w:tcPr>
            <w:tcW w:w="2192" w:type="dxa"/>
          </w:tcPr>
          <w:p w14:paraId="7AC73E5D" w14:textId="77777777" w:rsidR="00D90E1F" w:rsidRPr="009B546D" w:rsidRDefault="00D90E1F" w:rsidP="00F432B9">
            <w:pPr>
              <w:pStyle w:val="TableParagraph"/>
              <w:spacing w:after="160"/>
              <w:ind w:left="69"/>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 xml:space="preserve">Soon Beng Gee </w:t>
            </w:r>
            <w:r w:rsidRPr="009B546D">
              <w:rPr>
                <w:rFonts w:asciiTheme="minorHAnsi" w:hAnsiTheme="minorHAnsi" w:cstheme="minorHAnsi"/>
                <w:sz w:val="20"/>
                <w:szCs w:val="20"/>
                <w:vertAlign w:val="superscript"/>
                <w:lang w:val="en-GB"/>
              </w:rPr>
              <w:t>(1)</w:t>
            </w:r>
          </w:p>
        </w:tc>
        <w:tc>
          <w:tcPr>
            <w:tcW w:w="1559" w:type="dxa"/>
          </w:tcPr>
          <w:p w14:paraId="48B05EAF" w14:textId="77777777" w:rsidR="00D90E1F" w:rsidRPr="009B546D" w:rsidRDefault="00D90E1F" w:rsidP="00F432B9">
            <w:pPr>
              <w:pStyle w:val="TableParagraph"/>
              <w:spacing w:after="160"/>
              <w:ind w:left="69"/>
              <w:jc w:val="right"/>
              <w:rPr>
                <w:rFonts w:asciiTheme="minorHAnsi" w:hAnsiTheme="minorHAnsi" w:cstheme="minorHAnsi"/>
                <w:sz w:val="20"/>
                <w:szCs w:val="20"/>
                <w:lang w:val="en-GB"/>
              </w:rPr>
            </w:pPr>
            <w:r w:rsidRPr="009B546D">
              <w:rPr>
                <w:rFonts w:asciiTheme="minorHAnsi" w:hAnsiTheme="minorHAnsi" w:cstheme="minorHAnsi"/>
                <w:sz w:val="20"/>
                <w:szCs w:val="20"/>
                <w:lang w:val="en-GB"/>
              </w:rPr>
              <w:t>18,500,000</w:t>
            </w:r>
          </w:p>
        </w:tc>
        <w:tc>
          <w:tcPr>
            <w:tcW w:w="1322" w:type="dxa"/>
          </w:tcPr>
          <w:p w14:paraId="312D44CE" w14:textId="764BB456" w:rsidR="00D90E1F" w:rsidRPr="009B546D" w:rsidRDefault="00F0614B" w:rsidP="00F432B9">
            <w:pPr>
              <w:pStyle w:val="TableParagraph"/>
              <w:spacing w:after="160"/>
              <w:ind w:left="69"/>
              <w:jc w:val="right"/>
              <w:rPr>
                <w:rFonts w:asciiTheme="minorHAnsi" w:hAnsiTheme="minorHAnsi" w:cstheme="minorHAnsi"/>
                <w:sz w:val="20"/>
                <w:szCs w:val="20"/>
                <w:lang w:val="en-GB"/>
              </w:rPr>
            </w:pPr>
            <w:r w:rsidRPr="009B546D">
              <w:rPr>
                <w:rFonts w:asciiTheme="minorHAnsi" w:hAnsiTheme="minorHAnsi" w:cstheme="minorHAnsi"/>
                <w:sz w:val="20"/>
                <w:szCs w:val="20"/>
                <w:lang w:val="en-GB"/>
              </w:rPr>
              <w:t>35.69</w:t>
            </w:r>
            <w:r w:rsidR="00D90E1F" w:rsidRPr="009B546D">
              <w:rPr>
                <w:rFonts w:asciiTheme="minorHAnsi" w:hAnsiTheme="minorHAnsi" w:cstheme="minorHAnsi"/>
                <w:sz w:val="20"/>
                <w:szCs w:val="20"/>
                <w:lang w:val="en-GB"/>
              </w:rPr>
              <w:t>%</w:t>
            </w:r>
          </w:p>
        </w:tc>
        <w:tc>
          <w:tcPr>
            <w:tcW w:w="1624" w:type="dxa"/>
          </w:tcPr>
          <w:p w14:paraId="30B55586" w14:textId="7CE8516C" w:rsidR="00D90E1F" w:rsidRPr="00297669" w:rsidRDefault="00B049CC" w:rsidP="00F432B9">
            <w:pPr>
              <w:pStyle w:val="TableParagraph"/>
              <w:spacing w:after="160"/>
              <w:ind w:left="69"/>
              <w:jc w:val="right"/>
              <w:rPr>
                <w:rFonts w:asciiTheme="minorHAnsi" w:hAnsiTheme="minorHAnsi" w:cstheme="minorHAnsi"/>
                <w:sz w:val="20"/>
                <w:szCs w:val="20"/>
                <w:lang w:val="en-GB"/>
              </w:rPr>
            </w:pPr>
            <w:r>
              <w:rPr>
                <w:rFonts w:asciiTheme="minorHAnsi" w:hAnsiTheme="minorHAnsi" w:cstheme="minorHAnsi"/>
                <w:sz w:val="20"/>
                <w:szCs w:val="20"/>
                <w:lang w:val="en-GB"/>
              </w:rPr>
              <w:t>11,766,650</w:t>
            </w:r>
          </w:p>
        </w:tc>
        <w:tc>
          <w:tcPr>
            <w:tcW w:w="1548" w:type="dxa"/>
          </w:tcPr>
          <w:p w14:paraId="379EC27B" w14:textId="7788A3ED" w:rsidR="00D90E1F" w:rsidRPr="00297669" w:rsidRDefault="00297669" w:rsidP="00F432B9">
            <w:pPr>
              <w:pStyle w:val="TableParagraph"/>
              <w:spacing w:after="160"/>
              <w:ind w:left="69"/>
              <w:jc w:val="right"/>
              <w:rPr>
                <w:rFonts w:asciiTheme="minorHAnsi" w:hAnsiTheme="minorHAnsi" w:cstheme="minorHAnsi"/>
                <w:sz w:val="20"/>
                <w:szCs w:val="20"/>
                <w:lang w:val="en-GB"/>
              </w:rPr>
            </w:pPr>
            <w:r w:rsidRPr="00297669">
              <w:rPr>
                <w:rFonts w:asciiTheme="minorHAnsi" w:hAnsiTheme="minorHAnsi" w:cstheme="minorHAnsi"/>
                <w:sz w:val="20"/>
                <w:szCs w:val="20"/>
                <w:lang w:val="en-GB"/>
              </w:rPr>
              <w:t>18.17</w:t>
            </w:r>
            <w:r w:rsidR="00D90E1F" w:rsidRPr="00297669">
              <w:rPr>
                <w:rFonts w:asciiTheme="minorHAnsi" w:hAnsiTheme="minorHAnsi" w:cstheme="minorHAnsi"/>
                <w:sz w:val="20"/>
                <w:szCs w:val="20"/>
                <w:lang w:val="en-GB"/>
              </w:rPr>
              <w:t>%</w:t>
            </w:r>
          </w:p>
        </w:tc>
      </w:tr>
      <w:tr w:rsidR="00D90E1F" w:rsidRPr="00297669" w14:paraId="76D9B5B1" w14:textId="77777777" w:rsidTr="007B5E1A">
        <w:trPr>
          <w:trHeight w:val="362"/>
          <w:jc w:val="right"/>
        </w:trPr>
        <w:tc>
          <w:tcPr>
            <w:tcW w:w="2192" w:type="dxa"/>
          </w:tcPr>
          <w:p w14:paraId="3A19B453" w14:textId="77777777" w:rsidR="00D90E1F" w:rsidRPr="009B546D" w:rsidRDefault="00D90E1F" w:rsidP="00F432B9">
            <w:pPr>
              <w:pStyle w:val="TableParagraph"/>
              <w:spacing w:after="160"/>
              <w:ind w:left="69"/>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 xml:space="preserve">Lee Chong Liang </w:t>
            </w:r>
            <w:r w:rsidRPr="009B546D">
              <w:rPr>
                <w:rFonts w:asciiTheme="minorHAnsi" w:hAnsiTheme="minorHAnsi" w:cstheme="minorHAnsi"/>
                <w:sz w:val="20"/>
                <w:szCs w:val="20"/>
                <w:vertAlign w:val="superscript"/>
                <w:lang w:val="en-GB"/>
              </w:rPr>
              <w:t>(2)</w:t>
            </w:r>
          </w:p>
        </w:tc>
        <w:tc>
          <w:tcPr>
            <w:tcW w:w="1559" w:type="dxa"/>
          </w:tcPr>
          <w:p w14:paraId="0727ADEC" w14:textId="77777777" w:rsidR="00D90E1F" w:rsidRPr="009B546D" w:rsidRDefault="00D90E1F" w:rsidP="00F432B9">
            <w:pPr>
              <w:pStyle w:val="TableParagraph"/>
              <w:spacing w:after="160"/>
              <w:ind w:left="69"/>
              <w:jc w:val="right"/>
              <w:rPr>
                <w:rFonts w:asciiTheme="minorHAnsi" w:hAnsiTheme="minorHAnsi" w:cstheme="minorHAnsi"/>
                <w:sz w:val="20"/>
                <w:szCs w:val="20"/>
                <w:lang w:val="en-GB"/>
              </w:rPr>
            </w:pPr>
            <w:r w:rsidRPr="009B546D">
              <w:rPr>
                <w:rFonts w:asciiTheme="minorHAnsi" w:hAnsiTheme="minorHAnsi" w:cstheme="minorHAnsi"/>
                <w:sz w:val="20"/>
                <w:szCs w:val="20"/>
                <w:lang w:val="en-GB"/>
              </w:rPr>
              <w:t>18,500,000</w:t>
            </w:r>
          </w:p>
        </w:tc>
        <w:tc>
          <w:tcPr>
            <w:tcW w:w="1322" w:type="dxa"/>
          </w:tcPr>
          <w:p w14:paraId="1847DB14" w14:textId="5FBD2545" w:rsidR="00D90E1F" w:rsidRPr="009B546D" w:rsidRDefault="00F0614B" w:rsidP="00F432B9">
            <w:pPr>
              <w:pStyle w:val="TableParagraph"/>
              <w:spacing w:after="160"/>
              <w:ind w:left="69"/>
              <w:jc w:val="right"/>
              <w:rPr>
                <w:rFonts w:asciiTheme="minorHAnsi" w:hAnsiTheme="minorHAnsi" w:cstheme="minorHAnsi"/>
                <w:sz w:val="20"/>
                <w:szCs w:val="20"/>
                <w:lang w:val="en-GB"/>
              </w:rPr>
            </w:pPr>
            <w:r w:rsidRPr="009B546D">
              <w:rPr>
                <w:rFonts w:asciiTheme="minorHAnsi" w:hAnsiTheme="minorHAnsi" w:cstheme="minorHAnsi"/>
                <w:sz w:val="20"/>
                <w:szCs w:val="20"/>
                <w:lang w:val="en-GB"/>
              </w:rPr>
              <w:t>35.69</w:t>
            </w:r>
            <w:r w:rsidR="00D90E1F" w:rsidRPr="009B546D">
              <w:rPr>
                <w:rFonts w:asciiTheme="minorHAnsi" w:hAnsiTheme="minorHAnsi" w:cstheme="minorHAnsi"/>
                <w:sz w:val="20"/>
                <w:szCs w:val="20"/>
                <w:lang w:val="en-GB"/>
              </w:rPr>
              <w:t>%</w:t>
            </w:r>
          </w:p>
        </w:tc>
        <w:tc>
          <w:tcPr>
            <w:tcW w:w="1624" w:type="dxa"/>
          </w:tcPr>
          <w:p w14:paraId="17AC456A" w14:textId="5005B980" w:rsidR="00D90E1F" w:rsidRPr="00297669" w:rsidRDefault="00B049CC" w:rsidP="00F432B9">
            <w:pPr>
              <w:pStyle w:val="TableParagraph"/>
              <w:spacing w:after="160"/>
              <w:ind w:left="69"/>
              <w:jc w:val="right"/>
              <w:rPr>
                <w:rFonts w:asciiTheme="minorHAnsi" w:hAnsiTheme="minorHAnsi" w:cstheme="minorHAnsi"/>
                <w:sz w:val="20"/>
                <w:szCs w:val="20"/>
                <w:lang w:val="en-GB"/>
              </w:rPr>
            </w:pPr>
            <w:r>
              <w:rPr>
                <w:rFonts w:asciiTheme="minorHAnsi" w:hAnsiTheme="minorHAnsi" w:cstheme="minorHAnsi"/>
                <w:sz w:val="20"/>
                <w:szCs w:val="20"/>
                <w:lang w:val="en-GB"/>
              </w:rPr>
              <w:t>11,766,650</w:t>
            </w:r>
          </w:p>
        </w:tc>
        <w:tc>
          <w:tcPr>
            <w:tcW w:w="1548" w:type="dxa"/>
          </w:tcPr>
          <w:p w14:paraId="46EFC15C" w14:textId="06AA4DD4" w:rsidR="00D90E1F" w:rsidRPr="00297669" w:rsidRDefault="00297669" w:rsidP="00F432B9">
            <w:pPr>
              <w:pStyle w:val="TableParagraph"/>
              <w:spacing w:after="160"/>
              <w:ind w:left="69"/>
              <w:jc w:val="right"/>
              <w:rPr>
                <w:rFonts w:asciiTheme="minorHAnsi" w:hAnsiTheme="minorHAnsi" w:cstheme="minorHAnsi"/>
                <w:sz w:val="20"/>
                <w:szCs w:val="20"/>
                <w:lang w:val="en-GB"/>
              </w:rPr>
            </w:pPr>
            <w:r w:rsidRPr="00297669">
              <w:rPr>
                <w:rFonts w:asciiTheme="minorHAnsi" w:hAnsiTheme="minorHAnsi" w:cstheme="minorHAnsi"/>
                <w:sz w:val="20"/>
                <w:szCs w:val="20"/>
                <w:lang w:val="en-GB"/>
              </w:rPr>
              <w:t>18.17</w:t>
            </w:r>
            <w:r w:rsidR="00D90E1F" w:rsidRPr="00297669">
              <w:rPr>
                <w:rFonts w:asciiTheme="minorHAnsi" w:hAnsiTheme="minorHAnsi" w:cstheme="minorHAnsi"/>
                <w:sz w:val="20"/>
                <w:szCs w:val="20"/>
                <w:lang w:val="en-GB"/>
              </w:rPr>
              <w:t>%</w:t>
            </w:r>
          </w:p>
        </w:tc>
      </w:tr>
      <w:tr w:rsidR="00D90E1F" w:rsidRPr="009B546D" w14:paraId="364F4088" w14:textId="77777777" w:rsidTr="007B5E1A">
        <w:trPr>
          <w:trHeight w:val="362"/>
          <w:jc w:val="right"/>
        </w:trPr>
        <w:tc>
          <w:tcPr>
            <w:tcW w:w="2192" w:type="dxa"/>
          </w:tcPr>
          <w:p w14:paraId="191C4E40" w14:textId="77777777" w:rsidR="00D90E1F" w:rsidRPr="009B546D" w:rsidRDefault="00D90E1F" w:rsidP="00F432B9">
            <w:pPr>
              <w:pStyle w:val="TableParagraph"/>
              <w:spacing w:after="160"/>
              <w:ind w:left="69"/>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Harry Chathli</w:t>
            </w:r>
          </w:p>
        </w:tc>
        <w:tc>
          <w:tcPr>
            <w:tcW w:w="1559" w:type="dxa"/>
          </w:tcPr>
          <w:p w14:paraId="6DF2A5F8" w14:textId="77777777" w:rsidR="00D90E1F" w:rsidRPr="009B546D" w:rsidRDefault="00D90E1F" w:rsidP="00F432B9">
            <w:pPr>
              <w:pStyle w:val="TableParagraph"/>
              <w:spacing w:after="160"/>
              <w:ind w:left="69"/>
              <w:jc w:val="right"/>
              <w:rPr>
                <w:rFonts w:asciiTheme="minorHAnsi" w:hAnsiTheme="minorHAnsi" w:cstheme="minorHAnsi"/>
                <w:sz w:val="20"/>
                <w:szCs w:val="20"/>
                <w:lang w:val="en-GB"/>
              </w:rPr>
            </w:pPr>
            <w:r w:rsidRPr="009B546D">
              <w:rPr>
                <w:rFonts w:asciiTheme="minorHAnsi" w:hAnsiTheme="minorHAnsi" w:cstheme="minorHAnsi"/>
                <w:sz w:val="20"/>
                <w:szCs w:val="20"/>
                <w:lang w:val="en-GB"/>
              </w:rPr>
              <w:t>-</w:t>
            </w:r>
          </w:p>
        </w:tc>
        <w:tc>
          <w:tcPr>
            <w:tcW w:w="1322" w:type="dxa"/>
          </w:tcPr>
          <w:p w14:paraId="10D60831" w14:textId="77777777" w:rsidR="00D90E1F" w:rsidRPr="009B546D" w:rsidRDefault="00D90E1F" w:rsidP="00F432B9">
            <w:pPr>
              <w:pStyle w:val="TableParagraph"/>
              <w:spacing w:after="160"/>
              <w:ind w:left="69"/>
              <w:jc w:val="right"/>
              <w:rPr>
                <w:rFonts w:asciiTheme="minorHAnsi" w:hAnsiTheme="minorHAnsi" w:cstheme="minorHAnsi"/>
                <w:sz w:val="20"/>
                <w:szCs w:val="20"/>
                <w:lang w:val="en-GB"/>
              </w:rPr>
            </w:pPr>
            <w:r w:rsidRPr="009B546D">
              <w:rPr>
                <w:rFonts w:asciiTheme="minorHAnsi" w:hAnsiTheme="minorHAnsi" w:cstheme="minorHAnsi"/>
                <w:sz w:val="20"/>
                <w:szCs w:val="20"/>
                <w:lang w:val="en-GB"/>
              </w:rPr>
              <w:t>-</w:t>
            </w:r>
          </w:p>
        </w:tc>
        <w:tc>
          <w:tcPr>
            <w:tcW w:w="1624" w:type="dxa"/>
          </w:tcPr>
          <w:p w14:paraId="7E050541" w14:textId="77777777" w:rsidR="00D90E1F" w:rsidRPr="009B546D" w:rsidRDefault="00D90E1F" w:rsidP="00F432B9">
            <w:pPr>
              <w:pStyle w:val="TableParagraph"/>
              <w:spacing w:after="160"/>
              <w:ind w:left="69"/>
              <w:jc w:val="right"/>
              <w:rPr>
                <w:rFonts w:asciiTheme="minorHAnsi" w:hAnsiTheme="minorHAnsi" w:cstheme="minorHAnsi"/>
                <w:sz w:val="20"/>
                <w:szCs w:val="20"/>
                <w:lang w:val="en-GB"/>
              </w:rPr>
            </w:pPr>
            <w:r w:rsidRPr="009B546D">
              <w:rPr>
                <w:rFonts w:asciiTheme="minorHAnsi" w:hAnsiTheme="minorHAnsi" w:cstheme="minorHAnsi"/>
                <w:sz w:val="20"/>
                <w:szCs w:val="20"/>
                <w:lang w:val="en-GB"/>
              </w:rPr>
              <w:t>-</w:t>
            </w:r>
          </w:p>
        </w:tc>
        <w:tc>
          <w:tcPr>
            <w:tcW w:w="1548" w:type="dxa"/>
          </w:tcPr>
          <w:p w14:paraId="21A79D6E" w14:textId="77777777" w:rsidR="00D90E1F" w:rsidRPr="009B546D" w:rsidRDefault="00D90E1F" w:rsidP="00F432B9">
            <w:pPr>
              <w:pStyle w:val="TableParagraph"/>
              <w:spacing w:after="160"/>
              <w:ind w:left="69"/>
              <w:jc w:val="right"/>
              <w:rPr>
                <w:rFonts w:asciiTheme="minorHAnsi" w:hAnsiTheme="minorHAnsi" w:cstheme="minorHAnsi"/>
                <w:sz w:val="20"/>
                <w:szCs w:val="20"/>
                <w:lang w:val="en-GB"/>
              </w:rPr>
            </w:pPr>
            <w:r w:rsidRPr="009B546D">
              <w:rPr>
                <w:rFonts w:asciiTheme="minorHAnsi" w:hAnsiTheme="minorHAnsi" w:cstheme="minorHAnsi"/>
                <w:sz w:val="20"/>
                <w:szCs w:val="20"/>
                <w:lang w:val="en-GB"/>
              </w:rPr>
              <w:t>-</w:t>
            </w:r>
          </w:p>
        </w:tc>
      </w:tr>
      <w:tr w:rsidR="00D90E1F" w:rsidRPr="009B546D" w14:paraId="565E7BBC" w14:textId="77777777" w:rsidTr="007B5E1A">
        <w:trPr>
          <w:trHeight w:val="362"/>
          <w:jc w:val="right"/>
        </w:trPr>
        <w:tc>
          <w:tcPr>
            <w:tcW w:w="2192" w:type="dxa"/>
          </w:tcPr>
          <w:p w14:paraId="196B6465" w14:textId="77777777" w:rsidR="00D90E1F" w:rsidRPr="009B546D" w:rsidRDefault="00D90E1F" w:rsidP="00F432B9">
            <w:pPr>
              <w:pStyle w:val="TableParagraph"/>
              <w:spacing w:after="160"/>
              <w:ind w:left="69"/>
              <w:jc w:val="both"/>
              <w:rPr>
                <w:rFonts w:asciiTheme="minorHAnsi" w:hAnsiTheme="minorHAnsi" w:cstheme="minorHAnsi"/>
                <w:b/>
                <w:sz w:val="20"/>
                <w:szCs w:val="20"/>
                <w:u w:val="single"/>
                <w:lang w:val="en-GB"/>
              </w:rPr>
            </w:pPr>
            <w:r w:rsidRPr="009B546D">
              <w:rPr>
                <w:rFonts w:asciiTheme="minorHAnsi" w:hAnsiTheme="minorHAnsi" w:cstheme="minorHAnsi"/>
                <w:b/>
                <w:sz w:val="20"/>
                <w:szCs w:val="20"/>
                <w:u w:val="single"/>
                <w:lang w:val="en-GB"/>
              </w:rPr>
              <w:t>Proposed Director</w:t>
            </w:r>
          </w:p>
        </w:tc>
        <w:tc>
          <w:tcPr>
            <w:tcW w:w="1559" w:type="dxa"/>
          </w:tcPr>
          <w:p w14:paraId="47F73901"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p>
        </w:tc>
        <w:tc>
          <w:tcPr>
            <w:tcW w:w="1322" w:type="dxa"/>
          </w:tcPr>
          <w:p w14:paraId="7252ABAF"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p>
        </w:tc>
        <w:tc>
          <w:tcPr>
            <w:tcW w:w="1624" w:type="dxa"/>
          </w:tcPr>
          <w:p w14:paraId="68914DFC"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p>
        </w:tc>
        <w:tc>
          <w:tcPr>
            <w:tcW w:w="1548" w:type="dxa"/>
          </w:tcPr>
          <w:p w14:paraId="2969AEAA" w14:textId="77777777" w:rsidR="00D90E1F" w:rsidRPr="009B546D" w:rsidRDefault="00D90E1F" w:rsidP="00F432B9">
            <w:pPr>
              <w:pStyle w:val="TableParagraph"/>
              <w:spacing w:after="160"/>
              <w:ind w:left="69"/>
              <w:jc w:val="right"/>
              <w:rPr>
                <w:rFonts w:asciiTheme="minorHAnsi" w:hAnsiTheme="minorHAnsi" w:cstheme="minorHAnsi"/>
                <w:b/>
                <w:sz w:val="20"/>
                <w:szCs w:val="20"/>
                <w:lang w:val="en-GB"/>
              </w:rPr>
            </w:pPr>
          </w:p>
        </w:tc>
      </w:tr>
      <w:tr w:rsidR="00D90E1F" w:rsidRPr="009B546D" w14:paraId="1FC9E80C" w14:textId="77777777" w:rsidTr="007B5E1A">
        <w:trPr>
          <w:trHeight w:val="362"/>
          <w:jc w:val="right"/>
        </w:trPr>
        <w:tc>
          <w:tcPr>
            <w:tcW w:w="2192" w:type="dxa"/>
          </w:tcPr>
          <w:p w14:paraId="01BDBC2F" w14:textId="77777777" w:rsidR="00D90E1F" w:rsidRPr="009B546D" w:rsidRDefault="00D90E1F" w:rsidP="00F432B9">
            <w:pPr>
              <w:pStyle w:val="TableParagraph"/>
              <w:spacing w:after="160"/>
              <w:ind w:left="69"/>
              <w:jc w:val="both"/>
              <w:rPr>
                <w:rFonts w:asciiTheme="minorHAnsi" w:hAnsiTheme="minorHAnsi" w:cstheme="minorHAnsi"/>
                <w:sz w:val="20"/>
                <w:szCs w:val="20"/>
                <w:lang w:val="en-GB"/>
              </w:rPr>
            </w:pPr>
            <w:r w:rsidRPr="009B546D">
              <w:rPr>
                <w:rFonts w:asciiTheme="minorHAnsi" w:hAnsiTheme="minorHAnsi" w:cstheme="minorHAnsi"/>
                <w:sz w:val="20"/>
                <w:szCs w:val="20"/>
                <w:lang w:val="en-GB"/>
              </w:rPr>
              <w:t>Charles Yong Kai Yee</w:t>
            </w:r>
          </w:p>
        </w:tc>
        <w:tc>
          <w:tcPr>
            <w:tcW w:w="1559" w:type="dxa"/>
          </w:tcPr>
          <w:p w14:paraId="66E9053A" w14:textId="77777777" w:rsidR="00D90E1F" w:rsidRPr="009B546D" w:rsidRDefault="00D90E1F" w:rsidP="00F432B9">
            <w:pPr>
              <w:pStyle w:val="TableParagraph"/>
              <w:spacing w:after="160"/>
              <w:ind w:left="69"/>
              <w:jc w:val="right"/>
              <w:rPr>
                <w:rFonts w:asciiTheme="minorHAnsi" w:hAnsiTheme="minorHAnsi" w:cstheme="minorHAnsi"/>
                <w:sz w:val="20"/>
                <w:szCs w:val="20"/>
                <w:lang w:val="en-GB"/>
              </w:rPr>
            </w:pPr>
            <w:r w:rsidRPr="009B546D">
              <w:rPr>
                <w:rFonts w:asciiTheme="minorHAnsi" w:hAnsiTheme="minorHAnsi" w:cstheme="minorHAnsi"/>
                <w:sz w:val="20"/>
                <w:szCs w:val="20"/>
                <w:lang w:val="en-GB"/>
              </w:rPr>
              <w:t>-</w:t>
            </w:r>
          </w:p>
        </w:tc>
        <w:tc>
          <w:tcPr>
            <w:tcW w:w="1322" w:type="dxa"/>
          </w:tcPr>
          <w:p w14:paraId="147A7E15" w14:textId="77777777" w:rsidR="00D90E1F" w:rsidRPr="009B546D" w:rsidRDefault="00D90E1F" w:rsidP="00F432B9">
            <w:pPr>
              <w:pStyle w:val="TableParagraph"/>
              <w:spacing w:after="160"/>
              <w:ind w:left="69"/>
              <w:jc w:val="right"/>
              <w:rPr>
                <w:rFonts w:asciiTheme="minorHAnsi" w:hAnsiTheme="minorHAnsi" w:cstheme="minorHAnsi"/>
                <w:sz w:val="20"/>
                <w:szCs w:val="20"/>
                <w:lang w:val="en-GB"/>
              </w:rPr>
            </w:pPr>
            <w:r w:rsidRPr="009B546D">
              <w:rPr>
                <w:rFonts w:asciiTheme="minorHAnsi" w:hAnsiTheme="minorHAnsi" w:cstheme="minorHAnsi"/>
                <w:sz w:val="20"/>
                <w:szCs w:val="20"/>
                <w:lang w:val="en-GB"/>
              </w:rPr>
              <w:t>-</w:t>
            </w:r>
          </w:p>
        </w:tc>
        <w:tc>
          <w:tcPr>
            <w:tcW w:w="1624" w:type="dxa"/>
          </w:tcPr>
          <w:p w14:paraId="3A43A759" w14:textId="1F9004AC" w:rsidR="00D90E1F" w:rsidRPr="009B546D" w:rsidRDefault="00F0614B" w:rsidP="00F432B9">
            <w:pPr>
              <w:pStyle w:val="TableParagraph"/>
              <w:spacing w:after="160"/>
              <w:ind w:left="69"/>
              <w:jc w:val="right"/>
              <w:rPr>
                <w:rFonts w:asciiTheme="minorHAnsi" w:hAnsiTheme="minorHAnsi" w:cstheme="minorHAnsi"/>
                <w:sz w:val="20"/>
                <w:szCs w:val="20"/>
                <w:lang w:val="en-GB"/>
              </w:rPr>
            </w:pPr>
            <w:r w:rsidRPr="009B546D">
              <w:rPr>
                <w:rFonts w:asciiTheme="minorHAnsi" w:hAnsiTheme="minorHAnsi" w:cstheme="minorHAnsi"/>
                <w:sz w:val="20"/>
                <w:szCs w:val="20"/>
                <w:lang w:val="en-GB"/>
              </w:rPr>
              <w:t>1,679,775</w:t>
            </w:r>
          </w:p>
        </w:tc>
        <w:tc>
          <w:tcPr>
            <w:tcW w:w="1548" w:type="dxa"/>
          </w:tcPr>
          <w:p w14:paraId="5077D241" w14:textId="48D79D9F" w:rsidR="00D90E1F" w:rsidRPr="009B546D" w:rsidRDefault="00F0614B" w:rsidP="00F432B9">
            <w:pPr>
              <w:pStyle w:val="TableParagraph"/>
              <w:spacing w:after="160"/>
              <w:ind w:left="69"/>
              <w:jc w:val="right"/>
              <w:rPr>
                <w:rFonts w:asciiTheme="minorHAnsi" w:hAnsiTheme="minorHAnsi" w:cstheme="minorHAnsi"/>
                <w:sz w:val="20"/>
                <w:szCs w:val="20"/>
                <w:lang w:val="en-GB"/>
              </w:rPr>
            </w:pPr>
            <w:r w:rsidRPr="009B546D">
              <w:rPr>
                <w:rFonts w:asciiTheme="minorHAnsi" w:hAnsiTheme="minorHAnsi" w:cstheme="minorHAnsi"/>
                <w:sz w:val="20"/>
                <w:szCs w:val="20"/>
                <w:lang w:val="en-GB"/>
              </w:rPr>
              <w:t>2.59</w:t>
            </w:r>
            <w:r w:rsidR="00D90E1F" w:rsidRPr="009B546D">
              <w:rPr>
                <w:rFonts w:asciiTheme="minorHAnsi" w:hAnsiTheme="minorHAnsi" w:cstheme="minorHAnsi"/>
                <w:sz w:val="20"/>
                <w:szCs w:val="20"/>
                <w:lang w:val="en-GB"/>
              </w:rPr>
              <w:t>%</w:t>
            </w:r>
          </w:p>
        </w:tc>
      </w:tr>
    </w:tbl>
    <w:p w14:paraId="1FD7E56F" w14:textId="77777777" w:rsidR="00D90E1F" w:rsidRPr="009B546D" w:rsidRDefault="00D90E1F" w:rsidP="00F432B9">
      <w:pPr>
        <w:pStyle w:val="BodyText"/>
        <w:widowControl w:val="0"/>
        <w:spacing w:after="160" w:line="240" w:lineRule="auto"/>
        <w:ind w:left="357" w:firstLine="237"/>
        <w:rPr>
          <w:rFonts w:asciiTheme="minorHAnsi" w:hAnsiTheme="minorHAnsi" w:cstheme="minorHAnsi"/>
          <w:sz w:val="20"/>
          <w:szCs w:val="20"/>
        </w:rPr>
      </w:pPr>
      <w:r w:rsidRPr="009B546D">
        <w:rPr>
          <w:rFonts w:asciiTheme="minorHAnsi" w:hAnsiTheme="minorHAnsi" w:cstheme="minorHAnsi"/>
          <w:b/>
          <w:i/>
          <w:sz w:val="20"/>
          <w:szCs w:val="20"/>
        </w:rPr>
        <w:t>Notes</w:t>
      </w:r>
      <w:r w:rsidRPr="009B546D">
        <w:rPr>
          <w:rFonts w:asciiTheme="minorHAnsi" w:hAnsiTheme="minorHAnsi" w:cstheme="minorHAnsi"/>
          <w:sz w:val="20"/>
          <w:szCs w:val="20"/>
        </w:rPr>
        <w:t>:</w:t>
      </w:r>
    </w:p>
    <w:p w14:paraId="38899B55" w14:textId="77777777" w:rsidR="00D90E1F" w:rsidRPr="009B546D" w:rsidRDefault="00D90E1F" w:rsidP="00F432B9">
      <w:pPr>
        <w:pStyle w:val="ListParagraph"/>
        <w:numPr>
          <w:ilvl w:val="0"/>
          <w:numId w:val="7"/>
        </w:numPr>
        <w:autoSpaceDE w:val="0"/>
        <w:autoSpaceDN w:val="0"/>
        <w:spacing w:after="160"/>
        <w:ind w:right="110"/>
        <w:contextualSpacing w:val="0"/>
        <w:rPr>
          <w:rFonts w:asciiTheme="minorHAnsi" w:hAnsiTheme="minorHAnsi" w:cstheme="minorHAnsi"/>
          <w:sz w:val="20"/>
          <w:szCs w:val="20"/>
        </w:rPr>
      </w:pPr>
      <w:r w:rsidRPr="009B546D">
        <w:rPr>
          <w:rFonts w:asciiTheme="minorHAnsi" w:hAnsiTheme="minorHAnsi" w:cstheme="minorHAnsi"/>
          <w:spacing w:val="-7"/>
          <w:sz w:val="20"/>
          <w:szCs w:val="20"/>
        </w:rPr>
        <w:t xml:space="preserve">Mr </w:t>
      </w:r>
      <w:r w:rsidRPr="009B546D">
        <w:rPr>
          <w:rFonts w:asciiTheme="minorHAnsi" w:hAnsiTheme="minorHAnsi" w:cstheme="minorHAnsi"/>
          <w:spacing w:val="-3"/>
          <w:sz w:val="20"/>
          <w:szCs w:val="20"/>
        </w:rPr>
        <w:t xml:space="preserve">Soon’s </w:t>
      </w:r>
      <w:r w:rsidRPr="009B546D">
        <w:rPr>
          <w:rFonts w:asciiTheme="minorHAnsi" w:hAnsiTheme="minorHAnsi" w:cstheme="minorHAnsi"/>
          <w:sz w:val="20"/>
          <w:szCs w:val="20"/>
        </w:rPr>
        <w:t>interest in the issued share capital of the Company is wholly held through GBS Infinity Holding Ltd, a BVI company, whose issued share capital is wholly and beneficially owned by</w:t>
      </w:r>
      <w:r w:rsidRPr="009B546D">
        <w:rPr>
          <w:rFonts w:asciiTheme="minorHAnsi" w:hAnsiTheme="minorHAnsi" w:cstheme="minorHAnsi"/>
          <w:spacing w:val="-8"/>
          <w:sz w:val="20"/>
          <w:szCs w:val="20"/>
        </w:rPr>
        <w:t xml:space="preserve"> </w:t>
      </w:r>
      <w:r w:rsidRPr="009B546D">
        <w:rPr>
          <w:rFonts w:asciiTheme="minorHAnsi" w:hAnsiTheme="minorHAnsi" w:cstheme="minorHAnsi"/>
          <w:sz w:val="20"/>
          <w:szCs w:val="20"/>
        </w:rPr>
        <w:t>him.</w:t>
      </w:r>
    </w:p>
    <w:p w14:paraId="1218D4B6" w14:textId="77777777" w:rsidR="00D90E1F" w:rsidRPr="009B546D" w:rsidRDefault="00D90E1F" w:rsidP="00F432B9">
      <w:pPr>
        <w:pStyle w:val="ListParagraph"/>
        <w:numPr>
          <w:ilvl w:val="0"/>
          <w:numId w:val="7"/>
        </w:numPr>
        <w:autoSpaceDE w:val="0"/>
        <w:autoSpaceDN w:val="0"/>
        <w:spacing w:after="160"/>
        <w:ind w:right="105"/>
        <w:contextualSpacing w:val="0"/>
        <w:rPr>
          <w:rFonts w:asciiTheme="minorHAnsi" w:hAnsiTheme="minorHAnsi" w:cstheme="minorHAnsi"/>
          <w:sz w:val="20"/>
          <w:szCs w:val="20"/>
        </w:rPr>
      </w:pPr>
      <w:r w:rsidRPr="009B546D">
        <w:rPr>
          <w:rFonts w:asciiTheme="minorHAnsi" w:hAnsiTheme="minorHAnsi" w:cstheme="minorHAnsi"/>
          <w:spacing w:val="-7"/>
          <w:sz w:val="20"/>
          <w:szCs w:val="20"/>
        </w:rPr>
        <w:t xml:space="preserve">Mr </w:t>
      </w:r>
      <w:r w:rsidRPr="009B546D">
        <w:rPr>
          <w:rFonts w:asciiTheme="minorHAnsi" w:hAnsiTheme="minorHAnsi" w:cstheme="minorHAnsi"/>
          <w:spacing w:val="-3"/>
          <w:sz w:val="20"/>
          <w:szCs w:val="20"/>
        </w:rPr>
        <w:t xml:space="preserve">Lee’s </w:t>
      </w:r>
      <w:r w:rsidRPr="009B546D">
        <w:rPr>
          <w:rFonts w:asciiTheme="minorHAnsi" w:hAnsiTheme="minorHAnsi" w:cstheme="minorHAnsi"/>
          <w:sz w:val="20"/>
          <w:szCs w:val="20"/>
        </w:rPr>
        <w:t>interest in the issued share capital of the Company is wholly held through ML Infinity Holding Ltd, a BVI company, whose issued share capital is wholly and beneficially owned by</w:t>
      </w:r>
      <w:r w:rsidRPr="009B546D">
        <w:rPr>
          <w:rFonts w:asciiTheme="minorHAnsi" w:hAnsiTheme="minorHAnsi" w:cstheme="minorHAnsi"/>
          <w:spacing w:val="-12"/>
          <w:sz w:val="20"/>
          <w:szCs w:val="20"/>
        </w:rPr>
        <w:t xml:space="preserve"> </w:t>
      </w:r>
      <w:r w:rsidRPr="009B546D">
        <w:rPr>
          <w:rFonts w:asciiTheme="minorHAnsi" w:hAnsiTheme="minorHAnsi" w:cstheme="minorHAnsi"/>
          <w:sz w:val="20"/>
          <w:szCs w:val="20"/>
        </w:rPr>
        <w:t>him.</w:t>
      </w:r>
    </w:p>
    <w:p w14:paraId="5DA512DF" w14:textId="0FC1072E"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zCs w:val="20"/>
        </w:rPr>
        <w:t xml:space="preserve">Save as disclosed in paragraphs </w:t>
      </w:r>
      <w:r w:rsidRPr="009B546D">
        <w:rPr>
          <w:rFonts w:asciiTheme="minorHAnsi" w:hAnsiTheme="minorHAnsi" w:cstheme="minorHAnsi"/>
          <w:b w:val="0"/>
          <w:szCs w:val="20"/>
        </w:rPr>
        <w:fldChar w:fldCharType="begin"/>
      </w:r>
      <w:r w:rsidRPr="009B546D">
        <w:rPr>
          <w:rFonts w:asciiTheme="minorHAnsi" w:hAnsiTheme="minorHAnsi" w:cstheme="minorHAnsi"/>
          <w:b w:val="0"/>
          <w:szCs w:val="20"/>
        </w:rPr>
        <w:instrText xml:space="preserve"> REF _Ref20411867 \r \h  \* MERGEFORMAT </w:instrText>
      </w:r>
      <w:r w:rsidRPr="009B546D">
        <w:rPr>
          <w:rFonts w:asciiTheme="minorHAnsi" w:hAnsiTheme="minorHAnsi" w:cstheme="minorHAnsi"/>
          <w:b w:val="0"/>
          <w:szCs w:val="20"/>
        </w:rPr>
      </w:r>
      <w:r w:rsidRPr="009B546D">
        <w:rPr>
          <w:rFonts w:asciiTheme="minorHAnsi" w:hAnsiTheme="minorHAnsi" w:cstheme="minorHAnsi"/>
          <w:b w:val="0"/>
          <w:szCs w:val="20"/>
        </w:rPr>
        <w:fldChar w:fldCharType="separate"/>
      </w:r>
      <w:r w:rsidR="001F56EB">
        <w:rPr>
          <w:rFonts w:asciiTheme="minorHAnsi" w:hAnsiTheme="minorHAnsi" w:cstheme="minorHAnsi"/>
          <w:b w:val="0"/>
          <w:szCs w:val="20"/>
        </w:rPr>
        <w:t>8</w:t>
      </w:r>
      <w:r w:rsidR="00B75DEA" w:rsidRPr="009B546D">
        <w:rPr>
          <w:rFonts w:asciiTheme="minorHAnsi" w:hAnsiTheme="minorHAnsi" w:cstheme="minorHAnsi"/>
          <w:b w:val="0"/>
          <w:szCs w:val="20"/>
        </w:rPr>
        <w:t>.1</w:t>
      </w:r>
      <w:r w:rsidRPr="009B546D">
        <w:rPr>
          <w:rFonts w:asciiTheme="minorHAnsi" w:hAnsiTheme="minorHAnsi" w:cstheme="minorHAnsi"/>
          <w:b w:val="0"/>
          <w:szCs w:val="20"/>
        </w:rPr>
        <w:fldChar w:fldCharType="end"/>
      </w:r>
      <w:r w:rsidRPr="009B546D">
        <w:rPr>
          <w:rFonts w:asciiTheme="minorHAnsi" w:hAnsiTheme="minorHAnsi" w:cstheme="minorHAnsi"/>
          <w:b w:val="0"/>
          <w:szCs w:val="20"/>
        </w:rPr>
        <w:t xml:space="preserve"> above and </w:t>
      </w:r>
      <w:r w:rsidR="00535DF9">
        <w:rPr>
          <w:rFonts w:asciiTheme="minorHAnsi" w:hAnsiTheme="minorHAnsi" w:cstheme="minorHAnsi"/>
          <w:b w:val="0"/>
          <w:szCs w:val="20"/>
        </w:rPr>
        <w:t>9</w:t>
      </w:r>
      <w:r w:rsidRPr="009B546D">
        <w:rPr>
          <w:rFonts w:asciiTheme="minorHAnsi" w:hAnsiTheme="minorHAnsi" w:cstheme="minorHAnsi"/>
          <w:b w:val="0"/>
          <w:szCs w:val="20"/>
        </w:rPr>
        <w:t xml:space="preserve"> (</w:t>
      </w:r>
      <w:r w:rsidRPr="009B546D">
        <w:rPr>
          <w:rFonts w:asciiTheme="minorHAnsi" w:hAnsiTheme="minorHAnsi" w:cstheme="minorHAnsi"/>
          <w:b w:val="0"/>
          <w:i/>
          <w:szCs w:val="20"/>
        </w:rPr>
        <w:t>Major Shareholders</w:t>
      </w:r>
      <w:r w:rsidRPr="009B546D">
        <w:rPr>
          <w:rFonts w:asciiTheme="minorHAnsi" w:hAnsiTheme="minorHAnsi" w:cstheme="minorHAnsi"/>
          <w:b w:val="0"/>
          <w:szCs w:val="20"/>
        </w:rPr>
        <w:t xml:space="preserve">) below, as at the Latest </w:t>
      </w:r>
      <w:r w:rsidRPr="009B546D">
        <w:rPr>
          <w:rFonts w:asciiTheme="minorHAnsi" w:hAnsiTheme="minorHAnsi" w:cstheme="minorHAnsi"/>
          <w:b w:val="0"/>
          <w:spacing w:val="-8"/>
          <w:szCs w:val="20"/>
        </w:rPr>
        <w:t>Practicable Date none of the Existing Directors nor the Proposed Director (nor any person connected with them) had or will have any interest, beneficial or otherwise, in any share or loan capital of the Company.</w:t>
      </w:r>
    </w:p>
    <w:p w14:paraId="20D1DD2A" w14:textId="77777777"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There are no loans or guarantees provided by any member of the Company for the benefit of any of the Existing Directors nor the Proposed Director nor are there any loans or guarantees provided by any of the Existing Directors nor the Proposed Director to the Company. </w:t>
      </w:r>
    </w:p>
    <w:p w14:paraId="2E1E5A2B" w14:textId="1C2F17A1"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As at the Latest Practicable Date, no Existing Director nor the Proposed Director </w:t>
      </w:r>
      <w:r w:rsidR="00E33034" w:rsidRPr="009B546D">
        <w:rPr>
          <w:rFonts w:asciiTheme="minorHAnsi" w:hAnsiTheme="minorHAnsi" w:cstheme="minorHAnsi"/>
          <w:b w:val="0"/>
          <w:spacing w:val="-8"/>
          <w:szCs w:val="20"/>
        </w:rPr>
        <w:t xml:space="preserve">held </w:t>
      </w:r>
      <w:r w:rsidRPr="009B546D">
        <w:rPr>
          <w:rFonts w:asciiTheme="minorHAnsi" w:hAnsiTheme="minorHAnsi" w:cstheme="minorHAnsi"/>
          <w:b w:val="0"/>
          <w:spacing w:val="-8"/>
          <w:szCs w:val="20"/>
        </w:rPr>
        <w:t>any option to subscribe for Ordinary Shares.</w:t>
      </w:r>
    </w:p>
    <w:p w14:paraId="6C62F687" w14:textId="77777777" w:rsidR="00330B1D" w:rsidRDefault="00D90E1F" w:rsidP="00330B1D">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Save as disclosed in this Prospectus, no Existing Director nor the Proposed Director has or has had any interest in any transaction which is or was unusual in its nature or conditions or significant to the business of the Company and which was effected by the Company since its incorporation.</w:t>
      </w:r>
    </w:p>
    <w:p w14:paraId="53CB9EC1" w14:textId="56BAE827" w:rsidR="0038567F" w:rsidRPr="00330B1D" w:rsidRDefault="00330B1D" w:rsidP="00330B1D">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330B1D">
        <w:rPr>
          <w:rFonts w:asciiTheme="minorHAnsi" w:hAnsiTheme="minorHAnsi" w:cstheme="minorHAnsi"/>
          <w:b w:val="0"/>
          <w:spacing w:val="-8"/>
          <w:szCs w:val="20"/>
        </w:rPr>
        <w:lastRenderedPageBreak/>
        <w:t xml:space="preserve">A Standard Listing of the Company requires at least 25% of the Ordinary Shares to be held by the public in one or more EEA States. On </w:t>
      </w:r>
      <w:r w:rsidR="0008537C">
        <w:rPr>
          <w:rFonts w:asciiTheme="minorHAnsi" w:hAnsiTheme="minorHAnsi" w:cstheme="minorHAnsi"/>
          <w:b w:val="0"/>
          <w:spacing w:val="-8"/>
          <w:szCs w:val="20"/>
        </w:rPr>
        <w:t>20</w:t>
      </w:r>
      <w:r w:rsidRPr="00330B1D">
        <w:rPr>
          <w:rFonts w:asciiTheme="minorHAnsi" w:hAnsiTheme="minorHAnsi" w:cstheme="minorHAnsi"/>
          <w:b w:val="0"/>
          <w:spacing w:val="-8"/>
          <w:szCs w:val="20"/>
        </w:rPr>
        <w:t xml:space="preserve"> March, </w:t>
      </w:r>
      <w:r w:rsidR="00B779DE">
        <w:rPr>
          <w:rFonts w:asciiTheme="minorHAnsi" w:hAnsiTheme="minorHAnsi" w:cstheme="minorHAnsi"/>
          <w:b w:val="0"/>
          <w:spacing w:val="-8"/>
          <w:szCs w:val="20"/>
        </w:rPr>
        <w:t>GBS Infinity Holding Ltd</w:t>
      </w:r>
      <w:r w:rsidRPr="00330B1D">
        <w:rPr>
          <w:rFonts w:asciiTheme="minorHAnsi" w:hAnsiTheme="minorHAnsi" w:cstheme="minorHAnsi"/>
          <w:b w:val="0"/>
          <w:spacing w:val="-8"/>
          <w:szCs w:val="20"/>
        </w:rPr>
        <w:t xml:space="preserve"> (“</w:t>
      </w:r>
      <w:r w:rsidR="00B779DE" w:rsidRPr="00EA2BB6">
        <w:rPr>
          <w:rFonts w:asciiTheme="minorHAnsi" w:hAnsiTheme="minorHAnsi" w:cstheme="minorHAnsi"/>
          <w:bCs/>
          <w:spacing w:val="-8"/>
          <w:szCs w:val="20"/>
        </w:rPr>
        <w:t>GBS Infinity</w:t>
      </w:r>
      <w:r w:rsidRPr="00330B1D">
        <w:rPr>
          <w:rFonts w:asciiTheme="minorHAnsi" w:hAnsiTheme="minorHAnsi" w:cstheme="minorHAnsi"/>
          <w:b w:val="0"/>
          <w:spacing w:val="-8"/>
          <w:szCs w:val="20"/>
        </w:rPr>
        <w:t>”) entered into a number of placement letters with a number of persons (the “</w:t>
      </w:r>
      <w:r w:rsidR="00B779DE" w:rsidRPr="00EA2BB6">
        <w:rPr>
          <w:rFonts w:asciiTheme="minorHAnsi" w:hAnsiTheme="minorHAnsi" w:cstheme="minorHAnsi"/>
          <w:bCs/>
          <w:spacing w:val="-8"/>
          <w:szCs w:val="20"/>
        </w:rPr>
        <w:t xml:space="preserve">GBS Infinity </w:t>
      </w:r>
      <w:r w:rsidRPr="00EA2BB6">
        <w:rPr>
          <w:rFonts w:asciiTheme="minorHAnsi" w:hAnsiTheme="minorHAnsi" w:cstheme="minorHAnsi"/>
          <w:bCs/>
          <w:spacing w:val="-8"/>
          <w:szCs w:val="20"/>
        </w:rPr>
        <w:t xml:space="preserve">Placees”) </w:t>
      </w:r>
      <w:r w:rsidRPr="00330B1D">
        <w:rPr>
          <w:rFonts w:asciiTheme="minorHAnsi" w:hAnsiTheme="minorHAnsi" w:cstheme="minorHAnsi"/>
          <w:b w:val="0"/>
          <w:spacing w:val="-8"/>
          <w:szCs w:val="20"/>
        </w:rPr>
        <w:t xml:space="preserve">and </w:t>
      </w:r>
      <w:r w:rsidR="001B7322">
        <w:rPr>
          <w:rFonts w:asciiTheme="minorHAnsi" w:hAnsiTheme="minorHAnsi" w:cstheme="minorHAnsi"/>
          <w:b w:val="0"/>
          <w:spacing w:val="-8"/>
          <w:szCs w:val="20"/>
        </w:rPr>
        <w:t>ML Infinity Holding Ltd</w:t>
      </w:r>
      <w:r w:rsidRPr="00330B1D">
        <w:rPr>
          <w:rFonts w:asciiTheme="minorHAnsi" w:hAnsiTheme="minorHAnsi" w:cstheme="minorHAnsi"/>
          <w:b w:val="0"/>
          <w:spacing w:val="-8"/>
          <w:szCs w:val="20"/>
        </w:rPr>
        <w:t xml:space="preserve"> (“</w:t>
      </w:r>
      <w:r w:rsidR="001B7322" w:rsidRPr="00EA2BB6">
        <w:rPr>
          <w:rFonts w:asciiTheme="minorHAnsi" w:hAnsiTheme="minorHAnsi" w:cstheme="minorHAnsi"/>
          <w:bCs/>
          <w:spacing w:val="-8"/>
          <w:szCs w:val="20"/>
        </w:rPr>
        <w:t>ML Infinity</w:t>
      </w:r>
      <w:r w:rsidRPr="00330B1D">
        <w:rPr>
          <w:rFonts w:asciiTheme="minorHAnsi" w:hAnsiTheme="minorHAnsi" w:cstheme="minorHAnsi"/>
          <w:b w:val="0"/>
          <w:spacing w:val="-8"/>
          <w:szCs w:val="20"/>
        </w:rPr>
        <w:t>”) entered into a number of placement letters with a number of persons (the “</w:t>
      </w:r>
      <w:r w:rsidR="001B7322" w:rsidRPr="00EA2BB6">
        <w:rPr>
          <w:rFonts w:asciiTheme="minorHAnsi" w:hAnsiTheme="minorHAnsi" w:cstheme="minorHAnsi"/>
          <w:bCs/>
          <w:spacing w:val="-8"/>
          <w:szCs w:val="20"/>
        </w:rPr>
        <w:t xml:space="preserve">ML Infinity </w:t>
      </w:r>
      <w:r w:rsidRPr="00EA2BB6">
        <w:rPr>
          <w:rFonts w:asciiTheme="minorHAnsi" w:hAnsiTheme="minorHAnsi" w:cstheme="minorHAnsi"/>
          <w:bCs/>
          <w:spacing w:val="-8"/>
          <w:szCs w:val="20"/>
        </w:rPr>
        <w:t>Placees</w:t>
      </w:r>
      <w:r w:rsidRPr="00330B1D">
        <w:rPr>
          <w:rFonts w:asciiTheme="minorHAnsi" w:hAnsiTheme="minorHAnsi" w:cstheme="minorHAnsi"/>
          <w:b w:val="0"/>
          <w:spacing w:val="-8"/>
          <w:szCs w:val="20"/>
        </w:rPr>
        <w:t xml:space="preserve">”, together with the </w:t>
      </w:r>
      <w:r w:rsidR="00F75A45">
        <w:rPr>
          <w:rFonts w:asciiTheme="minorHAnsi" w:hAnsiTheme="minorHAnsi" w:cstheme="minorHAnsi"/>
          <w:b w:val="0"/>
          <w:spacing w:val="-8"/>
          <w:szCs w:val="20"/>
        </w:rPr>
        <w:t xml:space="preserve">GBS Infinity </w:t>
      </w:r>
      <w:r w:rsidRPr="00330B1D">
        <w:rPr>
          <w:rFonts w:asciiTheme="minorHAnsi" w:hAnsiTheme="minorHAnsi" w:cstheme="minorHAnsi"/>
          <w:b w:val="0"/>
          <w:spacing w:val="-8"/>
          <w:szCs w:val="20"/>
        </w:rPr>
        <w:t>Placees, the “</w:t>
      </w:r>
      <w:r w:rsidRPr="00EA2BB6">
        <w:rPr>
          <w:rFonts w:asciiTheme="minorHAnsi" w:hAnsiTheme="minorHAnsi" w:cstheme="minorHAnsi"/>
          <w:bCs/>
          <w:spacing w:val="-8"/>
          <w:szCs w:val="20"/>
        </w:rPr>
        <w:t>Placees</w:t>
      </w:r>
      <w:r w:rsidRPr="00330B1D">
        <w:rPr>
          <w:rFonts w:asciiTheme="minorHAnsi" w:hAnsiTheme="minorHAnsi" w:cstheme="minorHAnsi"/>
          <w:b w:val="0"/>
          <w:spacing w:val="-8"/>
          <w:szCs w:val="20"/>
        </w:rPr>
        <w:t xml:space="preserve">”). Under the terms of the relevant placement letter, each Placee agreed to acquire a number of Ordinary Shares from </w:t>
      </w:r>
      <w:r w:rsidR="00F75A45">
        <w:rPr>
          <w:rFonts w:asciiTheme="minorHAnsi" w:hAnsiTheme="minorHAnsi" w:cstheme="minorHAnsi"/>
          <w:b w:val="0"/>
          <w:spacing w:val="-8"/>
          <w:szCs w:val="20"/>
        </w:rPr>
        <w:t>GBS Infinity</w:t>
      </w:r>
      <w:r w:rsidRPr="00330B1D">
        <w:rPr>
          <w:rFonts w:asciiTheme="minorHAnsi" w:hAnsiTheme="minorHAnsi" w:cstheme="minorHAnsi"/>
          <w:b w:val="0"/>
          <w:spacing w:val="-8"/>
          <w:szCs w:val="20"/>
        </w:rPr>
        <w:t xml:space="preserve"> and/or </w:t>
      </w:r>
      <w:r w:rsidR="00F75A45">
        <w:rPr>
          <w:rFonts w:asciiTheme="minorHAnsi" w:hAnsiTheme="minorHAnsi" w:cstheme="minorHAnsi"/>
          <w:b w:val="0"/>
          <w:spacing w:val="-8"/>
          <w:szCs w:val="20"/>
        </w:rPr>
        <w:t>ML Infinity</w:t>
      </w:r>
      <w:r w:rsidRPr="00330B1D">
        <w:rPr>
          <w:rFonts w:asciiTheme="minorHAnsi" w:hAnsiTheme="minorHAnsi" w:cstheme="minorHAnsi"/>
          <w:b w:val="0"/>
          <w:spacing w:val="-8"/>
          <w:szCs w:val="20"/>
        </w:rPr>
        <w:t xml:space="preserve"> (the “</w:t>
      </w:r>
      <w:r w:rsidRPr="00EA2BB6">
        <w:rPr>
          <w:rFonts w:asciiTheme="minorHAnsi" w:hAnsiTheme="minorHAnsi" w:cstheme="minorHAnsi"/>
          <w:bCs/>
          <w:spacing w:val="-8"/>
          <w:szCs w:val="20"/>
        </w:rPr>
        <w:t>Placement</w:t>
      </w:r>
      <w:r w:rsidRPr="00330B1D">
        <w:rPr>
          <w:rFonts w:asciiTheme="minorHAnsi" w:hAnsiTheme="minorHAnsi" w:cstheme="minorHAnsi"/>
          <w:b w:val="0"/>
          <w:spacing w:val="-8"/>
          <w:szCs w:val="20"/>
        </w:rPr>
        <w:t xml:space="preserve">”). The Placement is conditional upon Re-Admission which is expected to occur on or around </w:t>
      </w:r>
      <w:r w:rsidR="00E860F5">
        <w:rPr>
          <w:rFonts w:asciiTheme="minorHAnsi" w:hAnsiTheme="minorHAnsi" w:cstheme="minorHAnsi"/>
          <w:b w:val="0"/>
          <w:spacing w:val="-8"/>
          <w:szCs w:val="20"/>
        </w:rPr>
        <w:t>26</w:t>
      </w:r>
      <w:r w:rsidRPr="00330B1D">
        <w:rPr>
          <w:rFonts w:asciiTheme="minorHAnsi" w:hAnsiTheme="minorHAnsi" w:cstheme="minorHAnsi"/>
          <w:b w:val="0"/>
          <w:spacing w:val="-8"/>
          <w:szCs w:val="20"/>
        </w:rPr>
        <w:t xml:space="preserve"> March 2020. The Placement enables the Company to increase the percentage of the Ordinary Shares being held by the public in one or more EEA States. Each placement letter contains a number of warranties which the relevant Placee is giving to </w:t>
      </w:r>
      <w:r w:rsidR="00F75A45">
        <w:rPr>
          <w:rFonts w:asciiTheme="minorHAnsi" w:hAnsiTheme="minorHAnsi" w:cstheme="minorHAnsi"/>
          <w:b w:val="0"/>
          <w:spacing w:val="-8"/>
          <w:szCs w:val="20"/>
        </w:rPr>
        <w:t xml:space="preserve">GBS Infinity </w:t>
      </w:r>
      <w:r w:rsidRPr="00330B1D">
        <w:rPr>
          <w:rFonts w:asciiTheme="minorHAnsi" w:hAnsiTheme="minorHAnsi" w:cstheme="minorHAnsi"/>
          <w:b w:val="0"/>
          <w:spacing w:val="-8"/>
          <w:szCs w:val="20"/>
        </w:rPr>
        <w:t xml:space="preserve">or </w:t>
      </w:r>
      <w:r w:rsidR="00F75A45">
        <w:rPr>
          <w:rFonts w:asciiTheme="minorHAnsi" w:hAnsiTheme="minorHAnsi" w:cstheme="minorHAnsi"/>
          <w:b w:val="0"/>
          <w:spacing w:val="-8"/>
          <w:szCs w:val="20"/>
        </w:rPr>
        <w:t xml:space="preserve">ML Infinity </w:t>
      </w:r>
      <w:r w:rsidRPr="00330B1D">
        <w:rPr>
          <w:rFonts w:asciiTheme="minorHAnsi" w:hAnsiTheme="minorHAnsi" w:cstheme="minorHAnsi"/>
          <w:b w:val="0"/>
          <w:spacing w:val="-8"/>
          <w:szCs w:val="20"/>
        </w:rPr>
        <w:t>(as applicable) including that the relevant Placee is a person who is not subject to lock-ins of more than 180 days and that his/her shares are held within the EEA, with a shareholding below 5%.</w:t>
      </w:r>
      <w:r w:rsidR="00B575FC">
        <w:rPr>
          <w:rFonts w:asciiTheme="minorHAnsi" w:hAnsiTheme="minorHAnsi" w:cstheme="minorHAnsi"/>
          <w:b w:val="0"/>
          <w:spacing w:val="-8"/>
          <w:szCs w:val="20"/>
        </w:rPr>
        <w:t xml:space="preserve"> </w:t>
      </w:r>
      <w:r w:rsidRPr="00330B1D">
        <w:rPr>
          <w:rFonts w:asciiTheme="minorHAnsi" w:hAnsiTheme="minorHAnsi" w:cstheme="minorHAnsi"/>
          <w:b w:val="0"/>
          <w:spacing w:val="-8"/>
          <w:szCs w:val="20"/>
        </w:rPr>
        <w:t xml:space="preserve">Each of the Placees has also signed an agreement with the Company under which it covenants to give the Company </w:t>
      </w:r>
      <w:r w:rsidR="00F75A45">
        <w:rPr>
          <w:rFonts w:asciiTheme="minorHAnsi" w:hAnsiTheme="minorHAnsi" w:cstheme="minorHAnsi"/>
          <w:b w:val="0"/>
          <w:spacing w:val="-8"/>
          <w:szCs w:val="20"/>
        </w:rPr>
        <w:t>five (</w:t>
      </w:r>
      <w:r w:rsidRPr="00330B1D">
        <w:rPr>
          <w:rFonts w:asciiTheme="minorHAnsi" w:hAnsiTheme="minorHAnsi" w:cstheme="minorHAnsi"/>
          <w:b w:val="0"/>
          <w:spacing w:val="-8"/>
          <w:szCs w:val="20"/>
        </w:rPr>
        <w:t>5</w:t>
      </w:r>
      <w:r w:rsidR="00F75A45">
        <w:rPr>
          <w:rFonts w:asciiTheme="minorHAnsi" w:hAnsiTheme="minorHAnsi" w:cstheme="minorHAnsi"/>
          <w:b w:val="0"/>
          <w:spacing w:val="-8"/>
          <w:szCs w:val="20"/>
        </w:rPr>
        <w:t>)</w:t>
      </w:r>
      <w:r w:rsidRPr="00330B1D">
        <w:rPr>
          <w:rFonts w:asciiTheme="minorHAnsi" w:hAnsiTheme="minorHAnsi" w:cstheme="minorHAnsi"/>
          <w:b w:val="0"/>
          <w:spacing w:val="-8"/>
          <w:szCs w:val="20"/>
        </w:rPr>
        <w:t xml:space="preserve"> London business days’ (being a day (other than a Saturday or a Sunday) on which banks are open for general business in London) notice of any intention to sell, transfer or dispose of the legal title to all</w:t>
      </w:r>
      <w:r w:rsidR="002B08FF">
        <w:rPr>
          <w:rFonts w:asciiTheme="minorHAnsi" w:hAnsiTheme="minorHAnsi" w:cstheme="minorHAnsi"/>
          <w:b w:val="0"/>
          <w:spacing w:val="-8"/>
          <w:szCs w:val="20"/>
        </w:rPr>
        <w:t xml:space="preserve"> </w:t>
      </w:r>
      <w:r w:rsidR="002B08FF" w:rsidRPr="002B08FF">
        <w:rPr>
          <w:rFonts w:asciiTheme="minorHAnsi" w:hAnsiTheme="minorHAnsi" w:cstheme="minorHAnsi"/>
          <w:b w:val="0"/>
          <w:spacing w:val="-8"/>
          <w:szCs w:val="20"/>
        </w:rPr>
        <w:t>or any of the shares relating to the Placement.</w:t>
      </w:r>
    </w:p>
    <w:p w14:paraId="0F7E6C97" w14:textId="7BD43B22"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 xml:space="preserve">Major Shareholders </w:t>
      </w:r>
    </w:p>
    <w:p w14:paraId="0B9D885F" w14:textId="07E3E5CC" w:rsidR="00FE74A5" w:rsidRPr="00762BFE" w:rsidRDefault="00D90E1F" w:rsidP="00EA2BB6">
      <w:pPr>
        <w:pStyle w:val="Heading2"/>
        <w:keepNext w:val="0"/>
        <w:widowControl w:val="0"/>
        <w:numPr>
          <w:ilvl w:val="1"/>
          <w:numId w:val="11"/>
        </w:numPr>
        <w:spacing w:before="0" w:after="160" w:line="240" w:lineRule="auto"/>
      </w:pPr>
      <w:bookmarkStart w:id="59" w:name="_Ref20477639"/>
      <w:r w:rsidRPr="009B546D">
        <w:rPr>
          <w:rFonts w:asciiTheme="minorHAnsi" w:hAnsiTheme="minorHAnsi" w:cstheme="minorHAnsi"/>
          <w:b w:val="0"/>
          <w:spacing w:val="-8"/>
          <w:szCs w:val="20"/>
        </w:rPr>
        <w:t xml:space="preserve">Save for the interests of the Existing Directors and the Proposed Director which are set out in paragraph </w:t>
      </w:r>
      <w:r w:rsidR="00746338" w:rsidRPr="009B546D">
        <w:rPr>
          <w:rFonts w:asciiTheme="minorHAnsi" w:hAnsiTheme="minorHAnsi" w:cstheme="minorHAnsi"/>
          <w:b w:val="0"/>
          <w:spacing w:val="-8"/>
          <w:szCs w:val="20"/>
        </w:rPr>
        <w:t>8</w:t>
      </w:r>
      <w:r w:rsidRPr="009B546D">
        <w:rPr>
          <w:rFonts w:asciiTheme="minorHAnsi" w:hAnsiTheme="minorHAnsi" w:cstheme="minorHAnsi"/>
          <w:b w:val="0"/>
          <w:spacing w:val="-8"/>
          <w:szCs w:val="20"/>
        </w:rPr>
        <w:t xml:space="preserve"> (Existing Directors’ and Proposed Director’s interests) of this Part </w:t>
      </w:r>
      <w:r w:rsidR="00A52DB2" w:rsidRPr="009B546D">
        <w:rPr>
          <w:rFonts w:asciiTheme="minorHAnsi" w:hAnsiTheme="minorHAnsi" w:cstheme="minorHAnsi"/>
          <w:b w:val="0"/>
          <w:spacing w:val="-8"/>
          <w:szCs w:val="20"/>
        </w:rPr>
        <w:t>XX</w:t>
      </w:r>
      <w:r w:rsidRPr="009B546D">
        <w:rPr>
          <w:rFonts w:asciiTheme="minorHAnsi" w:hAnsiTheme="minorHAnsi" w:cstheme="minorHAnsi"/>
          <w:b w:val="0"/>
          <w:spacing w:val="-8"/>
          <w:szCs w:val="20"/>
        </w:rPr>
        <w:t>, the Company was aware that the following persons were, or are likely to be, interested, directly or indirectly, in three (3) per cent. or more of the issued share capital of the Company as at the Latest Practicable Date and as expected to be the case at Re-Admission:</w:t>
      </w:r>
      <w:bookmarkEnd w:id="59"/>
    </w:p>
    <w:tbl>
      <w:tblPr>
        <w:tblW w:w="7220" w:type="dxa"/>
        <w:jc w:val="center"/>
        <w:tblLook w:val="04A0" w:firstRow="1" w:lastRow="0" w:firstColumn="1" w:lastColumn="0" w:noHBand="0" w:noVBand="1"/>
      </w:tblPr>
      <w:tblGrid>
        <w:gridCol w:w="3418"/>
        <w:gridCol w:w="1026"/>
        <w:gridCol w:w="1150"/>
        <w:gridCol w:w="1026"/>
        <w:gridCol w:w="1150"/>
      </w:tblGrid>
      <w:tr w:rsidR="00F0614B" w:rsidRPr="009B546D" w14:paraId="1C127864" w14:textId="77777777" w:rsidTr="0018789D">
        <w:trPr>
          <w:trHeight w:val="450"/>
          <w:jc w:val="center"/>
        </w:trPr>
        <w:tc>
          <w:tcPr>
            <w:tcW w:w="5289" w:type="dxa"/>
            <w:gridSpan w:val="3"/>
            <w:tcBorders>
              <w:top w:val="nil"/>
              <w:left w:val="nil"/>
              <w:bottom w:val="nil"/>
              <w:right w:val="nil"/>
            </w:tcBorders>
            <w:shd w:val="clear" w:color="auto" w:fill="auto"/>
            <w:vAlign w:val="center"/>
            <w:hideMark/>
          </w:tcPr>
          <w:p w14:paraId="3D3F1F2A" w14:textId="77777777" w:rsidR="00F0614B" w:rsidRPr="009B546D" w:rsidRDefault="00F0614B" w:rsidP="00496B89">
            <w:pPr>
              <w:spacing w:after="0" w:line="240" w:lineRule="auto"/>
              <w:jc w:val="right"/>
              <w:rPr>
                <w:rFonts w:eastAsia="Times New Roman" w:cstheme="minorHAnsi"/>
                <w:b/>
                <w:bCs/>
                <w:color w:val="000000"/>
                <w:szCs w:val="20"/>
                <w:lang w:eastAsia="en-GB"/>
              </w:rPr>
            </w:pPr>
            <w:r w:rsidRPr="009B546D">
              <w:rPr>
                <w:rFonts w:eastAsia="Times New Roman" w:cstheme="minorHAnsi"/>
                <w:b/>
                <w:bCs/>
                <w:color w:val="000000"/>
                <w:szCs w:val="20"/>
                <w:lang w:eastAsia="en-GB"/>
              </w:rPr>
              <w:t>As at the Latest Practicable Date</w:t>
            </w:r>
          </w:p>
        </w:tc>
        <w:tc>
          <w:tcPr>
            <w:tcW w:w="1931" w:type="dxa"/>
            <w:gridSpan w:val="2"/>
            <w:tcBorders>
              <w:top w:val="nil"/>
              <w:left w:val="nil"/>
              <w:bottom w:val="nil"/>
              <w:right w:val="nil"/>
            </w:tcBorders>
            <w:shd w:val="clear" w:color="auto" w:fill="auto"/>
            <w:vAlign w:val="center"/>
            <w:hideMark/>
          </w:tcPr>
          <w:p w14:paraId="399B7634" w14:textId="77777777" w:rsidR="00F0614B" w:rsidRPr="009B546D" w:rsidRDefault="00F0614B" w:rsidP="00F432B9">
            <w:pPr>
              <w:spacing w:after="0" w:line="240" w:lineRule="auto"/>
              <w:jc w:val="right"/>
              <w:rPr>
                <w:rFonts w:eastAsia="Times New Roman" w:cstheme="minorHAnsi"/>
                <w:b/>
                <w:bCs/>
                <w:color w:val="000000"/>
                <w:szCs w:val="20"/>
                <w:lang w:eastAsia="en-GB"/>
              </w:rPr>
            </w:pPr>
            <w:r w:rsidRPr="009B546D">
              <w:rPr>
                <w:rFonts w:eastAsia="Times New Roman" w:cstheme="minorHAnsi"/>
                <w:b/>
                <w:bCs/>
                <w:color w:val="000000"/>
                <w:szCs w:val="20"/>
                <w:lang w:eastAsia="en-GB"/>
              </w:rPr>
              <w:t>Upon Re-Admission</w:t>
            </w:r>
          </w:p>
        </w:tc>
      </w:tr>
      <w:tr w:rsidR="00F0614B" w:rsidRPr="009B546D" w14:paraId="09D12732" w14:textId="77777777" w:rsidTr="0018789D">
        <w:trPr>
          <w:trHeight w:val="1275"/>
          <w:jc w:val="center"/>
        </w:trPr>
        <w:tc>
          <w:tcPr>
            <w:tcW w:w="3418" w:type="dxa"/>
            <w:tcBorders>
              <w:top w:val="nil"/>
              <w:left w:val="nil"/>
              <w:bottom w:val="nil"/>
              <w:right w:val="nil"/>
            </w:tcBorders>
            <w:shd w:val="clear" w:color="auto" w:fill="auto"/>
            <w:vAlign w:val="center"/>
            <w:hideMark/>
          </w:tcPr>
          <w:p w14:paraId="0BA16375" w14:textId="77777777" w:rsidR="00F0614B" w:rsidRPr="009B546D" w:rsidRDefault="00F0614B" w:rsidP="00496B89">
            <w:pPr>
              <w:spacing w:after="0" w:line="240" w:lineRule="auto"/>
              <w:rPr>
                <w:rFonts w:eastAsia="Times New Roman" w:cstheme="minorHAnsi"/>
                <w:b/>
                <w:bCs/>
                <w:color w:val="000000"/>
                <w:szCs w:val="20"/>
                <w:lang w:eastAsia="en-GB"/>
              </w:rPr>
            </w:pPr>
            <w:r w:rsidRPr="009B546D">
              <w:rPr>
                <w:rFonts w:eastAsia="Times New Roman" w:cstheme="minorHAnsi"/>
                <w:b/>
                <w:bCs/>
                <w:color w:val="000000"/>
                <w:szCs w:val="20"/>
                <w:lang w:eastAsia="en-GB"/>
              </w:rPr>
              <w:t>Name</w:t>
            </w:r>
          </w:p>
        </w:tc>
        <w:tc>
          <w:tcPr>
            <w:tcW w:w="865" w:type="dxa"/>
            <w:tcBorders>
              <w:top w:val="nil"/>
              <w:left w:val="nil"/>
              <w:bottom w:val="nil"/>
              <w:right w:val="nil"/>
            </w:tcBorders>
            <w:shd w:val="clear" w:color="auto" w:fill="auto"/>
            <w:vAlign w:val="center"/>
            <w:hideMark/>
          </w:tcPr>
          <w:p w14:paraId="49712BC9" w14:textId="77777777" w:rsidR="00F0614B" w:rsidRPr="009B546D" w:rsidRDefault="00F0614B" w:rsidP="00F432B9">
            <w:pPr>
              <w:spacing w:after="0" w:line="240" w:lineRule="auto"/>
              <w:jc w:val="right"/>
              <w:rPr>
                <w:rFonts w:eastAsia="Times New Roman" w:cstheme="minorHAnsi"/>
                <w:b/>
                <w:bCs/>
                <w:color w:val="000000"/>
                <w:szCs w:val="20"/>
                <w:lang w:eastAsia="en-GB"/>
              </w:rPr>
            </w:pPr>
            <w:r w:rsidRPr="009B546D">
              <w:rPr>
                <w:rFonts w:eastAsia="Times New Roman" w:cstheme="minorHAnsi"/>
                <w:b/>
                <w:bCs/>
                <w:color w:val="000000"/>
                <w:szCs w:val="20"/>
                <w:lang w:eastAsia="en-GB"/>
              </w:rPr>
              <w:t>Number of Ordinary Shares held</w:t>
            </w:r>
          </w:p>
        </w:tc>
        <w:tc>
          <w:tcPr>
            <w:tcW w:w="1006" w:type="dxa"/>
            <w:tcBorders>
              <w:top w:val="nil"/>
              <w:left w:val="nil"/>
              <w:bottom w:val="nil"/>
              <w:right w:val="nil"/>
            </w:tcBorders>
            <w:shd w:val="clear" w:color="auto" w:fill="auto"/>
            <w:vAlign w:val="center"/>
            <w:hideMark/>
          </w:tcPr>
          <w:p w14:paraId="15A9A546" w14:textId="77777777" w:rsidR="00F0614B" w:rsidRPr="009B546D" w:rsidRDefault="00F0614B" w:rsidP="00F432B9">
            <w:pPr>
              <w:spacing w:after="0" w:line="240" w:lineRule="auto"/>
              <w:jc w:val="right"/>
              <w:rPr>
                <w:rFonts w:eastAsia="Times New Roman" w:cstheme="minorHAnsi"/>
                <w:b/>
                <w:bCs/>
                <w:color w:val="000000"/>
                <w:szCs w:val="20"/>
                <w:lang w:eastAsia="en-GB"/>
              </w:rPr>
            </w:pPr>
            <w:r w:rsidRPr="009B546D">
              <w:rPr>
                <w:rFonts w:eastAsia="Times New Roman" w:cstheme="minorHAnsi"/>
                <w:b/>
                <w:bCs/>
                <w:color w:val="000000"/>
                <w:szCs w:val="20"/>
                <w:lang w:eastAsia="en-GB"/>
              </w:rPr>
              <w:t>Percentage of Ordinary Shares</w:t>
            </w:r>
          </w:p>
        </w:tc>
        <w:tc>
          <w:tcPr>
            <w:tcW w:w="851" w:type="dxa"/>
            <w:tcBorders>
              <w:top w:val="nil"/>
              <w:left w:val="nil"/>
              <w:bottom w:val="nil"/>
              <w:right w:val="nil"/>
            </w:tcBorders>
            <w:shd w:val="clear" w:color="auto" w:fill="auto"/>
            <w:vAlign w:val="center"/>
            <w:hideMark/>
          </w:tcPr>
          <w:p w14:paraId="28362D72" w14:textId="77777777" w:rsidR="00F0614B" w:rsidRPr="009B546D" w:rsidRDefault="00F0614B" w:rsidP="00F432B9">
            <w:pPr>
              <w:spacing w:after="0" w:line="240" w:lineRule="auto"/>
              <w:jc w:val="right"/>
              <w:rPr>
                <w:rFonts w:eastAsia="Times New Roman" w:cstheme="minorHAnsi"/>
                <w:b/>
                <w:bCs/>
                <w:color w:val="000000"/>
                <w:szCs w:val="20"/>
                <w:lang w:eastAsia="en-GB"/>
              </w:rPr>
            </w:pPr>
            <w:r w:rsidRPr="009B546D">
              <w:rPr>
                <w:rFonts w:eastAsia="Times New Roman" w:cstheme="minorHAnsi"/>
                <w:b/>
                <w:bCs/>
                <w:color w:val="000000"/>
                <w:szCs w:val="20"/>
                <w:lang w:eastAsia="en-GB"/>
              </w:rPr>
              <w:t>Number of Ordinary Shares held</w:t>
            </w:r>
          </w:p>
        </w:tc>
        <w:tc>
          <w:tcPr>
            <w:tcW w:w="1080" w:type="dxa"/>
            <w:tcBorders>
              <w:top w:val="nil"/>
              <w:left w:val="nil"/>
              <w:bottom w:val="nil"/>
              <w:right w:val="nil"/>
            </w:tcBorders>
            <w:shd w:val="clear" w:color="auto" w:fill="auto"/>
            <w:vAlign w:val="center"/>
            <w:hideMark/>
          </w:tcPr>
          <w:p w14:paraId="417A3F0A" w14:textId="77777777" w:rsidR="00F0614B" w:rsidRPr="009B546D" w:rsidRDefault="00F0614B" w:rsidP="00F432B9">
            <w:pPr>
              <w:spacing w:after="0" w:line="240" w:lineRule="auto"/>
              <w:jc w:val="right"/>
              <w:rPr>
                <w:rFonts w:eastAsia="Times New Roman" w:cstheme="minorHAnsi"/>
                <w:b/>
                <w:bCs/>
                <w:color w:val="000000"/>
                <w:szCs w:val="20"/>
                <w:lang w:eastAsia="en-GB"/>
              </w:rPr>
            </w:pPr>
            <w:r w:rsidRPr="009B546D">
              <w:rPr>
                <w:rFonts w:eastAsia="Times New Roman" w:cstheme="minorHAnsi"/>
                <w:b/>
                <w:bCs/>
                <w:color w:val="000000"/>
                <w:szCs w:val="20"/>
                <w:lang w:eastAsia="en-GB"/>
              </w:rPr>
              <w:t>Percentage of Enlarged Share Capital</w:t>
            </w:r>
          </w:p>
        </w:tc>
      </w:tr>
      <w:tr w:rsidR="00F0614B" w:rsidRPr="009B546D" w14:paraId="6E3C1432" w14:textId="77777777" w:rsidTr="0018789D">
        <w:trPr>
          <w:trHeight w:val="225"/>
          <w:jc w:val="center"/>
        </w:trPr>
        <w:tc>
          <w:tcPr>
            <w:tcW w:w="3418" w:type="dxa"/>
            <w:tcBorders>
              <w:top w:val="nil"/>
              <w:left w:val="nil"/>
              <w:bottom w:val="nil"/>
              <w:right w:val="nil"/>
            </w:tcBorders>
            <w:shd w:val="clear" w:color="auto" w:fill="auto"/>
            <w:noWrap/>
            <w:vAlign w:val="bottom"/>
            <w:hideMark/>
          </w:tcPr>
          <w:p w14:paraId="37D9645C" w14:textId="3DAE5F2C" w:rsidR="00F0614B" w:rsidRPr="00154BDB" w:rsidRDefault="001F7270" w:rsidP="00496B89">
            <w:pPr>
              <w:spacing w:after="0" w:line="240" w:lineRule="auto"/>
              <w:jc w:val="left"/>
              <w:rPr>
                <w:rFonts w:eastAsia="Times New Roman" w:cstheme="minorHAnsi"/>
                <w:color w:val="262626"/>
                <w:szCs w:val="20"/>
                <w:lang w:eastAsia="en-GB"/>
              </w:rPr>
            </w:pPr>
            <w:r w:rsidRPr="00154BDB">
              <w:rPr>
                <w:rFonts w:eastAsia="Times New Roman" w:cstheme="minorHAnsi"/>
                <w:color w:val="262626"/>
                <w:szCs w:val="20"/>
                <w:lang w:eastAsia="en-GB"/>
              </w:rPr>
              <w:t>Soctech Capital Fund</w:t>
            </w:r>
            <w:r w:rsidR="00F0614B" w:rsidRPr="00154BDB">
              <w:rPr>
                <w:rFonts w:eastAsia="Times New Roman" w:cstheme="minorHAnsi"/>
                <w:color w:val="262626"/>
                <w:szCs w:val="20"/>
                <w:lang w:eastAsia="en-GB"/>
              </w:rPr>
              <w:t xml:space="preserve"> </w:t>
            </w:r>
            <w:r w:rsidR="00D6587B" w:rsidRPr="00154BDB">
              <w:rPr>
                <w:rFonts w:eastAsia="Times New Roman" w:cstheme="minorHAnsi"/>
                <w:color w:val="262626"/>
                <w:szCs w:val="20"/>
                <w:vertAlign w:val="superscript"/>
                <w:lang w:eastAsia="en-GB"/>
              </w:rPr>
              <w:t>(1)</w:t>
            </w:r>
          </w:p>
        </w:tc>
        <w:tc>
          <w:tcPr>
            <w:tcW w:w="865" w:type="dxa"/>
            <w:tcBorders>
              <w:top w:val="nil"/>
              <w:left w:val="nil"/>
              <w:bottom w:val="nil"/>
              <w:right w:val="nil"/>
            </w:tcBorders>
            <w:shd w:val="clear" w:color="auto" w:fill="auto"/>
            <w:noWrap/>
            <w:vAlign w:val="bottom"/>
            <w:hideMark/>
          </w:tcPr>
          <w:p w14:paraId="29EBE3EE" w14:textId="77777777" w:rsidR="00F0614B" w:rsidRPr="00154BDB" w:rsidRDefault="00F0614B" w:rsidP="00F432B9">
            <w:pPr>
              <w:spacing w:after="0" w:line="240" w:lineRule="auto"/>
              <w:jc w:val="right"/>
              <w:rPr>
                <w:rFonts w:eastAsia="Times New Roman" w:cstheme="minorHAnsi"/>
                <w:color w:val="262626"/>
                <w:szCs w:val="20"/>
                <w:lang w:eastAsia="en-GB"/>
              </w:rPr>
            </w:pPr>
            <w:r w:rsidRPr="00154BDB">
              <w:rPr>
                <w:rFonts w:eastAsia="Times New Roman" w:cstheme="minorHAnsi"/>
                <w:color w:val="262626"/>
                <w:szCs w:val="20"/>
                <w:lang w:eastAsia="en-GB"/>
              </w:rPr>
              <w:t xml:space="preserve">- </w:t>
            </w:r>
          </w:p>
        </w:tc>
        <w:tc>
          <w:tcPr>
            <w:tcW w:w="1006" w:type="dxa"/>
            <w:tcBorders>
              <w:top w:val="nil"/>
              <w:left w:val="nil"/>
              <w:bottom w:val="nil"/>
              <w:right w:val="nil"/>
            </w:tcBorders>
            <w:shd w:val="clear" w:color="auto" w:fill="auto"/>
            <w:noWrap/>
            <w:vAlign w:val="bottom"/>
            <w:hideMark/>
          </w:tcPr>
          <w:p w14:paraId="5993F860" w14:textId="77777777" w:rsidR="00F0614B" w:rsidRPr="00154BDB" w:rsidRDefault="00F0614B" w:rsidP="00F432B9">
            <w:pPr>
              <w:spacing w:after="0" w:line="240" w:lineRule="auto"/>
              <w:jc w:val="right"/>
              <w:rPr>
                <w:rFonts w:eastAsia="Times New Roman" w:cstheme="minorHAnsi"/>
                <w:color w:val="262626"/>
                <w:szCs w:val="20"/>
                <w:lang w:eastAsia="en-GB"/>
              </w:rPr>
            </w:pPr>
            <w:r w:rsidRPr="00154BDB">
              <w:rPr>
                <w:rFonts w:eastAsia="Times New Roman" w:cstheme="minorHAnsi"/>
                <w:color w:val="262626"/>
                <w:szCs w:val="20"/>
                <w:lang w:eastAsia="en-GB"/>
              </w:rPr>
              <w:t xml:space="preserve">- </w:t>
            </w:r>
          </w:p>
        </w:tc>
        <w:tc>
          <w:tcPr>
            <w:tcW w:w="851" w:type="dxa"/>
            <w:tcBorders>
              <w:top w:val="nil"/>
              <w:left w:val="nil"/>
              <w:bottom w:val="nil"/>
              <w:right w:val="nil"/>
            </w:tcBorders>
            <w:shd w:val="clear" w:color="auto" w:fill="auto"/>
            <w:noWrap/>
            <w:vAlign w:val="bottom"/>
            <w:hideMark/>
          </w:tcPr>
          <w:p w14:paraId="1CAC6FB1" w14:textId="77777777" w:rsidR="00F0614B" w:rsidRPr="00154BDB" w:rsidRDefault="00F0614B" w:rsidP="00F432B9">
            <w:pPr>
              <w:spacing w:after="0" w:line="240" w:lineRule="auto"/>
              <w:jc w:val="right"/>
              <w:rPr>
                <w:rFonts w:eastAsia="Times New Roman" w:cstheme="minorHAnsi"/>
                <w:color w:val="262626"/>
                <w:szCs w:val="20"/>
                <w:lang w:eastAsia="en-GB"/>
              </w:rPr>
            </w:pPr>
            <w:r w:rsidRPr="00154BDB">
              <w:rPr>
                <w:rFonts w:eastAsia="Times New Roman" w:cstheme="minorHAnsi"/>
                <w:color w:val="262626"/>
                <w:szCs w:val="20"/>
                <w:lang w:eastAsia="en-GB"/>
              </w:rPr>
              <w:t xml:space="preserve">8,398,876 </w:t>
            </w:r>
          </w:p>
        </w:tc>
        <w:tc>
          <w:tcPr>
            <w:tcW w:w="1080" w:type="dxa"/>
            <w:tcBorders>
              <w:top w:val="nil"/>
              <w:left w:val="nil"/>
              <w:bottom w:val="nil"/>
              <w:right w:val="nil"/>
            </w:tcBorders>
            <w:shd w:val="clear" w:color="auto" w:fill="auto"/>
            <w:noWrap/>
            <w:vAlign w:val="bottom"/>
            <w:hideMark/>
          </w:tcPr>
          <w:p w14:paraId="1E459399" w14:textId="77777777" w:rsidR="00F0614B" w:rsidRPr="00154BDB" w:rsidRDefault="00F0614B" w:rsidP="00F432B9">
            <w:pPr>
              <w:spacing w:after="0" w:line="240" w:lineRule="auto"/>
              <w:jc w:val="right"/>
              <w:rPr>
                <w:rFonts w:eastAsia="Times New Roman" w:cstheme="minorHAnsi"/>
                <w:color w:val="262626"/>
                <w:szCs w:val="20"/>
                <w:lang w:eastAsia="en-GB"/>
              </w:rPr>
            </w:pPr>
            <w:r w:rsidRPr="00154BDB">
              <w:rPr>
                <w:rFonts w:eastAsia="Times New Roman" w:cstheme="minorHAnsi"/>
                <w:color w:val="262626"/>
                <w:szCs w:val="20"/>
                <w:lang w:eastAsia="en-GB"/>
              </w:rPr>
              <w:t>12.97%</w:t>
            </w:r>
          </w:p>
        </w:tc>
      </w:tr>
      <w:tr w:rsidR="00F0614B" w:rsidRPr="009B546D" w14:paraId="3D289ABC" w14:textId="77777777" w:rsidTr="0018789D">
        <w:trPr>
          <w:trHeight w:val="225"/>
          <w:jc w:val="center"/>
        </w:trPr>
        <w:tc>
          <w:tcPr>
            <w:tcW w:w="3418" w:type="dxa"/>
            <w:tcBorders>
              <w:top w:val="nil"/>
              <w:left w:val="nil"/>
              <w:bottom w:val="nil"/>
              <w:right w:val="nil"/>
            </w:tcBorders>
            <w:shd w:val="clear" w:color="auto" w:fill="auto"/>
            <w:noWrap/>
            <w:vAlign w:val="bottom"/>
            <w:hideMark/>
          </w:tcPr>
          <w:p w14:paraId="11DFA42C" w14:textId="754095EE" w:rsidR="00F0614B" w:rsidRPr="00154BDB" w:rsidRDefault="0004271A" w:rsidP="00496B89">
            <w:pPr>
              <w:spacing w:after="0" w:line="240" w:lineRule="auto"/>
              <w:jc w:val="left"/>
              <w:rPr>
                <w:rFonts w:eastAsia="Times New Roman" w:cstheme="minorHAnsi"/>
                <w:color w:val="262626"/>
                <w:szCs w:val="20"/>
                <w:lang w:eastAsia="en-GB"/>
              </w:rPr>
            </w:pPr>
            <w:r w:rsidRPr="00154BDB">
              <w:rPr>
                <w:rFonts w:eastAsia="Times New Roman" w:cstheme="minorHAnsi"/>
                <w:color w:val="262626"/>
                <w:szCs w:val="20"/>
                <w:lang w:eastAsia="en-GB"/>
              </w:rPr>
              <w:t>JIM Nominees Limited</w:t>
            </w:r>
            <w:r w:rsidR="00F0614B" w:rsidRPr="00154BDB">
              <w:rPr>
                <w:rFonts w:eastAsia="Times New Roman" w:cstheme="minorHAnsi"/>
                <w:color w:val="262626"/>
                <w:szCs w:val="20"/>
                <w:lang w:eastAsia="en-GB"/>
              </w:rPr>
              <w:t xml:space="preserve"> </w:t>
            </w:r>
            <w:r w:rsidR="00E75F4F" w:rsidRPr="00154BDB">
              <w:rPr>
                <w:rFonts w:eastAsia="Times New Roman" w:cstheme="minorHAnsi"/>
                <w:color w:val="262626"/>
                <w:szCs w:val="20"/>
                <w:vertAlign w:val="superscript"/>
                <w:lang w:eastAsia="en-GB"/>
              </w:rPr>
              <w:t>(2)</w:t>
            </w:r>
          </w:p>
        </w:tc>
        <w:tc>
          <w:tcPr>
            <w:tcW w:w="865" w:type="dxa"/>
            <w:tcBorders>
              <w:top w:val="nil"/>
              <w:left w:val="nil"/>
              <w:bottom w:val="nil"/>
              <w:right w:val="nil"/>
            </w:tcBorders>
            <w:shd w:val="clear" w:color="auto" w:fill="auto"/>
            <w:noWrap/>
            <w:vAlign w:val="bottom"/>
            <w:hideMark/>
          </w:tcPr>
          <w:p w14:paraId="4BA9F5F0" w14:textId="49C4B855" w:rsidR="00F0614B" w:rsidRPr="00154BDB" w:rsidRDefault="00F0614B" w:rsidP="00F432B9">
            <w:pPr>
              <w:spacing w:after="0" w:line="240" w:lineRule="auto"/>
              <w:jc w:val="right"/>
              <w:rPr>
                <w:rFonts w:eastAsia="Times New Roman" w:cstheme="minorHAnsi"/>
                <w:color w:val="262626"/>
                <w:szCs w:val="20"/>
                <w:lang w:eastAsia="en-GB"/>
              </w:rPr>
            </w:pPr>
            <w:r w:rsidRPr="00154BDB">
              <w:rPr>
                <w:rFonts w:eastAsia="Times New Roman" w:cstheme="minorHAnsi"/>
                <w:color w:val="262626"/>
                <w:szCs w:val="20"/>
                <w:lang w:eastAsia="en-GB"/>
              </w:rPr>
              <w:t>6,475,</w:t>
            </w:r>
            <w:r w:rsidR="0015636B" w:rsidRPr="00154BDB">
              <w:rPr>
                <w:rFonts w:eastAsia="Times New Roman" w:cstheme="minorHAnsi"/>
                <w:color w:val="262626"/>
                <w:szCs w:val="20"/>
                <w:lang w:eastAsia="en-GB"/>
              </w:rPr>
              <w:t>975</w:t>
            </w:r>
          </w:p>
        </w:tc>
        <w:tc>
          <w:tcPr>
            <w:tcW w:w="1006" w:type="dxa"/>
            <w:tcBorders>
              <w:top w:val="nil"/>
              <w:left w:val="nil"/>
              <w:bottom w:val="nil"/>
              <w:right w:val="nil"/>
            </w:tcBorders>
            <w:shd w:val="clear" w:color="auto" w:fill="auto"/>
            <w:noWrap/>
            <w:vAlign w:val="bottom"/>
            <w:hideMark/>
          </w:tcPr>
          <w:p w14:paraId="524CDCBE" w14:textId="77777777" w:rsidR="00F0614B" w:rsidRPr="00154BDB" w:rsidRDefault="00F0614B" w:rsidP="00F432B9">
            <w:pPr>
              <w:spacing w:after="0" w:line="240" w:lineRule="auto"/>
              <w:jc w:val="right"/>
              <w:rPr>
                <w:rFonts w:eastAsia="Times New Roman" w:cstheme="minorHAnsi"/>
                <w:color w:val="262626"/>
                <w:szCs w:val="20"/>
                <w:lang w:eastAsia="en-GB"/>
              </w:rPr>
            </w:pPr>
            <w:r w:rsidRPr="00154BDB">
              <w:rPr>
                <w:rFonts w:eastAsia="Times New Roman" w:cstheme="minorHAnsi"/>
                <w:color w:val="262626"/>
                <w:szCs w:val="20"/>
                <w:lang w:eastAsia="en-GB"/>
              </w:rPr>
              <w:t>12.49%</w:t>
            </w:r>
          </w:p>
        </w:tc>
        <w:tc>
          <w:tcPr>
            <w:tcW w:w="851" w:type="dxa"/>
            <w:tcBorders>
              <w:top w:val="nil"/>
              <w:left w:val="nil"/>
              <w:bottom w:val="nil"/>
              <w:right w:val="nil"/>
            </w:tcBorders>
            <w:shd w:val="clear" w:color="auto" w:fill="auto"/>
            <w:noWrap/>
            <w:vAlign w:val="bottom"/>
            <w:hideMark/>
          </w:tcPr>
          <w:p w14:paraId="69BD35B8" w14:textId="1AE06BE0" w:rsidR="00F0614B" w:rsidRPr="00154BDB" w:rsidRDefault="00F0614B" w:rsidP="00F432B9">
            <w:pPr>
              <w:spacing w:after="0" w:line="240" w:lineRule="auto"/>
              <w:jc w:val="right"/>
              <w:rPr>
                <w:rFonts w:eastAsia="Times New Roman" w:cstheme="minorHAnsi"/>
                <w:color w:val="262626"/>
                <w:szCs w:val="20"/>
                <w:lang w:eastAsia="en-GB"/>
              </w:rPr>
            </w:pPr>
            <w:r w:rsidRPr="00154BDB">
              <w:rPr>
                <w:rFonts w:eastAsia="Times New Roman" w:cstheme="minorHAnsi"/>
                <w:color w:val="262626"/>
                <w:szCs w:val="20"/>
                <w:lang w:eastAsia="en-GB"/>
              </w:rPr>
              <w:t>6,475,</w:t>
            </w:r>
            <w:r w:rsidR="00631779" w:rsidRPr="00154BDB">
              <w:rPr>
                <w:rFonts w:eastAsia="Times New Roman" w:cstheme="minorHAnsi"/>
                <w:color w:val="262626"/>
                <w:szCs w:val="20"/>
                <w:lang w:eastAsia="en-GB"/>
              </w:rPr>
              <w:t>975</w:t>
            </w:r>
            <w:r w:rsidRPr="00154BDB">
              <w:rPr>
                <w:rFonts w:eastAsia="Times New Roman" w:cstheme="minorHAnsi"/>
                <w:color w:val="262626"/>
                <w:szCs w:val="20"/>
                <w:lang w:eastAsia="en-GB"/>
              </w:rPr>
              <w:t xml:space="preserve"> </w:t>
            </w:r>
          </w:p>
        </w:tc>
        <w:tc>
          <w:tcPr>
            <w:tcW w:w="1080" w:type="dxa"/>
            <w:tcBorders>
              <w:top w:val="nil"/>
              <w:left w:val="nil"/>
              <w:bottom w:val="nil"/>
              <w:right w:val="nil"/>
            </w:tcBorders>
            <w:shd w:val="clear" w:color="auto" w:fill="auto"/>
            <w:noWrap/>
            <w:vAlign w:val="bottom"/>
            <w:hideMark/>
          </w:tcPr>
          <w:p w14:paraId="1AC2C5BD" w14:textId="77777777" w:rsidR="00F0614B" w:rsidRPr="00154BDB" w:rsidRDefault="00F0614B" w:rsidP="00F432B9">
            <w:pPr>
              <w:spacing w:after="0" w:line="240" w:lineRule="auto"/>
              <w:jc w:val="right"/>
              <w:rPr>
                <w:rFonts w:eastAsia="Times New Roman" w:cstheme="minorHAnsi"/>
                <w:color w:val="262626"/>
                <w:szCs w:val="20"/>
                <w:lang w:eastAsia="en-GB"/>
              </w:rPr>
            </w:pPr>
            <w:r w:rsidRPr="00154BDB">
              <w:rPr>
                <w:rFonts w:eastAsia="Times New Roman" w:cstheme="minorHAnsi"/>
                <w:color w:val="262626"/>
                <w:szCs w:val="20"/>
                <w:lang w:eastAsia="en-GB"/>
              </w:rPr>
              <w:t>10.00%</w:t>
            </w:r>
          </w:p>
        </w:tc>
      </w:tr>
      <w:tr w:rsidR="00F0614B" w:rsidRPr="009B546D" w14:paraId="1CA94214" w14:textId="77777777" w:rsidTr="0018789D">
        <w:trPr>
          <w:trHeight w:val="225"/>
          <w:jc w:val="center"/>
        </w:trPr>
        <w:tc>
          <w:tcPr>
            <w:tcW w:w="3418" w:type="dxa"/>
            <w:tcBorders>
              <w:top w:val="nil"/>
              <w:left w:val="nil"/>
              <w:bottom w:val="nil"/>
              <w:right w:val="nil"/>
            </w:tcBorders>
            <w:shd w:val="clear" w:color="auto" w:fill="auto"/>
            <w:noWrap/>
            <w:vAlign w:val="bottom"/>
            <w:hideMark/>
          </w:tcPr>
          <w:p w14:paraId="59C4E52E" w14:textId="2E971F6E" w:rsidR="00F0614B" w:rsidRPr="00154BDB" w:rsidRDefault="0004271A" w:rsidP="00496B89">
            <w:pPr>
              <w:spacing w:after="0" w:line="240" w:lineRule="auto"/>
              <w:jc w:val="left"/>
              <w:rPr>
                <w:rFonts w:eastAsia="Times New Roman" w:cstheme="minorHAnsi"/>
                <w:color w:val="262626"/>
                <w:szCs w:val="20"/>
                <w:lang w:eastAsia="en-GB"/>
              </w:rPr>
            </w:pPr>
            <w:r w:rsidRPr="00154BDB">
              <w:rPr>
                <w:rFonts w:eastAsia="Times New Roman" w:cstheme="minorHAnsi"/>
                <w:color w:val="262626"/>
                <w:szCs w:val="20"/>
                <w:lang w:eastAsia="en-GB"/>
              </w:rPr>
              <w:t>Securities Services Nominees Limited</w:t>
            </w:r>
            <w:r w:rsidR="00F0614B" w:rsidRPr="00154BDB">
              <w:rPr>
                <w:rFonts w:eastAsia="Times New Roman" w:cstheme="minorHAnsi"/>
                <w:color w:val="262626"/>
                <w:szCs w:val="20"/>
                <w:lang w:eastAsia="en-GB"/>
              </w:rPr>
              <w:t xml:space="preserve"> </w:t>
            </w:r>
          </w:p>
        </w:tc>
        <w:tc>
          <w:tcPr>
            <w:tcW w:w="865" w:type="dxa"/>
            <w:tcBorders>
              <w:top w:val="nil"/>
              <w:left w:val="nil"/>
              <w:bottom w:val="nil"/>
              <w:right w:val="nil"/>
            </w:tcBorders>
            <w:shd w:val="clear" w:color="auto" w:fill="auto"/>
            <w:noWrap/>
            <w:vAlign w:val="bottom"/>
            <w:hideMark/>
          </w:tcPr>
          <w:p w14:paraId="7198E91A" w14:textId="77777777" w:rsidR="00F0614B" w:rsidRPr="00154BDB" w:rsidRDefault="00F0614B" w:rsidP="00F432B9">
            <w:pPr>
              <w:spacing w:after="0" w:line="240" w:lineRule="auto"/>
              <w:jc w:val="right"/>
              <w:rPr>
                <w:rFonts w:eastAsia="Times New Roman" w:cstheme="minorHAnsi"/>
                <w:color w:val="262626"/>
                <w:szCs w:val="20"/>
                <w:lang w:eastAsia="en-GB"/>
              </w:rPr>
            </w:pPr>
            <w:r w:rsidRPr="00154BDB">
              <w:rPr>
                <w:rFonts w:eastAsia="Times New Roman" w:cstheme="minorHAnsi"/>
                <w:color w:val="262626"/>
                <w:szCs w:val="20"/>
                <w:lang w:eastAsia="en-GB"/>
              </w:rPr>
              <w:t xml:space="preserve">6,196,067 </w:t>
            </w:r>
          </w:p>
        </w:tc>
        <w:tc>
          <w:tcPr>
            <w:tcW w:w="1006" w:type="dxa"/>
            <w:tcBorders>
              <w:top w:val="nil"/>
              <w:left w:val="nil"/>
              <w:bottom w:val="nil"/>
              <w:right w:val="nil"/>
            </w:tcBorders>
            <w:shd w:val="clear" w:color="auto" w:fill="auto"/>
            <w:noWrap/>
            <w:vAlign w:val="bottom"/>
            <w:hideMark/>
          </w:tcPr>
          <w:p w14:paraId="12339105" w14:textId="77777777" w:rsidR="00F0614B" w:rsidRPr="00154BDB" w:rsidRDefault="00F0614B" w:rsidP="00F432B9">
            <w:pPr>
              <w:spacing w:after="0" w:line="240" w:lineRule="auto"/>
              <w:jc w:val="right"/>
              <w:rPr>
                <w:rFonts w:eastAsia="Times New Roman" w:cstheme="minorHAnsi"/>
                <w:color w:val="262626"/>
                <w:szCs w:val="20"/>
                <w:lang w:eastAsia="en-GB"/>
              </w:rPr>
            </w:pPr>
            <w:r w:rsidRPr="00154BDB">
              <w:rPr>
                <w:rFonts w:eastAsia="Times New Roman" w:cstheme="minorHAnsi"/>
                <w:color w:val="262626"/>
                <w:szCs w:val="20"/>
                <w:lang w:eastAsia="en-GB"/>
              </w:rPr>
              <w:t>11.95%</w:t>
            </w:r>
          </w:p>
        </w:tc>
        <w:tc>
          <w:tcPr>
            <w:tcW w:w="851" w:type="dxa"/>
            <w:tcBorders>
              <w:top w:val="nil"/>
              <w:left w:val="nil"/>
              <w:bottom w:val="nil"/>
              <w:right w:val="nil"/>
            </w:tcBorders>
            <w:shd w:val="clear" w:color="auto" w:fill="auto"/>
            <w:noWrap/>
            <w:vAlign w:val="bottom"/>
            <w:hideMark/>
          </w:tcPr>
          <w:p w14:paraId="5F4F28FB" w14:textId="77777777" w:rsidR="00F0614B" w:rsidRPr="00154BDB" w:rsidRDefault="00F0614B" w:rsidP="00F432B9">
            <w:pPr>
              <w:spacing w:after="0" w:line="240" w:lineRule="auto"/>
              <w:jc w:val="right"/>
              <w:rPr>
                <w:rFonts w:eastAsia="Times New Roman" w:cstheme="minorHAnsi"/>
                <w:color w:val="262626"/>
                <w:szCs w:val="20"/>
                <w:lang w:eastAsia="en-GB"/>
              </w:rPr>
            </w:pPr>
            <w:r w:rsidRPr="00154BDB">
              <w:rPr>
                <w:rFonts w:eastAsia="Times New Roman" w:cstheme="minorHAnsi"/>
                <w:color w:val="262626"/>
                <w:szCs w:val="20"/>
                <w:lang w:eastAsia="en-GB"/>
              </w:rPr>
              <w:t xml:space="preserve">6,196,067 </w:t>
            </w:r>
          </w:p>
        </w:tc>
        <w:tc>
          <w:tcPr>
            <w:tcW w:w="1080" w:type="dxa"/>
            <w:tcBorders>
              <w:top w:val="nil"/>
              <w:left w:val="nil"/>
              <w:bottom w:val="nil"/>
              <w:right w:val="nil"/>
            </w:tcBorders>
            <w:shd w:val="clear" w:color="auto" w:fill="auto"/>
            <w:noWrap/>
            <w:vAlign w:val="bottom"/>
            <w:hideMark/>
          </w:tcPr>
          <w:p w14:paraId="7AE41FEA" w14:textId="77777777" w:rsidR="00F0614B" w:rsidRPr="00154BDB" w:rsidRDefault="00F0614B" w:rsidP="00F432B9">
            <w:pPr>
              <w:spacing w:after="0" w:line="240" w:lineRule="auto"/>
              <w:jc w:val="right"/>
              <w:rPr>
                <w:rFonts w:eastAsia="Times New Roman" w:cstheme="minorHAnsi"/>
                <w:color w:val="262626"/>
                <w:szCs w:val="20"/>
                <w:lang w:eastAsia="en-GB"/>
              </w:rPr>
            </w:pPr>
            <w:r w:rsidRPr="00154BDB">
              <w:rPr>
                <w:rFonts w:eastAsia="Times New Roman" w:cstheme="minorHAnsi"/>
                <w:color w:val="262626"/>
                <w:szCs w:val="20"/>
                <w:lang w:eastAsia="en-GB"/>
              </w:rPr>
              <w:t>9.57%</w:t>
            </w:r>
          </w:p>
        </w:tc>
      </w:tr>
    </w:tbl>
    <w:p w14:paraId="2FE36F0E" w14:textId="77777777" w:rsidR="00F0614B" w:rsidRPr="009B546D" w:rsidRDefault="00F0614B" w:rsidP="00F432B9">
      <w:pPr>
        <w:pStyle w:val="BodyText"/>
        <w:widowControl w:val="0"/>
        <w:spacing w:after="160" w:line="240" w:lineRule="auto"/>
        <w:ind w:left="738"/>
        <w:rPr>
          <w:rFonts w:asciiTheme="minorHAnsi" w:hAnsiTheme="minorHAnsi" w:cstheme="minorHAnsi"/>
          <w:sz w:val="20"/>
          <w:szCs w:val="20"/>
        </w:rPr>
      </w:pPr>
    </w:p>
    <w:p w14:paraId="561C5D67" w14:textId="075A57B5" w:rsidR="00D90E1F" w:rsidRPr="009B546D" w:rsidRDefault="00D90E1F" w:rsidP="00F432B9">
      <w:pPr>
        <w:pStyle w:val="BodyText"/>
        <w:widowControl w:val="0"/>
        <w:spacing w:after="160" w:line="240" w:lineRule="auto"/>
        <w:ind w:left="738"/>
        <w:rPr>
          <w:rFonts w:asciiTheme="minorHAnsi" w:hAnsiTheme="minorHAnsi" w:cstheme="minorHAnsi"/>
          <w:sz w:val="16"/>
          <w:szCs w:val="16"/>
        </w:rPr>
      </w:pPr>
      <w:r w:rsidRPr="009B546D">
        <w:rPr>
          <w:rFonts w:asciiTheme="minorHAnsi" w:hAnsiTheme="minorHAnsi" w:cstheme="minorHAnsi"/>
          <w:sz w:val="16"/>
          <w:szCs w:val="16"/>
        </w:rPr>
        <w:t>Notes:</w:t>
      </w:r>
    </w:p>
    <w:p w14:paraId="19382AD6" w14:textId="06C8FFD5" w:rsidR="00D90E1F" w:rsidRPr="009B546D" w:rsidRDefault="00E71C8E" w:rsidP="00F432B9">
      <w:pPr>
        <w:pStyle w:val="ListParagraph"/>
        <w:numPr>
          <w:ilvl w:val="0"/>
          <w:numId w:val="8"/>
        </w:numPr>
        <w:autoSpaceDE w:val="0"/>
        <w:autoSpaceDN w:val="0"/>
        <w:spacing w:after="160"/>
        <w:ind w:right="105"/>
        <w:contextualSpacing w:val="0"/>
        <w:rPr>
          <w:rFonts w:asciiTheme="minorHAnsi" w:hAnsiTheme="minorHAnsi" w:cstheme="minorHAnsi"/>
          <w:color w:val="000000" w:themeColor="text1"/>
          <w:spacing w:val="-8"/>
          <w:kern w:val="0"/>
          <w:sz w:val="16"/>
          <w:szCs w:val="16"/>
        </w:rPr>
      </w:pPr>
      <w:r w:rsidRPr="009B546D">
        <w:rPr>
          <w:rFonts w:asciiTheme="minorHAnsi" w:eastAsiaTheme="majorEastAsia" w:hAnsiTheme="minorHAnsi" w:cstheme="minorHAnsi"/>
          <w:color w:val="000000" w:themeColor="text1"/>
          <w:spacing w:val="-8"/>
          <w:kern w:val="0"/>
          <w:sz w:val="16"/>
          <w:szCs w:val="16"/>
          <w:lang w:eastAsia="en-US"/>
        </w:rPr>
        <w:t>Teong Tiek Wah</w:t>
      </w:r>
      <w:r w:rsidR="00D90E1F" w:rsidRPr="009B546D">
        <w:rPr>
          <w:rFonts w:asciiTheme="minorHAnsi" w:eastAsiaTheme="majorEastAsia" w:hAnsiTheme="minorHAnsi" w:cstheme="minorHAnsi"/>
          <w:color w:val="000000" w:themeColor="text1"/>
          <w:spacing w:val="-8"/>
          <w:kern w:val="0"/>
          <w:sz w:val="16"/>
          <w:szCs w:val="16"/>
          <w:lang w:eastAsia="en-US"/>
        </w:rPr>
        <w:t>’s</w:t>
      </w:r>
      <w:r w:rsidR="00D90E1F" w:rsidRPr="009B546D">
        <w:rPr>
          <w:rFonts w:asciiTheme="minorHAnsi" w:hAnsiTheme="minorHAnsi" w:cstheme="minorHAnsi"/>
          <w:color w:val="000000" w:themeColor="text1"/>
          <w:spacing w:val="-8"/>
          <w:kern w:val="0"/>
          <w:sz w:val="16"/>
          <w:szCs w:val="16"/>
        </w:rPr>
        <w:t xml:space="preserve"> interest in the issued share capital of the </w:t>
      </w:r>
      <w:r w:rsidR="00E75F4F" w:rsidRPr="009B546D">
        <w:rPr>
          <w:rFonts w:asciiTheme="minorHAnsi" w:eastAsiaTheme="majorEastAsia" w:hAnsiTheme="minorHAnsi" w:cstheme="minorHAnsi"/>
          <w:color w:val="000000" w:themeColor="text1"/>
          <w:spacing w:val="-8"/>
          <w:kern w:val="0"/>
          <w:sz w:val="16"/>
          <w:szCs w:val="16"/>
          <w:lang w:eastAsia="en-US"/>
        </w:rPr>
        <w:t>Enlarged Group</w:t>
      </w:r>
      <w:r w:rsidR="00D90E1F" w:rsidRPr="009B546D">
        <w:rPr>
          <w:rFonts w:asciiTheme="minorHAnsi" w:eastAsiaTheme="majorEastAsia" w:hAnsiTheme="minorHAnsi" w:cstheme="minorHAnsi"/>
          <w:color w:val="000000" w:themeColor="text1"/>
          <w:spacing w:val="-8"/>
          <w:kern w:val="0"/>
          <w:sz w:val="16"/>
          <w:szCs w:val="16"/>
          <w:lang w:eastAsia="en-US"/>
        </w:rPr>
        <w:t xml:space="preserve"> </w:t>
      </w:r>
      <w:r w:rsidR="00251F07" w:rsidRPr="009B546D">
        <w:rPr>
          <w:rFonts w:asciiTheme="minorHAnsi" w:eastAsiaTheme="majorEastAsia" w:hAnsiTheme="minorHAnsi" w:cstheme="minorHAnsi"/>
          <w:color w:val="000000" w:themeColor="text1"/>
          <w:spacing w:val="-8"/>
          <w:kern w:val="0"/>
          <w:sz w:val="16"/>
          <w:szCs w:val="16"/>
          <w:lang w:eastAsia="en-US"/>
        </w:rPr>
        <w:t>will be</w:t>
      </w:r>
      <w:r w:rsidR="00D90E1F" w:rsidRPr="009B546D">
        <w:rPr>
          <w:rFonts w:asciiTheme="minorHAnsi" w:hAnsiTheme="minorHAnsi" w:cstheme="minorHAnsi"/>
          <w:color w:val="000000" w:themeColor="text1"/>
          <w:spacing w:val="-8"/>
          <w:kern w:val="0"/>
          <w:sz w:val="16"/>
          <w:szCs w:val="16"/>
        </w:rPr>
        <w:t xml:space="preserve"> held through </w:t>
      </w:r>
      <w:r w:rsidR="00E75F4F" w:rsidRPr="009B546D">
        <w:rPr>
          <w:rFonts w:asciiTheme="minorHAnsi" w:eastAsiaTheme="majorEastAsia" w:hAnsiTheme="minorHAnsi" w:cstheme="minorHAnsi"/>
          <w:color w:val="000000" w:themeColor="text1"/>
          <w:spacing w:val="-8"/>
          <w:kern w:val="0"/>
          <w:sz w:val="16"/>
          <w:szCs w:val="16"/>
          <w:lang w:eastAsia="en-US"/>
        </w:rPr>
        <w:t>Soctech Capital Fund</w:t>
      </w:r>
      <w:r w:rsidR="00D90E1F" w:rsidRPr="009B546D">
        <w:rPr>
          <w:rFonts w:asciiTheme="minorHAnsi" w:eastAsiaTheme="majorEastAsia" w:hAnsiTheme="minorHAnsi" w:cstheme="minorHAnsi"/>
          <w:color w:val="000000" w:themeColor="text1"/>
          <w:spacing w:val="-8"/>
          <w:kern w:val="0"/>
          <w:sz w:val="16"/>
          <w:szCs w:val="16"/>
          <w:lang w:eastAsia="en-US"/>
        </w:rPr>
        <w:t>,</w:t>
      </w:r>
      <w:r w:rsidR="00D90E1F" w:rsidRPr="009B546D">
        <w:rPr>
          <w:rFonts w:asciiTheme="minorHAnsi" w:hAnsiTheme="minorHAnsi" w:cstheme="minorHAnsi"/>
          <w:color w:val="000000" w:themeColor="text1"/>
          <w:spacing w:val="-8"/>
          <w:kern w:val="0"/>
          <w:sz w:val="16"/>
          <w:szCs w:val="16"/>
        </w:rPr>
        <w:t xml:space="preserve"> a </w:t>
      </w:r>
      <w:r w:rsidR="00E75F4F" w:rsidRPr="009B546D">
        <w:rPr>
          <w:rFonts w:asciiTheme="minorHAnsi" w:eastAsiaTheme="majorEastAsia" w:hAnsiTheme="minorHAnsi" w:cstheme="minorHAnsi"/>
          <w:color w:val="000000" w:themeColor="text1"/>
          <w:spacing w:val="-8"/>
          <w:kern w:val="0"/>
          <w:sz w:val="16"/>
          <w:szCs w:val="16"/>
          <w:lang w:eastAsia="en-US"/>
        </w:rPr>
        <w:t>Cayman Island</w:t>
      </w:r>
      <w:r w:rsidR="00D90E1F" w:rsidRPr="009B546D">
        <w:rPr>
          <w:rFonts w:asciiTheme="minorHAnsi" w:hAnsiTheme="minorHAnsi" w:cstheme="minorHAnsi"/>
          <w:color w:val="000000" w:themeColor="text1"/>
          <w:spacing w:val="-8"/>
          <w:kern w:val="0"/>
          <w:sz w:val="16"/>
          <w:szCs w:val="16"/>
        </w:rPr>
        <w:t xml:space="preserve"> company, whose issued share capital is wholly and beneficially owned by him. </w:t>
      </w:r>
    </w:p>
    <w:p w14:paraId="3DC5F07F" w14:textId="10472BD3" w:rsidR="00E75F4F" w:rsidRPr="009B546D" w:rsidRDefault="00822FD0" w:rsidP="00F432B9">
      <w:pPr>
        <w:pStyle w:val="ListParagraph"/>
        <w:numPr>
          <w:ilvl w:val="0"/>
          <w:numId w:val="8"/>
        </w:numPr>
        <w:autoSpaceDE w:val="0"/>
        <w:autoSpaceDN w:val="0"/>
        <w:spacing w:after="160"/>
        <w:ind w:right="105"/>
        <w:contextualSpacing w:val="0"/>
        <w:rPr>
          <w:rFonts w:asciiTheme="minorHAnsi" w:eastAsiaTheme="majorEastAsia" w:hAnsiTheme="minorHAnsi" w:cstheme="minorHAnsi"/>
          <w:color w:val="000000" w:themeColor="text1"/>
          <w:spacing w:val="-8"/>
          <w:kern w:val="0"/>
          <w:sz w:val="16"/>
          <w:szCs w:val="16"/>
          <w:lang w:eastAsia="en-US"/>
        </w:rPr>
      </w:pPr>
      <w:r w:rsidRPr="009B546D">
        <w:rPr>
          <w:rFonts w:asciiTheme="minorHAnsi" w:eastAsiaTheme="majorEastAsia" w:hAnsiTheme="minorHAnsi" w:cstheme="minorHAnsi"/>
          <w:color w:val="000000" w:themeColor="text1"/>
          <w:spacing w:val="-8"/>
          <w:kern w:val="0"/>
          <w:sz w:val="16"/>
          <w:szCs w:val="16"/>
          <w:lang w:eastAsia="en-US"/>
        </w:rPr>
        <w:t>Jacques Daniel</w:t>
      </w:r>
      <w:r w:rsidR="000D06C0" w:rsidRPr="009B546D">
        <w:rPr>
          <w:rFonts w:asciiTheme="minorHAnsi" w:eastAsiaTheme="majorEastAsia" w:hAnsiTheme="minorHAnsi" w:cstheme="minorHAnsi"/>
          <w:color w:val="000000" w:themeColor="text1"/>
          <w:spacing w:val="-8"/>
          <w:kern w:val="0"/>
          <w:sz w:val="16"/>
          <w:szCs w:val="16"/>
          <w:lang w:eastAsia="en-US"/>
        </w:rPr>
        <w:t xml:space="preserve"> holds 2,350,000 </w:t>
      </w:r>
      <w:r w:rsidR="001D793B" w:rsidRPr="009B546D">
        <w:rPr>
          <w:rFonts w:asciiTheme="minorHAnsi" w:eastAsiaTheme="majorEastAsia" w:hAnsiTheme="minorHAnsi" w:cstheme="minorHAnsi"/>
          <w:color w:val="000000" w:themeColor="text1"/>
          <w:spacing w:val="-8"/>
          <w:kern w:val="0"/>
          <w:sz w:val="16"/>
          <w:szCs w:val="16"/>
          <w:lang w:eastAsia="en-US"/>
        </w:rPr>
        <w:t>shares</w:t>
      </w:r>
      <w:r w:rsidR="00D7374D" w:rsidRPr="009B546D">
        <w:rPr>
          <w:rFonts w:asciiTheme="minorHAnsi" w:eastAsiaTheme="majorEastAsia" w:hAnsiTheme="minorHAnsi" w:cstheme="minorHAnsi"/>
          <w:color w:val="000000" w:themeColor="text1"/>
          <w:spacing w:val="-8"/>
          <w:kern w:val="0"/>
          <w:sz w:val="16"/>
          <w:szCs w:val="16"/>
          <w:lang w:eastAsia="en-US"/>
        </w:rPr>
        <w:t xml:space="preserve"> of the </w:t>
      </w:r>
      <w:r w:rsidR="009E2038" w:rsidRPr="009B546D">
        <w:rPr>
          <w:rFonts w:asciiTheme="minorHAnsi" w:eastAsiaTheme="majorEastAsia" w:hAnsiTheme="minorHAnsi" w:cstheme="minorHAnsi"/>
          <w:color w:val="000000" w:themeColor="text1"/>
          <w:spacing w:val="-8"/>
          <w:kern w:val="0"/>
          <w:sz w:val="16"/>
          <w:szCs w:val="16"/>
          <w:lang w:eastAsia="en-US"/>
        </w:rPr>
        <w:t xml:space="preserve">Company </w:t>
      </w:r>
      <w:r w:rsidR="005B4337" w:rsidRPr="009B546D">
        <w:rPr>
          <w:rFonts w:asciiTheme="minorHAnsi" w:eastAsiaTheme="majorEastAsia" w:hAnsiTheme="minorHAnsi" w:cstheme="minorHAnsi"/>
          <w:color w:val="000000" w:themeColor="text1"/>
          <w:spacing w:val="-8"/>
          <w:kern w:val="0"/>
          <w:sz w:val="16"/>
          <w:szCs w:val="16"/>
          <w:lang w:eastAsia="en-US"/>
        </w:rPr>
        <w:t xml:space="preserve">which </w:t>
      </w:r>
      <w:r w:rsidR="009E2038" w:rsidRPr="009B546D">
        <w:rPr>
          <w:rFonts w:asciiTheme="minorHAnsi" w:eastAsiaTheme="majorEastAsia" w:hAnsiTheme="minorHAnsi" w:cstheme="minorHAnsi"/>
          <w:color w:val="000000" w:themeColor="text1"/>
          <w:spacing w:val="-8"/>
          <w:kern w:val="0"/>
          <w:sz w:val="16"/>
          <w:szCs w:val="16"/>
          <w:lang w:eastAsia="en-US"/>
        </w:rPr>
        <w:t xml:space="preserve">is </w:t>
      </w:r>
      <w:r w:rsidR="00BF0F78" w:rsidRPr="009B546D">
        <w:rPr>
          <w:rFonts w:asciiTheme="minorHAnsi" w:eastAsiaTheme="majorEastAsia" w:hAnsiTheme="minorHAnsi" w:cstheme="minorHAnsi"/>
          <w:color w:val="000000" w:themeColor="text1"/>
          <w:spacing w:val="-8"/>
          <w:kern w:val="0"/>
          <w:sz w:val="16"/>
          <w:szCs w:val="16"/>
          <w:lang w:eastAsia="en-US"/>
        </w:rPr>
        <w:t>3.63% of the share capital of the Enlarged Group and this is</w:t>
      </w:r>
      <w:r w:rsidR="00D7374D" w:rsidRPr="009B546D">
        <w:rPr>
          <w:rFonts w:asciiTheme="minorHAnsi" w:eastAsiaTheme="majorEastAsia" w:hAnsiTheme="minorHAnsi" w:cstheme="minorHAnsi"/>
          <w:color w:val="000000" w:themeColor="text1"/>
          <w:spacing w:val="-8"/>
          <w:kern w:val="0"/>
          <w:sz w:val="16"/>
          <w:szCs w:val="16"/>
          <w:lang w:eastAsia="en-US"/>
        </w:rPr>
        <w:t xml:space="preserve"> </w:t>
      </w:r>
      <w:r w:rsidR="000D06C0" w:rsidRPr="009B546D">
        <w:rPr>
          <w:rFonts w:asciiTheme="minorHAnsi" w:eastAsiaTheme="majorEastAsia" w:hAnsiTheme="minorHAnsi" w:cstheme="minorHAnsi"/>
          <w:color w:val="000000" w:themeColor="text1"/>
          <w:spacing w:val="-8"/>
          <w:kern w:val="0"/>
          <w:sz w:val="16"/>
          <w:szCs w:val="16"/>
          <w:lang w:eastAsia="en-US"/>
        </w:rPr>
        <w:t>held within JIM Nominees Ltd.</w:t>
      </w:r>
    </w:p>
    <w:p w14:paraId="1AD0153B" w14:textId="1389FE40"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Bidi"/>
          <w:b w:val="0"/>
          <w:spacing w:val="-8"/>
        </w:rPr>
      </w:pPr>
      <w:r w:rsidRPr="15D66BA0">
        <w:rPr>
          <w:rFonts w:asciiTheme="minorHAnsi" w:hAnsiTheme="minorHAnsi" w:cstheme="minorBidi"/>
          <w:b w:val="0"/>
          <w:spacing w:val="-8"/>
        </w:rPr>
        <w:t xml:space="preserve">Save as disclosed in paragraph </w:t>
      </w:r>
      <w:r w:rsidR="00E05314">
        <w:rPr>
          <w:rFonts w:asciiTheme="minorHAnsi" w:hAnsiTheme="minorHAnsi" w:cstheme="minorBidi"/>
          <w:b w:val="0"/>
          <w:spacing w:val="-8"/>
        </w:rPr>
        <w:t>8</w:t>
      </w:r>
      <w:r w:rsidRPr="15D66BA0">
        <w:rPr>
          <w:rFonts w:asciiTheme="minorHAnsi" w:hAnsiTheme="minorHAnsi" w:cstheme="minorBidi"/>
          <w:b w:val="0"/>
          <w:spacing w:val="-8"/>
        </w:rPr>
        <w:t xml:space="preserve"> of this Part </w:t>
      </w:r>
      <w:r w:rsidR="00A52DB2" w:rsidRPr="15D66BA0">
        <w:rPr>
          <w:rFonts w:asciiTheme="minorHAnsi" w:hAnsiTheme="minorHAnsi" w:cstheme="minorBidi"/>
          <w:b w:val="0"/>
          <w:spacing w:val="-8"/>
        </w:rPr>
        <w:t>XX</w:t>
      </w:r>
      <w:r w:rsidRPr="15D66BA0">
        <w:rPr>
          <w:rFonts w:asciiTheme="minorHAnsi" w:hAnsiTheme="minorHAnsi" w:cstheme="minorBidi"/>
          <w:b w:val="0"/>
          <w:spacing w:val="-8"/>
        </w:rPr>
        <w:t xml:space="preserve">, the Company is not aware of any person who was at the Latest Practicable Date interested and as expected to be the case at Re-Admission (including those shares to be issued in connection with the </w:t>
      </w:r>
      <w:r w:rsidR="00142D95" w:rsidRPr="15D66BA0">
        <w:rPr>
          <w:rFonts w:asciiTheme="minorHAnsi" w:hAnsiTheme="minorHAnsi" w:cstheme="minorBidi"/>
          <w:b w:val="0"/>
          <w:spacing w:val="-8"/>
        </w:rPr>
        <w:t>Proposed Acquisition</w:t>
      </w:r>
      <w:r w:rsidRPr="15D66BA0">
        <w:rPr>
          <w:rFonts w:asciiTheme="minorHAnsi" w:hAnsiTheme="minorHAnsi" w:cstheme="minorBidi"/>
          <w:b w:val="0"/>
          <w:spacing w:val="-8"/>
        </w:rPr>
        <w:t>), directly or indirectly, or who will, on Re-Admission have an interest, directly or indirectly, in three (3) per cent. or more of the issued share capital of the Company.</w:t>
      </w:r>
    </w:p>
    <w:p w14:paraId="3BCB48D5" w14:textId="1F9D72EC"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Bidi"/>
          <w:b w:val="0"/>
          <w:spacing w:val="-8"/>
        </w:rPr>
      </w:pPr>
      <w:r w:rsidRPr="15D66BA0">
        <w:rPr>
          <w:rFonts w:asciiTheme="minorHAnsi" w:hAnsiTheme="minorHAnsi" w:cstheme="minorBidi"/>
          <w:b w:val="0"/>
          <w:spacing w:val="-8"/>
        </w:rPr>
        <w:t xml:space="preserve">None of those Shareholders referred to in the able set forth in paragraph </w:t>
      </w:r>
      <w:r w:rsidRPr="15D66BA0">
        <w:rPr>
          <w:rFonts w:asciiTheme="minorHAnsi" w:hAnsiTheme="minorHAnsi" w:cstheme="minorBidi"/>
          <w:b w:val="0"/>
          <w:spacing w:val="-8"/>
        </w:rPr>
        <w:fldChar w:fldCharType="begin"/>
      </w:r>
      <w:r w:rsidRPr="15D66BA0">
        <w:rPr>
          <w:rFonts w:asciiTheme="minorHAnsi" w:hAnsiTheme="minorHAnsi" w:cstheme="minorBidi"/>
          <w:b w:val="0"/>
          <w:spacing w:val="-8"/>
        </w:rPr>
        <w:instrText xml:space="preserve"> REF _Ref20477639 \r \h  \* MERGEFORMAT </w:instrText>
      </w:r>
      <w:r w:rsidRPr="15D66BA0">
        <w:rPr>
          <w:rFonts w:asciiTheme="minorHAnsi" w:hAnsiTheme="minorHAnsi" w:cstheme="minorBidi"/>
          <w:b w:val="0"/>
          <w:spacing w:val="-8"/>
        </w:rPr>
      </w:r>
      <w:r w:rsidRPr="15D66BA0">
        <w:rPr>
          <w:rFonts w:asciiTheme="minorHAnsi" w:hAnsiTheme="minorHAnsi" w:cstheme="minorBidi"/>
          <w:b w:val="0"/>
          <w:spacing w:val="-8"/>
        </w:rPr>
        <w:fldChar w:fldCharType="separate"/>
      </w:r>
      <w:r w:rsidR="00B75DEA" w:rsidRPr="15D66BA0">
        <w:rPr>
          <w:rFonts w:asciiTheme="minorHAnsi" w:hAnsiTheme="minorHAnsi" w:cstheme="minorBidi"/>
          <w:b w:val="0"/>
          <w:spacing w:val="-8"/>
        </w:rPr>
        <w:t>10.1</w:t>
      </w:r>
      <w:r w:rsidRPr="15D66BA0">
        <w:rPr>
          <w:rFonts w:asciiTheme="minorHAnsi" w:hAnsiTheme="minorHAnsi" w:cstheme="minorBidi"/>
          <w:b w:val="0"/>
          <w:spacing w:val="-8"/>
        </w:rPr>
        <w:fldChar w:fldCharType="end"/>
      </w:r>
      <w:r w:rsidRPr="15D66BA0">
        <w:rPr>
          <w:rFonts w:asciiTheme="minorHAnsi" w:hAnsiTheme="minorHAnsi" w:cstheme="minorBidi"/>
          <w:b w:val="0"/>
          <w:spacing w:val="-8"/>
        </w:rPr>
        <w:t xml:space="preserve"> of this Part </w:t>
      </w:r>
      <w:r w:rsidR="00A52DB2" w:rsidRPr="15D66BA0">
        <w:rPr>
          <w:rFonts w:asciiTheme="minorHAnsi" w:hAnsiTheme="minorHAnsi" w:cstheme="minorBidi"/>
          <w:b w:val="0"/>
          <w:spacing w:val="-8"/>
        </w:rPr>
        <w:t>XX</w:t>
      </w:r>
      <w:r w:rsidRPr="15D66BA0">
        <w:rPr>
          <w:rFonts w:asciiTheme="minorHAnsi" w:hAnsiTheme="minorHAnsi" w:cstheme="minorBidi"/>
          <w:b w:val="0"/>
          <w:spacing w:val="-8"/>
        </w:rPr>
        <w:t>, has or will have voting rights different from any other Shareholders in respect of any Ordinary Shares held by them.</w:t>
      </w:r>
    </w:p>
    <w:p w14:paraId="00B5E967" w14:textId="7F6CF0EC"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Bidi"/>
          <w:b w:val="0"/>
          <w:spacing w:val="-8"/>
        </w:rPr>
      </w:pPr>
      <w:r w:rsidRPr="15D66BA0">
        <w:rPr>
          <w:rFonts w:asciiTheme="minorHAnsi" w:hAnsiTheme="minorHAnsi" w:cstheme="minorBidi"/>
          <w:b w:val="0"/>
          <w:spacing w:val="-8"/>
        </w:rPr>
        <w:t xml:space="preserve">Save as disclosed in paragraph </w:t>
      </w:r>
      <w:r w:rsidR="00E05314">
        <w:rPr>
          <w:rFonts w:asciiTheme="minorHAnsi" w:hAnsiTheme="minorHAnsi" w:cstheme="minorBidi"/>
          <w:b w:val="0"/>
          <w:spacing w:val="-8"/>
        </w:rPr>
        <w:t>8</w:t>
      </w:r>
      <w:r w:rsidRPr="15D66BA0">
        <w:rPr>
          <w:rFonts w:asciiTheme="minorHAnsi" w:hAnsiTheme="minorHAnsi" w:cstheme="minorBidi"/>
          <w:b w:val="0"/>
          <w:spacing w:val="-8"/>
        </w:rPr>
        <w:t xml:space="preserve"> of this Part </w:t>
      </w:r>
      <w:r w:rsidR="00A52DB2" w:rsidRPr="15D66BA0">
        <w:rPr>
          <w:rFonts w:asciiTheme="minorHAnsi" w:hAnsiTheme="minorHAnsi" w:cstheme="minorBidi"/>
          <w:b w:val="0"/>
          <w:spacing w:val="-8"/>
        </w:rPr>
        <w:t>XX</w:t>
      </w:r>
      <w:r w:rsidRPr="15D66BA0">
        <w:rPr>
          <w:rFonts w:asciiTheme="minorHAnsi" w:hAnsiTheme="minorHAnsi" w:cstheme="minorBidi"/>
          <w:b w:val="0"/>
          <w:spacing w:val="-8"/>
        </w:rPr>
        <w:t xml:space="preserve">, the Company is not aware of any person who, immediately following Re-Admission, directly or indirectly, jointly or severally, will own sufficient Ordinary Shares to exercise Control over the Company. </w:t>
      </w:r>
    </w:p>
    <w:p w14:paraId="5DC7B59C" w14:textId="02CE01CC" w:rsidR="00D90E1F" w:rsidRDefault="00D90E1F" w:rsidP="00F432B9">
      <w:pPr>
        <w:pStyle w:val="Heading2"/>
        <w:keepNext w:val="0"/>
        <w:widowControl w:val="0"/>
        <w:numPr>
          <w:ilvl w:val="1"/>
          <w:numId w:val="11"/>
        </w:numPr>
        <w:spacing w:before="0" w:after="160" w:line="240" w:lineRule="auto"/>
        <w:rPr>
          <w:rFonts w:asciiTheme="minorHAnsi" w:hAnsiTheme="minorHAnsi" w:cstheme="minorBidi"/>
          <w:b w:val="0"/>
          <w:spacing w:val="-8"/>
        </w:rPr>
      </w:pPr>
      <w:r w:rsidRPr="15D66BA0">
        <w:rPr>
          <w:rFonts w:asciiTheme="minorHAnsi" w:hAnsiTheme="minorHAnsi" w:cstheme="minorBidi"/>
          <w:b w:val="0"/>
          <w:spacing w:val="-8"/>
        </w:rPr>
        <w:t>There are no arrangements known to the Company, the operation of which may at a subsequent date, result in a change in Control of the Company.</w:t>
      </w:r>
      <w:r w:rsidR="007D7B13" w:rsidRPr="15D66BA0">
        <w:rPr>
          <w:rFonts w:asciiTheme="minorHAnsi" w:hAnsiTheme="minorHAnsi" w:cstheme="minorBidi"/>
          <w:b w:val="0"/>
          <w:spacing w:val="-8"/>
        </w:rPr>
        <w:t xml:space="preserve"> </w:t>
      </w:r>
    </w:p>
    <w:p w14:paraId="4BFB8E02" w14:textId="0C83C8DB" w:rsidR="00762BFE" w:rsidRDefault="00762BFE" w:rsidP="00762BFE"/>
    <w:p w14:paraId="36BD4324" w14:textId="77777777" w:rsidR="00762BFE" w:rsidRPr="00EA2BB6" w:rsidRDefault="00762BFE" w:rsidP="00EA2BB6">
      <w:pPr>
        <w:rPr>
          <w:b/>
        </w:rPr>
      </w:pPr>
    </w:p>
    <w:p w14:paraId="518F0D6B" w14:textId="4467A060"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bookmarkStart w:id="60" w:name="_Ref20490713"/>
      <w:r w:rsidRPr="009B546D">
        <w:rPr>
          <w:rFonts w:asciiTheme="minorHAnsi" w:hAnsiTheme="minorHAnsi" w:cstheme="minorHAnsi"/>
          <w:szCs w:val="20"/>
        </w:rPr>
        <w:lastRenderedPageBreak/>
        <w:t>Related Party Transactions</w:t>
      </w:r>
      <w:bookmarkEnd w:id="60"/>
    </w:p>
    <w:p w14:paraId="7802AED0" w14:textId="402E147A"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Save as set out in paragraph </w:t>
      </w:r>
      <w:r w:rsidR="00E05314">
        <w:rPr>
          <w:rFonts w:asciiTheme="minorHAnsi" w:hAnsiTheme="minorHAnsi" w:cstheme="minorHAnsi"/>
          <w:b w:val="0"/>
          <w:spacing w:val="-8"/>
          <w:szCs w:val="20"/>
        </w:rPr>
        <w:t>12</w:t>
      </w:r>
      <w:r w:rsidRPr="009B546D">
        <w:rPr>
          <w:rFonts w:asciiTheme="minorHAnsi" w:hAnsiTheme="minorHAnsi" w:cstheme="minorHAnsi"/>
          <w:b w:val="0"/>
          <w:spacing w:val="-8"/>
          <w:szCs w:val="20"/>
        </w:rPr>
        <w:t xml:space="preserve"> (Material Contracts of the Company) of this Part </w:t>
      </w:r>
      <w:r w:rsidR="00A52DB2" w:rsidRPr="009B546D">
        <w:rPr>
          <w:rFonts w:asciiTheme="minorHAnsi" w:hAnsiTheme="minorHAnsi" w:cstheme="minorHAnsi"/>
          <w:b w:val="0"/>
          <w:spacing w:val="-8"/>
          <w:szCs w:val="20"/>
        </w:rPr>
        <w:t>XX</w:t>
      </w:r>
      <w:r w:rsidRPr="009B546D">
        <w:rPr>
          <w:rFonts w:asciiTheme="minorHAnsi" w:hAnsiTheme="minorHAnsi" w:cstheme="minorHAnsi"/>
          <w:b w:val="0"/>
          <w:spacing w:val="-8"/>
          <w:szCs w:val="20"/>
        </w:rPr>
        <w:t xml:space="preserve">, and in Part </w:t>
      </w:r>
      <w:r w:rsidR="00486853" w:rsidRPr="009B546D">
        <w:rPr>
          <w:rFonts w:asciiTheme="minorHAnsi" w:hAnsiTheme="minorHAnsi" w:cstheme="minorHAnsi"/>
          <w:b w:val="0"/>
          <w:spacing w:val="-8"/>
          <w:szCs w:val="20"/>
        </w:rPr>
        <w:t>XIII</w:t>
      </w:r>
      <w:r w:rsidRPr="009B546D">
        <w:rPr>
          <w:rFonts w:asciiTheme="minorHAnsi" w:hAnsiTheme="minorHAnsi" w:cstheme="minorHAnsi"/>
          <w:b w:val="0"/>
          <w:spacing w:val="-8"/>
          <w:szCs w:val="20"/>
        </w:rPr>
        <w:t xml:space="preserve"> (</w:t>
      </w:r>
      <w:r w:rsidR="00486853" w:rsidRPr="009B546D">
        <w:rPr>
          <w:rFonts w:asciiTheme="minorHAnsi" w:hAnsiTheme="minorHAnsi" w:cstheme="minorHAnsi"/>
          <w:b w:val="0"/>
          <w:spacing w:val="-8"/>
          <w:szCs w:val="20"/>
        </w:rPr>
        <w:t>Financial Information on the Company</w:t>
      </w:r>
      <w:r w:rsidRPr="009B546D">
        <w:rPr>
          <w:rFonts w:asciiTheme="minorHAnsi" w:hAnsiTheme="minorHAnsi" w:cstheme="minorHAnsi"/>
          <w:b w:val="0"/>
          <w:spacing w:val="-8"/>
          <w:szCs w:val="20"/>
        </w:rPr>
        <w:t xml:space="preserve">), there are no other related party transactions during the period covered by the financial information set out in Part </w:t>
      </w:r>
      <w:r w:rsidR="00486853" w:rsidRPr="009B546D">
        <w:rPr>
          <w:rFonts w:asciiTheme="minorHAnsi" w:hAnsiTheme="minorHAnsi" w:cstheme="minorHAnsi"/>
          <w:b w:val="0"/>
          <w:spacing w:val="-8"/>
          <w:szCs w:val="20"/>
        </w:rPr>
        <w:t>XIII</w:t>
      </w:r>
      <w:r w:rsidRPr="009B546D">
        <w:rPr>
          <w:rFonts w:asciiTheme="minorHAnsi" w:hAnsiTheme="minorHAnsi" w:cstheme="minorHAnsi"/>
          <w:b w:val="0"/>
          <w:spacing w:val="-8"/>
          <w:szCs w:val="20"/>
        </w:rPr>
        <w:t>, or which have taken place following the period covered by that information.</w:t>
      </w:r>
    </w:p>
    <w:p w14:paraId="19F965D0" w14:textId="628F3676"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Save as set out in paragraph </w:t>
      </w:r>
      <w:r w:rsidR="00E05314">
        <w:rPr>
          <w:rFonts w:asciiTheme="minorHAnsi" w:hAnsiTheme="minorHAnsi" w:cstheme="minorHAnsi"/>
          <w:b w:val="0"/>
          <w:spacing w:val="-8"/>
          <w:szCs w:val="20"/>
        </w:rPr>
        <w:t>12</w:t>
      </w:r>
      <w:r w:rsidRPr="009B546D">
        <w:rPr>
          <w:rFonts w:asciiTheme="minorHAnsi" w:hAnsiTheme="minorHAnsi" w:cstheme="minorHAnsi"/>
          <w:b w:val="0"/>
          <w:spacing w:val="-8"/>
          <w:szCs w:val="20"/>
        </w:rPr>
        <w:t xml:space="preserve"> (Material Contracts of </w:t>
      </w:r>
      <w:r w:rsidR="00AF0C4A" w:rsidRPr="009B546D">
        <w:rPr>
          <w:rFonts w:asciiTheme="minorHAnsi" w:hAnsiTheme="minorHAnsi" w:cstheme="minorHAnsi"/>
          <w:b w:val="0"/>
          <w:spacing w:val="-8"/>
          <w:szCs w:val="20"/>
        </w:rPr>
        <w:t>Alchemist Codes</w:t>
      </w:r>
      <w:r w:rsidRPr="009B546D">
        <w:rPr>
          <w:rFonts w:asciiTheme="minorHAnsi" w:hAnsiTheme="minorHAnsi" w:cstheme="minorHAnsi"/>
          <w:b w:val="0"/>
          <w:spacing w:val="-8"/>
          <w:szCs w:val="20"/>
        </w:rPr>
        <w:t xml:space="preserve"> Business) of this Part </w:t>
      </w:r>
      <w:r w:rsidR="00A52DB2" w:rsidRPr="009B546D">
        <w:rPr>
          <w:rFonts w:asciiTheme="minorHAnsi" w:hAnsiTheme="minorHAnsi" w:cstheme="minorHAnsi"/>
          <w:b w:val="0"/>
          <w:spacing w:val="-8"/>
          <w:szCs w:val="20"/>
        </w:rPr>
        <w:t>XX</w:t>
      </w:r>
      <w:r w:rsidRPr="009B546D">
        <w:rPr>
          <w:rFonts w:asciiTheme="minorHAnsi" w:hAnsiTheme="minorHAnsi" w:cstheme="minorHAnsi"/>
          <w:b w:val="0"/>
          <w:spacing w:val="-8"/>
          <w:szCs w:val="20"/>
        </w:rPr>
        <w:t>, and</w:t>
      </w:r>
      <w:r w:rsidR="00B575FC">
        <w:rPr>
          <w:rFonts w:asciiTheme="minorHAnsi" w:hAnsiTheme="minorHAnsi" w:cstheme="minorHAnsi"/>
          <w:b w:val="0"/>
          <w:spacing w:val="-8"/>
          <w:szCs w:val="20"/>
        </w:rPr>
        <w:t xml:space="preserve"> </w:t>
      </w:r>
      <w:r w:rsidR="00760DBE" w:rsidRPr="009B546D">
        <w:rPr>
          <w:rFonts w:asciiTheme="minorHAnsi" w:hAnsiTheme="minorHAnsi" w:cstheme="minorHAnsi"/>
          <w:b w:val="0"/>
          <w:spacing w:val="-8"/>
          <w:szCs w:val="20"/>
        </w:rPr>
        <w:t>in</w:t>
      </w:r>
      <w:r w:rsidR="00B575FC">
        <w:rPr>
          <w:rFonts w:asciiTheme="minorHAnsi" w:hAnsiTheme="minorHAnsi" w:cstheme="minorHAnsi"/>
          <w:b w:val="0"/>
          <w:spacing w:val="-8"/>
          <w:szCs w:val="20"/>
        </w:rPr>
        <w:t xml:space="preserve"> </w:t>
      </w:r>
      <w:r w:rsidR="00760DBE" w:rsidRPr="009B546D">
        <w:rPr>
          <w:rFonts w:asciiTheme="minorHAnsi" w:hAnsiTheme="minorHAnsi" w:cstheme="minorHAnsi"/>
          <w:b w:val="0"/>
          <w:spacing w:val="-8"/>
          <w:szCs w:val="20"/>
        </w:rPr>
        <w:t>Part XIV (</w:t>
      </w:r>
      <w:r w:rsidR="003C3449" w:rsidRPr="009B546D">
        <w:rPr>
          <w:rFonts w:asciiTheme="minorHAnsi" w:hAnsiTheme="minorHAnsi" w:cstheme="minorHAnsi"/>
          <w:b w:val="0"/>
          <w:spacing w:val="-8"/>
          <w:szCs w:val="20"/>
        </w:rPr>
        <w:t>Financial Information on Alchemist Codes), there are no other related party transactions during the period covered by the financial information set out in Part X</w:t>
      </w:r>
      <w:r w:rsidR="003B07B6">
        <w:rPr>
          <w:rFonts w:asciiTheme="minorHAnsi" w:hAnsiTheme="minorHAnsi" w:cstheme="minorHAnsi"/>
          <w:b w:val="0"/>
          <w:spacing w:val="-8"/>
          <w:szCs w:val="20"/>
        </w:rPr>
        <w:t>IV</w:t>
      </w:r>
      <w:r w:rsidR="003C3449" w:rsidRPr="009B546D">
        <w:rPr>
          <w:rFonts w:asciiTheme="minorHAnsi" w:hAnsiTheme="minorHAnsi" w:cstheme="minorHAnsi"/>
          <w:b w:val="0"/>
          <w:spacing w:val="-8"/>
          <w:szCs w:val="20"/>
        </w:rPr>
        <w:t>, or which have taken place following the period covered by that information.</w:t>
      </w:r>
    </w:p>
    <w:p w14:paraId="0FC3A6F8" w14:textId="1B9542C2"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Working Capital</w:t>
      </w:r>
    </w:p>
    <w:p w14:paraId="5FE939BB" w14:textId="29BF056D" w:rsidR="00D90E1F" w:rsidRPr="009B546D" w:rsidRDefault="00D90E1F" w:rsidP="00F432B9">
      <w:pPr>
        <w:pStyle w:val="BodyText"/>
        <w:widowControl w:val="0"/>
        <w:spacing w:after="160" w:line="240" w:lineRule="auto"/>
        <w:ind w:right="111"/>
        <w:rPr>
          <w:rFonts w:asciiTheme="minorHAnsi" w:hAnsiTheme="minorHAnsi" w:cstheme="minorHAnsi"/>
          <w:sz w:val="20"/>
          <w:szCs w:val="20"/>
        </w:rPr>
      </w:pPr>
      <w:r w:rsidRPr="009B546D">
        <w:rPr>
          <w:rFonts w:asciiTheme="minorHAnsi" w:hAnsiTheme="minorHAnsi" w:cstheme="minorHAnsi"/>
          <w:sz w:val="20"/>
          <w:szCs w:val="20"/>
        </w:rPr>
        <w:t xml:space="preserve">The Company is of the </w:t>
      </w:r>
      <w:r w:rsidR="00681DC8" w:rsidRPr="009B546D">
        <w:rPr>
          <w:rFonts w:asciiTheme="minorHAnsi" w:hAnsiTheme="minorHAnsi" w:cstheme="minorHAnsi"/>
          <w:sz w:val="20"/>
          <w:szCs w:val="20"/>
        </w:rPr>
        <w:t xml:space="preserve">opinion </w:t>
      </w:r>
      <w:r w:rsidRPr="009B546D">
        <w:rPr>
          <w:rFonts w:asciiTheme="minorHAnsi" w:hAnsiTheme="minorHAnsi" w:cstheme="minorHAnsi"/>
          <w:sz w:val="20"/>
          <w:szCs w:val="20"/>
        </w:rPr>
        <w:t>that the Enlarged Group has sufficient working capital for its present requirements, that is, for at least 12 months from the date of this Prospectus.</w:t>
      </w:r>
    </w:p>
    <w:p w14:paraId="11589946" w14:textId="68A7B46C"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bookmarkStart w:id="61" w:name="_Ref20407885"/>
      <w:r w:rsidRPr="009B546D">
        <w:rPr>
          <w:rFonts w:asciiTheme="minorHAnsi" w:hAnsiTheme="minorHAnsi" w:cstheme="minorHAnsi"/>
          <w:szCs w:val="20"/>
        </w:rPr>
        <w:t>Material contracts</w:t>
      </w:r>
      <w:bookmarkEnd w:id="61"/>
      <w:r w:rsidRPr="009B546D">
        <w:rPr>
          <w:rFonts w:asciiTheme="minorHAnsi" w:hAnsiTheme="minorHAnsi" w:cstheme="minorHAnsi"/>
          <w:szCs w:val="20"/>
        </w:rPr>
        <w:t xml:space="preserve"> of the Company</w:t>
      </w:r>
    </w:p>
    <w:p w14:paraId="0EFCB9D8" w14:textId="13402641" w:rsidR="00D90E1F" w:rsidRPr="009B546D" w:rsidRDefault="00D90E1F" w:rsidP="00F432B9">
      <w:pPr>
        <w:pStyle w:val="BodyText"/>
        <w:widowControl w:val="0"/>
        <w:spacing w:after="160" w:line="240" w:lineRule="auto"/>
        <w:ind w:right="111"/>
        <w:rPr>
          <w:rFonts w:asciiTheme="minorHAnsi" w:hAnsiTheme="minorHAnsi" w:cstheme="minorHAnsi"/>
          <w:sz w:val="20"/>
          <w:szCs w:val="20"/>
        </w:rPr>
      </w:pPr>
      <w:r w:rsidRPr="009B546D">
        <w:rPr>
          <w:rFonts w:asciiTheme="minorHAnsi" w:hAnsiTheme="minorHAnsi" w:cstheme="minorHAnsi"/>
          <w:sz w:val="20"/>
          <w:szCs w:val="20"/>
        </w:rPr>
        <w:t xml:space="preserve">Save for the following contracts summarised below and those material contracts set out in the Listing Prospectus incorporated by reference as detailed in Part </w:t>
      </w:r>
      <w:r w:rsidR="00A52DB2" w:rsidRPr="009B546D">
        <w:rPr>
          <w:rFonts w:asciiTheme="minorHAnsi" w:hAnsiTheme="minorHAnsi" w:cstheme="minorHAnsi"/>
          <w:sz w:val="20"/>
          <w:szCs w:val="20"/>
        </w:rPr>
        <w:t>IV</w:t>
      </w:r>
      <w:r w:rsidRPr="009B546D">
        <w:rPr>
          <w:rFonts w:asciiTheme="minorHAnsi" w:hAnsiTheme="minorHAnsi" w:cstheme="minorHAnsi"/>
          <w:sz w:val="20"/>
          <w:szCs w:val="20"/>
        </w:rPr>
        <w:t xml:space="preserve"> of this Prospectus (</w:t>
      </w:r>
      <w:r w:rsidRPr="009B546D">
        <w:rPr>
          <w:rFonts w:asciiTheme="minorHAnsi" w:hAnsiTheme="minorHAnsi" w:cstheme="minorHAnsi"/>
          <w:i/>
          <w:sz w:val="20"/>
          <w:szCs w:val="20"/>
        </w:rPr>
        <w:t>Relevant Documentation Incorporated by Reference</w:t>
      </w:r>
      <w:r w:rsidRPr="009B546D">
        <w:rPr>
          <w:rFonts w:asciiTheme="minorHAnsi" w:hAnsiTheme="minorHAnsi" w:cstheme="minorHAnsi"/>
          <w:sz w:val="20"/>
          <w:szCs w:val="20"/>
        </w:rPr>
        <w:t>), there are no contracts (not being contracts entered into in the ordinary course of business) that have been entered into by the Company: (a) within the two years immediately preceding the publication of this Prospectus which are, or may be, material to the Company; and (b) at any time, and contain provisions under which the Company has an obligation or entitlement which is, or may be, material to the Company as at the Latest Practicable Date.</w:t>
      </w:r>
      <w:r w:rsidR="007D7B13" w:rsidRPr="009B546D">
        <w:rPr>
          <w:rFonts w:asciiTheme="minorHAnsi" w:hAnsiTheme="minorHAnsi" w:cstheme="minorHAnsi"/>
          <w:sz w:val="20"/>
          <w:szCs w:val="20"/>
        </w:rPr>
        <w:t xml:space="preserve"> </w:t>
      </w:r>
    </w:p>
    <w:p w14:paraId="10725BC7" w14:textId="5709CE5E" w:rsidR="00D90E1F" w:rsidRPr="009B546D" w:rsidRDefault="00142D95" w:rsidP="00F432B9">
      <w:pPr>
        <w:pStyle w:val="Heading2"/>
        <w:keepNext w:val="0"/>
        <w:widowControl w:val="0"/>
        <w:numPr>
          <w:ilvl w:val="1"/>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Proposed Acquisition</w:t>
      </w:r>
      <w:r w:rsidR="00D90E1F" w:rsidRPr="009B546D">
        <w:rPr>
          <w:rFonts w:asciiTheme="minorHAnsi" w:hAnsiTheme="minorHAnsi" w:cstheme="minorHAnsi"/>
          <w:szCs w:val="20"/>
        </w:rPr>
        <w:t xml:space="preserve"> Agreement</w:t>
      </w:r>
    </w:p>
    <w:p w14:paraId="0E379FA3" w14:textId="6FC212EE" w:rsidR="00D90E1F" w:rsidRPr="009B546D" w:rsidRDefault="00D90E1F" w:rsidP="00F432B9">
      <w:pPr>
        <w:pStyle w:val="BodyText"/>
        <w:widowControl w:val="0"/>
        <w:spacing w:after="160" w:line="240" w:lineRule="auto"/>
        <w:ind w:left="357"/>
        <w:rPr>
          <w:rFonts w:asciiTheme="minorHAnsi" w:hAnsiTheme="minorHAnsi" w:cstheme="minorHAnsi"/>
          <w:sz w:val="20"/>
          <w:szCs w:val="20"/>
        </w:rPr>
      </w:pPr>
      <w:r w:rsidRPr="009B546D">
        <w:rPr>
          <w:rFonts w:asciiTheme="minorHAnsi" w:hAnsiTheme="minorHAnsi" w:cstheme="minorHAnsi"/>
          <w:sz w:val="20"/>
          <w:szCs w:val="20"/>
        </w:rPr>
        <w:t xml:space="preserve">Under the terms of the </w:t>
      </w:r>
      <w:r w:rsidR="00142D95" w:rsidRPr="009B546D">
        <w:rPr>
          <w:rFonts w:asciiTheme="minorHAnsi" w:hAnsiTheme="minorHAnsi" w:cstheme="minorHAnsi"/>
          <w:sz w:val="20"/>
          <w:szCs w:val="20"/>
        </w:rPr>
        <w:t>Proposed Acquisition</w:t>
      </w:r>
      <w:r w:rsidRPr="009B546D">
        <w:rPr>
          <w:rFonts w:asciiTheme="minorHAnsi" w:hAnsiTheme="minorHAnsi" w:cstheme="minorHAnsi"/>
          <w:sz w:val="20"/>
          <w:szCs w:val="20"/>
        </w:rPr>
        <w:t xml:space="preserve"> Agreement, the Company has conditionally agreed to acquire </w:t>
      </w:r>
      <w:r w:rsidR="00AF0C4A" w:rsidRPr="009B546D">
        <w:rPr>
          <w:rFonts w:asciiTheme="minorHAnsi" w:hAnsiTheme="minorHAnsi" w:cstheme="minorHAnsi"/>
          <w:sz w:val="20"/>
          <w:szCs w:val="20"/>
        </w:rPr>
        <w:t>Alchemist Codes</w:t>
      </w:r>
      <w:r w:rsidRPr="009B546D">
        <w:rPr>
          <w:rFonts w:asciiTheme="minorHAnsi" w:hAnsiTheme="minorHAnsi" w:cstheme="minorHAnsi"/>
          <w:sz w:val="20"/>
          <w:szCs w:val="20"/>
        </w:rPr>
        <w:t xml:space="preserve"> by issuing </w:t>
      </w:r>
      <w:r w:rsidR="00043D57">
        <w:rPr>
          <w:rFonts w:asciiTheme="minorHAnsi" w:hAnsiTheme="minorHAnsi" w:cstheme="minorHAnsi"/>
          <w:sz w:val="20"/>
          <w:szCs w:val="20"/>
        </w:rPr>
        <w:t xml:space="preserve">12,921,346 </w:t>
      </w:r>
      <w:r w:rsidR="00987BBE" w:rsidRPr="009B546D">
        <w:rPr>
          <w:rFonts w:asciiTheme="minorHAnsi" w:hAnsiTheme="minorHAnsi" w:cstheme="minorHAnsi"/>
          <w:sz w:val="20"/>
          <w:szCs w:val="20"/>
        </w:rPr>
        <w:t>New</w:t>
      </w:r>
      <w:r w:rsidR="00CA0EBC" w:rsidRPr="009B546D">
        <w:rPr>
          <w:rFonts w:asciiTheme="minorHAnsi" w:hAnsiTheme="minorHAnsi" w:cstheme="minorHAnsi"/>
          <w:sz w:val="20"/>
          <w:szCs w:val="20"/>
        </w:rPr>
        <w:t xml:space="preserve"> </w:t>
      </w:r>
      <w:r w:rsidRPr="009B546D">
        <w:rPr>
          <w:rFonts w:asciiTheme="minorHAnsi" w:hAnsiTheme="minorHAnsi" w:cstheme="minorHAnsi"/>
          <w:sz w:val="20"/>
          <w:szCs w:val="20"/>
        </w:rPr>
        <w:t xml:space="preserve">Ordinary Shares as consideration for the acquisition of the entire issued share capital of </w:t>
      </w:r>
      <w:r w:rsidR="00AF0C4A" w:rsidRPr="009B546D">
        <w:rPr>
          <w:rFonts w:asciiTheme="minorHAnsi" w:hAnsiTheme="minorHAnsi" w:cstheme="minorHAnsi"/>
          <w:sz w:val="20"/>
          <w:szCs w:val="20"/>
        </w:rPr>
        <w:t>Alchemist Codes</w:t>
      </w:r>
      <w:r w:rsidRPr="009B546D">
        <w:rPr>
          <w:rFonts w:asciiTheme="minorHAnsi" w:hAnsiTheme="minorHAnsi" w:cstheme="minorHAnsi"/>
          <w:sz w:val="20"/>
          <w:szCs w:val="20"/>
        </w:rPr>
        <w:t xml:space="preserve">. The Consideration Shares are to be issued at a price of </w:t>
      </w:r>
      <w:r w:rsidR="00987BBE" w:rsidRPr="009B546D">
        <w:rPr>
          <w:rFonts w:asciiTheme="minorHAnsi" w:hAnsiTheme="minorHAnsi" w:cstheme="minorHAnsi"/>
          <w:sz w:val="20"/>
          <w:szCs w:val="20"/>
        </w:rPr>
        <w:t>17.8</w:t>
      </w:r>
      <w:r w:rsidR="00CA0EBC" w:rsidRPr="009B546D">
        <w:rPr>
          <w:rFonts w:asciiTheme="minorHAnsi" w:hAnsiTheme="minorHAnsi" w:cstheme="minorHAnsi"/>
          <w:sz w:val="20"/>
          <w:szCs w:val="20"/>
        </w:rPr>
        <w:t xml:space="preserve"> pence</w:t>
      </w:r>
      <w:r w:rsidRPr="009B546D">
        <w:rPr>
          <w:rFonts w:asciiTheme="minorHAnsi" w:hAnsiTheme="minorHAnsi" w:cstheme="minorHAnsi"/>
          <w:sz w:val="20"/>
          <w:szCs w:val="20"/>
        </w:rPr>
        <w:t xml:space="preserve"> each and which values </w:t>
      </w:r>
      <w:r w:rsidR="00AF0C4A" w:rsidRPr="009B546D">
        <w:rPr>
          <w:rFonts w:asciiTheme="minorHAnsi" w:hAnsiTheme="minorHAnsi" w:cstheme="minorHAnsi"/>
          <w:sz w:val="20"/>
          <w:szCs w:val="20"/>
        </w:rPr>
        <w:t>Alchemist Codes</w:t>
      </w:r>
      <w:r w:rsidRPr="009B546D">
        <w:rPr>
          <w:rFonts w:asciiTheme="minorHAnsi" w:hAnsiTheme="minorHAnsi" w:cstheme="minorHAnsi"/>
          <w:sz w:val="20"/>
          <w:szCs w:val="20"/>
        </w:rPr>
        <w:t xml:space="preserve"> at approximately £</w:t>
      </w:r>
      <w:r w:rsidR="00987BBE" w:rsidRPr="009B546D">
        <w:rPr>
          <w:rFonts w:asciiTheme="minorHAnsi" w:hAnsiTheme="minorHAnsi" w:cstheme="minorHAnsi"/>
          <w:sz w:val="20"/>
          <w:szCs w:val="20"/>
        </w:rPr>
        <w:t xml:space="preserve">2.3 </w:t>
      </w:r>
      <w:r w:rsidRPr="009B546D">
        <w:rPr>
          <w:rFonts w:asciiTheme="minorHAnsi" w:hAnsiTheme="minorHAnsi" w:cstheme="minorHAnsi"/>
          <w:sz w:val="20"/>
          <w:szCs w:val="20"/>
        </w:rPr>
        <w:t xml:space="preserve">million. The Consideration Shares will represent approximately </w:t>
      </w:r>
      <w:r w:rsidR="00987BBE" w:rsidRPr="009B546D">
        <w:rPr>
          <w:rFonts w:asciiTheme="minorHAnsi" w:hAnsiTheme="minorHAnsi" w:cstheme="minorHAnsi"/>
          <w:sz w:val="20"/>
          <w:szCs w:val="20"/>
        </w:rPr>
        <w:t>20</w:t>
      </w:r>
      <w:r w:rsidR="00CA0EBC" w:rsidRPr="009B546D">
        <w:rPr>
          <w:rFonts w:asciiTheme="minorHAnsi" w:hAnsiTheme="minorHAnsi" w:cstheme="minorHAnsi"/>
          <w:sz w:val="20"/>
          <w:szCs w:val="20"/>
        </w:rPr>
        <w:t xml:space="preserve"> </w:t>
      </w:r>
      <w:r w:rsidRPr="009B546D">
        <w:rPr>
          <w:rFonts w:asciiTheme="minorHAnsi" w:hAnsiTheme="minorHAnsi" w:cstheme="minorHAnsi"/>
          <w:sz w:val="20"/>
          <w:szCs w:val="20"/>
        </w:rPr>
        <w:t>per cent. of the Enlarged Share Capital of the Company on Re-Admission.</w:t>
      </w:r>
    </w:p>
    <w:p w14:paraId="58FEAB5D" w14:textId="2D03E662" w:rsidR="00625542" w:rsidRPr="009B546D" w:rsidRDefault="00625542" w:rsidP="00F432B9">
      <w:pPr>
        <w:pStyle w:val="BodyText"/>
        <w:spacing w:line="240" w:lineRule="auto"/>
        <w:ind w:left="357"/>
        <w:rPr>
          <w:rFonts w:asciiTheme="minorHAnsi" w:hAnsiTheme="minorHAnsi" w:cstheme="minorHAnsi"/>
          <w:sz w:val="20"/>
          <w:szCs w:val="20"/>
        </w:rPr>
      </w:pPr>
      <w:r w:rsidRPr="009B546D">
        <w:rPr>
          <w:rFonts w:asciiTheme="minorHAnsi" w:hAnsiTheme="minorHAnsi" w:cstheme="minorHAnsi"/>
          <w:sz w:val="20"/>
          <w:szCs w:val="20"/>
        </w:rPr>
        <w:t>The Sellers have given warranties to the Company regarding, inter alia, their title to the share capital of the share capital of Alchemist Codes and their capacity to transfer the title to the share capital of Alchemist Codes. A claim can be brought under the warranties for a period of two years following the completion of the Proposed Acquisition. The Sellers have undertaken to operate the business only in the usual and ordinary course in the same manner as previously conducted between the date the Acquisition Agreement was signed and the completion of the Proposed Acquisition.</w:t>
      </w:r>
    </w:p>
    <w:p w14:paraId="06F3E87D" w14:textId="77777777"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Lock-in agreement</w:t>
      </w:r>
    </w:p>
    <w:p w14:paraId="4AAF8A1A" w14:textId="010E3751" w:rsidR="00DC4A7E" w:rsidRPr="009B546D" w:rsidRDefault="00DC4A7E" w:rsidP="00F432B9">
      <w:pPr>
        <w:pStyle w:val="BodyText"/>
        <w:widowControl w:val="0"/>
        <w:spacing w:after="160" w:line="240" w:lineRule="auto"/>
        <w:ind w:left="357"/>
        <w:rPr>
          <w:rFonts w:asciiTheme="minorHAnsi" w:hAnsiTheme="minorHAnsi" w:cstheme="minorHAnsi"/>
          <w:sz w:val="20"/>
          <w:szCs w:val="20"/>
        </w:rPr>
      </w:pPr>
      <w:r w:rsidRPr="0002146D">
        <w:rPr>
          <w:rFonts w:asciiTheme="minorHAnsi" w:hAnsiTheme="minorHAnsi" w:cstheme="minorHAnsi"/>
          <w:sz w:val="20"/>
          <w:szCs w:val="20"/>
        </w:rPr>
        <w:t xml:space="preserve">No person or entity is offering to sell the Ordinary Shares and on </w:t>
      </w:r>
      <w:r w:rsidR="00187D70">
        <w:rPr>
          <w:rFonts w:asciiTheme="minorHAnsi" w:hAnsiTheme="minorHAnsi" w:cstheme="minorHAnsi"/>
          <w:sz w:val="20"/>
          <w:szCs w:val="20"/>
        </w:rPr>
        <w:t>20</w:t>
      </w:r>
      <w:r w:rsidRPr="0002146D">
        <w:rPr>
          <w:rFonts w:asciiTheme="minorHAnsi" w:hAnsiTheme="minorHAnsi" w:cstheme="minorHAnsi"/>
          <w:sz w:val="20"/>
          <w:szCs w:val="20"/>
        </w:rPr>
        <w:t xml:space="preserve"> </w:t>
      </w:r>
      <w:r w:rsidR="002D64EE" w:rsidRPr="009B546D">
        <w:rPr>
          <w:rFonts w:asciiTheme="minorHAnsi" w:hAnsiTheme="minorHAnsi" w:cstheme="minorHAnsi"/>
          <w:sz w:val="20"/>
          <w:szCs w:val="20"/>
        </w:rPr>
        <w:t xml:space="preserve">March </w:t>
      </w:r>
      <w:r w:rsidRPr="009B546D">
        <w:rPr>
          <w:rFonts w:asciiTheme="minorHAnsi" w:hAnsiTheme="minorHAnsi" w:cstheme="minorHAnsi"/>
          <w:sz w:val="20"/>
          <w:szCs w:val="20"/>
        </w:rPr>
        <w:t>2020, the Company, VSA and each of Song Beng Gee, Lee Chong Liang, Soctech Capital Fund, Teong Tiek Wah, Charles Yong Kai Yee and Chau Hut Lim entered into a lock-in agreement.</w:t>
      </w:r>
    </w:p>
    <w:p w14:paraId="4B51E268" w14:textId="7D9829C7" w:rsidR="00DC4A7E" w:rsidRPr="009B546D" w:rsidRDefault="00DC4A7E" w:rsidP="00DA3BEA">
      <w:pPr>
        <w:pStyle w:val="BodyText"/>
        <w:widowControl w:val="0"/>
        <w:spacing w:after="160" w:line="240" w:lineRule="auto"/>
        <w:ind w:left="357"/>
        <w:rPr>
          <w:rFonts w:asciiTheme="minorHAnsi" w:hAnsiTheme="minorHAnsi" w:cstheme="minorHAnsi"/>
          <w:sz w:val="20"/>
          <w:szCs w:val="20"/>
        </w:rPr>
      </w:pPr>
      <w:r w:rsidRPr="0002146D">
        <w:rPr>
          <w:rFonts w:asciiTheme="minorHAnsi" w:hAnsiTheme="minorHAnsi" w:cstheme="minorHAnsi"/>
          <w:sz w:val="20"/>
          <w:szCs w:val="20"/>
        </w:rPr>
        <w:t xml:space="preserve">On </w:t>
      </w:r>
      <w:r w:rsidR="00187D70">
        <w:rPr>
          <w:rFonts w:asciiTheme="minorHAnsi" w:hAnsiTheme="minorHAnsi" w:cstheme="minorHAnsi"/>
          <w:sz w:val="20"/>
          <w:szCs w:val="20"/>
        </w:rPr>
        <w:t>20</w:t>
      </w:r>
      <w:r w:rsidRPr="0002146D">
        <w:rPr>
          <w:rFonts w:asciiTheme="minorHAnsi" w:hAnsiTheme="minorHAnsi" w:cstheme="minorHAnsi"/>
          <w:sz w:val="20"/>
          <w:szCs w:val="20"/>
        </w:rPr>
        <w:t xml:space="preserve"> </w:t>
      </w:r>
      <w:r w:rsidR="002D64EE" w:rsidRPr="009B546D">
        <w:rPr>
          <w:rFonts w:asciiTheme="minorHAnsi" w:hAnsiTheme="minorHAnsi" w:cstheme="minorHAnsi"/>
          <w:sz w:val="20"/>
          <w:szCs w:val="20"/>
        </w:rPr>
        <w:t xml:space="preserve">March </w:t>
      </w:r>
      <w:r w:rsidRPr="009B546D">
        <w:rPr>
          <w:rFonts w:asciiTheme="minorHAnsi" w:hAnsiTheme="minorHAnsi" w:cstheme="minorHAnsi"/>
          <w:sz w:val="20"/>
          <w:szCs w:val="20"/>
        </w:rPr>
        <w:t>2020, the Company, VSA and each of Song Beng Gee, Lee Chong Liang, Soctech Capital Fund, Teong Tiek Wah, Charles Yong Kai Yee and Chau Hut Lim entered into a lock-in agreement pursuant to which the Covenantor (as defined in such agreement) has undertaken that he will not dispose of any of his interests in the Ordinary Shares for a period of twelve (12) months following the Re-Admission (the “</w:t>
      </w:r>
      <w:r w:rsidRPr="00EA2BB6">
        <w:rPr>
          <w:rFonts w:asciiTheme="minorHAnsi" w:hAnsiTheme="minorHAnsi" w:cstheme="minorHAnsi"/>
          <w:b/>
          <w:bCs/>
          <w:sz w:val="20"/>
          <w:szCs w:val="20"/>
        </w:rPr>
        <w:t>Lock-in Period</w:t>
      </w:r>
      <w:r w:rsidRPr="009B546D">
        <w:rPr>
          <w:rFonts w:asciiTheme="minorHAnsi" w:hAnsiTheme="minorHAnsi" w:cstheme="minorHAnsi"/>
          <w:sz w:val="20"/>
          <w:szCs w:val="20"/>
        </w:rPr>
        <w:t xml:space="preserve">”), unless with the prior consent of VSA. </w:t>
      </w:r>
    </w:p>
    <w:p w14:paraId="1F679D41" w14:textId="5187C0E6" w:rsidR="00DC4A7E" w:rsidRPr="009B546D" w:rsidRDefault="00DC4A7E" w:rsidP="00F432B9">
      <w:pPr>
        <w:pStyle w:val="BodyText"/>
        <w:widowControl w:val="0"/>
        <w:spacing w:after="160" w:line="240" w:lineRule="auto"/>
        <w:ind w:left="357"/>
        <w:rPr>
          <w:rFonts w:asciiTheme="minorHAnsi" w:hAnsiTheme="minorHAnsi" w:cstheme="minorHAnsi"/>
          <w:sz w:val="20"/>
          <w:szCs w:val="20"/>
        </w:rPr>
      </w:pPr>
      <w:r w:rsidRPr="009B546D">
        <w:rPr>
          <w:rFonts w:asciiTheme="minorHAnsi" w:hAnsiTheme="minorHAnsi" w:cstheme="minorHAnsi"/>
          <w:sz w:val="20"/>
          <w:szCs w:val="20"/>
        </w:rPr>
        <w:t>The Lock-in Period will not apply in the following circumstances: (i) in acceptance of a general offer</w:t>
      </w:r>
      <w:r w:rsidR="00B575FC">
        <w:rPr>
          <w:rFonts w:asciiTheme="minorHAnsi" w:hAnsiTheme="minorHAnsi" w:cstheme="minorHAnsi"/>
          <w:sz w:val="20"/>
          <w:szCs w:val="20"/>
        </w:rPr>
        <w:t xml:space="preserve"> </w:t>
      </w:r>
      <w:r w:rsidRPr="009B546D">
        <w:rPr>
          <w:rFonts w:asciiTheme="minorHAnsi" w:hAnsiTheme="minorHAnsi" w:cstheme="minorHAnsi"/>
          <w:sz w:val="20"/>
          <w:szCs w:val="20"/>
        </w:rPr>
        <w:t xml:space="preserve">made for entire issued share capital of the Company which has been recommended by the Board to accept or which has become unconditional as to acceptances; (ii) the execution of an irrevocable commitment to accept such a general offer which is recommended by the Board or which has become unconditional as to acceptances; (iii) pursuant to a compromise or arrangement between the Company and its creditors (or any class of them) or between the Company and its members (or any class of them) which is agreed to by the creditors or the members (as the case may be) and sanctioned by a court under section 899 of the </w:t>
      </w:r>
      <w:r w:rsidRPr="009B546D">
        <w:rPr>
          <w:rFonts w:asciiTheme="minorHAnsi" w:hAnsiTheme="minorHAnsi" w:cstheme="minorHAnsi"/>
          <w:sz w:val="20"/>
          <w:szCs w:val="20"/>
        </w:rPr>
        <w:lastRenderedPageBreak/>
        <w:t>Companies Act 2006 or any similar or equivalent arrangement under the laws of the Cayman Islands; (iv) pursuant to a scheme of arrangement pursuant to section 110 of the Insolvency Act 1986 in relation to the Company or any similar or equivalent arrangement under the laws of the Cayman Islands; (v) if permitted by the Listing Rules pursuant to an offer by the Company to purchase its own shares which is made on identical terms to all Shareholders and otherwise complies with applicable legal and regulatory requirements; (vi) where ordered any court of competent jurisdiction or by personal representatives of the Covenantor if he shall die during the Lock-in Period provided that the sale by such personal representatives shall be effected in accordance with the reasonable requirements of the Company so as to ensure an orderly market for the issued share capital of the Company; or (vii) any disposal at a time when the Ordinary Shares are no longer admitted to trading on the London Stock Exchange or to listing or trading on any other stock exchange; or (viii) to an Associate (as bearing the meaning ascribed to it in paragraph (A) of the definition of "</w:t>
      </w:r>
      <w:r w:rsidRPr="00EA2BB6">
        <w:rPr>
          <w:rFonts w:asciiTheme="minorHAnsi" w:hAnsiTheme="minorHAnsi" w:cstheme="minorHAnsi"/>
          <w:b/>
          <w:bCs/>
          <w:sz w:val="20"/>
          <w:szCs w:val="20"/>
        </w:rPr>
        <w:t>Associate</w:t>
      </w:r>
      <w:r w:rsidRPr="009B546D">
        <w:rPr>
          <w:rFonts w:asciiTheme="minorHAnsi" w:hAnsiTheme="minorHAnsi" w:cstheme="minorHAnsi"/>
          <w:sz w:val="20"/>
          <w:szCs w:val="20"/>
        </w:rPr>
        <w:t xml:space="preserve">” in the Listing Rules). </w:t>
      </w:r>
    </w:p>
    <w:p w14:paraId="6508888C" w14:textId="77777777" w:rsidR="00DC4A7E" w:rsidRPr="009B546D" w:rsidRDefault="00DC4A7E" w:rsidP="00F432B9">
      <w:pPr>
        <w:pStyle w:val="BodyText"/>
        <w:widowControl w:val="0"/>
        <w:spacing w:after="160" w:line="240" w:lineRule="auto"/>
        <w:ind w:left="357"/>
        <w:rPr>
          <w:rFonts w:asciiTheme="minorHAnsi" w:hAnsiTheme="minorHAnsi" w:cstheme="minorHAnsi"/>
          <w:sz w:val="20"/>
          <w:szCs w:val="20"/>
        </w:rPr>
      </w:pPr>
      <w:r w:rsidRPr="009B546D">
        <w:rPr>
          <w:rFonts w:asciiTheme="minorHAnsi" w:hAnsiTheme="minorHAnsi" w:cstheme="minorHAnsi"/>
          <w:sz w:val="20"/>
          <w:szCs w:val="20"/>
        </w:rPr>
        <w:t>In the event the Covenantor intends to dispose of any of his interests in the Ordinary Shares at any time during the twelve-month period following the Lock-in Period, such disposal shall only be conducted with the approval and through VSA and only if VSA is of the opinion that such disposal would not give rise to a disorderly market in the Ordinary Shares (subject in each case to certain exceptions).</w:t>
      </w:r>
    </w:p>
    <w:p w14:paraId="4CCA0309" w14:textId="77777777"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Relationship deed</w:t>
      </w:r>
    </w:p>
    <w:p w14:paraId="7CE340D0" w14:textId="7E269BAB" w:rsidR="00D90E1F" w:rsidRPr="009B546D" w:rsidRDefault="00D90E1F" w:rsidP="00F432B9">
      <w:pPr>
        <w:pStyle w:val="BodyText"/>
        <w:widowControl w:val="0"/>
        <w:spacing w:after="160" w:line="240" w:lineRule="auto"/>
        <w:ind w:left="357"/>
        <w:rPr>
          <w:rFonts w:asciiTheme="minorHAnsi" w:hAnsiTheme="minorHAnsi" w:cstheme="minorHAnsi"/>
          <w:sz w:val="20"/>
          <w:szCs w:val="20"/>
        </w:rPr>
      </w:pPr>
      <w:r w:rsidRPr="0002146D">
        <w:rPr>
          <w:rFonts w:asciiTheme="minorHAnsi" w:hAnsiTheme="minorHAnsi" w:cstheme="minorHAnsi"/>
          <w:sz w:val="20"/>
          <w:szCs w:val="20"/>
        </w:rPr>
        <w:t xml:space="preserve">On </w:t>
      </w:r>
      <w:r w:rsidR="00187D70">
        <w:rPr>
          <w:rFonts w:asciiTheme="minorHAnsi" w:hAnsiTheme="minorHAnsi" w:cstheme="minorHAnsi"/>
          <w:sz w:val="20"/>
          <w:szCs w:val="20"/>
        </w:rPr>
        <w:t>20</w:t>
      </w:r>
      <w:r w:rsidRPr="0002146D">
        <w:rPr>
          <w:rFonts w:asciiTheme="minorHAnsi" w:hAnsiTheme="minorHAnsi" w:cstheme="minorHAnsi"/>
          <w:sz w:val="20"/>
          <w:szCs w:val="20"/>
        </w:rPr>
        <w:t xml:space="preserve"> </w:t>
      </w:r>
      <w:r w:rsidR="00F9441A" w:rsidRPr="009B546D">
        <w:rPr>
          <w:rFonts w:asciiTheme="minorHAnsi" w:hAnsiTheme="minorHAnsi" w:cstheme="minorHAnsi"/>
          <w:sz w:val="20"/>
          <w:szCs w:val="20"/>
        </w:rPr>
        <w:t>March 2020</w:t>
      </w:r>
      <w:r w:rsidRPr="009B546D">
        <w:rPr>
          <w:rFonts w:asciiTheme="minorHAnsi" w:hAnsiTheme="minorHAnsi" w:cstheme="minorHAnsi"/>
          <w:sz w:val="20"/>
          <w:szCs w:val="20"/>
        </w:rPr>
        <w:t xml:space="preserve">, the Company entered into a relationship deed with </w:t>
      </w:r>
      <w:r w:rsidR="002A2FE5" w:rsidRPr="009B546D">
        <w:rPr>
          <w:rFonts w:asciiTheme="minorHAnsi" w:hAnsiTheme="minorHAnsi" w:cstheme="minorHAnsi"/>
          <w:sz w:val="20"/>
          <w:szCs w:val="20"/>
        </w:rPr>
        <w:t>Song Beng Gee, Lee Chong Liang</w:t>
      </w:r>
      <w:r w:rsidRPr="009B546D">
        <w:rPr>
          <w:rFonts w:asciiTheme="minorHAnsi" w:hAnsiTheme="minorHAnsi" w:cstheme="minorHAnsi"/>
          <w:sz w:val="20"/>
          <w:szCs w:val="20"/>
        </w:rPr>
        <w:t xml:space="preserve"> (who shall, at Re-Admission, be indirectly interested in approximately </w:t>
      </w:r>
      <w:r w:rsidR="00814539" w:rsidRPr="007D399C">
        <w:rPr>
          <w:rFonts w:asciiTheme="minorHAnsi" w:hAnsiTheme="minorHAnsi" w:cstheme="minorHAnsi"/>
          <w:sz w:val="20"/>
          <w:szCs w:val="20"/>
        </w:rPr>
        <w:t>36.34</w:t>
      </w:r>
      <w:r w:rsidRPr="00814539">
        <w:rPr>
          <w:rFonts w:asciiTheme="minorHAnsi" w:hAnsiTheme="minorHAnsi" w:cstheme="minorHAnsi"/>
          <w:sz w:val="20"/>
          <w:szCs w:val="20"/>
        </w:rPr>
        <w:t xml:space="preserve"> per cent</w:t>
      </w:r>
      <w:r w:rsidRPr="009B546D">
        <w:rPr>
          <w:rFonts w:asciiTheme="minorHAnsi" w:hAnsiTheme="minorHAnsi" w:cstheme="minorHAnsi"/>
          <w:sz w:val="20"/>
          <w:szCs w:val="20"/>
        </w:rPr>
        <w:t>. of the voting rights in the Company) in order to regulate the relationship between the covenantor and the Company. Pursuant to the relationship deed, the covenantor undertook to use his best endeavours to ensure the independence and management of the Company in relation to the day-to-day management, affairs and governance of the Company.</w:t>
      </w:r>
    </w:p>
    <w:p w14:paraId="353A75E2" w14:textId="508C73B4" w:rsidR="00D90E1F" w:rsidRPr="009B546D" w:rsidRDefault="00D90E1F" w:rsidP="00F432B9">
      <w:pPr>
        <w:pStyle w:val="BodyText"/>
        <w:widowControl w:val="0"/>
        <w:spacing w:after="160" w:line="240" w:lineRule="auto"/>
        <w:ind w:left="357"/>
        <w:rPr>
          <w:rFonts w:asciiTheme="minorHAnsi" w:hAnsiTheme="minorHAnsi" w:cstheme="minorHAnsi"/>
          <w:sz w:val="20"/>
          <w:szCs w:val="20"/>
        </w:rPr>
      </w:pPr>
      <w:r w:rsidRPr="009B546D">
        <w:rPr>
          <w:rFonts w:asciiTheme="minorHAnsi" w:hAnsiTheme="minorHAnsi" w:cstheme="minorHAnsi"/>
          <w:sz w:val="20"/>
          <w:szCs w:val="20"/>
        </w:rPr>
        <w:t xml:space="preserve">In addition, all transactions between the covenantor, and his associates (as defined in the Listing Rules) and the Company shall be conducted at arm’s length, on normal commercial basis and approved by a majority of the </w:t>
      </w:r>
      <w:r w:rsidR="006B7A8C">
        <w:rPr>
          <w:rFonts w:asciiTheme="minorHAnsi" w:hAnsiTheme="minorHAnsi" w:cstheme="minorHAnsi"/>
          <w:sz w:val="20"/>
          <w:szCs w:val="20"/>
        </w:rPr>
        <w:t>I</w:t>
      </w:r>
      <w:r w:rsidRPr="009B546D">
        <w:rPr>
          <w:rFonts w:asciiTheme="minorHAnsi" w:hAnsiTheme="minorHAnsi" w:cstheme="minorHAnsi"/>
          <w:sz w:val="20"/>
          <w:szCs w:val="20"/>
        </w:rPr>
        <w:t xml:space="preserve">ndependent </w:t>
      </w:r>
      <w:r w:rsidR="006B7A8C">
        <w:rPr>
          <w:rFonts w:asciiTheme="minorHAnsi" w:hAnsiTheme="minorHAnsi" w:cstheme="minorHAnsi"/>
          <w:sz w:val="20"/>
          <w:szCs w:val="20"/>
        </w:rPr>
        <w:t>N</w:t>
      </w:r>
      <w:r w:rsidRPr="009B546D">
        <w:rPr>
          <w:rFonts w:asciiTheme="minorHAnsi" w:hAnsiTheme="minorHAnsi" w:cstheme="minorHAnsi"/>
          <w:sz w:val="20"/>
          <w:szCs w:val="20"/>
        </w:rPr>
        <w:t>on-</w:t>
      </w:r>
      <w:r w:rsidR="006B7A8C">
        <w:rPr>
          <w:rFonts w:asciiTheme="minorHAnsi" w:hAnsiTheme="minorHAnsi" w:cstheme="minorHAnsi"/>
          <w:sz w:val="20"/>
          <w:szCs w:val="20"/>
        </w:rPr>
        <w:t>E</w:t>
      </w:r>
      <w:r w:rsidRPr="009B546D">
        <w:rPr>
          <w:rFonts w:asciiTheme="minorHAnsi" w:hAnsiTheme="minorHAnsi" w:cstheme="minorHAnsi"/>
          <w:sz w:val="20"/>
          <w:szCs w:val="20"/>
        </w:rPr>
        <w:t xml:space="preserve">xecutive </w:t>
      </w:r>
      <w:r w:rsidR="006B7A8C">
        <w:rPr>
          <w:rFonts w:asciiTheme="minorHAnsi" w:hAnsiTheme="minorHAnsi" w:cstheme="minorHAnsi"/>
          <w:sz w:val="20"/>
          <w:szCs w:val="20"/>
        </w:rPr>
        <w:t>D</w:t>
      </w:r>
      <w:r w:rsidRPr="009B546D">
        <w:rPr>
          <w:rFonts w:asciiTheme="minorHAnsi" w:hAnsiTheme="minorHAnsi" w:cstheme="minorHAnsi"/>
          <w:sz w:val="20"/>
          <w:szCs w:val="20"/>
        </w:rPr>
        <w:t xml:space="preserve">irectors. The relationship deed also provides that no agreement between the </w:t>
      </w:r>
      <w:r w:rsidR="00225663" w:rsidRPr="009B546D">
        <w:rPr>
          <w:rFonts w:asciiTheme="minorHAnsi" w:hAnsiTheme="minorHAnsi" w:cstheme="minorHAnsi"/>
          <w:sz w:val="20"/>
          <w:szCs w:val="20"/>
        </w:rPr>
        <w:t>covenanter</w:t>
      </w:r>
      <w:r w:rsidRPr="009B546D">
        <w:rPr>
          <w:rFonts w:asciiTheme="minorHAnsi" w:hAnsiTheme="minorHAnsi" w:cstheme="minorHAnsi"/>
          <w:sz w:val="20"/>
          <w:szCs w:val="20"/>
        </w:rPr>
        <w:t xml:space="preserve">, and his associates and the Company can be varied, amended, waived or terminated unless approved in advance by all of the </w:t>
      </w:r>
      <w:r w:rsidR="006B7A8C">
        <w:rPr>
          <w:rFonts w:asciiTheme="minorHAnsi" w:hAnsiTheme="minorHAnsi" w:cstheme="minorHAnsi"/>
          <w:sz w:val="20"/>
          <w:szCs w:val="20"/>
        </w:rPr>
        <w:t>I</w:t>
      </w:r>
      <w:r w:rsidRPr="009B546D">
        <w:rPr>
          <w:rFonts w:asciiTheme="minorHAnsi" w:hAnsiTheme="minorHAnsi" w:cstheme="minorHAnsi"/>
          <w:sz w:val="20"/>
          <w:szCs w:val="20"/>
        </w:rPr>
        <w:t xml:space="preserve">ndependent </w:t>
      </w:r>
      <w:r w:rsidR="006B7A8C">
        <w:rPr>
          <w:rFonts w:asciiTheme="minorHAnsi" w:hAnsiTheme="minorHAnsi" w:cstheme="minorHAnsi"/>
          <w:sz w:val="20"/>
          <w:szCs w:val="20"/>
        </w:rPr>
        <w:t>N</w:t>
      </w:r>
      <w:r w:rsidRPr="009B546D">
        <w:rPr>
          <w:rFonts w:asciiTheme="minorHAnsi" w:hAnsiTheme="minorHAnsi" w:cstheme="minorHAnsi"/>
          <w:sz w:val="20"/>
          <w:szCs w:val="20"/>
        </w:rPr>
        <w:t>on-</w:t>
      </w:r>
      <w:r w:rsidR="006B7A8C">
        <w:rPr>
          <w:rFonts w:asciiTheme="minorHAnsi" w:hAnsiTheme="minorHAnsi" w:cstheme="minorHAnsi"/>
          <w:sz w:val="20"/>
          <w:szCs w:val="20"/>
        </w:rPr>
        <w:t>E</w:t>
      </w:r>
      <w:r w:rsidRPr="009B546D">
        <w:rPr>
          <w:rFonts w:asciiTheme="minorHAnsi" w:hAnsiTheme="minorHAnsi" w:cstheme="minorHAnsi"/>
          <w:sz w:val="20"/>
          <w:szCs w:val="20"/>
        </w:rPr>
        <w:t xml:space="preserve">xecutive </w:t>
      </w:r>
      <w:r w:rsidR="006B7A8C">
        <w:rPr>
          <w:rFonts w:asciiTheme="minorHAnsi" w:hAnsiTheme="minorHAnsi" w:cstheme="minorHAnsi"/>
          <w:sz w:val="20"/>
          <w:szCs w:val="20"/>
        </w:rPr>
        <w:t>D</w:t>
      </w:r>
      <w:r w:rsidRPr="009B546D">
        <w:rPr>
          <w:rFonts w:asciiTheme="minorHAnsi" w:hAnsiTheme="minorHAnsi" w:cstheme="minorHAnsi"/>
          <w:sz w:val="20"/>
          <w:szCs w:val="20"/>
        </w:rPr>
        <w:t xml:space="preserve">irectors. The relationship deed shall remain in full force and effect for so long as the covenantor and his associates retain more than 15 per cent. of the voting rights in the Company and the Ordinary Shares continue to be admitted to trading on the Main Market. </w:t>
      </w:r>
    </w:p>
    <w:p w14:paraId="1EC91E91" w14:textId="7BD73C48"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bCs/>
          <w:szCs w:val="20"/>
        </w:rPr>
      </w:pPr>
      <w:bookmarkStart w:id="62" w:name="_Ref20478404"/>
      <w:r w:rsidRPr="009B546D">
        <w:rPr>
          <w:rFonts w:asciiTheme="minorHAnsi" w:hAnsiTheme="minorHAnsi" w:cstheme="minorHAnsi"/>
          <w:bCs/>
          <w:szCs w:val="20"/>
        </w:rPr>
        <w:t xml:space="preserve">Material contracts of </w:t>
      </w:r>
      <w:r w:rsidR="00AF0C4A" w:rsidRPr="009B546D">
        <w:rPr>
          <w:rFonts w:asciiTheme="minorHAnsi" w:hAnsiTheme="minorHAnsi" w:cstheme="minorHAnsi"/>
          <w:bCs/>
          <w:szCs w:val="20"/>
        </w:rPr>
        <w:t>Alchemist Codes</w:t>
      </w:r>
      <w:r w:rsidRPr="009B546D">
        <w:rPr>
          <w:rFonts w:asciiTheme="minorHAnsi" w:hAnsiTheme="minorHAnsi" w:cstheme="minorHAnsi"/>
          <w:bCs/>
          <w:szCs w:val="20"/>
        </w:rPr>
        <w:t>’s business</w:t>
      </w:r>
      <w:bookmarkEnd w:id="62"/>
    </w:p>
    <w:p w14:paraId="58392007" w14:textId="4100B0D0" w:rsidR="00681DC8" w:rsidRPr="009B546D" w:rsidRDefault="00F5028A" w:rsidP="00F432B9">
      <w:pPr>
        <w:pStyle w:val="BodyText"/>
        <w:widowControl w:val="0"/>
        <w:spacing w:after="160" w:line="240" w:lineRule="auto"/>
        <w:ind w:right="111"/>
        <w:rPr>
          <w:rFonts w:asciiTheme="minorHAnsi" w:hAnsiTheme="minorHAnsi" w:cstheme="minorHAnsi"/>
          <w:sz w:val="20"/>
          <w:szCs w:val="20"/>
        </w:rPr>
      </w:pPr>
      <w:r w:rsidRPr="009B546D">
        <w:rPr>
          <w:rFonts w:asciiTheme="minorHAnsi" w:hAnsiTheme="minorHAnsi" w:cstheme="minorHAnsi"/>
          <w:sz w:val="20"/>
          <w:szCs w:val="20"/>
        </w:rPr>
        <w:t>There</w:t>
      </w:r>
      <w:r w:rsidR="00D90E1F" w:rsidRPr="009B546D">
        <w:rPr>
          <w:rFonts w:asciiTheme="minorHAnsi" w:hAnsiTheme="minorHAnsi" w:cstheme="minorHAnsi"/>
          <w:sz w:val="20"/>
          <w:szCs w:val="20"/>
        </w:rPr>
        <w:t xml:space="preserve"> are no contracts (not being contracts entered into in the ordinary course of business) that have been entered into by </w:t>
      </w:r>
      <w:r w:rsidR="00AF0C4A" w:rsidRPr="009B546D">
        <w:rPr>
          <w:rFonts w:asciiTheme="minorHAnsi" w:hAnsiTheme="minorHAnsi" w:cstheme="minorHAnsi"/>
          <w:sz w:val="20"/>
          <w:szCs w:val="20"/>
        </w:rPr>
        <w:t>Alchemist Codes</w:t>
      </w:r>
      <w:r w:rsidR="00D90E1F" w:rsidRPr="009B546D">
        <w:rPr>
          <w:rFonts w:asciiTheme="minorHAnsi" w:hAnsiTheme="minorHAnsi" w:cstheme="minorHAnsi"/>
          <w:sz w:val="20"/>
          <w:szCs w:val="20"/>
        </w:rPr>
        <w:t xml:space="preserve">: (a) within the two years immediately preceding the publication of this Prospectus which are, or may be, material to </w:t>
      </w:r>
      <w:r w:rsidR="00AF0C4A" w:rsidRPr="009B546D">
        <w:rPr>
          <w:rFonts w:asciiTheme="minorHAnsi" w:hAnsiTheme="minorHAnsi" w:cstheme="minorHAnsi"/>
          <w:sz w:val="20"/>
          <w:szCs w:val="20"/>
        </w:rPr>
        <w:t>Alchemist Codes</w:t>
      </w:r>
      <w:r w:rsidR="00D90E1F" w:rsidRPr="009B546D">
        <w:rPr>
          <w:rFonts w:asciiTheme="minorHAnsi" w:hAnsiTheme="minorHAnsi" w:cstheme="minorHAnsi"/>
          <w:sz w:val="20"/>
          <w:szCs w:val="20"/>
        </w:rPr>
        <w:t xml:space="preserve">; and (b) at any time, and contain provisions under which </w:t>
      </w:r>
      <w:r w:rsidR="00AF0C4A" w:rsidRPr="009B546D">
        <w:rPr>
          <w:rFonts w:asciiTheme="minorHAnsi" w:hAnsiTheme="minorHAnsi" w:cstheme="minorHAnsi"/>
          <w:sz w:val="20"/>
          <w:szCs w:val="20"/>
        </w:rPr>
        <w:t>Alchemist Codes</w:t>
      </w:r>
      <w:r w:rsidR="00D90E1F" w:rsidRPr="009B546D">
        <w:rPr>
          <w:rFonts w:asciiTheme="minorHAnsi" w:hAnsiTheme="minorHAnsi" w:cstheme="minorHAnsi"/>
          <w:sz w:val="20"/>
          <w:szCs w:val="20"/>
        </w:rPr>
        <w:t xml:space="preserve"> has an obligation or entitlement which is, or may be, material to </w:t>
      </w:r>
      <w:r w:rsidR="00AF0C4A" w:rsidRPr="009B546D">
        <w:rPr>
          <w:rFonts w:asciiTheme="minorHAnsi" w:hAnsiTheme="minorHAnsi" w:cstheme="minorHAnsi"/>
          <w:sz w:val="20"/>
          <w:szCs w:val="20"/>
        </w:rPr>
        <w:t>Alchemist Codes</w:t>
      </w:r>
      <w:r w:rsidR="00D90E1F" w:rsidRPr="009B546D">
        <w:rPr>
          <w:rFonts w:asciiTheme="minorHAnsi" w:hAnsiTheme="minorHAnsi" w:cstheme="minorHAnsi"/>
          <w:sz w:val="20"/>
          <w:szCs w:val="20"/>
        </w:rPr>
        <w:t xml:space="preserve"> Business as at the Latest Practicable Date.</w:t>
      </w:r>
      <w:r w:rsidR="007D7B13" w:rsidRPr="009B546D">
        <w:rPr>
          <w:rFonts w:asciiTheme="minorHAnsi" w:hAnsiTheme="minorHAnsi" w:cstheme="minorHAnsi"/>
          <w:sz w:val="20"/>
          <w:szCs w:val="20"/>
        </w:rPr>
        <w:t xml:space="preserve"> </w:t>
      </w:r>
    </w:p>
    <w:p w14:paraId="564C58EF" w14:textId="1AC049DA"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Significant Change</w:t>
      </w:r>
    </w:p>
    <w:p w14:paraId="49FCA091" w14:textId="710CFC6A"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Save for the </w:t>
      </w:r>
      <w:r w:rsidR="00142D95" w:rsidRPr="009B546D">
        <w:rPr>
          <w:rFonts w:asciiTheme="minorHAnsi" w:hAnsiTheme="minorHAnsi" w:cstheme="minorHAnsi"/>
          <w:b w:val="0"/>
          <w:spacing w:val="-8"/>
          <w:szCs w:val="20"/>
        </w:rPr>
        <w:t>Proposed Acquisition</w:t>
      </w:r>
      <w:r w:rsidRPr="009B546D">
        <w:rPr>
          <w:rFonts w:asciiTheme="minorHAnsi" w:hAnsiTheme="minorHAnsi" w:cstheme="minorHAnsi"/>
          <w:b w:val="0"/>
          <w:spacing w:val="-8"/>
          <w:szCs w:val="20"/>
        </w:rPr>
        <w:t xml:space="preserve">, there has been no significant change </w:t>
      </w:r>
      <w:r w:rsidR="00783B1F" w:rsidRPr="009B546D">
        <w:rPr>
          <w:rFonts w:asciiTheme="minorHAnsi" w:hAnsiTheme="minorHAnsi" w:cstheme="minorHAnsi"/>
          <w:b w:val="0"/>
          <w:spacing w:val="-8"/>
          <w:szCs w:val="20"/>
        </w:rPr>
        <w:t xml:space="preserve">in the </w:t>
      </w:r>
      <w:r w:rsidR="00783B1F" w:rsidRPr="009B546D">
        <w:rPr>
          <w:rFonts w:asciiTheme="minorHAnsi" w:eastAsia="SimSun" w:hAnsiTheme="minorHAnsi" w:cstheme="minorHAnsi"/>
          <w:b w:val="0"/>
          <w:bCs/>
          <w:kern w:val="2"/>
          <w:sz w:val="18"/>
          <w:szCs w:val="18"/>
          <w:lang w:eastAsia="zh-CN"/>
        </w:rPr>
        <w:t xml:space="preserve">financial performance or financial position of the Company </w:t>
      </w:r>
      <w:r w:rsidRPr="009B546D">
        <w:rPr>
          <w:rFonts w:asciiTheme="minorHAnsi" w:hAnsiTheme="minorHAnsi" w:cstheme="minorHAnsi"/>
          <w:b w:val="0"/>
          <w:spacing w:val="-8"/>
          <w:szCs w:val="20"/>
        </w:rPr>
        <w:t>since 31 October 201</w:t>
      </w:r>
      <w:r w:rsidR="00872379" w:rsidRPr="009B546D">
        <w:rPr>
          <w:rFonts w:asciiTheme="minorHAnsi" w:hAnsiTheme="minorHAnsi" w:cstheme="minorHAnsi"/>
          <w:b w:val="0"/>
          <w:spacing w:val="-8"/>
          <w:szCs w:val="20"/>
        </w:rPr>
        <w:t>9</w:t>
      </w:r>
      <w:r w:rsidRPr="009B546D">
        <w:rPr>
          <w:rFonts w:asciiTheme="minorHAnsi" w:hAnsiTheme="minorHAnsi" w:cstheme="minorHAnsi"/>
          <w:b w:val="0"/>
          <w:spacing w:val="-8"/>
          <w:szCs w:val="20"/>
        </w:rPr>
        <w:t xml:space="preserve"> the date to which</w:t>
      </w:r>
      <w:r w:rsidR="00554FEA">
        <w:rPr>
          <w:rFonts w:asciiTheme="minorHAnsi" w:hAnsiTheme="minorHAnsi" w:cstheme="minorHAnsi"/>
          <w:b w:val="0"/>
          <w:spacing w:val="-8"/>
          <w:szCs w:val="20"/>
        </w:rPr>
        <w:t xml:space="preserve"> the latest</w:t>
      </w:r>
      <w:r w:rsidRPr="009B546D">
        <w:rPr>
          <w:rFonts w:asciiTheme="minorHAnsi" w:hAnsiTheme="minorHAnsi" w:cstheme="minorHAnsi"/>
          <w:b w:val="0"/>
          <w:spacing w:val="-8"/>
          <w:szCs w:val="20"/>
        </w:rPr>
        <w:t xml:space="preserve"> audited </w:t>
      </w:r>
      <w:r w:rsidR="00554FEA">
        <w:rPr>
          <w:rFonts w:asciiTheme="minorHAnsi" w:hAnsiTheme="minorHAnsi" w:cstheme="minorHAnsi"/>
          <w:b w:val="0"/>
          <w:spacing w:val="-8"/>
          <w:szCs w:val="20"/>
        </w:rPr>
        <w:t>financial statements</w:t>
      </w:r>
      <w:r w:rsidRPr="009B546D">
        <w:rPr>
          <w:rFonts w:asciiTheme="minorHAnsi" w:hAnsiTheme="minorHAnsi" w:cstheme="minorHAnsi"/>
          <w:b w:val="0"/>
          <w:spacing w:val="-8"/>
          <w:szCs w:val="20"/>
        </w:rPr>
        <w:t xml:space="preserve"> have been prepared as set out in Part </w:t>
      </w:r>
      <w:r w:rsidR="00CB7CA4" w:rsidRPr="009B546D">
        <w:rPr>
          <w:rFonts w:asciiTheme="minorHAnsi" w:hAnsiTheme="minorHAnsi" w:cstheme="minorHAnsi"/>
          <w:b w:val="0"/>
          <w:spacing w:val="-8"/>
          <w:szCs w:val="20"/>
        </w:rPr>
        <w:t>XIII</w:t>
      </w:r>
      <w:r w:rsidRPr="009B546D">
        <w:rPr>
          <w:rFonts w:asciiTheme="minorHAnsi" w:hAnsiTheme="minorHAnsi" w:cstheme="minorHAnsi"/>
          <w:b w:val="0"/>
          <w:spacing w:val="-8"/>
          <w:szCs w:val="20"/>
        </w:rPr>
        <w:t xml:space="preserve"> </w:t>
      </w:r>
      <w:r w:rsidR="00DC55CA" w:rsidRPr="009B546D">
        <w:rPr>
          <w:rFonts w:asciiTheme="minorHAnsi" w:hAnsiTheme="minorHAnsi" w:cstheme="minorHAnsi"/>
          <w:b w:val="0"/>
          <w:spacing w:val="-8"/>
          <w:szCs w:val="20"/>
        </w:rPr>
        <w:t>of this Prospectus.</w:t>
      </w:r>
    </w:p>
    <w:p w14:paraId="7BA8A90C" w14:textId="16CE3286" w:rsidR="00D90E1F"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Save for the </w:t>
      </w:r>
      <w:r w:rsidR="00142D95" w:rsidRPr="009B546D">
        <w:rPr>
          <w:rFonts w:asciiTheme="minorHAnsi" w:hAnsiTheme="minorHAnsi" w:cstheme="minorHAnsi"/>
          <w:b w:val="0"/>
          <w:spacing w:val="-8"/>
          <w:szCs w:val="20"/>
        </w:rPr>
        <w:t>Proposed Acquisition</w:t>
      </w:r>
      <w:r w:rsidRPr="009B546D">
        <w:rPr>
          <w:rFonts w:asciiTheme="minorHAnsi" w:hAnsiTheme="minorHAnsi" w:cstheme="minorHAnsi"/>
          <w:b w:val="0"/>
          <w:spacing w:val="-8"/>
          <w:szCs w:val="20"/>
        </w:rPr>
        <w:t xml:space="preserve">, there has been no significant change </w:t>
      </w:r>
      <w:r w:rsidR="00783B1F" w:rsidRPr="009B546D">
        <w:rPr>
          <w:rFonts w:asciiTheme="minorHAnsi" w:hAnsiTheme="minorHAnsi" w:cstheme="minorHAnsi"/>
          <w:b w:val="0"/>
          <w:spacing w:val="-8"/>
          <w:szCs w:val="20"/>
        </w:rPr>
        <w:t xml:space="preserve">in the </w:t>
      </w:r>
      <w:r w:rsidR="00783B1F" w:rsidRPr="009B546D">
        <w:rPr>
          <w:rFonts w:asciiTheme="minorHAnsi" w:eastAsia="SimSun" w:hAnsiTheme="minorHAnsi" w:cstheme="minorHAnsi"/>
          <w:b w:val="0"/>
          <w:bCs/>
          <w:kern w:val="2"/>
          <w:sz w:val="18"/>
          <w:szCs w:val="18"/>
          <w:lang w:eastAsia="zh-CN"/>
        </w:rPr>
        <w:t xml:space="preserve">financial performance or financial position </w:t>
      </w:r>
      <w:r w:rsidRPr="009B546D">
        <w:rPr>
          <w:rFonts w:asciiTheme="minorHAnsi" w:hAnsiTheme="minorHAnsi" w:cstheme="minorHAnsi"/>
          <w:b w:val="0"/>
          <w:spacing w:val="-8"/>
          <w:szCs w:val="20"/>
        </w:rPr>
        <w:t xml:space="preserve">of </w:t>
      </w:r>
      <w:r w:rsidR="00AF0C4A" w:rsidRPr="009B546D">
        <w:rPr>
          <w:rFonts w:asciiTheme="minorHAnsi" w:hAnsiTheme="minorHAnsi" w:cstheme="minorHAnsi"/>
          <w:b w:val="0"/>
          <w:spacing w:val="-8"/>
          <w:szCs w:val="20"/>
        </w:rPr>
        <w:t>Alchemist Codes</w:t>
      </w:r>
      <w:r w:rsidRPr="009B546D">
        <w:rPr>
          <w:rFonts w:asciiTheme="minorHAnsi" w:hAnsiTheme="minorHAnsi" w:cstheme="minorHAnsi"/>
          <w:b w:val="0"/>
          <w:spacing w:val="-8"/>
          <w:szCs w:val="20"/>
        </w:rPr>
        <w:t xml:space="preserve"> since </w:t>
      </w:r>
      <w:r w:rsidR="00BC4E7F" w:rsidRPr="009B546D">
        <w:rPr>
          <w:rFonts w:asciiTheme="minorHAnsi" w:hAnsiTheme="minorHAnsi" w:cstheme="minorHAnsi"/>
          <w:b w:val="0"/>
          <w:spacing w:val="-8"/>
          <w:szCs w:val="20"/>
        </w:rPr>
        <w:t>3</w:t>
      </w:r>
      <w:r w:rsidR="00554FEA">
        <w:rPr>
          <w:rFonts w:asciiTheme="minorHAnsi" w:hAnsiTheme="minorHAnsi" w:cstheme="minorHAnsi"/>
          <w:b w:val="0"/>
          <w:spacing w:val="-8"/>
          <w:szCs w:val="20"/>
        </w:rPr>
        <w:t>1</w:t>
      </w:r>
      <w:r w:rsidR="00BC4E7F" w:rsidRPr="009B546D">
        <w:rPr>
          <w:rFonts w:asciiTheme="minorHAnsi" w:hAnsiTheme="minorHAnsi" w:cstheme="minorHAnsi"/>
          <w:b w:val="0"/>
          <w:spacing w:val="-8"/>
          <w:szCs w:val="20"/>
        </w:rPr>
        <w:t xml:space="preserve"> </w:t>
      </w:r>
      <w:r w:rsidR="00554FEA">
        <w:rPr>
          <w:rFonts w:asciiTheme="minorHAnsi" w:hAnsiTheme="minorHAnsi" w:cstheme="minorHAnsi"/>
          <w:b w:val="0"/>
          <w:spacing w:val="-8"/>
          <w:szCs w:val="20"/>
        </w:rPr>
        <w:t>October</w:t>
      </w:r>
      <w:r w:rsidR="00554FEA" w:rsidRPr="009B546D">
        <w:rPr>
          <w:rFonts w:asciiTheme="minorHAnsi" w:hAnsiTheme="minorHAnsi" w:cstheme="minorHAnsi"/>
          <w:b w:val="0"/>
          <w:spacing w:val="-8"/>
          <w:szCs w:val="20"/>
        </w:rPr>
        <w:t xml:space="preserve"> </w:t>
      </w:r>
      <w:r w:rsidR="00BC4E7F" w:rsidRPr="009B546D">
        <w:rPr>
          <w:rFonts w:asciiTheme="minorHAnsi" w:hAnsiTheme="minorHAnsi" w:cstheme="minorHAnsi"/>
          <w:b w:val="0"/>
          <w:spacing w:val="-8"/>
          <w:szCs w:val="20"/>
        </w:rPr>
        <w:t>2019</w:t>
      </w:r>
      <w:r w:rsidRPr="009B546D">
        <w:rPr>
          <w:rFonts w:asciiTheme="minorHAnsi" w:hAnsiTheme="minorHAnsi" w:cstheme="minorHAnsi"/>
          <w:b w:val="0"/>
          <w:spacing w:val="-8"/>
          <w:szCs w:val="20"/>
        </w:rPr>
        <w:t xml:space="preserve"> the date to which </w:t>
      </w:r>
      <w:r w:rsidR="00554FEA">
        <w:rPr>
          <w:rFonts w:asciiTheme="minorHAnsi" w:hAnsiTheme="minorHAnsi" w:cstheme="minorHAnsi"/>
          <w:b w:val="0"/>
          <w:spacing w:val="-8"/>
          <w:szCs w:val="20"/>
        </w:rPr>
        <w:t>the unaudited interim financial information</w:t>
      </w:r>
      <w:r w:rsidRPr="009B546D">
        <w:rPr>
          <w:rFonts w:asciiTheme="minorHAnsi" w:hAnsiTheme="minorHAnsi" w:cstheme="minorHAnsi"/>
          <w:b w:val="0"/>
          <w:spacing w:val="-8"/>
          <w:szCs w:val="20"/>
        </w:rPr>
        <w:t xml:space="preserve"> ha</w:t>
      </w:r>
      <w:r w:rsidR="00554FEA">
        <w:rPr>
          <w:rFonts w:asciiTheme="minorHAnsi" w:hAnsiTheme="minorHAnsi" w:cstheme="minorHAnsi"/>
          <w:b w:val="0"/>
          <w:spacing w:val="-8"/>
          <w:szCs w:val="20"/>
        </w:rPr>
        <w:t>s</w:t>
      </w:r>
      <w:r w:rsidRPr="009B546D">
        <w:rPr>
          <w:rFonts w:asciiTheme="minorHAnsi" w:hAnsiTheme="minorHAnsi" w:cstheme="minorHAnsi"/>
          <w:b w:val="0"/>
          <w:spacing w:val="-8"/>
          <w:szCs w:val="20"/>
        </w:rPr>
        <w:t xml:space="preserve"> been prepared as set out in Part </w:t>
      </w:r>
      <w:r w:rsidR="00DC55CA" w:rsidRPr="009B546D">
        <w:rPr>
          <w:rFonts w:asciiTheme="minorHAnsi" w:hAnsiTheme="minorHAnsi" w:cstheme="minorHAnsi"/>
          <w:b w:val="0"/>
          <w:spacing w:val="-8"/>
          <w:szCs w:val="20"/>
        </w:rPr>
        <w:t>XIV of this Prospectus.</w:t>
      </w:r>
    </w:p>
    <w:p w14:paraId="5C0061B5" w14:textId="6F43BB3B" w:rsidR="0023681A" w:rsidRDefault="0023681A">
      <w:pPr>
        <w:rPr>
          <w:b/>
        </w:rPr>
      </w:pPr>
    </w:p>
    <w:p w14:paraId="1472B6C1" w14:textId="770773AF" w:rsidR="00762BFE" w:rsidRDefault="00762BFE">
      <w:pPr>
        <w:rPr>
          <w:b/>
        </w:rPr>
      </w:pPr>
    </w:p>
    <w:p w14:paraId="73EE04BF" w14:textId="0EDCDFE7" w:rsidR="00762BFE" w:rsidRDefault="00762BFE">
      <w:pPr>
        <w:rPr>
          <w:b/>
        </w:rPr>
      </w:pPr>
    </w:p>
    <w:p w14:paraId="4A865BBD" w14:textId="77777777" w:rsidR="00762BFE" w:rsidRPr="00EA2BB6" w:rsidRDefault="00762BFE" w:rsidP="00EA2BB6">
      <w:pPr>
        <w:rPr>
          <w:b/>
        </w:rPr>
      </w:pPr>
    </w:p>
    <w:p w14:paraId="106A316A" w14:textId="64099EF2"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lastRenderedPageBreak/>
        <w:t>Litigation</w:t>
      </w:r>
    </w:p>
    <w:p w14:paraId="54F67351" w14:textId="77777777"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There are no governmental, legal or arbitration proceedings (including any such proceedings which are pending or threatened of which the Company is aware) during the twelve (12) months period immediately preceding the publication of this Prospectus which may have, or have had in the recent past, a significant effect on the financial position or profitability of the Company. </w:t>
      </w:r>
    </w:p>
    <w:p w14:paraId="0DB2D307" w14:textId="5CF78861"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There are no governmental, legal or arbitration proceedings (including any such proceedings which are pending or threatened of which the Company is aware) during the twelve (12) months period immediately preceding the publication of this Prospectus which may have, or have had in the recent past, a significant effect on the financial position or profitability of </w:t>
      </w:r>
      <w:r w:rsidR="00AF0C4A" w:rsidRPr="009B546D">
        <w:rPr>
          <w:rFonts w:asciiTheme="minorHAnsi" w:hAnsiTheme="minorHAnsi" w:cstheme="minorHAnsi"/>
          <w:b w:val="0"/>
          <w:spacing w:val="-8"/>
          <w:szCs w:val="20"/>
        </w:rPr>
        <w:t>Alchemist Codes</w:t>
      </w:r>
      <w:r w:rsidRPr="009B546D">
        <w:rPr>
          <w:rFonts w:asciiTheme="minorHAnsi" w:hAnsiTheme="minorHAnsi" w:cstheme="minorHAnsi"/>
          <w:b w:val="0"/>
          <w:spacing w:val="-8"/>
          <w:szCs w:val="20"/>
        </w:rPr>
        <w:t xml:space="preserve">. </w:t>
      </w:r>
    </w:p>
    <w:p w14:paraId="20567CE6" w14:textId="40ECCC30"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City Code, Mandatory Bids, Squeeze Out and Sell Out Rules Relating to Ordinary Shares</w:t>
      </w:r>
    </w:p>
    <w:p w14:paraId="310256BA" w14:textId="77777777" w:rsidR="00D90E1F" w:rsidRPr="009B546D" w:rsidRDefault="00D90E1F" w:rsidP="00F432B9">
      <w:pPr>
        <w:pStyle w:val="BodyText"/>
        <w:widowControl w:val="0"/>
        <w:spacing w:after="160" w:line="240" w:lineRule="auto"/>
        <w:ind w:right="101"/>
        <w:rPr>
          <w:rFonts w:asciiTheme="minorHAnsi" w:hAnsiTheme="minorHAnsi" w:cstheme="minorHAnsi"/>
          <w:sz w:val="20"/>
          <w:szCs w:val="20"/>
        </w:rPr>
      </w:pPr>
      <w:r w:rsidRPr="009B546D">
        <w:rPr>
          <w:rFonts w:asciiTheme="minorHAnsi" w:hAnsiTheme="minorHAnsi" w:cstheme="minorHAnsi"/>
          <w:sz w:val="20"/>
          <w:szCs w:val="20"/>
        </w:rPr>
        <w:t>The Company is incorporated as a Cayman Island company and is managed and controlled outside the United Kingdom. Accordingly, the Ordinary Shares are not subject to the provisions of the City Code. The Company has not adopted “code equivalent”</w:t>
      </w:r>
      <w:r w:rsidRPr="009B546D">
        <w:rPr>
          <w:rFonts w:asciiTheme="minorHAnsi" w:hAnsiTheme="minorHAnsi" w:cstheme="minorHAnsi"/>
          <w:spacing w:val="-4"/>
          <w:sz w:val="20"/>
          <w:szCs w:val="20"/>
        </w:rPr>
        <w:t xml:space="preserve"> </w:t>
      </w:r>
      <w:r w:rsidRPr="009B546D">
        <w:rPr>
          <w:rFonts w:asciiTheme="minorHAnsi" w:hAnsiTheme="minorHAnsi" w:cstheme="minorHAnsi"/>
          <w:sz w:val="20"/>
          <w:szCs w:val="20"/>
        </w:rPr>
        <w:t>provisions</w:t>
      </w:r>
      <w:r w:rsidRPr="009B546D">
        <w:rPr>
          <w:rFonts w:asciiTheme="minorHAnsi" w:hAnsiTheme="minorHAnsi" w:cstheme="minorHAnsi"/>
          <w:spacing w:val="-3"/>
          <w:sz w:val="20"/>
          <w:szCs w:val="20"/>
        </w:rPr>
        <w:t xml:space="preserve"> </w:t>
      </w:r>
      <w:r w:rsidRPr="009B546D">
        <w:rPr>
          <w:rFonts w:asciiTheme="minorHAnsi" w:hAnsiTheme="minorHAnsi" w:cstheme="minorHAnsi"/>
          <w:sz w:val="20"/>
          <w:szCs w:val="20"/>
        </w:rPr>
        <w:t>in</w:t>
      </w:r>
      <w:r w:rsidRPr="009B546D">
        <w:rPr>
          <w:rFonts w:asciiTheme="minorHAnsi" w:hAnsiTheme="minorHAnsi" w:cstheme="minorHAnsi"/>
          <w:spacing w:val="-6"/>
          <w:sz w:val="20"/>
          <w:szCs w:val="20"/>
        </w:rPr>
        <w:t xml:space="preserve"> </w:t>
      </w:r>
      <w:r w:rsidRPr="009B546D">
        <w:rPr>
          <w:rFonts w:asciiTheme="minorHAnsi" w:hAnsiTheme="minorHAnsi" w:cstheme="minorHAnsi"/>
          <w:sz w:val="20"/>
          <w:szCs w:val="20"/>
        </w:rPr>
        <w:t>its</w:t>
      </w:r>
      <w:r w:rsidRPr="009B546D">
        <w:rPr>
          <w:rFonts w:asciiTheme="minorHAnsi" w:hAnsiTheme="minorHAnsi" w:cstheme="minorHAnsi"/>
          <w:spacing w:val="-5"/>
          <w:sz w:val="20"/>
          <w:szCs w:val="20"/>
        </w:rPr>
        <w:t xml:space="preserve"> </w:t>
      </w:r>
      <w:r w:rsidRPr="009B546D">
        <w:rPr>
          <w:rFonts w:asciiTheme="minorHAnsi" w:hAnsiTheme="minorHAnsi" w:cstheme="minorHAnsi"/>
          <w:sz w:val="20"/>
          <w:szCs w:val="20"/>
        </w:rPr>
        <w:t>Articles</w:t>
      </w:r>
      <w:r w:rsidRPr="009B546D">
        <w:rPr>
          <w:rFonts w:asciiTheme="minorHAnsi" w:hAnsiTheme="minorHAnsi" w:cstheme="minorHAnsi"/>
          <w:spacing w:val="-5"/>
          <w:sz w:val="20"/>
          <w:szCs w:val="20"/>
        </w:rPr>
        <w:t xml:space="preserve"> </w:t>
      </w:r>
      <w:r w:rsidRPr="009B546D">
        <w:rPr>
          <w:rFonts w:asciiTheme="minorHAnsi" w:hAnsiTheme="minorHAnsi" w:cstheme="minorHAnsi"/>
          <w:sz w:val="20"/>
          <w:szCs w:val="20"/>
        </w:rPr>
        <w:t>and</w:t>
      </w:r>
      <w:r w:rsidRPr="009B546D">
        <w:rPr>
          <w:rFonts w:asciiTheme="minorHAnsi" w:hAnsiTheme="minorHAnsi" w:cstheme="minorHAnsi"/>
          <w:spacing w:val="-5"/>
          <w:sz w:val="20"/>
          <w:szCs w:val="20"/>
        </w:rPr>
        <w:t xml:space="preserve"> </w:t>
      </w:r>
      <w:r w:rsidRPr="009B546D">
        <w:rPr>
          <w:rFonts w:asciiTheme="minorHAnsi" w:hAnsiTheme="minorHAnsi" w:cstheme="minorHAnsi"/>
          <w:sz w:val="20"/>
          <w:szCs w:val="20"/>
        </w:rPr>
        <w:t>therefore</w:t>
      </w:r>
      <w:r w:rsidRPr="009B546D">
        <w:rPr>
          <w:rFonts w:asciiTheme="minorHAnsi" w:hAnsiTheme="minorHAnsi" w:cstheme="minorHAnsi"/>
          <w:spacing w:val="-6"/>
          <w:sz w:val="20"/>
          <w:szCs w:val="20"/>
        </w:rPr>
        <w:t xml:space="preserve"> </w:t>
      </w:r>
      <w:r w:rsidRPr="009B546D">
        <w:rPr>
          <w:rFonts w:asciiTheme="minorHAnsi" w:hAnsiTheme="minorHAnsi" w:cstheme="minorHAnsi"/>
          <w:sz w:val="20"/>
          <w:szCs w:val="20"/>
        </w:rPr>
        <w:t>Shareholders</w:t>
      </w:r>
      <w:r w:rsidRPr="009B546D">
        <w:rPr>
          <w:rFonts w:asciiTheme="minorHAnsi" w:hAnsiTheme="minorHAnsi" w:cstheme="minorHAnsi"/>
          <w:spacing w:val="-3"/>
          <w:sz w:val="20"/>
          <w:szCs w:val="20"/>
        </w:rPr>
        <w:t xml:space="preserve"> </w:t>
      </w:r>
      <w:r w:rsidRPr="009B546D">
        <w:rPr>
          <w:rFonts w:asciiTheme="minorHAnsi" w:hAnsiTheme="minorHAnsi" w:cstheme="minorHAnsi"/>
          <w:sz w:val="20"/>
          <w:szCs w:val="20"/>
        </w:rPr>
        <w:t>will</w:t>
      </w:r>
      <w:r w:rsidRPr="009B546D">
        <w:rPr>
          <w:rFonts w:asciiTheme="minorHAnsi" w:hAnsiTheme="minorHAnsi" w:cstheme="minorHAnsi"/>
          <w:spacing w:val="-5"/>
          <w:sz w:val="20"/>
          <w:szCs w:val="20"/>
        </w:rPr>
        <w:t xml:space="preserve"> </w:t>
      </w:r>
      <w:r w:rsidRPr="009B546D">
        <w:rPr>
          <w:rFonts w:asciiTheme="minorHAnsi" w:hAnsiTheme="minorHAnsi" w:cstheme="minorHAnsi"/>
          <w:sz w:val="20"/>
          <w:szCs w:val="20"/>
        </w:rPr>
        <w:t>not</w:t>
      </w:r>
      <w:r w:rsidRPr="009B546D">
        <w:rPr>
          <w:rFonts w:asciiTheme="minorHAnsi" w:hAnsiTheme="minorHAnsi" w:cstheme="minorHAnsi"/>
          <w:spacing w:val="-5"/>
          <w:sz w:val="20"/>
          <w:szCs w:val="20"/>
        </w:rPr>
        <w:t xml:space="preserve"> </w:t>
      </w:r>
      <w:r w:rsidRPr="009B546D">
        <w:rPr>
          <w:rFonts w:asciiTheme="minorHAnsi" w:hAnsiTheme="minorHAnsi" w:cstheme="minorHAnsi"/>
          <w:sz w:val="20"/>
          <w:szCs w:val="20"/>
        </w:rPr>
        <w:t>receive</w:t>
      </w:r>
      <w:r w:rsidRPr="009B546D">
        <w:rPr>
          <w:rFonts w:asciiTheme="minorHAnsi" w:hAnsiTheme="minorHAnsi" w:cstheme="minorHAnsi"/>
          <w:spacing w:val="-5"/>
          <w:sz w:val="20"/>
          <w:szCs w:val="20"/>
        </w:rPr>
        <w:t xml:space="preserve"> </w:t>
      </w:r>
      <w:r w:rsidRPr="009B546D">
        <w:rPr>
          <w:rFonts w:asciiTheme="minorHAnsi" w:hAnsiTheme="minorHAnsi" w:cstheme="minorHAnsi"/>
          <w:sz w:val="20"/>
          <w:szCs w:val="20"/>
        </w:rPr>
        <w:t>the</w:t>
      </w:r>
      <w:r w:rsidRPr="009B546D">
        <w:rPr>
          <w:rFonts w:asciiTheme="minorHAnsi" w:hAnsiTheme="minorHAnsi" w:cstheme="minorHAnsi"/>
          <w:spacing w:val="-3"/>
          <w:sz w:val="20"/>
          <w:szCs w:val="20"/>
        </w:rPr>
        <w:t xml:space="preserve"> </w:t>
      </w:r>
      <w:r w:rsidRPr="009B546D">
        <w:rPr>
          <w:rFonts w:asciiTheme="minorHAnsi" w:hAnsiTheme="minorHAnsi" w:cstheme="minorHAnsi"/>
          <w:sz w:val="20"/>
          <w:szCs w:val="20"/>
        </w:rPr>
        <w:t>benefit</w:t>
      </w:r>
      <w:r w:rsidRPr="009B546D">
        <w:rPr>
          <w:rFonts w:asciiTheme="minorHAnsi" w:hAnsiTheme="minorHAnsi" w:cstheme="minorHAnsi"/>
          <w:spacing w:val="-4"/>
          <w:sz w:val="20"/>
          <w:szCs w:val="20"/>
        </w:rPr>
        <w:t xml:space="preserve"> </w:t>
      </w:r>
      <w:r w:rsidRPr="009B546D">
        <w:rPr>
          <w:rFonts w:asciiTheme="minorHAnsi" w:hAnsiTheme="minorHAnsi" w:cstheme="minorHAnsi"/>
          <w:sz w:val="20"/>
          <w:szCs w:val="20"/>
        </w:rPr>
        <w:t>of</w:t>
      </w:r>
      <w:r w:rsidRPr="009B546D">
        <w:rPr>
          <w:rFonts w:asciiTheme="minorHAnsi" w:hAnsiTheme="minorHAnsi" w:cstheme="minorHAnsi"/>
          <w:spacing w:val="-5"/>
          <w:sz w:val="20"/>
          <w:szCs w:val="20"/>
        </w:rPr>
        <w:t xml:space="preserve"> </w:t>
      </w:r>
      <w:r w:rsidRPr="009B546D">
        <w:rPr>
          <w:rFonts w:asciiTheme="minorHAnsi" w:hAnsiTheme="minorHAnsi" w:cstheme="minorHAnsi"/>
          <w:sz w:val="20"/>
          <w:szCs w:val="20"/>
        </w:rPr>
        <w:t>the</w:t>
      </w:r>
      <w:r w:rsidRPr="009B546D">
        <w:rPr>
          <w:rFonts w:asciiTheme="minorHAnsi" w:hAnsiTheme="minorHAnsi" w:cstheme="minorHAnsi"/>
          <w:spacing w:val="-5"/>
          <w:sz w:val="20"/>
          <w:szCs w:val="20"/>
        </w:rPr>
        <w:t xml:space="preserve"> </w:t>
      </w:r>
      <w:r w:rsidRPr="009B546D">
        <w:rPr>
          <w:rFonts w:asciiTheme="minorHAnsi" w:hAnsiTheme="minorHAnsi" w:cstheme="minorHAnsi"/>
          <w:sz w:val="20"/>
          <w:szCs w:val="20"/>
        </w:rPr>
        <w:t>takeover</w:t>
      </w:r>
      <w:r w:rsidRPr="009B546D">
        <w:rPr>
          <w:rFonts w:asciiTheme="minorHAnsi" w:hAnsiTheme="minorHAnsi" w:cstheme="minorHAnsi"/>
          <w:spacing w:val="-5"/>
          <w:sz w:val="20"/>
          <w:szCs w:val="20"/>
        </w:rPr>
        <w:t xml:space="preserve"> </w:t>
      </w:r>
      <w:r w:rsidRPr="009B546D">
        <w:rPr>
          <w:rFonts w:asciiTheme="minorHAnsi" w:hAnsiTheme="minorHAnsi" w:cstheme="minorHAnsi"/>
          <w:sz w:val="20"/>
          <w:szCs w:val="20"/>
        </w:rPr>
        <w:t>offer</w:t>
      </w:r>
      <w:r w:rsidRPr="009B546D">
        <w:rPr>
          <w:rFonts w:asciiTheme="minorHAnsi" w:hAnsiTheme="minorHAnsi" w:cstheme="minorHAnsi"/>
          <w:spacing w:val="-4"/>
          <w:sz w:val="20"/>
          <w:szCs w:val="20"/>
        </w:rPr>
        <w:t xml:space="preserve"> </w:t>
      </w:r>
      <w:r w:rsidRPr="009B546D">
        <w:rPr>
          <w:rFonts w:asciiTheme="minorHAnsi" w:hAnsiTheme="minorHAnsi" w:cstheme="minorHAnsi"/>
          <w:sz w:val="20"/>
          <w:szCs w:val="20"/>
        </w:rPr>
        <w:t>protections provided by the City</w:t>
      </w:r>
      <w:r w:rsidRPr="009B546D">
        <w:rPr>
          <w:rFonts w:asciiTheme="minorHAnsi" w:hAnsiTheme="minorHAnsi" w:cstheme="minorHAnsi"/>
          <w:spacing w:val="-3"/>
          <w:sz w:val="20"/>
          <w:szCs w:val="20"/>
        </w:rPr>
        <w:t xml:space="preserve"> </w:t>
      </w:r>
      <w:r w:rsidRPr="009B546D">
        <w:rPr>
          <w:rFonts w:asciiTheme="minorHAnsi" w:hAnsiTheme="minorHAnsi" w:cstheme="minorHAnsi"/>
          <w:sz w:val="20"/>
          <w:szCs w:val="20"/>
        </w:rPr>
        <w:t xml:space="preserve">Code. </w:t>
      </w:r>
    </w:p>
    <w:p w14:paraId="41C5E8E0" w14:textId="77777777" w:rsidR="00D90E1F" w:rsidRPr="009B546D" w:rsidRDefault="00D90E1F" w:rsidP="00F432B9">
      <w:pPr>
        <w:pStyle w:val="BodyText"/>
        <w:widowControl w:val="0"/>
        <w:spacing w:after="160" w:line="240" w:lineRule="auto"/>
        <w:rPr>
          <w:rFonts w:asciiTheme="minorHAnsi" w:hAnsiTheme="minorHAnsi" w:cstheme="minorHAnsi"/>
          <w:sz w:val="20"/>
          <w:szCs w:val="20"/>
        </w:rPr>
      </w:pPr>
      <w:r w:rsidRPr="009B546D">
        <w:rPr>
          <w:rFonts w:asciiTheme="minorHAnsi" w:hAnsiTheme="minorHAnsi" w:cstheme="minorHAnsi"/>
          <w:sz w:val="20"/>
          <w:szCs w:val="20"/>
        </w:rPr>
        <w:t xml:space="preserve">The “Squeeze-out” and “Sell-out” provisions of the Companies Act 2006 do not apply to the Company. </w:t>
      </w:r>
    </w:p>
    <w:p w14:paraId="6083A1E7" w14:textId="77777777" w:rsidR="00D90E1F" w:rsidRPr="009B546D" w:rsidRDefault="00D90E1F" w:rsidP="00F432B9">
      <w:pPr>
        <w:pStyle w:val="BodyText"/>
        <w:widowControl w:val="0"/>
        <w:spacing w:after="160" w:line="240" w:lineRule="auto"/>
        <w:rPr>
          <w:rFonts w:asciiTheme="minorHAnsi" w:hAnsiTheme="minorHAnsi" w:cstheme="minorHAnsi"/>
          <w:sz w:val="20"/>
          <w:szCs w:val="20"/>
        </w:rPr>
      </w:pPr>
      <w:r w:rsidRPr="009B546D">
        <w:rPr>
          <w:rFonts w:asciiTheme="minorHAnsi" w:hAnsiTheme="minorHAnsi" w:cstheme="minorHAnsi"/>
          <w:sz w:val="20"/>
          <w:szCs w:val="20"/>
        </w:rPr>
        <w:t>In accordance with Section 88 of Companies Law, if an offeror were to acquire 90 per cent. or more of the shares of a company, the subject of such offer, within the period specified by Companies Law, it could then compulsorily acquire the remaining shares the subject of such offer. It would do so by sending a notice to the relevant Shareholders (who have not accepted the offer) telling them that it will compulsorily acquire their shares and then, provided a dissenting Shareholder has not applied to the Grand Court of the Cayman Islands which has ordered to the contrary, it would on the expiry of one (1) month from the date of such notice, pay the consideration to the Company, which would hold such consideration on trust for such Shareholders. The consideration paid to the Shareholders whose securities are compulsorily acquired under these provisions must, in general, be the same as the consideration that was available under the relevant takeover offer, subject to any other order of the Grand Court of the Cayman Islands.</w:t>
      </w:r>
    </w:p>
    <w:p w14:paraId="34E71487" w14:textId="53281A30"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Dilution of share capital</w:t>
      </w:r>
    </w:p>
    <w:p w14:paraId="200B5151" w14:textId="6D7EF4F8" w:rsidR="00D90E1F" w:rsidRPr="009B546D" w:rsidRDefault="00D90E1F" w:rsidP="00F432B9">
      <w:pPr>
        <w:widowControl w:val="0"/>
        <w:spacing w:line="240" w:lineRule="auto"/>
        <w:rPr>
          <w:rFonts w:cstheme="minorHAnsi"/>
          <w:szCs w:val="20"/>
        </w:rPr>
      </w:pPr>
      <w:r w:rsidRPr="009B546D">
        <w:rPr>
          <w:rFonts w:cstheme="minorHAnsi"/>
          <w:szCs w:val="20"/>
        </w:rPr>
        <w:t xml:space="preserve">Upon Re-Admission the Enlarged Share Capital is expected to comprise of </w:t>
      </w:r>
      <w:r w:rsidR="00665948">
        <w:rPr>
          <w:rFonts w:cstheme="minorHAnsi"/>
          <w:szCs w:val="20"/>
        </w:rPr>
        <w:t>64,760,721</w:t>
      </w:r>
      <w:r w:rsidR="00CB3C0B" w:rsidRPr="009B546D">
        <w:rPr>
          <w:rFonts w:cstheme="minorHAnsi"/>
          <w:szCs w:val="20"/>
        </w:rPr>
        <w:t xml:space="preserve"> </w:t>
      </w:r>
      <w:r w:rsidRPr="009B546D">
        <w:rPr>
          <w:rFonts w:cstheme="minorHAnsi"/>
          <w:szCs w:val="20"/>
        </w:rPr>
        <w:t xml:space="preserve">Ordinary Shares. The New Ordinary Shares will represent approximately </w:t>
      </w:r>
      <w:r w:rsidR="005272B1" w:rsidRPr="009B546D">
        <w:rPr>
          <w:rFonts w:cstheme="minorHAnsi"/>
          <w:szCs w:val="20"/>
        </w:rPr>
        <w:t>20</w:t>
      </w:r>
      <w:r w:rsidRPr="009B546D">
        <w:rPr>
          <w:rFonts w:cstheme="minorHAnsi"/>
          <w:szCs w:val="20"/>
        </w:rPr>
        <w:t xml:space="preserve"> per cent. of the Enlarged Share Capital.</w:t>
      </w:r>
    </w:p>
    <w:p w14:paraId="6D3B54D5" w14:textId="2E2ECAA1" w:rsidR="00D90E1F" w:rsidRPr="009B546D" w:rsidRDefault="00D90E1F" w:rsidP="00F432B9">
      <w:pPr>
        <w:widowControl w:val="0"/>
        <w:spacing w:line="240" w:lineRule="auto"/>
        <w:rPr>
          <w:rFonts w:cstheme="minorHAnsi"/>
          <w:szCs w:val="20"/>
        </w:rPr>
      </w:pPr>
      <w:r w:rsidRPr="009B546D">
        <w:rPr>
          <w:rFonts w:cstheme="minorHAnsi"/>
          <w:szCs w:val="20"/>
        </w:rPr>
        <w:t xml:space="preserve">Shareholders will have their proportionate shareholdings in the Company diluted by approximately </w:t>
      </w:r>
      <w:r w:rsidR="00457E3A" w:rsidRPr="009B546D">
        <w:rPr>
          <w:rFonts w:cstheme="minorHAnsi"/>
          <w:szCs w:val="20"/>
        </w:rPr>
        <w:t>20</w:t>
      </w:r>
      <w:r w:rsidRPr="009B546D">
        <w:rPr>
          <w:rFonts w:cstheme="minorHAnsi"/>
          <w:szCs w:val="20"/>
        </w:rPr>
        <w:t xml:space="preserve"> per cent. as a consequence of the issue of the New Ordinary Shares.</w:t>
      </w:r>
    </w:p>
    <w:p w14:paraId="1832695D" w14:textId="77777777"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bookmarkStart w:id="63" w:name="_Ref20478125"/>
      <w:r w:rsidRPr="009B546D">
        <w:rPr>
          <w:rFonts w:asciiTheme="minorHAnsi" w:hAnsiTheme="minorHAnsi" w:cstheme="minorHAnsi"/>
          <w:szCs w:val="20"/>
        </w:rPr>
        <w:t>Consents</w:t>
      </w:r>
      <w:bookmarkEnd w:id="63"/>
    </w:p>
    <w:p w14:paraId="6100E388" w14:textId="355F83F3"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bookmarkStart w:id="64" w:name="_Ref20478128"/>
      <w:r w:rsidRPr="009B546D">
        <w:rPr>
          <w:rFonts w:asciiTheme="minorHAnsi" w:hAnsiTheme="minorHAnsi" w:cstheme="minorHAnsi"/>
          <w:b w:val="0"/>
          <w:spacing w:val="-8"/>
          <w:szCs w:val="20"/>
        </w:rPr>
        <w:t xml:space="preserve">BDO LLP, the auditor and reporting accountant of the Company, whose registered office is at </w:t>
      </w:r>
      <w:r w:rsidR="00AB2892">
        <w:rPr>
          <w:rFonts w:asciiTheme="minorHAnsi" w:hAnsiTheme="minorHAnsi" w:cstheme="minorHAnsi"/>
          <w:b w:val="0"/>
          <w:spacing w:val="-8"/>
          <w:szCs w:val="20"/>
        </w:rPr>
        <w:t>55 Baker Street</w:t>
      </w:r>
      <w:r w:rsidRPr="009B546D">
        <w:rPr>
          <w:rFonts w:asciiTheme="minorHAnsi" w:hAnsiTheme="minorHAnsi" w:cstheme="minorHAnsi"/>
          <w:b w:val="0"/>
          <w:spacing w:val="-8"/>
          <w:szCs w:val="20"/>
        </w:rPr>
        <w:t xml:space="preserve">, London </w:t>
      </w:r>
      <w:r w:rsidR="00AB2892" w:rsidRPr="00EA2BB6">
        <w:rPr>
          <w:rFonts w:asciiTheme="minorHAnsi" w:hAnsiTheme="minorHAnsi" w:cstheme="minorHAnsi"/>
          <w:b w:val="0"/>
          <w:spacing w:val="-8"/>
          <w:szCs w:val="20"/>
        </w:rPr>
        <w:t xml:space="preserve"> W1U 7EU</w:t>
      </w:r>
      <w:r w:rsidRPr="009B546D">
        <w:rPr>
          <w:rFonts w:asciiTheme="minorHAnsi" w:hAnsiTheme="minorHAnsi" w:cstheme="minorHAnsi"/>
          <w:b w:val="0"/>
          <w:spacing w:val="-8"/>
          <w:szCs w:val="20"/>
        </w:rPr>
        <w:t>, has given and has not withdrawn its consent to the inclusion in this Prospectus</w:t>
      </w:r>
      <w:r w:rsidR="00F00734">
        <w:rPr>
          <w:rFonts w:asciiTheme="minorHAnsi" w:hAnsiTheme="minorHAnsi" w:cstheme="minorHAnsi"/>
          <w:b w:val="0"/>
          <w:spacing w:val="-8"/>
          <w:szCs w:val="20"/>
        </w:rPr>
        <w:t xml:space="preserve"> of</w:t>
      </w:r>
      <w:r w:rsidRPr="009B546D">
        <w:rPr>
          <w:rFonts w:asciiTheme="minorHAnsi" w:hAnsiTheme="minorHAnsi" w:cstheme="minorHAnsi"/>
          <w:b w:val="0"/>
          <w:spacing w:val="-8"/>
          <w:szCs w:val="20"/>
        </w:rPr>
        <w:t xml:space="preserve"> its report on </w:t>
      </w:r>
      <w:r w:rsidR="00AF0C4A" w:rsidRPr="009B546D">
        <w:rPr>
          <w:rFonts w:asciiTheme="minorHAnsi" w:hAnsiTheme="minorHAnsi" w:cstheme="minorHAnsi"/>
          <w:b w:val="0"/>
          <w:spacing w:val="-8"/>
          <w:szCs w:val="20"/>
        </w:rPr>
        <w:t>Alchemist Codes</w:t>
      </w:r>
      <w:r w:rsidRPr="009B546D">
        <w:rPr>
          <w:rFonts w:asciiTheme="minorHAnsi" w:hAnsiTheme="minorHAnsi" w:cstheme="minorHAnsi"/>
          <w:b w:val="0"/>
          <w:spacing w:val="-8"/>
          <w:szCs w:val="20"/>
        </w:rPr>
        <w:t xml:space="preserve"> in the form set out in</w:t>
      </w:r>
      <w:r w:rsidR="009D1209">
        <w:rPr>
          <w:rFonts w:asciiTheme="minorHAnsi" w:hAnsiTheme="minorHAnsi" w:cstheme="minorHAnsi"/>
          <w:b w:val="0"/>
          <w:spacing w:val="-8"/>
          <w:szCs w:val="20"/>
        </w:rPr>
        <w:t xml:space="preserve"> Section A of</w:t>
      </w:r>
      <w:r w:rsidRPr="009B546D">
        <w:rPr>
          <w:rFonts w:asciiTheme="minorHAnsi" w:hAnsiTheme="minorHAnsi" w:cstheme="minorHAnsi"/>
          <w:b w:val="0"/>
          <w:spacing w:val="-8"/>
          <w:szCs w:val="20"/>
        </w:rPr>
        <w:t xml:space="preserve"> Part </w:t>
      </w:r>
      <w:r w:rsidR="005A423A" w:rsidRPr="009B546D">
        <w:rPr>
          <w:rFonts w:asciiTheme="minorHAnsi" w:hAnsiTheme="minorHAnsi" w:cstheme="minorHAnsi"/>
          <w:b w:val="0"/>
          <w:spacing w:val="-8"/>
          <w:szCs w:val="20"/>
        </w:rPr>
        <w:t>XIV</w:t>
      </w:r>
      <w:r w:rsidRPr="009B546D">
        <w:rPr>
          <w:rFonts w:asciiTheme="minorHAnsi" w:hAnsiTheme="minorHAnsi" w:cstheme="minorHAnsi"/>
          <w:b w:val="0"/>
          <w:spacing w:val="-8"/>
          <w:szCs w:val="20"/>
        </w:rPr>
        <w:t>, and its report on the unaudited pro forma statement of net assets</w:t>
      </w:r>
      <w:r w:rsidR="00C60C07">
        <w:rPr>
          <w:rFonts w:asciiTheme="minorHAnsi" w:hAnsiTheme="minorHAnsi" w:cstheme="minorHAnsi"/>
          <w:b w:val="0"/>
          <w:spacing w:val="-8"/>
          <w:szCs w:val="20"/>
        </w:rPr>
        <w:t xml:space="preserve"> and unaudited income statement set out</w:t>
      </w:r>
      <w:r w:rsidRPr="009B546D">
        <w:rPr>
          <w:rFonts w:asciiTheme="minorHAnsi" w:hAnsiTheme="minorHAnsi" w:cstheme="minorHAnsi"/>
          <w:b w:val="0"/>
          <w:spacing w:val="-8"/>
          <w:szCs w:val="20"/>
        </w:rPr>
        <w:t xml:space="preserve"> in Part </w:t>
      </w:r>
      <w:r w:rsidR="005A423A" w:rsidRPr="009B546D">
        <w:rPr>
          <w:rFonts w:asciiTheme="minorHAnsi" w:hAnsiTheme="minorHAnsi" w:cstheme="minorHAnsi"/>
          <w:b w:val="0"/>
          <w:spacing w:val="-8"/>
          <w:szCs w:val="20"/>
        </w:rPr>
        <w:t>XVI</w:t>
      </w:r>
      <w:r w:rsidR="002963F3">
        <w:rPr>
          <w:rFonts w:asciiTheme="minorHAnsi" w:hAnsiTheme="minorHAnsi" w:cstheme="minorHAnsi"/>
          <w:b w:val="0"/>
          <w:spacing w:val="-8"/>
          <w:szCs w:val="20"/>
        </w:rPr>
        <w:t>I</w:t>
      </w:r>
      <w:r w:rsidR="0080189A">
        <w:rPr>
          <w:rFonts w:asciiTheme="minorHAnsi" w:hAnsiTheme="minorHAnsi" w:cstheme="minorHAnsi"/>
          <w:b w:val="0"/>
          <w:spacing w:val="-8"/>
          <w:szCs w:val="20"/>
        </w:rPr>
        <w:t xml:space="preserve"> in the form and context in which they appear</w:t>
      </w:r>
      <w:r w:rsidR="005A423A" w:rsidRPr="009B546D">
        <w:rPr>
          <w:rFonts w:asciiTheme="minorHAnsi" w:hAnsiTheme="minorHAnsi" w:cstheme="minorHAnsi"/>
          <w:b w:val="0"/>
          <w:spacing w:val="-8"/>
          <w:szCs w:val="20"/>
        </w:rPr>
        <w:t xml:space="preserve"> </w:t>
      </w:r>
      <w:r w:rsidRPr="009B546D">
        <w:rPr>
          <w:rFonts w:asciiTheme="minorHAnsi" w:hAnsiTheme="minorHAnsi" w:cstheme="minorHAnsi"/>
          <w:b w:val="0"/>
          <w:spacing w:val="-8"/>
          <w:szCs w:val="20"/>
        </w:rPr>
        <w:t xml:space="preserve">and has authorised the contents of such reports for the </w:t>
      </w:r>
      <w:r w:rsidR="002C3000" w:rsidRPr="009B546D">
        <w:rPr>
          <w:rFonts w:asciiTheme="minorHAnsi" w:hAnsiTheme="minorHAnsi" w:cstheme="minorHAnsi"/>
          <w:b w:val="0"/>
          <w:spacing w:val="-8"/>
          <w:szCs w:val="20"/>
        </w:rPr>
        <w:t>purpose of 1.3 of Annex 1 of Commission Delegated Regulation (EU)2019/980</w:t>
      </w:r>
      <w:r w:rsidRPr="009B546D">
        <w:rPr>
          <w:rFonts w:asciiTheme="minorHAnsi" w:hAnsiTheme="minorHAnsi" w:cstheme="minorHAnsi"/>
          <w:b w:val="0"/>
          <w:spacing w:val="-8"/>
          <w:szCs w:val="20"/>
        </w:rPr>
        <w:t>. In addition, BDO LLP has given and not withdrawn its consent to the issue of this Prospectus with the inclusion herein of references to its name in the form and context in which they appear. BDO LLP is a member</w:t>
      </w:r>
      <w:r w:rsidR="008951CC">
        <w:rPr>
          <w:rFonts w:asciiTheme="minorHAnsi" w:hAnsiTheme="minorHAnsi" w:cstheme="minorHAnsi"/>
          <w:b w:val="0"/>
          <w:spacing w:val="-8"/>
          <w:szCs w:val="20"/>
        </w:rPr>
        <w:t xml:space="preserve"> firm</w:t>
      </w:r>
      <w:r w:rsidRPr="009B546D">
        <w:rPr>
          <w:rFonts w:asciiTheme="minorHAnsi" w:hAnsiTheme="minorHAnsi" w:cstheme="minorHAnsi"/>
          <w:b w:val="0"/>
          <w:spacing w:val="-8"/>
          <w:szCs w:val="20"/>
        </w:rPr>
        <w:t xml:space="preserve"> of the Institute of Chartered Accountants in England and Wales and does not have any material interest in either the Company or </w:t>
      </w:r>
      <w:r w:rsidR="00AF0C4A" w:rsidRPr="009B546D">
        <w:rPr>
          <w:rFonts w:asciiTheme="minorHAnsi" w:hAnsiTheme="minorHAnsi" w:cstheme="minorHAnsi"/>
          <w:b w:val="0"/>
          <w:spacing w:val="-8"/>
          <w:szCs w:val="20"/>
        </w:rPr>
        <w:t>Alchemist Codes</w:t>
      </w:r>
      <w:r w:rsidRPr="009B546D">
        <w:rPr>
          <w:rFonts w:asciiTheme="minorHAnsi" w:hAnsiTheme="minorHAnsi" w:cstheme="minorHAnsi"/>
          <w:b w:val="0"/>
          <w:spacing w:val="-8"/>
          <w:szCs w:val="20"/>
        </w:rPr>
        <w:t>.</w:t>
      </w:r>
    </w:p>
    <w:p w14:paraId="7A25D4EF" w14:textId="0AEE0331"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bookmarkStart w:id="65" w:name="_Ref20478131"/>
      <w:bookmarkEnd w:id="64"/>
      <w:r w:rsidRPr="009B546D">
        <w:rPr>
          <w:rFonts w:asciiTheme="minorHAnsi" w:hAnsiTheme="minorHAnsi" w:cstheme="minorHAnsi"/>
          <w:b w:val="0"/>
          <w:spacing w:val="-8"/>
          <w:szCs w:val="20"/>
        </w:rPr>
        <w:t>VSA has given and has not withdrawn its written consent to the issue of this Prospectus with the inclusion of its name in the form and context in which it appears.</w:t>
      </w:r>
      <w:bookmarkEnd w:id="65"/>
      <w:r w:rsidRPr="009B546D">
        <w:rPr>
          <w:rFonts w:asciiTheme="minorHAnsi" w:hAnsiTheme="minorHAnsi" w:cstheme="minorHAnsi"/>
          <w:b w:val="0"/>
          <w:spacing w:val="-8"/>
          <w:szCs w:val="20"/>
        </w:rPr>
        <w:t xml:space="preserve"> </w:t>
      </w:r>
    </w:p>
    <w:p w14:paraId="1866D0AF" w14:textId="0FE8BDE9" w:rsidR="00D90E1F"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The Sellers and </w:t>
      </w:r>
      <w:r w:rsidR="00AF0C4A" w:rsidRPr="009B546D">
        <w:rPr>
          <w:rFonts w:asciiTheme="minorHAnsi" w:hAnsiTheme="minorHAnsi" w:cstheme="minorHAnsi"/>
          <w:b w:val="0"/>
          <w:spacing w:val="-8"/>
          <w:szCs w:val="20"/>
        </w:rPr>
        <w:t>Alchemist Codes</w:t>
      </w:r>
      <w:r w:rsidRPr="009B546D">
        <w:rPr>
          <w:rFonts w:asciiTheme="minorHAnsi" w:hAnsiTheme="minorHAnsi" w:cstheme="minorHAnsi"/>
          <w:b w:val="0"/>
          <w:spacing w:val="-8"/>
          <w:szCs w:val="20"/>
        </w:rPr>
        <w:t xml:space="preserve"> have each given and have not withdrawn their written consent to the issue of this Prospectus with the inclusion herein of the references to their names in the form and context in which they appear.</w:t>
      </w:r>
    </w:p>
    <w:p w14:paraId="6ECA4FF6" w14:textId="626A72AC" w:rsidR="008951CC" w:rsidRDefault="008951CC" w:rsidP="008951CC"/>
    <w:p w14:paraId="28BE1650" w14:textId="1F6ACF22" w:rsidR="008951CC" w:rsidRDefault="008951CC" w:rsidP="008951CC"/>
    <w:p w14:paraId="5F991D8C" w14:textId="77777777" w:rsidR="008951CC" w:rsidRPr="00EA2BB6" w:rsidRDefault="008951CC" w:rsidP="00EA2BB6">
      <w:pPr>
        <w:rPr>
          <w:b/>
        </w:rPr>
      </w:pPr>
    </w:p>
    <w:p w14:paraId="3B6086CB" w14:textId="77777777"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General</w:t>
      </w:r>
    </w:p>
    <w:p w14:paraId="011FDC96" w14:textId="384C70D6"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BDO LLP was auditor and reporting accountant of the Company for the period covered by the historical financial information set out in Part </w:t>
      </w:r>
      <w:r w:rsidR="00A001E4" w:rsidRPr="009B546D">
        <w:rPr>
          <w:rFonts w:asciiTheme="minorHAnsi" w:hAnsiTheme="minorHAnsi" w:cstheme="minorHAnsi"/>
          <w:b w:val="0"/>
          <w:spacing w:val="-8"/>
          <w:szCs w:val="20"/>
        </w:rPr>
        <w:t>XIII</w:t>
      </w:r>
      <w:r w:rsidRPr="009B546D">
        <w:rPr>
          <w:rFonts w:asciiTheme="minorHAnsi" w:hAnsiTheme="minorHAnsi" w:cstheme="minorHAnsi"/>
          <w:b w:val="0"/>
          <w:spacing w:val="-8"/>
          <w:szCs w:val="20"/>
        </w:rPr>
        <w:t xml:space="preserve"> of this Prospectus. BDO LLP is registered to carry out audit work by the Institute of Chartered Accountants in England and Wales. </w:t>
      </w:r>
    </w:p>
    <w:p w14:paraId="3E5E1ADE" w14:textId="011B9B61" w:rsidR="00D90E1F" w:rsidRPr="009B546D" w:rsidRDefault="00A001E4"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Yong and Leonard</w:t>
      </w:r>
      <w:r w:rsidR="00D90E1F" w:rsidRPr="009B546D">
        <w:rPr>
          <w:rFonts w:asciiTheme="minorHAnsi" w:hAnsiTheme="minorHAnsi" w:cstheme="minorHAnsi"/>
          <w:b w:val="0"/>
          <w:spacing w:val="-8"/>
          <w:szCs w:val="20"/>
        </w:rPr>
        <w:t xml:space="preserve"> was auditor of </w:t>
      </w:r>
      <w:r w:rsidR="00AF0C4A" w:rsidRPr="009B546D">
        <w:rPr>
          <w:rFonts w:asciiTheme="minorHAnsi" w:hAnsiTheme="minorHAnsi" w:cstheme="minorHAnsi"/>
          <w:b w:val="0"/>
          <w:spacing w:val="-8"/>
          <w:szCs w:val="20"/>
        </w:rPr>
        <w:t>Alchemist Codes</w:t>
      </w:r>
      <w:r w:rsidR="00D90E1F" w:rsidRPr="009B546D">
        <w:rPr>
          <w:rFonts w:asciiTheme="minorHAnsi" w:hAnsiTheme="minorHAnsi" w:cstheme="minorHAnsi"/>
          <w:b w:val="0"/>
          <w:spacing w:val="-8"/>
          <w:szCs w:val="20"/>
        </w:rPr>
        <w:t xml:space="preserve"> for the period covered by the historical financial information set out in Part </w:t>
      </w:r>
      <w:r w:rsidR="00D75726" w:rsidRPr="009B546D">
        <w:rPr>
          <w:rFonts w:asciiTheme="minorHAnsi" w:hAnsiTheme="minorHAnsi" w:cstheme="minorHAnsi"/>
          <w:b w:val="0"/>
          <w:spacing w:val="-8"/>
          <w:szCs w:val="20"/>
        </w:rPr>
        <w:t>XIV</w:t>
      </w:r>
      <w:r w:rsidR="00D90E1F" w:rsidRPr="009B546D">
        <w:rPr>
          <w:rFonts w:asciiTheme="minorHAnsi" w:hAnsiTheme="minorHAnsi" w:cstheme="minorHAnsi"/>
          <w:b w:val="0"/>
          <w:spacing w:val="-8"/>
          <w:szCs w:val="20"/>
        </w:rPr>
        <w:t xml:space="preserve"> of this Prospectus. </w:t>
      </w:r>
      <w:r w:rsidR="00CF373F" w:rsidRPr="009B546D">
        <w:rPr>
          <w:rFonts w:asciiTheme="minorHAnsi" w:hAnsiTheme="minorHAnsi" w:cstheme="minorHAnsi"/>
          <w:b w:val="0"/>
          <w:spacing w:val="-8"/>
          <w:szCs w:val="20"/>
        </w:rPr>
        <w:t xml:space="preserve">Yong and </w:t>
      </w:r>
      <w:r w:rsidR="007B44E0" w:rsidRPr="009B546D">
        <w:rPr>
          <w:rFonts w:asciiTheme="minorHAnsi" w:hAnsiTheme="minorHAnsi" w:cstheme="minorHAnsi"/>
          <w:b w:val="0"/>
          <w:spacing w:val="-8"/>
          <w:szCs w:val="20"/>
        </w:rPr>
        <w:t>Leonard is</w:t>
      </w:r>
      <w:r w:rsidR="00D90E1F" w:rsidRPr="009B546D">
        <w:rPr>
          <w:rFonts w:asciiTheme="minorHAnsi" w:hAnsiTheme="minorHAnsi" w:cstheme="minorHAnsi"/>
          <w:b w:val="0"/>
          <w:spacing w:val="-8"/>
          <w:szCs w:val="20"/>
        </w:rPr>
        <w:t xml:space="preserve"> registered to carry out audit work </w:t>
      </w:r>
      <w:r w:rsidR="00945CE7" w:rsidRPr="009B546D">
        <w:rPr>
          <w:rFonts w:asciiTheme="minorHAnsi" w:hAnsiTheme="minorHAnsi" w:cstheme="minorHAnsi"/>
          <w:b w:val="0"/>
          <w:spacing w:val="-8"/>
          <w:szCs w:val="20"/>
        </w:rPr>
        <w:t>by the Malaysian Institute of Accountants</w:t>
      </w:r>
      <w:r w:rsidR="00D90E1F" w:rsidRPr="009B546D">
        <w:rPr>
          <w:rFonts w:asciiTheme="minorHAnsi" w:hAnsiTheme="minorHAnsi" w:cstheme="minorHAnsi"/>
          <w:b w:val="0"/>
          <w:spacing w:val="-8"/>
          <w:szCs w:val="20"/>
        </w:rPr>
        <w:t xml:space="preserve">. </w:t>
      </w:r>
    </w:p>
    <w:p w14:paraId="3B398F37" w14:textId="6D1413F3"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The Company has not been the subject of any public takeover bid by third parties in respect of the Ordinary Shares during the last financial year, and </w:t>
      </w:r>
      <w:r w:rsidR="007B44E0" w:rsidRPr="009B546D">
        <w:rPr>
          <w:rFonts w:asciiTheme="minorHAnsi" w:hAnsiTheme="minorHAnsi" w:cstheme="minorHAnsi"/>
          <w:b w:val="0"/>
          <w:spacing w:val="-8"/>
          <w:szCs w:val="20"/>
        </w:rPr>
        <w:t>no</w:t>
      </w:r>
      <w:r w:rsidRPr="009B546D">
        <w:rPr>
          <w:rFonts w:asciiTheme="minorHAnsi" w:hAnsiTheme="minorHAnsi" w:cstheme="minorHAnsi"/>
          <w:b w:val="0"/>
          <w:spacing w:val="-8"/>
          <w:szCs w:val="20"/>
        </w:rPr>
        <w:t xml:space="preserve"> such bids have been made following the end of the last financial year.</w:t>
      </w:r>
    </w:p>
    <w:p w14:paraId="2A380ABF" w14:textId="074A9F14"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The total expenses incurred (or to be incurred) by the Company in connection with the </w:t>
      </w:r>
      <w:r w:rsidR="00142D95" w:rsidRPr="009B546D">
        <w:rPr>
          <w:rFonts w:asciiTheme="minorHAnsi" w:hAnsiTheme="minorHAnsi" w:cstheme="minorHAnsi"/>
          <w:b w:val="0"/>
          <w:spacing w:val="-8"/>
          <w:szCs w:val="20"/>
        </w:rPr>
        <w:t>Proposed Acquisition</w:t>
      </w:r>
      <w:r w:rsidRPr="009B546D">
        <w:rPr>
          <w:rFonts w:asciiTheme="minorHAnsi" w:hAnsiTheme="minorHAnsi" w:cstheme="minorHAnsi"/>
          <w:b w:val="0"/>
          <w:spacing w:val="-8"/>
          <w:szCs w:val="20"/>
        </w:rPr>
        <w:t xml:space="preserve"> and Re-Admission are estimated at £</w:t>
      </w:r>
      <w:r w:rsidR="00B937C4">
        <w:rPr>
          <w:rFonts w:asciiTheme="minorHAnsi" w:hAnsiTheme="minorHAnsi" w:cstheme="minorHAnsi"/>
          <w:b w:val="0"/>
          <w:spacing w:val="-8"/>
          <w:szCs w:val="20"/>
        </w:rPr>
        <w:t>364</w:t>
      </w:r>
      <w:r w:rsidR="00AD6967">
        <w:rPr>
          <w:rFonts w:asciiTheme="minorHAnsi" w:hAnsiTheme="minorHAnsi" w:cstheme="minorHAnsi"/>
          <w:b w:val="0"/>
          <w:spacing w:val="-8"/>
          <w:szCs w:val="20"/>
        </w:rPr>
        <w:t>,000</w:t>
      </w:r>
      <w:r w:rsidRPr="009B546D">
        <w:rPr>
          <w:rFonts w:asciiTheme="minorHAnsi" w:hAnsiTheme="minorHAnsi" w:cstheme="minorHAnsi"/>
          <w:b w:val="0"/>
          <w:spacing w:val="-8"/>
          <w:szCs w:val="20"/>
        </w:rPr>
        <w:t xml:space="preserve"> and are payable by the Company. </w:t>
      </w:r>
    </w:p>
    <w:p w14:paraId="43010C17" w14:textId="028A0416" w:rsidR="00D90E1F" w:rsidRPr="009B546D" w:rsidRDefault="00D90E1F" w:rsidP="00F432B9">
      <w:pPr>
        <w:pStyle w:val="Heading2"/>
        <w:keepNext w:val="0"/>
        <w:widowControl w:val="0"/>
        <w:numPr>
          <w:ilvl w:val="1"/>
          <w:numId w:val="11"/>
        </w:numPr>
        <w:spacing w:before="0" w:after="160" w:line="240" w:lineRule="auto"/>
        <w:rPr>
          <w:rFonts w:asciiTheme="minorHAnsi" w:hAnsiTheme="minorHAnsi" w:cstheme="minorHAnsi"/>
          <w:b w:val="0"/>
          <w:spacing w:val="-8"/>
          <w:szCs w:val="20"/>
        </w:rPr>
      </w:pPr>
      <w:r w:rsidRPr="009B546D">
        <w:rPr>
          <w:rFonts w:asciiTheme="minorHAnsi" w:hAnsiTheme="minorHAnsi" w:cstheme="minorHAnsi"/>
          <w:b w:val="0"/>
          <w:spacing w:val="-8"/>
          <w:szCs w:val="20"/>
        </w:rPr>
        <w:t xml:space="preserve">Save as disclosed in the unaudited </w:t>
      </w:r>
      <w:r w:rsidRPr="009B546D">
        <w:rPr>
          <w:rFonts w:asciiTheme="minorHAnsi" w:hAnsiTheme="minorHAnsi" w:cstheme="minorHAnsi"/>
          <w:b w:val="0"/>
          <w:i/>
          <w:iCs/>
          <w:spacing w:val="-8"/>
          <w:szCs w:val="20"/>
        </w:rPr>
        <w:t>pro forma</w:t>
      </w:r>
      <w:r w:rsidRPr="009B546D">
        <w:rPr>
          <w:rFonts w:asciiTheme="minorHAnsi" w:hAnsiTheme="minorHAnsi" w:cstheme="minorHAnsi"/>
          <w:b w:val="0"/>
          <w:spacing w:val="-8"/>
          <w:szCs w:val="20"/>
        </w:rPr>
        <w:t xml:space="preserve"> statement of net assets and earnings of the Company in Part </w:t>
      </w:r>
      <w:r w:rsidR="00EE2BCA" w:rsidRPr="009B546D">
        <w:rPr>
          <w:rFonts w:asciiTheme="minorHAnsi" w:hAnsiTheme="minorHAnsi" w:cstheme="minorHAnsi"/>
          <w:b w:val="0"/>
          <w:spacing w:val="-8"/>
          <w:szCs w:val="20"/>
        </w:rPr>
        <w:t>XVI</w:t>
      </w:r>
      <w:r w:rsidR="006F1645">
        <w:rPr>
          <w:rFonts w:asciiTheme="minorHAnsi" w:hAnsiTheme="minorHAnsi" w:cstheme="minorHAnsi"/>
          <w:b w:val="0"/>
          <w:spacing w:val="-8"/>
          <w:szCs w:val="20"/>
        </w:rPr>
        <w:t>I</w:t>
      </w:r>
      <w:r w:rsidRPr="009B546D">
        <w:rPr>
          <w:rFonts w:asciiTheme="minorHAnsi" w:hAnsiTheme="minorHAnsi" w:cstheme="minorHAnsi"/>
          <w:b w:val="0"/>
          <w:spacing w:val="-8"/>
          <w:szCs w:val="20"/>
        </w:rPr>
        <w:t xml:space="preserve"> of this Prospectus, there are no effects on the assets and liabilities of the Company as a result of the </w:t>
      </w:r>
      <w:r w:rsidR="00142D95" w:rsidRPr="009B546D">
        <w:rPr>
          <w:rFonts w:asciiTheme="minorHAnsi" w:hAnsiTheme="minorHAnsi" w:cstheme="minorHAnsi"/>
          <w:b w:val="0"/>
          <w:spacing w:val="-8"/>
          <w:szCs w:val="20"/>
        </w:rPr>
        <w:t>Proposed Acquisition</w:t>
      </w:r>
      <w:r w:rsidRPr="009B546D">
        <w:rPr>
          <w:rFonts w:asciiTheme="minorHAnsi" w:hAnsiTheme="minorHAnsi" w:cstheme="minorHAnsi"/>
          <w:b w:val="0"/>
          <w:spacing w:val="-8"/>
          <w:szCs w:val="20"/>
        </w:rPr>
        <w:t xml:space="preserve"> and the Re-Admission. </w:t>
      </w:r>
    </w:p>
    <w:p w14:paraId="1A39ABDE" w14:textId="5E6A352F"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Documents available for inspection</w:t>
      </w:r>
    </w:p>
    <w:p w14:paraId="31833180" w14:textId="7BB81277" w:rsidR="00D90E1F" w:rsidRPr="009B546D" w:rsidRDefault="00D90E1F" w:rsidP="00F432B9">
      <w:pPr>
        <w:pStyle w:val="BodyText"/>
        <w:widowControl w:val="0"/>
        <w:spacing w:after="160" w:line="240" w:lineRule="auto"/>
        <w:ind w:right="108"/>
        <w:rPr>
          <w:rFonts w:asciiTheme="minorHAnsi" w:hAnsiTheme="minorHAnsi" w:cstheme="minorHAnsi"/>
          <w:sz w:val="20"/>
          <w:szCs w:val="20"/>
        </w:rPr>
      </w:pPr>
      <w:r w:rsidRPr="009B546D">
        <w:rPr>
          <w:rFonts w:asciiTheme="minorHAnsi" w:hAnsiTheme="minorHAnsi" w:cstheme="minorHAnsi"/>
          <w:sz w:val="20"/>
          <w:szCs w:val="20"/>
        </w:rPr>
        <w:t xml:space="preserve">Copies of the following documents may be inspected at the office of the Company’s financial adviser, VSA Capital Limited, located at New Liverpool House, 15-17 Eldon Street, London EC2M 7LD, during usual business hours on any day (except Saturdays, Sundays and public holidays) from the date of this </w:t>
      </w:r>
      <w:r w:rsidR="00441182" w:rsidRPr="009B546D">
        <w:rPr>
          <w:rFonts w:asciiTheme="minorHAnsi" w:hAnsiTheme="minorHAnsi" w:cstheme="minorHAnsi"/>
          <w:sz w:val="20"/>
          <w:szCs w:val="20"/>
        </w:rPr>
        <w:t>Prospectus</w:t>
      </w:r>
      <w:r w:rsidRPr="009B546D">
        <w:rPr>
          <w:rFonts w:asciiTheme="minorHAnsi" w:hAnsiTheme="minorHAnsi" w:cstheme="minorHAnsi"/>
          <w:sz w:val="20"/>
          <w:szCs w:val="20"/>
        </w:rPr>
        <w:t xml:space="preserve"> up to the expiry of one month after Re-Admission: </w:t>
      </w:r>
    </w:p>
    <w:p w14:paraId="110ECAC7" w14:textId="77777777" w:rsidR="00D90E1F" w:rsidRPr="009B546D" w:rsidRDefault="00D90E1F" w:rsidP="00F432B9">
      <w:pPr>
        <w:pStyle w:val="ListParagraph"/>
        <w:numPr>
          <w:ilvl w:val="0"/>
          <w:numId w:val="9"/>
        </w:numPr>
        <w:autoSpaceDE w:val="0"/>
        <w:autoSpaceDN w:val="0"/>
        <w:spacing w:after="160"/>
        <w:contextualSpacing w:val="0"/>
        <w:rPr>
          <w:rFonts w:asciiTheme="minorHAnsi" w:hAnsiTheme="minorHAnsi" w:cstheme="minorHAnsi"/>
          <w:sz w:val="20"/>
          <w:szCs w:val="20"/>
        </w:rPr>
      </w:pPr>
      <w:r w:rsidRPr="009B546D">
        <w:rPr>
          <w:rFonts w:asciiTheme="minorHAnsi" w:hAnsiTheme="minorHAnsi" w:cstheme="minorHAnsi"/>
          <w:sz w:val="20"/>
          <w:szCs w:val="20"/>
        </w:rPr>
        <w:t>the</w:t>
      </w:r>
      <w:r w:rsidRPr="009B546D">
        <w:rPr>
          <w:rFonts w:asciiTheme="minorHAnsi" w:hAnsiTheme="minorHAnsi" w:cstheme="minorHAnsi"/>
          <w:spacing w:val="-2"/>
          <w:sz w:val="20"/>
          <w:szCs w:val="20"/>
        </w:rPr>
        <w:t xml:space="preserve"> </w:t>
      </w:r>
      <w:r w:rsidRPr="009B546D">
        <w:rPr>
          <w:rFonts w:asciiTheme="minorHAnsi" w:hAnsiTheme="minorHAnsi" w:cstheme="minorHAnsi"/>
          <w:sz w:val="20"/>
          <w:szCs w:val="20"/>
        </w:rPr>
        <w:t>Memorandum and the Articles;</w:t>
      </w:r>
    </w:p>
    <w:p w14:paraId="7F85EE82" w14:textId="7D0C6CB8" w:rsidR="00D90E1F" w:rsidRPr="009B546D" w:rsidRDefault="00D90E1F" w:rsidP="00F432B9">
      <w:pPr>
        <w:pStyle w:val="ListParagraph"/>
        <w:numPr>
          <w:ilvl w:val="0"/>
          <w:numId w:val="9"/>
        </w:numPr>
        <w:autoSpaceDE w:val="0"/>
        <w:autoSpaceDN w:val="0"/>
        <w:spacing w:after="160"/>
        <w:ind w:right="109"/>
        <w:contextualSpacing w:val="0"/>
        <w:rPr>
          <w:rFonts w:asciiTheme="minorHAnsi" w:hAnsiTheme="minorHAnsi" w:cstheme="minorHAnsi"/>
          <w:sz w:val="20"/>
          <w:szCs w:val="20"/>
        </w:rPr>
      </w:pPr>
      <w:r w:rsidRPr="009B546D">
        <w:rPr>
          <w:rFonts w:asciiTheme="minorHAnsi" w:hAnsiTheme="minorHAnsi" w:cstheme="minorHAnsi"/>
          <w:sz w:val="20"/>
          <w:szCs w:val="20"/>
        </w:rPr>
        <w:t xml:space="preserve">the accountant’s report issued by BDO LLP and the historical financial information of the Company as set out in Part </w:t>
      </w:r>
      <w:r w:rsidR="00E67E17" w:rsidRPr="009B546D">
        <w:rPr>
          <w:rFonts w:asciiTheme="minorHAnsi" w:hAnsiTheme="minorHAnsi" w:cstheme="minorHAnsi"/>
          <w:sz w:val="20"/>
          <w:szCs w:val="20"/>
        </w:rPr>
        <w:t>XIII</w:t>
      </w:r>
      <w:r w:rsidRPr="009B546D">
        <w:rPr>
          <w:rFonts w:asciiTheme="minorHAnsi" w:hAnsiTheme="minorHAnsi" w:cstheme="minorHAnsi"/>
          <w:sz w:val="20"/>
          <w:szCs w:val="20"/>
        </w:rPr>
        <w:t xml:space="preserve"> of this</w:t>
      </w:r>
      <w:r w:rsidRPr="009B546D">
        <w:rPr>
          <w:rFonts w:asciiTheme="minorHAnsi" w:hAnsiTheme="minorHAnsi" w:cstheme="minorHAnsi"/>
          <w:spacing w:val="-4"/>
          <w:sz w:val="20"/>
          <w:szCs w:val="20"/>
        </w:rPr>
        <w:t xml:space="preserve"> </w:t>
      </w:r>
      <w:r w:rsidRPr="009B546D">
        <w:rPr>
          <w:rFonts w:asciiTheme="minorHAnsi" w:hAnsiTheme="minorHAnsi" w:cstheme="minorHAnsi"/>
          <w:sz w:val="20"/>
          <w:szCs w:val="20"/>
        </w:rPr>
        <w:t xml:space="preserve">Prospectus; </w:t>
      </w:r>
    </w:p>
    <w:p w14:paraId="501BF699" w14:textId="5F0018A3" w:rsidR="00D90E1F" w:rsidRPr="009B546D" w:rsidRDefault="00D90E1F" w:rsidP="00F432B9">
      <w:pPr>
        <w:pStyle w:val="ListParagraph"/>
        <w:numPr>
          <w:ilvl w:val="0"/>
          <w:numId w:val="9"/>
        </w:numPr>
        <w:autoSpaceDE w:val="0"/>
        <w:autoSpaceDN w:val="0"/>
        <w:spacing w:after="160"/>
        <w:ind w:right="109"/>
        <w:contextualSpacing w:val="0"/>
        <w:rPr>
          <w:rFonts w:asciiTheme="minorHAnsi" w:hAnsiTheme="minorHAnsi" w:cstheme="minorHAnsi"/>
          <w:sz w:val="20"/>
          <w:szCs w:val="20"/>
        </w:rPr>
      </w:pPr>
      <w:r w:rsidRPr="009B546D">
        <w:rPr>
          <w:rFonts w:asciiTheme="minorHAnsi" w:hAnsiTheme="minorHAnsi" w:cstheme="minorHAnsi"/>
          <w:sz w:val="20"/>
          <w:szCs w:val="20"/>
        </w:rPr>
        <w:t xml:space="preserve">the accountant’s report issued by BDO LLP and the historical financial information of </w:t>
      </w:r>
      <w:r w:rsidR="00AF0C4A" w:rsidRPr="009B546D">
        <w:rPr>
          <w:rFonts w:asciiTheme="minorHAnsi" w:hAnsiTheme="minorHAnsi" w:cstheme="minorHAnsi"/>
          <w:sz w:val="20"/>
          <w:szCs w:val="20"/>
        </w:rPr>
        <w:t>Alchemist Codes</w:t>
      </w:r>
      <w:r w:rsidRPr="009B546D">
        <w:rPr>
          <w:rFonts w:asciiTheme="minorHAnsi" w:hAnsiTheme="minorHAnsi" w:cstheme="minorHAnsi"/>
          <w:sz w:val="20"/>
          <w:szCs w:val="20"/>
        </w:rPr>
        <w:t xml:space="preserve"> as set out in Part </w:t>
      </w:r>
      <w:r w:rsidR="00E67E17" w:rsidRPr="009B546D">
        <w:rPr>
          <w:rFonts w:asciiTheme="minorHAnsi" w:hAnsiTheme="minorHAnsi" w:cstheme="minorHAnsi"/>
          <w:sz w:val="20"/>
          <w:szCs w:val="20"/>
        </w:rPr>
        <w:t>XIV</w:t>
      </w:r>
      <w:r w:rsidRPr="009B546D">
        <w:rPr>
          <w:rFonts w:asciiTheme="minorHAnsi" w:hAnsiTheme="minorHAnsi" w:cstheme="minorHAnsi"/>
          <w:sz w:val="20"/>
          <w:szCs w:val="20"/>
        </w:rPr>
        <w:t xml:space="preserve"> of this</w:t>
      </w:r>
      <w:r w:rsidRPr="009B546D">
        <w:rPr>
          <w:rFonts w:asciiTheme="minorHAnsi" w:hAnsiTheme="minorHAnsi" w:cstheme="minorHAnsi"/>
          <w:spacing w:val="-4"/>
          <w:sz w:val="20"/>
          <w:szCs w:val="20"/>
        </w:rPr>
        <w:t xml:space="preserve"> </w:t>
      </w:r>
      <w:r w:rsidRPr="009B546D">
        <w:rPr>
          <w:rFonts w:asciiTheme="minorHAnsi" w:hAnsiTheme="minorHAnsi" w:cstheme="minorHAnsi"/>
          <w:sz w:val="20"/>
          <w:szCs w:val="20"/>
        </w:rPr>
        <w:t>Prospectus;</w:t>
      </w:r>
    </w:p>
    <w:p w14:paraId="5BD031B5" w14:textId="03CB6AA1" w:rsidR="00D90E1F" w:rsidRPr="009B546D" w:rsidRDefault="00D90E1F" w:rsidP="00F432B9">
      <w:pPr>
        <w:pStyle w:val="ListParagraph"/>
        <w:numPr>
          <w:ilvl w:val="0"/>
          <w:numId w:val="9"/>
        </w:numPr>
        <w:autoSpaceDE w:val="0"/>
        <w:autoSpaceDN w:val="0"/>
        <w:spacing w:after="160"/>
        <w:ind w:right="109"/>
        <w:contextualSpacing w:val="0"/>
        <w:rPr>
          <w:rFonts w:asciiTheme="minorHAnsi" w:hAnsiTheme="minorHAnsi" w:cstheme="minorHAnsi"/>
          <w:sz w:val="20"/>
          <w:szCs w:val="20"/>
        </w:rPr>
      </w:pPr>
      <w:r w:rsidRPr="009B546D">
        <w:rPr>
          <w:rFonts w:asciiTheme="minorHAnsi" w:hAnsiTheme="minorHAnsi" w:cstheme="minorHAnsi"/>
          <w:sz w:val="20"/>
          <w:szCs w:val="20"/>
        </w:rPr>
        <w:t>the accountant’s report issued by BDO LLP and the Unaudited Pro Forma Financial Information</w:t>
      </w:r>
      <w:r w:rsidR="00D5255E" w:rsidRPr="009B546D">
        <w:rPr>
          <w:rFonts w:asciiTheme="minorHAnsi" w:hAnsiTheme="minorHAnsi" w:cstheme="minorHAnsi"/>
          <w:sz w:val="20"/>
          <w:szCs w:val="20"/>
        </w:rPr>
        <w:t xml:space="preserve"> of Net Assets of the Enlarged Group</w:t>
      </w:r>
      <w:r w:rsidRPr="009B546D">
        <w:rPr>
          <w:rFonts w:asciiTheme="minorHAnsi" w:hAnsiTheme="minorHAnsi" w:cstheme="minorHAnsi"/>
          <w:sz w:val="20"/>
          <w:szCs w:val="20"/>
        </w:rPr>
        <w:t xml:space="preserve"> of</w:t>
      </w:r>
      <w:r w:rsidR="00F253CC" w:rsidRPr="009B546D">
        <w:rPr>
          <w:rFonts w:asciiTheme="minorHAnsi" w:hAnsiTheme="minorHAnsi" w:cstheme="minorHAnsi"/>
          <w:sz w:val="20"/>
          <w:szCs w:val="20"/>
        </w:rPr>
        <w:t xml:space="preserve"> </w:t>
      </w:r>
      <w:r w:rsidRPr="009B546D">
        <w:rPr>
          <w:rFonts w:asciiTheme="minorHAnsi" w:hAnsiTheme="minorHAnsi" w:cstheme="minorHAnsi"/>
          <w:sz w:val="20"/>
          <w:szCs w:val="20"/>
        </w:rPr>
        <w:t xml:space="preserve">as set out in Part </w:t>
      </w:r>
      <w:r w:rsidR="00317EF7" w:rsidRPr="009B546D">
        <w:rPr>
          <w:rFonts w:asciiTheme="minorHAnsi" w:hAnsiTheme="minorHAnsi" w:cstheme="minorHAnsi"/>
          <w:sz w:val="20"/>
          <w:szCs w:val="20"/>
        </w:rPr>
        <w:t>XVI</w:t>
      </w:r>
      <w:r w:rsidR="006F1645">
        <w:rPr>
          <w:rFonts w:asciiTheme="minorHAnsi" w:hAnsiTheme="minorHAnsi" w:cstheme="minorHAnsi"/>
          <w:sz w:val="20"/>
          <w:szCs w:val="20"/>
        </w:rPr>
        <w:t>I</w:t>
      </w:r>
      <w:r w:rsidRPr="009B546D">
        <w:rPr>
          <w:rFonts w:asciiTheme="minorHAnsi" w:hAnsiTheme="minorHAnsi" w:cstheme="minorHAnsi"/>
          <w:sz w:val="20"/>
          <w:szCs w:val="20"/>
        </w:rPr>
        <w:t xml:space="preserve"> of this</w:t>
      </w:r>
      <w:r w:rsidRPr="009B546D">
        <w:rPr>
          <w:rFonts w:asciiTheme="minorHAnsi" w:hAnsiTheme="minorHAnsi" w:cstheme="minorHAnsi"/>
          <w:spacing w:val="-4"/>
          <w:sz w:val="20"/>
          <w:szCs w:val="20"/>
        </w:rPr>
        <w:t xml:space="preserve"> </w:t>
      </w:r>
      <w:r w:rsidRPr="009B546D">
        <w:rPr>
          <w:rFonts w:asciiTheme="minorHAnsi" w:hAnsiTheme="minorHAnsi" w:cstheme="minorHAnsi"/>
          <w:sz w:val="20"/>
          <w:szCs w:val="20"/>
        </w:rPr>
        <w:t>Prospectus;</w:t>
      </w:r>
    </w:p>
    <w:p w14:paraId="0A90EA16" w14:textId="5FA94894" w:rsidR="002E56EC" w:rsidRPr="00D4158A" w:rsidRDefault="00D73249" w:rsidP="00F432B9">
      <w:pPr>
        <w:pStyle w:val="ListParagraph"/>
        <w:numPr>
          <w:ilvl w:val="0"/>
          <w:numId w:val="9"/>
        </w:numPr>
        <w:autoSpaceDE w:val="0"/>
        <w:autoSpaceDN w:val="0"/>
        <w:spacing w:after="160"/>
        <w:ind w:right="109"/>
        <w:contextualSpacing w:val="0"/>
        <w:rPr>
          <w:rFonts w:asciiTheme="minorHAnsi" w:hAnsiTheme="minorHAnsi" w:cstheme="minorHAnsi"/>
          <w:sz w:val="20"/>
          <w:szCs w:val="20"/>
        </w:rPr>
      </w:pPr>
      <w:r w:rsidRPr="00D4158A">
        <w:rPr>
          <w:rFonts w:asciiTheme="minorHAnsi" w:hAnsiTheme="minorHAnsi" w:cstheme="minorHAnsi"/>
          <w:sz w:val="20"/>
          <w:szCs w:val="20"/>
        </w:rPr>
        <w:t xml:space="preserve">the Directors </w:t>
      </w:r>
      <w:r w:rsidR="00D90E1F" w:rsidRPr="00D4158A">
        <w:rPr>
          <w:rFonts w:asciiTheme="minorHAnsi" w:hAnsiTheme="minorHAnsi" w:cstheme="minorHAnsi"/>
          <w:sz w:val="20"/>
          <w:szCs w:val="20"/>
        </w:rPr>
        <w:t>service contracts</w:t>
      </w:r>
      <w:r w:rsidRPr="00D4158A">
        <w:rPr>
          <w:rFonts w:asciiTheme="minorHAnsi" w:hAnsiTheme="minorHAnsi" w:cstheme="minorHAnsi"/>
          <w:sz w:val="20"/>
          <w:szCs w:val="20"/>
        </w:rPr>
        <w:t xml:space="preserve"> refe</w:t>
      </w:r>
      <w:r w:rsidR="002E56EC" w:rsidRPr="00D4158A">
        <w:rPr>
          <w:rFonts w:asciiTheme="minorHAnsi" w:hAnsiTheme="minorHAnsi" w:cstheme="minorHAnsi"/>
          <w:sz w:val="20"/>
          <w:szCs w:val="20"/>
        </w:rPr>
        <w:t>rred to in paragraphs 6;</w:t>
      </w:r>
    </w:p>
    <w:p w14:paraId="5D0FDCB2" w14:textId="3890FB38" w:rsidR="00D90E1F" w:rsidRPr="00D4158A" w:rsidRDefault="002E56EC" w:rsidP="00F432B9">
      <w:pPr>
        <w:pStyle w:val="ListParagraph"/>
        <w:numPr>
          <w:ilvl w:val="0"/>
          <w:numId w:val="9"/>
        </w:numPr>
        <w:autoSpaceDE w:val="0"/>
        <w:autoSpaceDN w:val="0"/>
        <w:spacing w:after="160"/>
        <w:ind w:right="109"/>
        <w:contextualSpacing w:val="0"/>
        <w:rPr>
          <w:rFonts w:asciiTheme="minorHAnsi" w:hAnsiTheme="minorHAnsi" w:cstheme="minorHAnsi"/>
          <w:sz w:val="20"/>
          <w:szCs w:val="20"/>
        </w:rPr>
      </w:pPr>
      <w:r w:rsidRPr="00D4158A">
        <w:rPr>
          <w:rFonts w:asciiTheme="minorHAnsi" w:hAnsiTheme="minorHAnsi" w:cstheme="minorHAnsi"/>
          <w:sz w:val="20"/>
          <w:szCs w:val="20"/>
        </w:rPr>
        <w:t xml:space="preserve">the </w:t>
      </w:r>
      <w:r w:rsidR="00D90E1F" w:rsidRPr="00D4158A">
        <w:rPr>
          <w:rFonts w:asciiTheme="minorHAnsi" w:hAnsiTheme="minorHAnsi" w:cstheme="minorHAnsi"/>
          <w:sz w:val="20"/>
          <w:szCs w:val="20"/>
        </w:rPr>
        <w:t>material contracts</w:t>
      </w:r>
      <w:r w:rsidRPr="00D4158A">
        <w:rPr>
          <w:rFonts w:asciiTheme="minorHAnsi" w:hAnsiTheme="minorHAnsi" w:cstheme="minorHAnsi"/>
          <w:sz w:val="20"/>
          <w:szCs w:val="20"/>
        </w:rPr>
        <w:t xml:space="preserve"> referred to in paragraphs </w:t>
      </w:r>
      <w:r w:rsidR="001E1549">
        <w:rPr>
          <w:rFonts w:asciiTheme="minorHAnsi" w:hAnsiTheme="minorHAnsi" w:cstheme="minorHAnsi"/>
          <w:sz w:val="20"/>
          <w:szCs w:val="20"/>
        </w:rPr>
        <w:t>12</w:t>
      </w:r>
      <w:r w:rsidR="00D90E1F" w:rsidRPr="00D4158A">
        <w:rPr>
          <w:rFonts w:asciiTheme="minorHAnsi" w:hAnsiTheme="minorHAnsi" w:cstheme="minorHAnsi"/>
          <w:sz w:val="20"/>
          <w:szCs w:val="20"/>
        </w:rPr>
        <w:t xml:space="preserve">; </w:t>
      </w:r>
    </w:p>
    <w:p w14:paraId="449280BD" w14:textId="2D0271D4" w:rsidR="00D90E1F" w:rsidRPr="009B546D" w:rsidRDefault="00D90E1F" w:rsidP="00F432B9">
      <w:pPr>
        <w:pStyle w:val="ListParagraph"/>
        <w:numPr>
          <w:ilvl w:val="0"/>
          <w:numId w:val="9"/>
        </w:numPr>
        <w:autoSpaceDE w:val="0"/>
        <w:autoSpaceDN w:val="0"/>
        <w:spacing w:after="160"/>
        <w:contextualSpacing w:val="0"/>
        <w:rPr>
          <w:rFonts w:asciiTheme="minorHAnsi" w:hAnsiTheme="minorHAnsi" w:cstheme="minorHAnsi"/>
          <w:sz w:val="20"/>
          <w:szCs w:val="20"/>
        </w:rPr>
      </w:pPr>
      <w:r w:rsidRPr="009B546D">
        <w:rPr>
          <w:rFonts w:asciiTheme="minorHAnsi" w:hAnsiTheme="minorHAnsi" w:cstheme="minorHAnsi"/>
          <w:sz w:val="20"/>
          <w:szCs w:val="20"/>
        </w:rPr>
        <w:t xml:space="preserve">the letters of consent referred to in paragraphs </w:t>
      </w:r>
      <w:r w:rsidR="001E1549">
        <w:rPr>
          <w:rFonts w:asciiTheme="minorHAnsi" w:hAnsiTheme="minorHAnsi" w:cstheme="minorHAnsi"/>
          <w:sz w:val="20"/>
          <w:szCs w:val="20"/>
        </w:rPr>
        <w:t>18</w:t>
      </w:r>
      <w:r w:rsidRPr="009B546D">
        <w:rPr>
          <w:rFonts w:asciiTheme="minorHAnsi" w:hAnsiTheme="minorHAnsi" w:cstheme="minorHAnsi"/>
          <w:sz w:val="20"/>
          <w:szCs w:val="20"/>
        </w:rPr>
        <w:t xml:space="preserve"> (</w:t>
      </w:r>
      <w:r w:rsidRPr="009B546D">
        <w:rPr>
          <w:rFonts w:asciiTheme="minorHAnsi" w:hAnsiTheme="minorHAnsi" w:cstheme="minorHAnsi"/>
          <w:i/>
          <w:sz w:val="20"/>
          <w:szCs w:val="20"/>
        </w:rPr>
        <w:t>Consents</w:t>
      </w:r>
      <w:r w:rsidRPr="009B546D">
        <w:rPr>
          <w:rFonts w:asciiTheme="minorHAnsi" w:hAnsiTheme="minorHAnsi" w:cstheme="minorHAnsi"/>
          <w:sz w:val="20"/>
          <w:szCs w:val="20"/>
        </w:rPr>
        <w:t>) above;</w:t>
      </w:r>
      <w:r w:rsidR="002E56EC">
        <w:rPr>
          <w:rFonts w:asciiTheme="minorHAnsi" w:hAnsiTheme="minorHAnsi" w:cstheme="minorHAnsi"/>
          <w:sz w:val="20"/>
          <w:szCs w:val="20"/>
        </w:rPr>
        <w:t xml:space="preserve"> and</w:t>
      </w:r>
    </w:p>
    <w:p w14:paraId="4361B7F7" w14:textId="77777777" w:rsidR="00D90E1F" w:rsidRPr="009B546D" w:rsidRDefault="00D90E1F" w:rsidP="00F432B9">
      <w:pPr>
        <w:pStyle w:val="ListParagraph"/>
        <w:numPr>
          <w:ilvl w:val="0"/>
          <w:numId w:val="9"/>
        </w:numPr>
        <w:autoSpaceDE w:val="0"/>
        <w:autoSpaceDN w:val="0"/>
        <w:spacing w:after="160"/>
        <w:contextualSpacing w:val="0"/>
        <w:rPr>
          <w:rFonts w:asciiTheme="minorHAnsi" w:hAnsiTheme="minorHAnsi" w:cstheme="minorHAnsi"/>
          <w:sz w:val="20"/>
          <w:szCs w:val="20"/>
        </w:rPr>
      </w:pPr>
      <w:r w:rsidRPr="009B546D">
        <w:rPr>
          <w:rFonts w:asciiTheme="minorHAnsi" w:hAnsiTheme="minorHAnsi" w:cstheme="minorHAnsi"/>
          <w:sz w:val="20"/>
          <w:szCs w:val="20"/>
        </w:rPr>
        <w:t>this</w:t>
      </w:r>
      <w:r w:rsidRPr="009B546D">
        <w:rPr>
          <w:rFonts w:asciiTheme="minorHAnsi" w:hAnsiTheme="minorHAnsi" w:cstheme="minorHAnsi"/>
          <w:spacing w:val="-2"/>
          <w:sz w:val="20"/>
          <w:szCs w:val="20"/>
        </w:rPr>
        <w:t xml:space="preserve"> </w:t>
      </w:r>
      <w:r w:rsidRPr="009B546D">
        <w:rPr>
          <w:rFonts w:asciiTheme="minorHAnsi" w:hAnsiTheme="minorHAnsi" w:cstheme="minorHAnsi"/>
          <w:sz w:val="20"/>
          <w:szCs w:val="20"/>
        </w:rPr>
        <w:t>Prospectus.</w:t>
      </w:r>
    </w:p>
    <w:p w14:paraId="16DB4863" w14:textId="1ABE8218" w:rsidR="00D90E1F" w:rsidRPr="009B546D" w:rsidRDefault="00D90E1F" w:rsidP="00F432B9">
      <w:pPr>
        <w:pStyle w:val="Heading2"/>
        <w:keepNext w:val="0"/>
        <w:widowControl w:val="0"/>
        <w:numPr>
          <w:ilvl w:val="0"/>
          <w:numId w:val="11"/>
        </w:numPr>
        <w:spacing w:before="0" w:after="160" w:line="240" w:lineRule="auto"/>
        <w:rPr>
          <w:rFonts w:asciiTheme="minorHAnsi" w:hAnsiTheme="minorHAnsi" w:cstheme="minorHAnsi"/>
          <w:szCs w:val="20"/>
        </w:rPr>
      </w:pPr>
      <w:r w:rsidRPr="009B546D">
        <w:rPr>
          <w:rFonts w:asciiTheme="minorHAnsi" w:hAnsiTheme="minorHAnsi" w:cstheme="minorHAnsi"/>
          <w:szCs w:val="20"/>
        </w:rPr>
        <w:t>Availability of this Prospectus</w:t>
      </w:r>
    </w:p>
    <w:p w14:paraId="7574C6A4" w14:textId="77777777" w:rsidR="00D90E1F" w:rsidRPr="009B546D" w:rsidRDefault="00D90E1F" w:rsidP="00F432B9">
      <w:pPr>
        <w:pStyle w:val="BodyText"/>
        <w:widowControl w:val="0"/>
        <w:spacing w:after="160" w:line="240" w:lineRule="auto"/>
        <w:rPr>
          <w:rFonts w:asciiTheme="minorHAnsi" w:hAnsiTheme="minorHAnsi" w:cstheme="minorHAnsi"/>
          <w:sz w:val="20"/>
          <w:szCs w:val="20"/>
        </w:rPr>
      </w:pPr>
      <w:r w:rsidRPr="009B546D">
        <w:rPr>
          <w:rFonts w:asciiTheme="minorHAnsi" w:hAnsiTheme="minorHAnsi" w:cstheme="minorHAnsi"/>
          <w:sz w:val="20"/>
          <w:szCs w:val="20"/>
        </w:rPr>
        <w:t xml:space="preserve">Following Re-Admission, this Prospectus will be published in electronic form and will be available for viewing free of charge at </w:t>
      </w:r>
      <w:hyperlink r:id="rId18">
        <w:r w:rsidRPr="009B546D">
          <w:rPr>
            <w:rFonts w:asciiTheme="minorHAnsi" w:hAnsiTheme="minorHAnsi" w:cstheme="minorHAnsi"/>
            <w:sz w:val="20"/>
            <w:szCs w:val="20"/>
          </w:rPr>
          <w:t xml:space="preserve">www.aiqhub.com, </w:t>
        </w:r>
      </w:hyperlink>
      <w:r w:rsidRPr="009B546D">
        <w:rPr>
          <w:rFonts w:asciiTheme="minorHAnsi" w:hAnsiTheme="minorHAnsi" w:cstheme="minorHAnsi"/>
          <w:sz w:val="20"/>
          <w:szCs w:val="20"/>
        </w:rPr>
        <w:t>subject to certain access restrictions applicable to persons located or resident outside the United Kingdom.</w:t>
      </w:r>
    </w:p>
    <w:p w14:paraId="1BF58920" w14:textId="3EA7B683" w:rsidR="00D90E1F" w:rsidRPr="009B546D" w:rsidRDefault="00D90E1F" w:rsidP="00F432B9">
      <w:pPr>
        <w:pStyle w:val="BodyText"/>
        <w:widowControl w:val="0"/>
        <w:spacing w:after="160" w:line="240" w:lineRule="auto"/>
        <w:rPr>
          <w:rFonts w:asciiTheme="minorHAnsi" w:hAnsiTheme="minorHAnsi" w:cstheme="minorHAnsi"/>
          <w:sz w:val="20"/>
          <w:szCs w:val="20"/>
        </w:rPr>
      </w:pPr>
      <w:r w:rsidRPr="009B546D">
        <w:rPr>
          <w:rFonts w:asciiTheme="minorHAnsi" w:hAnsiTheme="minorHAnsi" w:cstheme="minorHAnsi"/>
          <w:sz w:val="20"/>
          <w:szCs w:val="20"/>
        </w:rPr>
        <w:t>Copies of this Prospectus may be collected, free of charge during normal business hours, from the office of the Company’s financial adviser, VSA Capital Limited, located at New Liverpool House, 15-17 Eldon Street, London EC2M 7LD.</w:t>
      </w:r>
    </w:p>
    <w:p w14:paraId="359A5ABB" w14:textId="77777777" w:rsidR="00D90E1F" w:rsidRPr="009B546D" w:rsidRDefault="00D90E1F" w:rsidP="00F432B9">
      <w:pPr>
        <w:pStyle w:val="BodyText"/>
        <w:widowControl w:val="0"/>
        <w:spacing w:after="160" w:line="240" w:lineRule="auto"/>
        <w:rPr>
          <w:rFonts w:asciiTheme="minorHAnsi" w:hAnsiTheme="minorHAnsi" w:cstheme="minorHAnsi"/>
          <w:sz w:val="20"/>
          <w:szCs w:val="20"/>
        </w:rPr>
      </w:pPr>
    </w:p>
    <w:p w14:paraId="7D97840F" w14:textId="3EC1BE4F" w:rsidR="00D90E1F" w:rsidRPr="009B546D" w:rsidRDefault="00D90E1F" w:rsidP="00F432B9">
      <w:pPr>
        <w:pStyle w:val="BodyText"/>
        <w:widowControl w:val="0"/>
        <w:spacing w:after="160" w:line="240" w:lineRule="auto"/>
        <w:rPr>
          <w:rFonts w:asciiTheme="minorHAnsi" w:hAnsiTheme="minorHAnsi" w:cstheme="minorHAnsi"/>
          <w:sz w:val="20"/>
          <w:szCs w:val="20"/>
        </w:rPr>
      </w:pPr>
      <w:r w:rsidRPr="00E42C6E">
        <w:rPr>
          <w:rFonts w:asciiTheme="minorHAnsi" w:hAnsiTheme="minorHAnsi" w:cstheme="minorHAnsi"/>
          <w:sz w:val="20"/>
          <w:szCs w:val="20"/>
        </w:rPr>
        <w:t xml:space="preserve">Dated </w:t>
      </w:r>
      <w:r w:rsidR="00187D70">
        <w:rPr>
          <w:rFonts w:asciiTheme="minorHAnsi" w:hAnsiTheme="minorHAnsi" w:cstheme="minorHAnsi"/>
          <w:sz w:val="20"/>
          <w:szCs w:val="20"/>
        </w:rPr>
        <w:t>20</w:t>
      </w:r>
      <w:r w:rsidRPr="00E42C6E">
        <w:rPr>
          <w:rFonts w:asciiTheme="minorHAnsi" w:hAnsiTheme="minorHAnsi" w:cstheme="minorHAnsi"/>
          <w:sz w:val="20"/>
          <w:szCs w:val="20"/>
        </w:rPr>
        <w:t xml:space="preserve"> </w:t>
      </w:r>
      <w:r w:rsidR="00D76E92" w:rsidRPr="009B546D">
        <w:rPr>
          <w:rFonts w:asciiTheme="minorHAnsi" w:hAnsiTheme="minorHAnsi" w:cstheme="minorHAnsi"/>
          <w:sz w:val="20"/>
          <w:szCs w:val="20"/>
        </w:rPr>
        <w:t xml:space="preserve">March </w:t>
      </w:r>
      <w:r w:rsidR="00F54D9C" w:rsidRPr="009B546D">
        <w:rPr>
          <w:rFonts w:asciiTheme="minorHAnsi" w:hAnsiTheme="minorHAnsi" w:cstheme="minorHAnsi"/>
          <w:sz w:val="20"/>
          <w:szCs w:val="20"/>
        </w:rPr>
        <w:t>2020</w:t>
      </w:r>
    </w:p>
    <w:p w14:paraId="38B22245" w14:textId="77777777" w:rsidR="00D90E1F" w:rsidRPr="009B546D" w:rsidRDefault="00D90E1F" w:rsidP="00F432B9">
      <w:pPr>
        <w:widowControl w:val="0"/>
        <w:spacing w:line="240" w:lineRule="auto"/>
        <w:rPr>
          <w:rFonts w:cstheme="minorHAnsi"/>
          <w:szCs w:val="20"/>
        </w:rPr>
      </w:pPr>
      <w:r w:rsidRPr="009B546D">
        <w:rPr>
          <w:rFonts w:cstheme="minorHAnsi"/>
          <w:szCs w:val="20"/>
        </w:rPr>
        <w:br w:type="page"/>
      </w:r>
    </w:p>
    <w:p w14:paraId="24D97D6C" w14:textId="0D5EAA00" w:rsidR="00D90E1F" w:rsidRPr="009B546D" w:rsidRDefault="00D90E1F" w:rsidP="00F432B9">
      <w:pPr>
        <w:pStyle w:val="Heading1"/>
        <w:keepNext w:val="0"/>
        <w:widowControl w:val="0"/>
        <w:spacing w:before="0" w:after="160" w:line="240" w:lineRule="auto"/>
        <w:jc w:val="center"/>
        <w:rPr>
          <w:rFonts w:asciiTheme="minorHAnsi" w:hAnsiTheme="minorHAnsi" w:cstheme="minorHAnsi"/>
          <w:sz w:val="20"/>
          <w:szCs w:val="20"/>
        </w:rPr>
      </w:pPr>
      <w:bookmarkStart w:id="66" w:name="_Toc35456750"/>
      <w:r w:rsidRPr="009B546D">
        <w:rPr>
          <w:rFonts w:asciiTheme="minorHAnsi" w:hAnsiTheme="minorHAnsi" w:cstheme="minorHAnsi"/>
          <w:sz w:val="20"/>
          <w:szCs w:val="20"/>
        </w:rPr>
        <w:lastRenderedPageBreak/>
        <w:t>Part X</w:t>
      </w:r>
      <w:r w:rsidR="00C94917" w:rsidRPr="009B546D">
        <w:rPr>
          <w:rFonts w:asciiTheme="minorHAnsi" w:hAnsiTheme="minorHAnsi" w:cstheme="minorHAnsi"/>
          <w:sz w:val="20"/>
          <w:szCs w:val="20"/>
        </w:rPr>
        <w:t>X</w:t>
      </w:r>
      <w:r w:rsidR="00987B3B">
        <w:rPr>
          <w:rFonts w:asciiTheme="minorHAnsi" w:hAnsiTheme="minorHAnsi" w:cstheme="minorHAnsi"/>
          <w:sz w:val="20"/>
          <w:szCs w:val="20"/>
        </w:rPr>
        <w:t>I</w:t>
      </w:r>
      <w:r w:rsidRPr="009B546D">
        <w:rPr>
          <w:rFonts w:asciiTheme="minorHAnsi" w:hAnsiTheme="minorHAnsi" w:cstheme="minorHAnsi"/>
          <w:sz w:val="20"/>
          <w:szCs w:val="20"/>
        </w:rPr>
        <w:br/>
        <w:t>Definitions</w:t>
      </w:r>
      <w:bookmarkEnd w:id="66"/>
    </w:p>
    <w:p w14:paraId="46AD4F3B" w14:textId="77777777" w:rsidR="00D90E1F" w:rsidRPr="009B546D" w:rsidRDefault="00D90E1F" w:rsidP="00F432B9">
      <w:pPr>
        <w:widowControl w:val="0"/>
        <w:spacing w:line="240" w:lineRule="auto"/>
        <w:jc w:val="center"/>
        <w:rPr>
          <w:rFonts w:cstheme="minorHAnsi"/>
          <w:szCs w:val="20"/>
        </w:rPr>
      </w:pPr>
      <w:r w:rsidRPr="009B546D">
        <w:rPr>
          <w:rFonts w:cstheme="minorHAnsi"/>
          <w:szCs w:val="20"/>
        </w:rPr>
        <w:t>The following definitions apply throughout this Prospectus (unless the context requires otherwise):</w:t>
      </w:r>
    </w:p>
    <w:tbl>
      <w:tblPr>
        <w:tblW w:w="0" w:type="auto"/>
        <w:tblLook w:val="04A0" w:firstRow="1" w:lastRow="0" w:firstColumn="1" w:lastColumn="0" w:noHBand="0" w:noVBand="1"/>
      </w:tblPr>
      <w:tblGrid>
        <w:gridCol w:w="3084"/>
        <w:gridCol w:w="5799"/>
      </w:tblGrid>
      <w:tr w:rsidR="00D90E1F" w:rsidRPr="009B546D" w14:paraId="151190B7" w14:textId="77777777" w:rsidTr="007B5E1A">
        <w:trPr>
          <w:cantSplit/>
        </w:trPr>
        <w:tc>
          <w:tcPr>
            <w:tcW w:w="3084" w:type="dxa"/>
            <w:shd w:val="clear" w:color="auto" w:fill="auto"/>
          </w:tcPr>
          <w:p w14:paraId="268CF9A2" w14:textId="77777777" w:rsidR="00D90E1F" w:rsidRPr="009B546D" w:rsidRDefault="00D90E1F" w:rsidP="00F432B9">
            <w:pPr>
              <w:widowControl w:val="0"/>
              <w:spacing w:line="240" w:lineRule="auto"/>
              <w:rPr>
                <w:rFonts w:cstheme="minorHAnsi"/>
                <w:b/>
                <w:szCs w:val="20"/>
              </w:rPr>
            </w:pPr>
            <w:r w:rsidRPr="009B546D">
              <w:rPr>
                <w:rFonts w:cstheme="minorHAnsi"/>
                <w:b/>
                <w:szCs w:val="20"/>
              </w:rPr>
              <w:t>“Acquisition Agreement”</w:t>
            </w:r>
          </w:p>
        </w:tc>
        <w:tc>
          <w:tcPr>
            <w:tcW w:w="5799" w:type="dxa"/>
            <w:shd w:val="clear" w:color="auto" w:fill="auto"/>
          </w:tcPr>
          <w:p w14:paraId="09517566" w14:textId="29AEA262" w:rsidR="00D90E1F" w:rsidRPr="009B546D" w:rsidRDefault="00D90E1F" w:rsidP="00F432B9">
            <w:pPr>
              <w:widowControl w:val="0"/>
              <w:spacing w:line="240" w:lineRule="auto"/>
              <w:rPr>
                <w:rFonts w:cstheme="minorHAnsi"/>
                <w:szCs w:val="20"/>
              </w:rPr>
            </w:pPr>
            <w:r w:rsidRPr="009B546D">
              <w:rPr>
                <w:rFonts w:cstheme="minorHAnsi"/>
                <w:szCs w:val="20"/>
              </w:rPr>
              <w:t xml:space="preserve">the </w:t>
            </w:r>
            <w:r w:rsidR="0065070B" w:rsidRPr="009B546D">
              <w:rPr>
                <w:rFonts w:cstheme="minorHAnsi"/>
                <w:szCs w:val="20"/>
              </w:rPr>
              <w:t>share sale and purchase agreement</w:t>
            </w:r>
            <w:r w:rsidRPr="009B546D">
              <w:rPr>
                <w:rFonts w:cstheme="minorHAnsi"/>
                <w:szCs w:val="20"/>
              </w:rPr>
              <w:t xml:space="preserve"> dated </w:t>
            </w:r>
            <w:r w:rsidR="00084F85">
              <w:rPr>
                <w:rFonts w:cstheme="minorHAnsi"/>
                <w:szCs w:val="20"/>
              </w:rPr>
              <w:t>20</w:t>
            </w:r>
            <w:r w:rsidR="00317EF7" w:rsidRPr="009B546D">
              <w:rPr>
                <w:rFonts w:cstheme="minorHAnsi"/>
                <w:szCs w:val="20"/>
              </w:rPr>
              <w:t xml:space="preserve"> </w:t>
            </w:r>
            <w:r w:rsidR="00D76E92" w:rsidRPr="009B546D">
              <w:rPr>
                <w:rFonts w:cstheme="minorHAnsi"/>
                <w:szCs w:val="20"/>
              </w:rPr>
              <w:t xml:space="preserve">March </w:t>
            </w:r>
            <w:r w:rsidR="0065070B" w:rsidRPr="009B546D">
              <w:rPr>
                <w:rFonts w:cstheme="minorHAnsi"/>
                <w:szCs w:val="20"/>
              </w:rPr>
              <w:t>2020</w:t>
            </w:r>
            <w:r w:rsidRPr="009B546D">
              <w:rPr>
                <w:rFonts w:cstheme="minorHAnsi"/>
                <w:szCs w:val="20"/>
              </w:rPr>
              <w:t xml:space="preserve"> between the Company and the Sellers relating to the</w:t>
            </w:r>
            <w:r w:rsidR="00AF188F" w:rsidRPr="009B546D">
              <w:rPr>
                <w:rFonts w:cstheme="minorHAnsi"/>
                <w:szCs w:val="20"/>
              </w:rPr>
              <w:t xml:space="preserve"> Proposed</w:t>
            </w:r>
            <w:r w:rsidRPr="009B546D">
              <w:rPr>
                <w:rFonts w:cstheme="minorHAnsi"/>
                <w:szCs w:val="20"/>
              </w:rPr>
              <w:t xml:space="preserve"> Acquisition, further details of which are set out in paragraph </w:t>
            </w:r>
            <w:r w:rsidR="008805B4" w:rsidRPr="009B546D">
              <w:rPr>
                <w:rFonts w:cstheme="minorHAnsi"/>
                <w:szCs w:val="20"/>
              </w:rPr>
              <w:t>12</w:t>
            </w:r>
            <w:r w:rsidR="0065070B" w:rsidRPr="009B546D">
              <w:rPr>
                <w:rFonts w:cstheme="minorHAnsi"/>
                <w:szCs w:val="20"/>
              </w:rPr>
              <w:t>.1</w:t>
            </w:r>
            <w:r w:rsidRPr="009B546D">
              <w:rPr>
                <w:rFonts w:cstheme="minorHAnsi"/>
                <w:szCs w:val="20"/>
              </w:rPr>
              <w:t xml:space="preserve"> of Part </w:t>
            </w:r>
            <w:r w:rsidR="0065070B" w:rsidRPr="009B546D">
              <w:rPr>
                <w:rFonts w:cstheme="minorHAnsi"/>
                <w:szCs w:val="20"/>
              </w:rPr>
              <w:t>XX (Additional Information)</w:t>
            </w:r>
            <w:r w:rsidRPr="009B546D">
              <w:rPr>
                <w:rFonts w:cstheme="minorHAnsi"/>
                <w:szCs w:val="20"/>
              </w:rPr>
              <w:t xml:space="preserve"> of this Prospectus</w:t>
            </w:r>
          </w:p>
        </w:tc>
      </w:tr>
      <w:tr w:rsidR="00D90E1F" w:rsidRPr="009B546D" w14:paraId="0CFF232B" w14:textId="77777777" w:rsidTr="007B5E1A">
        <w:trPr>
          <w:cantSplit/>
        </w:trPr>
        <w:tc>
          <w:tcPr>
            <w:tcW w:w="3084" w:type="dxa"/>
            <w:shd w:val="clear" w:color="auto" w:fill="auto"/>
          </w:tcPr>
          <w:p w14:paraId="5DE97AF8" w14:textId="77777777" w:rsidR="00D90E1F" w:rsidRPr="009B546D" w:rsidRDefault="00D90E1F" w:rsidP="00F432B9">
            <w:pPr>
              <w:widowControl w:val="0"/>
              <w:spacing w:line="240" w:lineRule="auto"/>
              <w:rPr>
                <w:rFonts w:cstheme="minorHAnsi"/>
                <w:b/>
                <w:szCs w:val="20"/>
              </w:rPr>
            </w:pPr>
            <w:r w:rsidRPr="009B546D">
              <w:rPr>
                <w:rFonts w:cstheme="minorHAnsi"/>
                <w:b/>
                <w:szCs w:val="20"/>
              </w:rPr>
              <w:t>“AIQ” or “Company”</w:t>
            </w:r>
          </w:p>
        </w:tc>
        <w:tc>
          <w:tcPr>
            <w:tcW w:w="5799" w:type="dxa"/>
            <w:shd w:val="clear" w:color="auto" w:fill="auto"/>
          </w:tcPr>
          <w:p w14:paraId="611F68AA" w14:textId="77777777" w:rsidR="00D90E1F" w:rsidRPr="009B546D" w:rsidRDefault="00D90E1F" w:rsidP="00F432B9">
            <w:pPr>
              <w:widowControl w:val="0"/>
              <w:spacing w:line="240" w:lineRule="auto"/>
              <w:rPr>
                <w:rFonts w:cstheme="minorHAnsi"/>
                <w:szCs w:val="20"/>
              </w:rPr>
            </w:pPr>
            <w:r w:rsidRPr="009B546D">
              <w:rPr>
                <w:rFonts w:cstheme="minorHAnsi"/>
                <w:szCs w:val="20"/>
              </w:rPr>
              <w:t xml:space="preserve">AIQ Limited, a company incorporated in the Cayman Islands with registered number 327983 </w:t>
            </w:r>
          </w:p>
        </w:tc>
      </w:tr>
      <w:tr w:rsidR="00D90E1F" w:rsidRPr="009B546D" w14:paraId="1CEEF212" w14:textId="77777777" w:rsidTr="007B5E1A">
        <w:trPr>
          <w:cantSplit/>
        </w:trPr>
        <w:tc>
          <w:tcPr>
            <w:tcW w:w="3084" w:type="dxa"/>
            <w:shd w:val="clear" w:color="auto" w:fill="auto"/>
          </w:tcPr>
          <w:p w14:paraId="32F4E131" w14:textId="6E721EAA" w:rsidR="00D90E1F" w:rsidRPr="009B546D" w:rsidRDefault="00D90E1F" w:rsidP="00F432B9">
            <w:pPr>
              <w:widowControl w:val="0"/>
              <w:spacing w:line="240" w:lineRule="auto"/>
              <w:rPr>
                <w:rFonts w:cstheme="minorHAnsi"/>
                <w:b/>
                <w:szCs w:val="20"/>
              </w:rPr>
            </w:pPr>
            <w:r w:rsidRPr="009B546D">
              <w:rPr>
                <w:rFonts w:cstheme="minorHAnsi"/>
                <w:b/>
                <w:szCs w:val="20"/>
              </w:rPr>
              <w:t>“</w:t>
            </w:r>
            <w:r w:rsidR="00AF0C4A" w:rsidRPr="009B546D">
              <w:rPr>
                <w:rFonts w:cstheme="minorHAnsi"/>
                <w:b/>
                <w:szCs w:val="20"/>
              </w:rPr>
              <w:t>Alchemist Codes</w:t>
            </w:r>
            <w:r w:rsidRPr="009B546D">
              <w:rPr>
                <w:rFonts w:cstheme="minorHAnsi"/>
                <w:b/>
                <w:szCs w:val="20"/>
              </w:rPr>
              <w:t>”</w:t>
            </w:r>
          </w:p>
        </w:tc>
        <w:tc>
          <w:tcPr>
            <w:tcW w:w="5799" w:type="dxa"/>
            <w:shd w:val="clear" w:color="auto" w:fill="auto"/>
          </w:tcPr>
          <w:p w14:paraId="776FF3F5" w14:textId="36F95114" w:rsidR="00D90E1F" w:rsidRPr="009B546D" w:rsidRDefault="00AF0C4A" w:rsidP="00F432B9">
            <w:pPr>
              <w:widowControl w:val="0"/>
              <w:spacing w:line="240" w:lineRule="auto"/>
              <w:rPr>
                <w:rFonts w:cstheme="minorHAnsi"/>
                <w:szCs w:val="20"/>
              </w:rPr>
            </w:pPr>
            <w:r w:rsidRPr="009B546D">
              <w:rPr>
                <w:rFonts w:cstheme="minorHAnsi"/>
                <w:szCs w:val="20"/>
              </w:rPr>
              <w:t>Alchemist Codes</w:t>
            </w:r>
            <w:r w:rsidR="00D90E1F" w:rsidRPr="009B546D">
              <w:rPr>
                <w:rFonts w:cstheme="minorHAnsi"/>
                <w:szCs w:val="20"/>
              </w:rPr>
              <w:t xml:space="preserve"> Sdn Bhd, a company incorporated in Malaysia with registered number 1277000-P </w:t>
            </w:r>
          </w:p>
        </w:tc>
      </w:tr>
      <w:tr w:rsidR="00D90E1F" w:rsidRPr="009B546D" w14:paraId="771C43AD" w14:textId="77777777" w:rsidTr="007B5E1A">
        <w:trPr>
          <w:cantSplit/>
        </w:trPr>
        <w:tc>
          <w:tcPr>
            <w:tcW w:w="3084" w:type="dxa"/>
            <w:shd w:val="clear" w:color="auto" w:fill="auto"/>
          </w:tcPr>
          <w:p w14:paraId="15C95DF4" w14:textId="77777777" w:rsidR="00D90E1F" w:rsidRPr="009B546D" w:rsidRDefault="00D90E1F" w:rsidP="00F432B9">
            <w:pPr>
              <w:widowControl w:val="0"/>
              <w:spacing w:line="240" w:lineRule="auto"/>
              <w:rPr>
                <w:rFonts w:cstheme="minorHAnsi"/>
                <w:b/>
                <w:szCs w:val="20"/>
              </w:rPr>
            </w:pPr>
            <w:r w:rsidRPr="009B546D">
              <w:rPr>
                <w:rFonts w:cstheme="minorHAnsi"/>
                <w:b/>
                <w:szCs w:val="20"/>
              </w:rPr>
              <w:t>“Articles”</w:t>
            </w:r>
          </w:p>
        </w:tc>
        <w:tc>
          <w:tcPr>
            <w:tcW w:w="5799" w:type="dxa"/>
            <w:shd w:val="clear" w:color="auto" w:fill="auto"/>
          </w:tcPr>
          <w:p w14:paraId="69262311" w14:textId="6D0569D4" w:rsidR="00D90E1F" w:rsidRPr="009B546D" w:rsidRDefault="00D90E1F" w:rsidP="00F432B9">
            <w:pPr>
              <w:widowControl w:val="0"/>
              <w:spacing w:line="240" w:lineRule="auto"/>
              <w:rPr>
                <w:rFonts w:cstheme="minorHAnsi"/>
                <w:szCs w:val="20"/>
              </w:rPr>
            </w:pPr>
            <w:r w:rsidRPr="009B546D">
              <w:rPr>
                <w:rFonts w:cstheme="minorHAnsi"/>
                <w:szCs w:val="20"/>
              </w:rPr>
              <w:t xml:space="preserve">the </w:t>
            </w:r>
            <w:r w:rsidR="004F3299" w:rsidRPr="009B546D">
              <w:rPr>
                <w:rFonts w:cstheme="minorHAnsi"/>
                <w:szCs w:val="20"/>
              </w:rPr>
              <w:t>a</w:t>
            </w:r>
            <w:r w:rsidRPr="009B546D">
              <w:rPr>
                <w:rFonts w:cstheme="minorHAnsi"/>
                <w:szCs w:val="20"/>
              </w:rPr>
              <w:t xml:space="preserve">rticles of </w:t>
            </w:r>
            <w:r w:rsidR="004F3299" w:rsidRPr="009B546D">
              <w:rPr>
                <w:rFonts w:cstheme="minorHAnsi"/>
                <w:szCs w:val="20"/>
              </w:rPr>
              <w:t>a</w:t>
            </w:r>
            <w:r w:rsidRPr="009B546D">
              <w:rPr>
                <w:rFonts w:cstheme="minorHAnsi"/>
                <w:szCs w:val="20"/>
              </w:rPr>
              <w:t>ssociation of the Company (as amended from time to time)</w:t>
            </w:r>
          </w:p>
        </w:tc>
      </w:tr>
      <w:tr w:rsidR="00D90E1F" w:rsidRPr="009B546D" w14:paraId="6088550C" w14:textId="77777777" w:rsidTr="00CA4CDC">
        <w:trPr>
          <w:cantSplit/>
          <w:trHeight w:val="271"/>
        </w:trPr>
        <w:tc>
          <w:tcPr>
            <w:tcW w:w="3084" w:type="dxa"/>
            <w:shd w:val="clear" w:color="auto" w:fill="auto"/>
          </w:tcPr>
          <w:p w14:paraId="125D3165" w14:textId="77777777" w:rsidR="00D90E1F" w:rsidRPr="009B546D" w:rsidRDefault="00D90E1F" w:rsidP="00F432B9">
            <w:pPr>
              <w:widowControl w:val="0"/>
              <w:spacing w:line="240" w:lineRule="auto"/>
              <w:rPr>
                <w:rFonts w:cstheme="minorHAnsi"/>
                <w:b/>
                <w:szCs w:val="20"/>
              </w:rPr>
            </w:pPr>
            <w:r w:rsidRPr="009B546D">
              <w:rPr>
                <w:rFonts w:cstheme="minorHAnsi"/>
                <w:b/>
                <w:szCs w:val="20"/>
              </w:rPr>
              <w:t>“BDO”</w:t>
            </w:r>
          </w:p>
        </w:tc>
        <w:tc>
          <w:tcPr>
            <w:tcW w:w="5799" w:type="dxa"/>
            <w:shd w:val="clear" w:color="auto" w:fill="auto"/>
          </w:tcPr>
          <w:p w14:paraId="1C3CB8C0" w14:textId="77777777" w:rsidR="00D90E1F" w:rsidRPr="009B546D" w:rsidRDefault="00D90E1F" w:rsidP="00F432B9">
            <w:pPr>
              <w:widowControl w:val="0"/>
              <w:spacing w:line="240" w:lineRule="auto"/>
              <w:rPr>
                <w:rFonts w:cstheme="minorHAnsi"/>
                <w:szCs w:val="20"/>
              </w:rPr>
            </w:pPr>
            <w:r w:rsidRPr="009B546D">
              <w:rPr>
                <w:rFonts w:cstheme="minorHAnsi"/>
                <w:szCs w:val="20"/>
              </w:rPr>
              <w:t>BDO LLP, a limited liability partnership registered in England and Wales with registered number OC305127</w:t>
            </w:r>
          </w:p>
        </w:tc>
      </w:tr>
      <w:tr w:rsidR="00D90E1F" w:rsidRPr="009B546D" w14:paraId="01166D27" w14:textId="77777777" w:rsidTr="007B5E1A">
        <w:trPr>
          <w:cantSplit/>
        </w:trPr>
        <w:tc>
          <w:tcPr>
            <w:tcW w:w="3084" w:type="dxa"/>
            <w:shd w:val="clear" w:color="auto" w:fill="auto"/>
          </w:tcPr>
          <w:p w14:paraId="349B8072" w14:textId="77777777" w:rsidR="00D90E1F" w:rsidRPr="009B546D" w:rsidRDefault="00D90E1F" w:rsidP="00F432B9">
            <w:pPr>
              <w:widowControl w:val="0"/>
              <w:spacing w:line="240" w:lineRule="auto"/>
              <w:rPr>
                <w:rFonts w:cstheme="minorHAnsi"/>
                <w:b/>
                <w:szCs w:val="20"/>
              </w:rPr>
            </w:pPr>
            <w:r w:rsidRPr="009B546D">
              <w:rPr>
                <w:rFonts w:cstheme="minorHAnsi"/>
                <w:b/>
                <w:szCs w:val="20"/>
              </w:rPr>
              <w:t>“certificated” or “in certificated form”</w:t>
            </w:r>
          </w:p>
        </w:tc>
        <w:tc>
          <w:tcPr>
            <w:tcW w:w="5799" w:type="dxa"/>
            <w:shd w:val="clear" w:color="auto" w:fill="auto"/>
          </w:tcPr>
          <w:p w14:paraId="4C9B68F5" w14:textId="77777777" w:rsidR="00D90E1F" w:rsidRPr="009B546D" w:rsidRDefault="00D90E1F" w:rsidP="00F432B9">
            <w:pPr>
              <w:widowControl w:val="0"/>
              <w:spacing w:line="240" w:lineRule="auto"/>
              <w:rPr>
                <w:rFonts w:cstheme="minorHAnsi"/>
                <w:szCs w:val="20"/>
              </w:rPr>
            </w:pPr>
            <w:r w:rsidRPr="009B546D">
              <w:rPr>
                <w:rFonts w:cstheme="minorHAnsi"/>
                <w:szCs w:val="20"/>
              </w:rPr>
              <w:t>in relation to a share, warrant or other security, a share, warrant or other security, title to which is recorded in the relevant register of the share, warrant of other security concerned as being held in certificated form (that is, not in CREST)</w:t>
            </w:r>
          </w:p>
        </w:tc>
      </w:tr>
      <w:tr w:rsidR="00D90E1F" w:rsidRPr="009B546D" w14:paraId="28D6AA3C" w14:textId="77777777" w:rsidTr="007B5E1A">
        <w:trPr>
          <w:cantSplit/>
        </w:trPr>
        <w:tc>
          <w:tcPr>
            <w:tcW w:w="3084" w:type="dxa"/>
            <w:shd w:val="clear" w:color="auto" w:fill="auto"/>
          </w:tcPr>
          <w:p w14:paraId="54662518" w14:textId="77777777" w:rsidR="00D90E1F" w:rsidRPr="009B546D" w:rsidRDefault="00D90E1F" w:rsidP="00F432B9">
            <w:pPr>
              <w:widowControl w:val="0"/>
              <w:spacing w:line="240" w:lineRule="auto"/>
              <w:rPr>
                <w:rFonts w:cstheme="minorHAnsi"/>
                <w:b/>
                <w:szCs w:val="20"/>
              </w:rPr>
            </w:pPr>
            <w:r w:rsidRPr="009B546D">
              <w:rPr>
                <w:rFonts w:cstheme="minorHAnsi"/>
                <w:b/>
                <w:szCs w:val="20"/>
              </w:rPr>
              <w:t>“Change of Control”</w:t>
            </w:r>
          </w:p>
        </w:tc>
        <w:tc>
          <w:tcPr>
            <w:tcW w:w="5799" w:type="dxa"/>
            <w:shd w:val="clear" w:color="auto" w:fill="auto"/>
          </w:tcPr>
          <w:p w14:paraId="6DA9DED6" w14:textId="77777777" w:rsidR="00D90E1F" w:rsidRPr="009B546D" w:rsidRDefault="00D90E1F" w:rsidP="00F432B9">
            <w:pPr>
              <w:widowControl w:val="0"/>
              <w:spacing w:line="240" w:lineRule="auto"/>
              <w:rPr>
                <w:rFonts w:cstheme="minorHAnsi"/>
                <w:szCs w:val="20"/>
              </w:rPr>
            </w:pPr>
            <w:r w:rsidRPr="009B546D">
              <w:rPr>
                <w:rFonts w:cstheme="minorHAnsi"/>
                <w:szCs w:val="20"/>
              </w:rPr>
              <w:t>following Re-Admission, the acquisition of Control of the Company by any person or party (or any group of persons or parties who are acting in concert)</w:t>
            </w:r>
          </w:p>
        </w:tc>
      </w:tr>
      <w:tr w:rsidR="00D90E1F" w:rsidRPr="009B546D" w14:paraId="7AFC8E38" w14:textId="77777777" w:rsidTr="007B5E1A">
        <w:trPr>
          <w:cantSplit/>
        </w:trPr>
        <w:tc>
          <w:tcPr>
            <w:tcW w:w="3084" w:type="dxa"/>
            <w:shd w:val="clear" w:color="auto" w:fill="auto"/>
          </w:tcPr>
          <w:p w14:paraId="4E4D8841" w14:textId="77777777" w:rsidR="00D90E1F" w:rsidRPr="009B546D" w:rsidRDefault="00D90E1F" w:rsidP="00F432B9">
            <w:pPr>
              <w:widowControl w:val="0"/>
              <w:spacing w:line="240" w:lineRule="auto"/>
              <w:rPr>
                <w:rFonts w:cstheme="minorHAnsi"/>
                <w:b/>
                <w:szCs w:val="20"/>
              </w:rPr>
            </w:pPr>
            <w:r w:rsidRPr="009B546D">
              <w:rPr>
                <w:rFonts w:cstheme="minorHAnsi"/>
                <w:b/>
                <w:szCs w:val="20"/>
              </w:rPr>
              <w:t>“City Code”</w:t>
            </w:r>
          </w:p>
        </w:tc>
        <w:tc>
          <w:tcPr>
            <w:tcW w:w="5799" w:type="dxa"/>
            <w:shd w:val="clear" w:color="auto" w:fill="auto"/>
          </w:tcPr>
          <w:p w14:paraId="0F70F1E5" w14:textId="77777777" w:rsidR="00D90E1F" w:rsidRPr="009B546D" w:rsidRDefault="00D90E1F" w:rsidP="00F432B9">
            <w:pPr>
              <w:widowControl w:val="0"/>
              <w:spacing w:line="240" w:lineRule="auto"/>
              <w:rPr>
                <w:rFonts w:cstheme="minorHAnsi"/>
                <w:szCs w:val="20"/>
              </w:rPr>
            </w:pPr>
            <w:r w:rsidRPr="009B546D">
              <w:rPr>
                <w:rFonts w:cstheme="minorHAnsi"/>
                <w:szCs w:val="20"/>
              </w:rPr>
              <w:t>The City Code on Takeovers and Mergers issued and administered by the United Kingdom Panel on Takeovers and Mergers (as amended from time to time)</w:t>
            </w:r>
          </w:p>
        </w:tc>
      </w:tr>
      <w:tr w:rsidR="00D90E1F" w:rsidRPr="009B546D" w14:paraId="0B24429E" w14:textId="77777777" w:rsidTr="007B5E1A">
        <w:trPr>
          <w:cantSplit/>
        </w:trPr>
        <w:tc>
          <w:tcPr>
            <w:tcW w:w="3084" w:type="dxa"/>
            <w:shd w:val="clear" w:color="auto" w:fill="auto"/>
          </w:tcPr>
          <w:p w14:paraId="45E8E4BE" w14:textId="18B0AF83" w:rsidR="00D90E1F" w:rsidRPr="009B546D" w:rsidRDefault="00D90E1F" w:rsidP="00F432B9">
            <w:pPr>
              <w:widowControl w:val="0"/>
              <w:spacing w:line="240" w:lineRule="auto"/>
              <w:rPr>
                <w:rFonts w:cstheme="minorHAnsi"/>
                <w:b/>
                <w:szCs w:val="20"/>
              </w:rPr>
            </w:pPr>
            <w:bookmarkStart w:id="67" w:name="_BPDCI_639"/>
            <w:r w:rsidRPr="009B546D">
              <w:rPr>
                <w:rFonts w:cstheme="minorHAnsi"/>
                <w:b/>
                <w:szCs w:val="20"/>
              </w:rPr>
              <w:t>"Companies Law"</w:t>
            </w:r>
            <w:bookmarkEnd w:id="67"/>
          </w:p>
        </w:tc>
        <w:tc>
          <w:tcPr>
            <w:tcW w:w="5799" w:type="dxa"/>
            <w:shd w:val="clear" w:color="auto" w:fill="auto"/>
          </w:tcPr>
          <w:p w14:paraId="129C242B" w14:textId="77777777" w:rsidR="00D90E1F" w:rsidRPr="009B546D" w:rsidRDefault="00D90E1F" w:rsidP="00F432B9">
            <w:pPr>
              <w:widowControl w:val="0"/>
              <w:spacing w:line="240" w:lineRule="auto"/>
              <w:rPr>
                <w:rFonts w:cstheme="minorHAnsi"/>
                <w:szCs w:val="20"/>
              </w:rPr>
            </w:pPr>
            <w:r w:rsidRPr="009B546D">
              <w:rPr>
                <w:rFonts w:cstheme="minorHAnsi"/>
                <w:szCs w:val="20"/>
              </w:rPr>
              <w:t>the Companies Law (Cap.22) of the Cayman Islands (as amended from time to time)</w:t>
            </w:r>
          </w:p>
        </w:tc>
      </w:tr>
      <w:tr w:rsidR="00D90E1F" w:rsidRPr="009B546D" w14:paraId="38F4AAD7" w14:textId="77777777" w:rsidTr="007B5E1A">
        <w:trPr>
          <w:cantSplit/>
        </w:trPr>
        <w:tc>
          <w:tcPr>
            <w:tcW w:w="3084" w:type="dxa"/>
            <w:shd w:val="clear" w:color="auto" w:fill="auto"/>
          </w:tcPr>
          <w:p w14:paraId="091C5555" w14:textId="77777777" w:rsidR="00D90E1F" w:rsidRPr="009B546D" w:rsidRDefault="00D90E1F" w:rsidP="00F432B9">
            <w:pPr>
              <w:widowControl w:val="0"/>
              <w:spacing w:line="240" w:lineRule="auto"/>
              <w:rPr>
                <w:rFonts w:cstheme="minorHAnsi"/>
                <w:b/>
                <w:szCs w:val="20"/>
              </w:rPr>
            </w:pPr>
            <w:r w:rsidRPr="009B546D">
              <w:rPr>
                <w:rFonts w:cstheme="minorHAnsi"/>
                <w:b/>
                <w:szCs w:val="20"/>
              </w:rPr>
              <w:t>“Completion”</w:t>
            </w:r>
          </w:p>
        </w:tc>
        <w:tc>
          <w:tcPr>
            <w:tcW w:w="5799" w:type="dxa"/>
            <w:shd w:val="clear" w:color="auto" w:fill="auto"/>
          </w:tcPr>
          <w:p w14:paraId="1F025E9F" w14:textId="77E7CA52" w:rsidR="00D90E1F" w:rsidRPr="009B546D" w:rsidRDefault="00D90E1F" w:rsidP="00F432B9">
            <w:pPr>
              <w:widowControl w:val="0"/>
              <w:spacing w:line="240" w:lineRule="auto"/>
              <w:rPr>
                <w:rFonts w:cstheme="minorHAnsi"/>
                <w:szCs w:val="20"/>
              </w:rPr>
            </w:pPr>
            <w:r w:rsidRPr="009B546D">
              <w:rPr>
                <w:rFonts w:cstheme="minorHAnsi"/>
                <w:szCs w:val="20"/>
              </w:rPr>
              <w:t xml:space="preserve">the completion of the </w:t>
            </w:r>
            <w:r w:rsidR="00396DD3" w:rsidRPr="009B546D">
              <w:rPr>
                <w:rFonts w:cstheme="minorHAnsi"/>
                <w:szCs w:val="20"/>
              </w:rPr>
              <w:t xml:space="preserve">Proposed </w:t>
            </w:r>
            <w:r w:rsidRPr="009B546D">
              <w:rPr>
                <w:rFonts w:cstheme="minorHAnsi"/>
                <w:szCs w:val="20"/>
              </w:rPr>
              <w:t>Acquisition</w:t>
            </w:r>
          </w:p>
        </w:tc>
      </w:tr>
      <w:tr w:rsidR="00D90E1F" w:rsidRPr="009B546D" w14:paraId="42927E43" w14:textId="77777777" w:rsidTr="007B5E1A">
        <w:trPr>
          <w:cantSplit/>
        </w:trPr>
        <w:tc>
          <w:tcPr>
            <w:tcW w:w="3084" w:type="dxa"/>
            <w:shd w:val="clear" w:color="auto" w:fill="auto"/>
          </w:tcPr>
          <w:p w14:paraId="3BCE5CB1" w14:textId="77777777" w:rsidR="00D90E1F" w:rsidRPr="009B546D" w:rsidRDefault="00D90E1F" w:rsidP="00F432B9">
            <w:pPr>
              <w:widowControl w:val="0"/>
              <w:spacing w:line="240" w:lineRule="auto"/>
              <w:rPr>
                <w:rFonts w:cstheme="minorHAnsi"/>
                <w:b/>
                <w:szCs w:val="20"/>
              </w:rPr>
            </w:pPr>
            <w:r w:rsidRPr="009B546D">
              <w:rPr>
                <w:rFonts w:cstheme="minorHAnsi"/>
                <w:b/>
                <w:szCs w:val="20"/>
              </w:rPr>
              <w:t>“Consideration Shares”</w:t>
            </w:r>
          </w:p>
        </w:tc>
        <w:tc>
          <w:tcPr>
            <w:tcW w:w="5799" w:type="dxa"/>
            <w:shd w:val="clear" w:color="auto" w:fill="auto"/>
          </w:tcPr>
          <w:p w14:paraId="76C6C578" w14:textId="19C055C1" w:rsidR="00D90E1F" w:rsidRPr="009B546D" w:rsidRDefault="00D90E1F" w:rsidP="00F432B9">
            <w:pPr>
              <w:widowControl w:val="0"/>
              <w:spacing w:line="240" w:lineRule="auto"/>
              <w:rPr>
                <w:rFonts w:cstheme="minorHAnsi"/>
                <w:szCs w:val="20"/>
              </w:rPr>
            </w:pPr>
            <w:r w:rsidRPr="009B546D">
              <w:rPr>
                <w:rFonts w:cstheme="minorHAnsi"/>
                <w:szCs w:val="20"/>
              </w:rPr>
              <w:t xml:space="preserve">the </w:t>
            </w:r>
            <w:r w:rsidR="00043D57">
              <w:rPr>
                <w:rFonts w:cstheme="minorHAnsi"/>
                <w:szCs w:val="20"/>
              </w:rPr>
              <w:t xml:space="preserve">12,921,346 </w:t>
            </w:r>
            <w:r w:rsidRPr="009B546D">
              <w:rPr>
                <w:rFonts w:cstheme="minorHAnsi"/>
                <w:szCs w:val="20"/>
              </w:rPr>
              <w:t xml:space="preserve">new Ordinary Shares to be issued by the Company to the Sellers at a price of </w:t>
            </w:r>
            <w:r w:rsidR="007565FD" w:rsidRPr="009B546D">
              <w:rPr>
                <w:rFonts w:cstheme="minorHAnsi"/>
                <w:szCs w:val="20"/>
              </w:rPr>
              <w:t>17.8</w:t>
            </w:r>
            <w:r w:rsidRPr="009B546D">
              <w:rPr>
                <w:rFonts w:cstheme="minorHAnsi"/>
                <w:szCs w:val="20"/>
              </w:rPr>
              <w:t xml:space="preserve"> pence per Ordinary Share in connection with the</w:t>
            </w:r>
            <w:r w:rsidR="00396DD3" w:rsidRPr="009B546D">
              <w:rPr>
                <w:rFonts w:cstheme="minorHAnsi"/>
                <w:szCs w:val="20"/>
              </w:rPr>
              <w:t xml:space="preserve"> Proposed</w:t>
            </w:r>
            <w:r w:rsidRPr="009B546D">
              <w:rPr>
                <w:rFonts w:cstheme="minorHAnsi"/>
                <w:szCs w:val="20"/>
              </w:rPr>
              <w:t xml:space="preserve"> Acquisition as set out in the Acquisition Agreement</w:t>
            </w:r>
          </w:p>
        </w:tc>
      </w:tr>
      <w:tr w:rsidR="00D90E1F" w:rsidRPr="009B546D" w14:paraId="2B9EFE24" w14:textId="77777777" w:rsidTr="007B5E1A">
        <w:trPr>
          <w:cantSplit/>
        </w:trPr>
        <w:tc>
          <w:tcPr>
            <w:tcW w:w="3084" w:type="dxa"/>
            <w:shd w:val="clear" w:color="auto" w:fill="auto"/>
          </w:tcPr>
          <w:p w14:paraId="090298F3" w14:textId="77777777" w:rsidR="00D90E1F" w:rsidRPr="009B546D" w:rsidRDefault="00D90E1F" w:rsidP="00F432B9">
            <w:pPr>
              <w:widowControl w:val="0"/>
              <w:spacing w:line="240" w:lineRule="auto"/>
              <w:rPr>
                <w:rFonts w:cstheme="minorHAnsi"/>
                <w:b/>
                <w:szCs w:val="20"/>
              </w:rPr>
            </w:pPr>
            <w:r w:rsidRPr="009B546D">
              <w:rPr>
                <w:rFonts w:cstheme="minorHAnsi"/>
                <w:b/>
                <w:szCs w:val="20"/>
              </w:rPr>
              <w:t>“Control”</w:t>
            </w:r>
          </w:p>
        </w:tc>
        <w:tc>
          <w:tcPr>
            <w:tcW w:w="5799" w:type="dxa"/>
            <w:shd w:val="clear" w:color="auto" w:fill="auto"/>
          </w:tcPr>
          <w:p w14:paraId="43B25621" w14:textId="77777777" w:rsidR="00D90E1F" w:rsidRPr="009B546D" w:rsidRDefault="00D90E1F" w:rsidP="00F432B9">
            <w:pPr>
              <w:widowControl w:val="0"/>
              <w:spacing w:line="240" w:lineRule="auto"/>
              <w:rPr>
                <w:rFonts w:cstheme="minorHAnsi"/>
                <w:szCs w:val="20"/>
              </w:rPr>
            </w:pPr>
            <w:r w:rsidRPr="009B546D">
              <w:rPr>
                <w:rFonts w:cstheme="minorHAnsi"/>
                <w:szCs w:val="20"/>
              </w:rPr>
              <w:t>an interest, or interests, in Ordinary Shares carrying in aggregate 30 per cent. or more of the voting rights of a company, irrespective of whether such interest or interests give de facto control</w:t>
            </w:r>
          </w:p>
        </w:tc>
      </w:tr>
      <w:tr w:rsidR="00D90E1F" w:rsidRPr="009B546D" w14:paraId="77312D1B" w14:textId="77777777" w:rsidTr="007B5E1A">
        <w:trPr>
          <w:cantSplit/>
        </w:trPr>
        <w:tc>
          <w:tcPr>
            <w:tcW w:w="3084" w:type="dxa"/>
            <w:shd w:val="clear" w:color="auto" w:fill="auto"/>
          </w:tcPr>
          <w:p w14:paraId="0D886FDE" w14:textId="77777777" w:rsidR="00D90E1F" w:rsidRPr="009B546D" w:rsidRDefault="00D90E1F" w:rsidP="00F432B9">
            <w:pPr>
              <w:widowControl w:val="0"/>
              <w:spacing w:line="240" w:lineRule="auto"/>
              <w:rPr>
                <w:rFonts w:cstheme="minorHAnsi"/>
                <w:b/>
                <w:szCs w:val="20"/>
              </w:rPr>
            </w:pPr>
            <w:r w:rsidRPr="009B546D">
              <w:rPr>
                <w:rFonts w:cstheme="minorHAnsi"/>
                <w:b/>
                <w:szCs w:val="20"/>
              </w:rPr>
              <w:t>“CREST”</w:t>
            </w:r>
          </w:p>
        </w:tc>
        <w:tc>
          <w:tcPr>
            <w:tcW w:w="5799" w:type="dxa"/>
            <w:shd w:val="clear" w:color="auto" w:fill="auto"/>
          </w:tcPr>
          <w:p w14:paraId="46384162" w14:textId="77777777" w:rsidR="00D90E1F" w:rsidRPr="009B546D" w:rsidRDefault="00D90E1F" w:rsidP="00F432B9">
            <w:pPr>
              <w:widowControl w:val="0"/>
              <w:spacing w:line="240" w:lineRule="auto"/>
              <w:rPr>
                <w:rFonts w:cstheme="minorHAnsi"/>
                <w:szCs w:val="20"/>
              </w:rPr>
            </w:pPr>
            <w:r w:rsidRPr="009B546D">
              <w:rPr>
                <w:rFonts w:cstheme="minorHAnsi"/>
                <w:szCs w:val="20"/>
              </w:rPr>
              <w:t>the relevant system (as defined in the CREST Regulations) operated by Euroclear in accordance with which securities may be held and transferred in uncertificated form</w:t>
            </w:r>
          </w:p>
        </w:tc>
      </w:tr>
      <w:tr w:rsidR="00D90E1F" w:rsidRPr="009B546D" w14:paraId="30D905BA" w14:textId="77777777" w:rsidTr="007B5E1A">
        <w:trPr>
          <w:cantSplit/>
        </w:trPr>
        <w:tc>
          <w:tcPr>
            <w:tcW w:w="3084" w:type="dxa"/>
            <w:shd w:val="clear" w:color="auto" w:fill="auto"/>
          </w:tcPr>
          <w:p w14:paraId="349C6337" w14:textId="77777777" w:rsidR="00D90E1F" w:rsidRPr="009B546D" w:rsidRDefault="00D90E1F" w:rsidP="00F432B9">
            <w:pPr>
              <w:widowControl w:val="0"/>
              <w:spacing w:line="240" w:lineRule="auto"/>
              <w:rPr>
                <w:rFonts w:cstheme="minorHAnsi"/>
                <w:b/>
                <w:szCs w:val="20"/>
              </w:rPr>
            </w:pPr>
            <w:r w:rsidRPr="009B546D">
              <w:rPr>
                <w:rFonts w:cstheme="minorHAnsi"/>
                <w:b/>
                <w:szCs w:val="20"/>
              </w:rPr>
              <w:t>“CREST Regulations”</w:t>
            </w:r>
          </w:p>
        </w:tc>
        <w:tc>
          <w:tcPr>
            <w:tcW w:w="5799" w:type="dxa"/>
            <w:shd w:val="clear" w:color="auto" w:fill="auto"/>
          </w:tcPr>
          <w:p w14:paraId="6E96F8F0" w14:textId="77777777" w:rsidR="00D90E1F" w:rsidRPr="009B546D" w:rsidRDefault="00D90E1F" w:rsidP="00F432B9">
            <w:pPr>
              <w:widowControl w:val="0"/>
              <w:spacing w:line="240" w:lineRule="auto"/>
              <w:rPr>
                <w:rFonts w:cstheme="minorHAnsi"/>
                <w:szCs w:val="20"/>
              </w:rPr>
            </w:pPr>
            <w:r w:rsidRPr="009B546D">
              <w:rPr>
                <w:rFonts w:cstheme="minorHAnsi"/>
                <w:szCs w:val="20"/>
              </w:rPr>
              <w:t>the Uncertificated Securities Regulations 2001 (SI 2001 No. 3755) (as amended from time to time)</w:t>
            </w:r>
          </w:p>
        </w:tc>
      </w:tr>
      <w:tr w:rsidR="00D90E1F" w:rsidRPr="009B546D" w14:paraId="6C45789D" w14:textId="77777777" w:rsidTr="007B5E1A">
        <w:trPr>
          <w:cantSplit/>
        </w:trPr>
        <w:tc>
          <w:tcPr>
            <w:tcW w:w="3084" w:type="dxa"/>
            <w:shd w:val="clear" w:color="auto" w:fill="auto"/>
          </w:tcPr>
          <w:p w14:paraId="7DA8D68A" w14:textId="77777777" w:rsidR="00D90E1F" w:rsidRPr="009B546D" w:rsidRDefault="00D90E1F" w:rsidP="00F432B9">
            <w:pPr>
              <w:widowControl w:val="0"/>
              <w:spacing w:line="240" w:lineRule="auto"/>
              <w:rPr>
                <w:rFonts w:cstheme="minorHAnsi"/>
                <w:b/>
                <w:szCs w:val="20"/>
              </w:rPr>
            </w:pPr>
            <w:r w:rsidRPr="009B546D">
              <w:rPr>
                <w:rFonts w:cstheme="minorHAnsi"/>
                <w:b/>
                <w:szCs w:val="20"/>
              </w:rPr>
              <w:t>“Directors” or “Board”</w:t>
            </w:r>
          </w:p>
        </w:tc>
        <w:tc>
          <w:tcPr>
            <w:tcW w:w="5799" w:type="dxa"/>
            <w:shd w:val="clear" w:color="auto" w:fill="auto"/>
          </w:tcPr>
          <w:p w14:paraId="513B5555" w14:textId="77777777" w:rsidR="00D90E1F" w:rsidRPr="009B546D" w:rsidRDefault="00D90E1F" w:rsidP="00F432B9">
            <w:pPr>
              <w:widowControl w:val="0"/>
              <w:spacing w:line="240" w:lineRule="auto"/>
              <w:rPr>
                <w:rFonts w:cstheme="minorHAnsi"/>
                <w:szCs w:val="20"/>
              </w:rPr>
            </w:pPr>
            <w:r w:rsidRPr="009B546D">
              <w:rPr>
                <w:rFonts w:cstheme="minorHAnsi"/>
                <w:szCs w:val="20"/>
              </w:rPr>
              <w:t>the directors of the Company and, if the context requires, the Proposed Director or the board of directors of the Company from time to time, and as the context requires, “</w:t>
            </w:r>
            <w:r w:rsidRPr="009B546D">
              <w:rPr>
                <w:rFonts w:cstheme="minorHAnsi"/>
                <w:b/>
                <w:szCs w:val="20"/>
              </w:rPr>
              <w:t>Director</w:t>
            </w:r>
            <w:r w:rsidRPr="009B546D">
              <w:rPr>
                <w:rFonts w:cstheme="minorHAnsi"/>
                <w:szCs w:val="20"/>
              </w:rPr>
              <w:t xml:space="preserve">” is to be construed accordingly </w:t>
            </w:r>
          </w:p>
        </w:tc>
      </w:tr>
      <w:tr w:rsidR="00D90E1F" w:rsidRPr="009B546D" w14:paraId="2D51D45F" w14:textId="77777777" w:rsidTr="007B5E1A">
        <w:trPr>
          <w:cantSplit/>
        </w:trPr>
        <w:tc>
          <w:tcPr>
            <w:tcW w:w="3084" w:type="dxa"/>
            <w:shd w:val="clear" w:color="auto" w:fill="auto"/>
          </w:tcPr>
          <w:p w14:paraId="40311DF7" w14:textId="77777777" w:rsidR="00D90E1F" w:rsidRPr="009B546D" w:rsidRDefault="00D90E1F" w:rsidP="0087573D">
            <w:pPr>
              <w:widowControl w:val="0"/>
              <w:spacing w:line="240" w:lineRule="auto"/>
              <w:jc w:val="left"/>
              <w:rPr>
                <w:rFonts w:cstheme="minorHAnsi"/>
                <w:b/>
                <w:szCs w:val="20"/>
              </w:rPr>
            </w:pPr>
            <w:r w:rsidRPr="009B546D">
              <w:rPr>
                <w:rFonts w:cstheme="minorHAnsi"/>
                <w:b/>
                <w:szCs w:val="20"/>
              </w:rPr>
              <w:t xml:space="preserve">“Disclosure </w:t>
            </w:r>
            <w:bookmarkStart w:id="68" w:name="_BPDCD_132"/>
            <w:r w:rsidRPr="009B546D">
              <w:rPr>
                <w:rFonts w:cstheme="minorHAnsi"/>
                <w:b/>
                <w:szCs w:val="20"/>
              </w:rPr>
              <w:t xml:space="preserve">Guidance </w:t>
            </w:r>
            <w:bookmarkEnd w:id="68"/>
            <w:r w:rsidRPr="009B546D">
              <w:rPr>
                <w:rFonts w:cstheme="minorHAnsi"/>
                <w:b/>
                <w:szCs w:val="20"/>
              </w:rPr>
              <w:t>and Transparency Rules”</w:t>
            </w:r>
          </w:p>
        </w:tc>
        <w:tc>
          <w:tcPr>
            <w:tcW w:w="5799" w:type="dxa"/>
            <w:shd w:val="clear" w:color="auto" w:fill="auto"/>
          </w:tcPr>
          <w:p w14:paraId="37575B2E" w14:textId="77777777" w:rsidR="00D90E1F" w:rsidRPr="009B546D" w:rsidRDefault="00D90E1F" w:rsidP="00F432B9">
            <w:pPr>
              <w:widowControl w:val="0"/>
              <w:spacing w:line="240" w:lineRule="auto"/>
              <w:rPr>
                <w:rFonts w:cstheme="minorHAnsi"/>
                <w:szCs w:val="20"/>
              </w:rPr>
            </w:pPr>
            <w:bookmarkStart w:id="69" w:name="_BPDCD_133"/>
            <w:r w:rsidRPr="009B546D">
              <w:rPr>
                <w:rFonts w:cstheme="minorHAnsi"/>
                <w:szCs w:val="20"/>
              </w:rPr>
              <w:t>the Disclosure Guidance and Transparency Rules of the FCA</w:t>
            </w:r>
            <w:bookmarkEnd w:id="69"/>
            <w:r w:rsidRPr="009B546D">
              <w:rPr>
                <w:rFonts w:cstheme="minorHAnsi"/>
                <w:szCs w:val="20"/>
              </w:rPr>
              <w:t xml:space="preserve"> made under Part VI of the FSMA (as amended from time to time)</w:t>
            </w:r>
          </w:p>
        </w:tc>
      </w:tr>
      <w:tr w:rsidR="00D90E1F" w:rsidRPr="009B546D" w14:paraId="54B3E9CE" w14:textId="77777777" w:rsidTr="007B5E1A">
        <w:trPr>
          <w:cantSplit/>
        </w:trPr>
        <w:tc>
          <w:tcPr>
            <w:tcW w:w="3084" w:type="dxa"/>
            <w:shd w:val="clear" w:color="auto" w:fill="auto"/>
          </w:tcPr>
          <w:p w14:paraId="374D0020" w14:textId="77777777" w:rsidR="00D90E1F" w:rsidRPr="009B546D" w:rsidRDefault="00D90E1F" w:rsidP="00F432B9">
            <w:pPr>
              <w:widowControl w:val="0"/>
              <w:spacing w:line="240" w:lineRule="auto"/>
              <w:rPr>
                <w:rFonts w:cstheme="minorHAnsi"/>
                <w:b/>
                <w:szCs w:val="20"/>
              </w:rPr>
            </w:pPr>
            <w:r w:rsidRPr="009B546D">
              <w:rPr>
                <w:rFonts w:cstheme="minorHAnsi"/>
                <w:b/>
                <w:szCs w:val="20"/>
              </w:rPr>
              <w:lastRenderedPageBreak/>
              <w:t>“EEA” or “European Economic Area”</w:t>
            </w:r>
          </w:p>
        </w:tc>
        <w:tc>
          <w:tcPr>
            <w:tcW w:w="5799" w:type="dxa"/>
            <w:shd w:val="clear" w:color="auto" w:fill="auto"/>
          </w:tcPr>
          <w:p w14:paraId="200AADA2" w14:textId="77777777" w:rsidR="00D90E1F" w:rsidRPr="009B546D" w:rsidRDefault="00D90E1F" w:rsidP="00F432B9">
            <w:pPr>
              <w:widowControl w:val="0"/>
              <w:spacing w:line="240" w:lineRule="auto"/>
              <w:rPr>
                <w:rFonts w:cstheme="minorHAnsi"/>
                <w:szCs w:val="20"/>
              </w:rPr>
            </w:pPr>
            <w:r w:rsidRPr="009B546D">
              <w:rPr>
                <w:rFonts w:cstheme="minorHAnsi"/>
                <w:szCs w:val="20"/>
              </w:rPr>
              <w:t>together, the EU, Iceland, Liechtenstein and Norway</w:t>
            </w:r>
          </w:p>
        </w:tc>
      </w:tr>
      <w:tr w:rsidR="00D90E1F" w:rsidRPr="009B546D" w14:paraId="7673F911" w14:textId="77777777" w:rsidTr="007B5E1A">
        <w:trPr>
          <w:cantSplit/>
        </w:trPr>
        <w:tc>
          <w:tcPr>
            <w:tcW w:w="3084" w:type="dxa"/>
            <w:shd w:val="clear" w:color="auto" w:fill="auto"/>
          </w:tcPr>
          <w:p w14:paraId="151D6865" w14:textId="77777777" w:rsidR="00D90E1F" w:rsidRPr="009B546D" w:rsidRDefault="00D90E1F" w:rsidP="00F432B9">
            <w:pPr>
              <w:widowControl w:val="0"/>
              <w:spacing w:line="240" w:lineRule="auto"/>
              <w:rPr>
                <w:rFonts w:cstheme="minorHAnsi"/>
                <w:b/>
                <w:szCs w:val="20"/>
              </w:rPr>
            </w:pPr>
            <w:r w:rsidRPr="009B546D">
              <w:rPr>
                <w:rFonts w:cstheme="minorHAnsi"/>
                <w:b/>
                <w:szCs w:val="20"/>
              </w:rPr>
              <w:t>“Enlarged Group”</w:t>
            </w:r>
          </w:p>
        </w:tc>
        <w:tc>
          <w:tcPr>
            <w:tcW w:w="5799" w:type="dxa"/>
            <w:shd w:val="clear" w:color="auto" w:fill="auto"/>
          </w:tcPr>
          <w:p w14:paraId="243A9507" w14:textId="54C79F48" w:rsidR="00D90E1F" w:rsidRPr="009B546D" w:rsidRDefault="00D90E1F" w:rsidP="00F432B9">
            <w:pPr>
              <w:widowControl w:val="0"/>
              <w:spacing w:line="240" w:lineRule="auto"/>
              <w:rPr>
                <w:rFonts w:cstheme="minorHAnsi"/>
                <w:szCs w:val="20"/>
              </w:rPr>
            </w:pPr>
            <w:r w:rsidRPr="009B546D">
              <w:rPr>
                <w:rFonts w:cstheme="minorHAnsi"/>
                <w:szCs w:val="20"/>
              </w:rPr>
              <w:t>the enlarged group</w:t>
            </w:r>
            <w:r w:rsidR="007D7B13" w:rsidRPr="009B546D">
              <w:rPr>
                <w:rFonts w:cstheme="minorHAnsi"/>
                <w:szCs w:val="20"/>
              </w:rPr>
              <w:t xml:space="preserve"> </w:t>
            </w:r>
            <w:r w:rsidRPr="009B546D">
              <w:rPr>
                <w:rFonts w:cstheme="minorHAnsi"/>
                <w:szCs w:val="20"/>
              </w:rPr>
              <w:t xml:space="preserve">following Completion, comprised of the Company and </w:t>
            </w:r>
            <w:r w:rsidR="00AF0C4A" w:rsidRPr="009B546D">
              <w:rPr>
                <w:rFonts w:cstheme="minorHAnsi"/>
                <w:szCs w:val="20"/>
              </w:rPr>
              <w:t>Alchemist Codes</w:t>
            </w:r>
          </w:p>
        </w:tc>
      </w:tr>
      <w:tr w:rsidR="00D90E1F" w:rsidRPr="009B546D" w14:paraId="040EF9A9" w14:textId="77777777" w:rsidTr="007B5E1A">
        <w:trPr>
          <w:cantSplit/>
        </w:trPr>
        <w:tc>
          <w:tcPr>
            <w:tcW w:w="3084" w:type="dxa"/>
            <w:shd w:val="clear" w:color="auto" w:fill="auto"/>
          </w:tcPr>
          <w:p w14:paraId="5A2704F9" w14:textId="77777777" w:rsidR="00D90E1F" w:rsidRPr="009B546D" w:rsidRDefault="00D90E1F" w:rsidP="00F432B9">
            <w:pPr>
              <w:widowControl w:val="0"/>
              <w:spacing w:line="240" w:lineRule="auto"/>
              <w:rPr>
                <w:rFonts w:cstheme="minorHAnsi"/>
                <w:b/>
                <w:szCs w:val="20"/>
              </w:rPr>
            </w:pPr>
            <w:r w:rsidRPr="009B546D">
              <w:rPr>
                <w:rFonts w:cstheme="minorHAnsi"/>
                <w:b/>
                <w:szCs w:val="20"/>
              </w:rPr>
              <w:t>“Enlarged Share Capital”</w:t>
            </w:r>
          </w:p>
        </w:tc>
        <w:tc>
          <w:tcPr>
            <w:tcW w:w="5799" w:type="dxa"/>
            <w:shd w:val="clear" w:color="auto" w:fill="auto"/>
          </w:tcPr>
          <w:p w14:paraId="25F6B1C8" w14:textId="71D26A85" w:rsidR="00D90E1F" w:rsidRPr="009B546D" w:rsidRDefault="00D90E1F" w:rsidP="00F432B9">
            <w:pPr>
              <w:widowControl w:val="0"/>
              <w:spacing w:line="240" w:lineRule="auto"/>
              <w:rPr>
                <w:rFonts w:cstheme="minorHAnsi"/>
                <w:szCs w:val="20"/>
              </w:rPr>
            </w:pPr>
            <w:r w:rsidRPr="009B546D">
              <w:rPr>
                <w:rFonts w:cstheme="minorHAnsi"/>
                <w:szCs w:val="20"/>
              </w:rPr>
              <w:t>the issued Ordinary Shares upon Re-Admission, comprising the Existing Ordinary Shares</w:t>
            </w:r>
            <w:r w:rsidR="004429FD" w:rsidRPr="009B546D">
              <w:rPr>
                <w:rFonts w:cstheme="minorHAnsi"/>
                <w:szCs w:val="20"/>
              </w:rPr>
              <w:t xml:space="preserve"> and </w:t>
            </w:r>
            <w:r w:rsidR="00A038E5" w:rsidRPr="009B546D">
              <w:rPr>
                <w:rFonts w:cstheme="minorHAnsi"/>
                <w:szCs w:val="20"/>
              </w:rPr>
              <w:t xml:space="preserve">the </w:t>
            </w:r>
            <w:r w:rsidRPr="009B546D">
              <w:rPr>
                <w:rFonts w:cstheme="minorHAnsi"/>
                <w:szCs w:val="20"/>
              </w:rPr>
              <w:t>Consideration Share</w:t>
            </w:r>
            <w:r w:rsidR="004429FD" w:rsidRPr="009B546D">
              <w:rPr>
                <w:rFonts w:cstheme="minorHAnsi"/>
                <w:szCs w:val="20"/>
              </w:rPr>
              <w:t>s</w:t>
            </w:r>
          </w:p>
        </w:tc>
      </w:tr>
      <w:tr w:rsidR="00D90E1F" w:rsidRPr="009B546D" w14:paraId="2336DAB0" w14:textId="77777777" w:rsidTr="007B5E1A">
        <w:trPr>
          <w:cantSplit/>
        </w:trPr>
        <w:tc>
          <w:tcPr>
            <w:tcW w:w="3084" w:type="dxa"/>
            <w:shd w:val="clear" w:color="auto" w:fill="auto"/>
          </w:tcPr>
          <w:p w14:paraId="4D8C7E1E" w14:textId="77777777" w:rsidR="00D90E1F" w:rsidRPr="009B546D" w:rsidRDefault="00D90E1F" w:rsidP="00F432B9">
            <w:pPr>
              <w:widowControl w:val="0"/>
              <w:spacing w:line="240" w:lineRule="auto"/>
              <w:rPr>
                <w:rFonts w:cstheme="minorHAnsi"/>
                <w:b/>
                <w:szCs w:val="20"/>
              </w:rPr>
            </w:pPr>
            <w:r w:rsidRPr="009B546D">
              <w:rPr>
                <w:rFonts w:cstheme="minorHAnsi"/>
                <w:b/>
                <w:szCs w:val="20"/>
              </w:rPr>
              <w:t>“EU”</w:t>
            </w:r>
          </w:p>
        </w:tc>
        <w:tc>
          <w:tcPr>
            <w:tcW w:w="5799" w:type="dxa"/>
            <w:shd w:val="clear" w:color="auto" w:fill="auto"/>
          </w:tcPr>
          <w:p w14:paraId="21CF27CE" w14:textId="77777777" w:rsidR="00D90E1F" w:rsidRPr="009B546D" w:rsidRDefault="00D90E1F" w:rsidP="00F432B9">
            <w:pPr>
              <w:widowControl w:val="0"/>
              <w:spacing w:line="240" w:lineRule="auto"/>
              <w:rPr>
                <w:rFonts w:cstheme="minorHAnsi"/>
                <w:szCs w:val="20"/>
              </w:rPr>
            </w:pPr>
            <w:r w:rsidRPr="009B546D">
              <w:rPr>
                <w:rFonts w:cstheme="minorHAnsi"/>
                <w:szCs w:val="20"/>
              </w:rPr>
              <w:t>the European Union</w:t>
            </w:r>
          </w:p>
        </w:tc>
      </w:tr>
      <w:tr w:rsidR="00D90E1F" w:rsidRPr="009B546D" w14:paraId="1FF03DA6" w14:textId="77777777" w:rsidTr="007B5E1A">
        <w:trPr>
          <w:cantSplit/>
        </w:trPr>
        <w:tc>
          <w:tcPr>
            <w:tcW w:w="3084" w:type="dxa"/>
            <w:shd w:val="clear" w:color="auto" w:fill="auto"/>
          </w:tcPr>
          <w:p w14:paraId="0A70450B" w14:textId="77777777" w:rsidR="00D90E1F" w:rsidRPr="009B546D" w:rsidRDefault="00D90E1F" w:rsidP="00F432B9">
            <w:pPr>
              <w:widowControl w:val="0"/>
              <w:spacing w:line="240" w:lineRule="auto"/>
              <w:rPr>
                <w:rFonts w:cstheme="minorHAnsi"/>
                <w:b/>
                <w:szCs w:val="20"/>
              </w:rPr>
            </w:pPr>
            <w:r w:rsidRPr="009B546D">
              <w:rPr>
                <w:rFonts w:cstheme="minorHAnsi"/>
                <w:b/>
                <w:szCs w:val="20"/>
              </w:rPr>
              <w:t>“Euroclear”</w:t>
            </w:r>
          </w:p>
        </w:tc>
        <w:tc>
          <w:tcPr>
            <w:tcW w:w="5799" w:type="dxa"/>
            <w:shd w:val="clear" w:color="auto" w:fill="auto"/>
          </w:tcPr>
          <w:p w14:paraId="101565D4" w14:textId="77777777" w:rsidR="00D90E1F" w:rsidRPr="009B546D" w:rsidRDefault="00D90E1F" w:rsidP="00F432B9">
            <w:pPr>
              <w:widowControl w:val="0"/>
              <w:spacing w:line="240" w:lineRule="auto"/>
              <w:rPr>
                <w:rFonts w:cstheme="minorHAnsi"/>
                <w:szCs w:val="20"/>
              </w:rPr>
            </w:pPr>
            <w:r w:rsidRPr="009B546D">
              <w:rPr>
                <w:rFonts w:cstheme="minorHAnsi"/>
                <w:szCs w:val="20"/>
              </w:rPr>
              <w:t>Euroclear UK &amp; Ireland Limited</w:t>
            </w:r>
          </w:p>
        </w:tc>
      </w:tr>
      <w:tr w:rsidR="00D90E1F" w:rsidRPr="009B546D" w14:paraId="2852C19B" w14:textId="77777777" w:rsidTr="007B5E1A">
        <w:trPr>
          <w:cantSplit/>
        </w:trPr>
        <w:tc>
          <w:tcPr>
            <w:tcW w:w="3084" w:type="dxa"/>
            <w:shd w:val="clear" w:color="auto" w:fill="auto"/>
          </w:tcPr>
          <w:p w14:paraId="5E79D5A8" w14:textId="77777777" w:rsidR="00D90E1F" w:rsidRPr="009B546D" w:rsidRDefault="00D90E1F" w:rsidP="00F432B9">
            <w:pPr>
              <w:widowControl w:val="0"/>
              <w:spacing w:line="240" w:lineRule="auto"/>
              <w:rPr>
                <w:rFonts w:cstheme="minorHAnsi"/>
                <w:b/>
                <w:szCs w:val="20"/>
              </w:rPr>
            </w:pPr>
            <w:r w:rsidRPr="009B546D">
              <w:rPr>
                <w:rFonts w:cstheme="minorHAnsi"/>
                <w:b/>
                <w:szCs w:val="20"/>
              </w:rPr>
              <w:t>“EUR”</w:t>
            </w:r>
          </w:p>
        </w:tc>
        <w:tc>
          <w:tcPr>
            <w:tcW w:w="5799" w:type="dxa"/>
            <w:shd w:val="clear" w:color="auto" w:fill="auto"/>
          </w:tcPr>
          <w:p w14:paraId="03066B65" w14:textId="77777777" w:rsidR="00D90E1F" w:rsidRPr="009B546D" w:rsidRDefault="00D90E1F" w:rsidP="00F432B9">
            <w:pPr>
              <w:widowControl w:val="0"/>
              <w:spacing w:line="240" w:lineRule="auto"/>
              <w:rPr>
                <w:rFonts w:cstheme="minorHAnsi"/>
                <w:szCs w:val="20"/>
              </w:rPr>
            </w:pPr>
            <w:r w:rsidRPr="009B546D">
              <w:rPr>
                <w:rFonts w:cstheme="minorHAnsi"/>
                <w:szCs w:val="20"/>
              </w:rPr>
              <w:t>Euro, the lawful currency of the participating member states of the EU</w:t>
            </w:r>
          </w:p>
        </w:tc>
      </w:tr>
      <w:tr w:rsidR="00D90E1F" w:rsidRPr="009B546D" w14:paraId="3AB3D766" w14:textId="77777777" w:rsidTr="007B5E1A">
        <w:trPr>
          <w:cantSplit/>
        </w:trPr>
        <w:tc>
          <w:tcPr>
            <w:tcW w:w="3084" w:type="dxa"/>
            <w:shd w:val="clear" w:color="auto" w:fill="auto"/>
          </w:tcPr>
          <w:p w14:paraId="09DA2ED5" w14:textId="207D3100" w:rsidR="00D90E1F" w:rsidRPr="009B546D" w:rsidRDefault="00D90E1F" w:rsidP="00F432B9">
            <w:pPr>
              <w:widowControl w:val="0"/>
              <w:spacing w:line="240" w:lineRule="auto"/>
              <w:rPr>
                <w:rFonts w:cstheme="minorHAnsi"/>
                <w:b/>
                <w:szCs w:val="20"/>
              </w:rPr>
            </w:pPr>
            <w:r w:rsidRPr="009B546D">
              <w:rPr>
                <w:rFonts w:cstheme="minorHAnsi"/>
                <w:b/>
                <w:szCs w:val="20"/>
              </w:rPr>
              <w:t>“Exchange Act”</w:t>
            </w:r>
          </w:p>
        </w:tc>
        <w:tc>
          <w:tcPr>
            <w:tcW w:w="5799" w:type="dxa"/>
            <w:shd w:val="clear" w:color="auto" w:fill="auto"/>
          </w:tcPr>
          <w:p w14:paraId="12434B7E" w14:textId="4981FAB6" w:rsidR="00D90E1F" w:rsidRPr="009B546D" w:rsidRDefault="00D90E1F" w:rsidP="00F432B9">
            <w:pPr>
              <w:widowControl w:val="0"/>
              <w:spacing w:line="240" w:lineRule="auto"/>
              <w:rPr>
                <w:rFonts w:cstheme="minorHAnsi"/>
                <w:szCs w:val="20"/>
              </w:rPr>
            </w:pPr>
            <w:r w:rsidRPr="009B546D">
              <w:rPr>
                <w:rFonts w:cstheme="minorHAnsi"/>
                <w:szCs w:val="20"/>
              </w:rPr>
              <w:t>the US Securities Exchange Act of 1934</w:t>
            </w:r>
          </w:p>
        </w:tc>
      </w:tr>
      <w:tr w:rsidR="00D90E1F" w:rsidRPr="009B546D" w14:paraId="74C7895D" w14:textId="77777777" w:rsidTr="007B5E1A">
        <w:trPr>
          <w:cantSplit/>
        </w:trPr>
        <w:tc>
          <w:tcPr>
            <w:tcW w:w="3084" w:type="dxa"/>
            <w:shd w:val="clear" w:color="auto" w:fill="auto"/>
          </w:tcPr>
          <w:p w14:paraId="205B277E" w14:textId="77777777" w:rsidR="00D90E1F" w:rsidRPr="009B546D" w:rsidRDefault="00D90E1F" w:rsidP="00F432B9">
            <w:pPr>
              <w:widowControl w:val="0"/>
              <w:spacing w:line="240" w:lineRule="auto"/>
              <w:rPr>
                <w:rFonts w:cstheme="minorHAnsi"/>
                <w:b/>
                <w:szCs w:val="20"/>
              </w:rPr>
            </w:pPr>
            <w:r w:rsidRPr="009B546D">
              <w:rPr>
                <w:rFonts w:cstheme="minorHAnsi"/>
                <w:b/>
                <w:szCs w:val="20"/>
              </w:rPr>
              <w:t>“Existing Ordinary Shares”</w:t>
            </w:r>
          </w:p>
        </w:tc>
        <w:tc>
          <w:tcPr>
            <w:tcW w:w="5799" w:type="dxa"/>
            <w:shd w:val="clear" w:color="auto" w:fill="auto"/>
          </w:tcPr>
          <w:p w14:paraId="6406D288" w14:textId="77777777" w:rsidR="00D90E1F" w:rsidRPr="009B546D" w:rsidRDefault="00D90E1F" w:rsidP="00F432B9">
            <w:pPr>
              <w:widowControl w:val="0"/>
              <w:spacing w:line="240" w:lineRule="auto"/>
              <w:rPr>
                <w:rFonts w:cstheme="minorHAnsi"/>
                <w:szCs w:val="20"/>
              </w:rPr>
            </w:pPr>
            <w:r w:rsidRPr="009B546D">
              <w:rPr>
                <w:rFonts w:cstheme="minorHAnsi"/>
                <w:szCs w:val="20"/>
              </w:rPr>
              <w:t>the 51,839,375 Ordinary Shares in issue, immediately prior to Re-Admission</w:t>
            </w:r>
          </w:p>
        </w:tc>
      </w:tr>
      <w:tr w:rsidR="00D90E1F" w:rsidRPr="009B546D" w14:paraId="7A8128DA" w14:textId="77777777" w:rsidTr="007B5E1A">
        <w:trPr>
          <w:cantSplit/>
        </w:trPr>
        <w:tc>
          <w:tcPr>
            <w:tcW w:w="3084" w:type="dxa"/>
            <w:shd w:val="clear" w:color="auto" w:fill="auto"/>
          </w:tcPr>
          <w:p w14:paraId="25EDAC73" w14:textId="77777777" w:rsidR="00D90E1F" w:rsidRPr="009B546D" w:rsidRDefault="00D90E1F" w:rsidP="00F432B9">
            <w:pPr>
              <w:widowControl w:val="0"/>
              <w:spacing w:line="240" w:lineRule="auto"/>
              <w:rPr>
                <w:rFonts w:cstheme="minorHAnsi"/>
                <w:b/>
                <w:szCs w:val="20"/>
              </w:rPr>
            </w:pPr>
            <w:r w:rsidRPr="009B546D">
              <w:rPr>
                <w:rFonts w:cstheme="minorHAnsi"/>
                <w:b/>
                <w:szCs w:val="20"/>
              </w:rPr>
              <w:t>“Existing Directors”</w:t>
            </w:r>
          </w:p>
        </w:tc>
        <w:tc>
          <w:tcPr>
            <w:tcW w:w="5799" w:type="dxa"/>
            <w:shd w:val="clear" w:color="auto" w:fill="auto"/>
          </w:tcPr>
          <w:p w14:paraId="29FD6E67" w14:textId="77777777" w:rsidR="00D90E1F" w:rsidRPr="009B546D" w:rsidRDefault="00D90E1F" w:rsidP="00F432B9">
            <w:pPr>
              <w:widowControl w:val="0"/>
              <w:spacing w:line="240" w:lineRule="auto"/>
              <w:rPr>
                <w:rFonts w:cstheme="minorHAnsi"/>
                <w:szCs w:val="20"/>
              </w:rPr>
            </w:pPr>
            <w:r w:rsidRPr="009B546D">
              <w:rPr>
                <w:rFonts w:cstheme="minorHAnsi"/>
                <w:szCs w:val="20"/>
              </w:rPr>
              <w:t>the existing directors of the Company being Graham Duncan, Soon Beng Gee (“</w:t>
            </w:r>
            <w:r w:rsidRPr="00EA2BB6">
              <w:rPr>
                <w:rFonts w:cstheme="minorHAnsi"/>
                <w:b/>
                <w:bCs/>
                <w:szCs w:val="20"/>
              </w:rPr>
              <w:t>Nicholas</w:t>
            </w:r>
            <w:r w:rsidRPr="009B546D">
              <w:rPr>
                <w:rFonts w:cstheme="minorHAnsi"/>
                <w:szCs w:val="20"/>
              </w:rPr>
              <w:t>”), Lee Chong Liang (“</w:t>
            </w:r>
            <w:r w:rsidRPr="00EA2BB6">
              <w:rPr>
                <w:rFonts w:cstheme="minorHAnsi"/>
                <w:b/>
                <w:bCs/>
                <w:szCs w:val="20"/>
              </w:rPr>
              <w:t>Marcus</w:t>
            </w:r>
            <w:r w:rsidRPr="009B546D">
              <w:rPr>
                <w:rFonts w:cstheme="minorHAnsi"/>
                <w:szCs w:val="20"/>
              </w:rPr>
              <w:t>”) and Harry Chathli</w:t>
            </w:r>
          </w:p>
        </w:tc>
      </w:tr>
      <w:tr w:rsidR="00D90E1F" w:rsidRPr="009B546D" w14:paraId="15663B23" w14:textId="77777777" w:rsidTr="007B5E1A">
        <w:trPr>
          <w:cantSplit/>
        </w:trPr>
        <w:tc>
          <w:tcPr>
            <w:tcW w:w="3084" w:type="dxa"/>
            <w:shd w:val="clear" w:color="auto" w:fill="auto"/>
          </w:tcPr>
          <w:p w14:paraId="48091F51" w14:textId="77777777" w:rsidR="00D90E1F" w:rsidRPr="009B546D" w:rsidRDefault="00D90E1F" w:rsidP="00F432B9">
            <w:pPr>
              <w:widowControl w:val="0"/>
              <w:spacing w:line="240" w:lineRule="auto"/>
              <w:rPr>
                <w:rFonts w:cstheme="minorHAnsi"/>
                <w:b/>
                <w:szCs w:val="20"/>
              </w:rPr>
            </w:pPr>
            <w:r w:rsidRPr="009B546D">
              <w:rPr>
                <w:rFonts w:cstheme="minorHAnsi"/>
                <w:b/>
                <w:szCs w:val="20"/>
              </w:rPr>
              <w:t>“FCA”</w:t>
            </w:r>
          </w:p>
        </w:tc>
        <w:tc>
          <w:tcPr>
            <w:tcW w:w="5799" w:type="dxa"/>
            <w:shd w:val="clear" w:color="auto" w:fill="auto"/>
          </w:tcPr>
          <w:p w14:paraId="21034477" w14:textId="77777777" w:rsidR="00D90E1F" w:rsidRPr="009B546D" w:rsidRDefault="00D90E1F" w:rsidP="00F432B9">
            <w:pPr>
              <w:widowControl w:val="0"/>
              <w:spacing w:line="240" w:lineRule="auto"/>
              <w:rPr>
                <w:rFonts w:cstheme="minorHAnsi"/>
                <w:szCs w:val="20"/>
              </w:rPr>
            </w:pPr>
            <w:r w:rsidRPr="009B546D">
              <w:rPr>
                <w:rFonts w:cstheme="minorHAnsi"/>
                <w:szCs w:val="20"/>
              </w:rPr>
              <w:t xml:space="preserve">the Financial Conduct Authority of the United Kingdom (or any such body appointed in replacement thereof), acting in its capacity as the competent authority for the purposes of Part VI of FSMA </w:t>
            </w:r>
          </w:p>
        </w:tc>
      </w:tr>
      <w:tr w:rsidR="00D90E1F" w:rsidRPr="009B546D" w14:paraId="60863EE0" w14:textId="77777777" w:rsidTr="007B5E1A">
        <w:trPr>
          <w:cantSplit/>
        </w:trPr>
        <w:tc>
          <w:tcPr>
            <w:tcW w:w="3084" w:type="dxa"/>
            <w:shd w:val="clear" w:color="auto" w:fill="auto"/>
          </w:tcPr>
          <w:p w14:paraId="0DF76025" w14:textId="77777777" w:rsidR="00D90E1F" w:rsidRPr="009B546D" w:rsidRDefault="00D90E1F" w:rsidP="00F432B9">
            <w:pPr>
              <w:widowControl w:val="0"/>
              <w:spacing w:line="240" w:lineRule="auto"/>
              <w:rPr>
                <w:rFonts w:cstheme="minorHAnsi"/>
                <w:b/>
                <w:szCs w:val="20"/>
              </w:rPr>
            </w:pPr>
            <w:r w:rsidRPr="009B546D">
              <w:rPr>
                <w:rFonts w:cstheme="minorHAnsi"/>
                <w:b/>
                <w:szCs w:val="20"/>
              </w:rPr>
              <w:t>“FSMA”</w:t>
            </w:r>
          </w:p>
        </w:tc>
        <w:tc>
          <w:tcPr>
            <w:tcW w:w="5799" w:type="dxa"/>
            <w:shd w:val="clear" w:color="auto" w:fill="auto"/>
          </w:tcPr>
          <w:p w14:paraId="66302848" w14:textId="77777777" w:rsidR="00D90E1F" w:rsidRPr="009B546D" w:rsidRDefault="00D90E1F" w:rsidP="00F432B9">
            <w:pPr>
              <w:widowControl w:val="0"/>
              <w:spacing w:line="240" w:lineRule="auto"/>
              <w:rPr>
                <w:rFonts w:cstheme="minorHAnsi"/>
                <w:szCs w:val="20"/>
              </w:rPr>
            </w:pPr>
            <w:r w:rsidRPr="009B546D">
              <w:rPr>
                <w:rFonts w:cstheme="minorHAnsi"/>
                <w:szCs w:val="20"/>
              </w:rPr>
              <w:t xml:space="preserve">the Financial Services and Markets Act 2000 (as amended from time to time) </w:t>
            </w:r>
          </w:p>
        </w:tc>
      </w:tr>
      <w:tr w:rsidR="00D90E1F" w:rsidRPr="009B546D" w14:paraId="017742AF" w14:textId="77777777" w:rsidTr="007B5E1A">
        <w:trPr>
          <w:cantSplit/>
        </w:trPr>
        <w:tc>
          <w:tcPr>
            <w:tcW w:w="3084" w:type="dxa"/>
            <w:shd w:val="clear" w:color="auto" w:fill="auto"/>
          </w:tcPr>
          <w:p w14:paraId="192706B9" w14:textId="77777777" w:rsidR="00D90E1F" w:rsidRPr="009B546D" w:rsidRDefault="00D90E1F" w:rsidP="00F432B9">
            <w:pPr>
              <w:widowControl w:val="0"/>
              <w:spacing w:line="240" w:lineRule="auto"/>
              <w:rPr>
                <w:rFonts w:cstheme="minorHAnsi"/>
                <w:b/>
                <w:szCs w:val="20"/>
              </w:rPr>
            </w:pPr>
            <w:r w:rsidRPr="009B546D">
              <w:rPr>
                <w:rFonts w:cstheme="minorHAnsi"/>
                <w:b/>
                <w:szCs w:val="20"/>
              </w:rPr>
              <w:t>“GDPR”</w:t>
            </w:r>
          </w:p>
        </w:tc>
        <w:tc>
          <w:tcPr>
            <w:tcW w:w="5799" w:type="dxa"/>
            <w:shd w:val="clear" w:color="auto" w:fill="auto"/>
          </w:tcPr>
          <w:p w14:paraId="0939978A" w14:textId="77777777" w:rsidR="00D90E1F" w:rsidRPr="009B546D" w:rsidRDefault="00D90E1F" w:rsidP="00F432B9">
            <w:pPr>
              <w:widowControl w:val="0"/>
              <w:spacing w:line="240" w:lineRule="auto"/>
              <w:rPr>
                <w:rFonts w:cstheme="minorHAnsi"/>
                <w:szCs w:val="20"/>
              </w:rPr>
            </w:pPr>
            <w:r w:rsidRPr="009B546D">
              <w:rPr>
                <w:rFonts w:cstheme="minorHAnsi"/>
                <w:szCs w:val="20"/>
              </w:rPr>
              <w:t>the EU regulation (EU 2016/679) on the protection of natural persons with regard to the processing of personal data and on the free movement of such data</w:t>
            </w:r>
          </w:p>
        </w:tc>
      </w:tr>
      <w:tr w:rsidR="00D90E1F" w:rsidRPr="009B546D" w14:paraId="5494B689" w14:textId="77777777" w:rsidTr="007B5E1A">
        <w:trPr>
          <w:cantSplit/>
        </w:trPr>
        <w:tc>
          <w:tcPr>
            <w:tcW w:w="3084" w:type="dxa"/>
            <w:shd w:val="clear" w:color="auto" w:fill="auto"/>
          </w:tcPr>
          <w:p w14:paraId="5745D3DE" w14:textId="77777777" w:rsidR="00D90E1F" w:rsidRPr="009B546D" w:rsidRDefault="00D90E1F" w:rsidP="00F432B9">
            <w:pPr>
              <w:widowControl w:val="0"/>
              <w:spacing w:line="240" w:lineRule="auto"/>
              <w:rPr>
                <w:rFonts w:cstheme="minorHAnsi"/>
                <w:b/>
                <w:szCs w:val="20"/>
              </w:rPr>
            </w:pPr>
            <w:r w:rsidRPr="009B546D">
              <w:rPr>
                <w:rFonts w:cstheme="minorHAnsi"/>
                <w:b/>
                <w:szCs w:val="20"/>
              </w:rPr>
              <w:t>“Heads of Terms”</w:t>
            </w:r>
          </w:p>
        </w:tc>
        <w:tc>
          <w:tcPr>
            <w:tcW w:w="5799" w:type="dxa"/>
            <w:shd w:val="clear" w:color="auto" w:fill="auto"/>
          </w:tcPr>
          <w:p w14:paraId="2CDDD081" w14:textId="693D4993" w:rsidR="00D90E1F" w:rsidRPr="009B546D" w:rsidRDefault="00D90E1F" w:rsidP="00F432B9">
            <w:pPr>
              <w:widowControl w:val="0"/>
              <w:spacing w:line="240" w:lineRule="auto"/>
              <w:rPr>
                <w:rFonts w:cstheme="minorHAnsi"/>
                <w:szCs w:val="20"/>
              </w:rPr>
            </w:pPr>
            <w:r w:rsidRPr="009B546D">
              <w:rPr>
                <w:rFonts w:cstheme="minorHAnsi"/>
                <w:szCs w:val="20"/>
              </w:rPr>
              <w:t xml:space="preserve">the heads of terms dated 13 September 2019 between the Company and </w:t>
            </w:r>
            <w:r w:rsidR="00AF0C4A" w:rsidRPr="009B546D">
              <w:rPr>
                <w:rFonts w:cstheme="minorHAnsi"/>
                <w:szCs w:val="20"/>
              </w:rPr>
              <w:t>Alchemist Codes</w:t>
            </w:r>
            <w:r w:rsidRPr="009B546D">
              <w:rPr>
                <w:rFonts w:cstheme="minorHAnsi"/>
                <w:szCs w:val="20"/>
              </w:rPr>
              <w:t xml:space="preserve"> relating to the </w:t>
            </w:r>
            <w:r w:rsidR="00396DD3" w:rsidRPr="009B546D">
              <w:rPr>
                <w:rFonts w:cstheme="minorHAnsi"/>
                <w:szCs w:val="20"/>
              </w:rPr>
              <w:t xml:space="preserve">Proposed </w:t>
            </w:r>
            <w:r w:rsidRPr="009B546D">
              <w:rPr>
                <w:rFonts w:cstheme="minorHAnsi"/>
                <w:szCs w:val="20"/>
              </w:rPr>
              <w:t>Acquisition</w:t>
            </w:r>
          </w:p>
        </w:tc>
      </w:tr>
      <w:tr w:rsidR="00D90E1F" w:rsidRPr="009B546D" w14:paraId="68EF6F03" w14:textId="77777777" w:rsidTr="007B5E1A">
        <w:trPr>
          <w:cantSplit/>
        </w:trPr>
        <w:tc>
          <w:tcPr>
            <w:tcW w:w="3084" w:type="dxa"/>
            <w:shd w:val="clear" w:color="auto" w:fill="auto"/>
          </w:tcPr>
          <w:p w14:paraId="682B7F28" w14:textId="77777777" w:rsidR="00D90E1F" w:rsidRPr="009B546D" w:rsidRDefault="00D90E1F" w:rsidP="00F432B9">
            <w:pPr>
              <w:widowControl w:val="0"/>
              <w:spacing w:line="240" w:lineRule="auto"/>
              <w:rPr>
                <w:rFonts w:cstheme="minorHAnsi"/>
                <w:b/>
                <w:szCs w:val="20"/>
              </w:rPr>
            </w:pPr>
            <w:r w:rsidRPr="009B546D">
              <w:rPr>
                <w:rFonts w:cstheme="minorHAnsi"/>
                <w:b/>
                <w:szCs w:val="20"/>
              </w:rPr>
              <w:t>“HMRC”</w:t>
            </w:r>
          </w:p>
        </w:tc>
        <w:tc>
          <w:tcPr>
            <w:tcW w:w="5799" w:type="dxa"/>
            <w:shd w:val="clear" w:color="auto" w:fill="auto"/>
          </w:tcPr>
          <w:p w14:paraId="67BA161E" w14:textId="77777777" w:rsidR="00D90E1F" w:rsidRPr="009B546D" w:rsidRDefault="00D90E1F" w:rsidP="00F432B9">
            <w:pPr>
              <w:widowControl w:val="0"/>
              <w:spacing w:line="240" w:lineRule="auto"/>
              <w:rPr>
                <w:rFonts w:cstheme="minorHAnsi"/>
                <w:szCs w:val="20"/>
              </w:rPr>
            </w:pPr>
            <w:r w:rsidRPr="009B546D">
              <w:rPr>
                <w:rFonts w:cstheme="minorHAnsi"/>
                <w:szCs w:val="20"/>
              </w:rPr>
              <w:t>Her Majesty’s Revenue and Customs of the United Kingdom</w:t>
            </w:r>
          </w:p>
        </w:tc>
      </w:tr>
      <w:tr w:rsidR="00D90E1F" w:rsidRPr="009B546D" w14:paraId="64FA16FC" w14:textId="77777777" w:rsidTr="007B5E1A">
        <w:trPr>
          <w:cantSplit/>
        </w:trPr>
        <w:tc>
          <w:tcPr>
            <w:tcW w:w="3084" w:type="dxa"/>
            <w:shd w:val="clear" w:color="auto" w:fill="auto"/>
          </w:tcPr>
          <w:p w14:paraId="4482B86E" w14:textId="7DCD85A4" w:rsidR="00D90E1F" w:rsidRPr="009B546D" w:rsidRDefault="00D90E1F" w:rsidP="00F432B9">
            <w:pPr>
              <w:widowControl w:val="0"/>
              <w:spacing w:line="240" w:lineRule="auto"/>
              <w:rPr>
                <w:rFonts w:cstheme="minorHAnsi"/>
                <w:b/>
                <w:szCs w:val="20"/>
              </w:rPr>
            </w:pPr>
            <w:r w:rsidRPr="009B546D">
              <w:rPr>
                <w:rFonts w:cstheme="minorHAnsi"/>
                <w:b/>
                <w:szCs w:val="20"/>
              </w:rPr>
              <w:t>“IASB”</w:t>
            </w:r>
          </w:p>
        </w:tc>
        <w:tc>
          <w:tcPr>
            <w:tcW w:w="5799" w:type="dxa"/>
            <w:shd w:val="clear" w:color="auto" w:fill="auto"/>
          </w:tcPr>
          <w:p w14:paraId="65EA34D7" w14:textId="1A7BF09C" w:rsidR="00D90E1F" w:rsidRPr="009B546D" w:rsidRDefault="00D90E1F" w:rsidP="00F432B9">
            <w:pPr>
              <w:widowControl w:val="0"/>
              <w:spacing w:line="240" w:lineRule="auto"/>
              <w:rPr>
                <w:rFonts w:cstheme="minorHAnsi"/>
                <w:szCs w:val="20"/>
              </w:rPr>
            </w:pPr>
            <w:r w:rsidRPr="009B546D">
              <w:rPr>
                <w:rFonts w:cstheme="minorHAnsi"/>
                <w:szCs w:val="20"/>
              </w:rPr>
              <w:t>the International Accounting Standards Board</w:t>
            </w:r>
          </w:p>
        </w:tc>
      </w:tr>
      <w:tr w:rsidR="00D90E1F" w:rsidRPr="009B546D" w14:paraId="542042BF" w14:textId="77777777" w:rsidTr="007B5E1A">
        <w:trPr>
          <w:cantSplit/>
        </w:trPr>
        <w:tc>
          <w:tcPr>
            <w:tcW w:w="3084" w:type="dxa"/>
            <w:shd w:val="clear" w:color="auto" w:fill="auto"/>
          </w:tcPr>
          <w:p w14:paraId="6950BD8D" w14:textId="508CF111" w:rsidR="00D90E1F" w:rsidRPr="009B546D" w:rsidRDefault="00D90E1F" w:rsidP="00F432B9">
            <w:pPr>
              <w:widowControl w:val="0"/>
              <w:spacing w:line="240" w:lineRule="auto"/>
              <w:rPr>
                <w:rFonts w:cstheme="minorHAnsi"/>
                <w:b/>
                <w:szCs w:val="20"/>
              </w:rPr>
            </w:pPr>
            <w:r w:rsidRPr="009B546D">
              <w:rPr>
                <w:rFonts w:cstheme="minorHAnsi"/>
                <w:b/>
                <w:szCs w:val="20"/>
              </w:rPr>
              <w:t>“IFRS”</w:t>
            </w:r>
          </w:p>
        </w:tc>
        <w:tc>
          <w:tcPr>
            <w:tcW w:w="5799" w:type="dxa"/>
            <w:shd w:val="clear" w:color="auto" w:fill="auto"/>
          </w:tcPr>
          <w:p w14:paraId="5984BBAA" w14:textId="1FCA5802" w:rsidR="00D90E1F" w:rsidRPr="009B546D" w:rsidRDefault="00D90E1F" w:rsidP="00F432B9">
            <w:pPr>
              <w:widowControl w:val="0"/>
              <w:spacing w:line="240" w:lineRule="auto"/>
              <w:rPr>
                <w:rFonts w:cstheme="minorHAnsi"/>
                <w:szCs w:val="20"/>
              </w:rPr>
            </w:pPr>
            <w:r w:rsidRPr="009B546D">
              <w:rPr>
                <w:rFonts w:cstheme="minorHAnsi"/>
                <w:szCs w:val="20"/>
              </w:rPr>
              <w:t>the International Financial Reporting Standards as adopted by the European Union</w:t>
            </w:r>
          </w:p>
        </w:tc>
      </w:tr>
      <w:tr w:rsidR="00D90E1F" w:rsidRPr="009B546D" w14:paraId="4589B112" w14:textId="77777777" w:rsidTr="007B5E1A">
        <w:trPr>
          <w:cantSplit/>
        </w:trPr>
        <w:tc>
          <w:tcPr>
            <w:tcW w:w="3084" w:type="dxa"/>
            <w:shd w:val="clear" w:color="auto" w:fill="auto"/>
          </w:tcPr>
          <w:p w14:paraId="74AD78FE" w14:textId="77777777" w:rsidR="00D90E1F" w:rsidRPr="009B546D" w:rsidRDefault="00D90E1F" w:rsidP="00F432B9">
            <w:pPr>
              <w:widowControl w:val="0"/>
              <w:spacing w:line="240" w:lineRule="auto"/>
              <w:rPr>
                <w:rFonts w:cstheme="minorHAnsi"/>
                <w:b/>
                <w:szCs w:val="20"/>
              </w:rPr>
            </w:pPr>
            <w:r w:rsidRPr="009B546D">
              <w:rPr>
                <w:rFonts w:cstheme="minorHAnsi"/>
                <w:b/>
                <w:szCs w:val="20"/>
              </w:rPr>
              <w:t>“Listing”</w:t>
            </w:r>
          </w:p>
        </w:tc>
        <w:tc>
          <w:tcPr>
            <w:tcW w:w="5799" w:type="dxa"/>
            <w:shd w:val="clear" w:color="auto" w:fill="auto"/>
          </w:tcPr>
          <w:p w14:paraId="3E079FC9" w14:textId="77777777" w:rsidR="00D90E1F" w:rsidRPr="009B546D" w:rsidRDefault="00D90E1F" w:rsidP="00F432B9">
            <w:pPr>
              <w:widowControl w:val="0"/>
              <w:spacing w:line="240" w:lineRule="auto"/>
              <w:rPr>
                <w:rFonts w:cstheme="minorHAnsi"/>
                <w:szCs w:val="20"/>
              </w:rPr>
            </w:pPr>
            <w:r w:rsidRPr="009B546D">
              <w:rPr>
                <w:rFonts w:cstheme="minorHAnsi"/>
                <w:szCs w:val="20"/>
              </w:rPr>
              <w:t>the initial public offering of the Company in January 2018</w:t>
            </w:r>
          </w:p>
        </w:tc>
      </w:tr>
      <w:tr w:rsidR="00D90E1F" w:rsidRPr="009B546D" w14:paraId="1808A9B4" w14:textId="77777777" w:rsidTr="007B5E1A">
        <w:trPr>
          <w:cantSplit/>
        </w:trPr>
        <w:tc>
          <w:tcPr>
            <w:tcW w:w="3084" w:type="dxa"/>
            <w:shd w:val="clear" w:color="auto" w:fill="auto"/>
          </w:tcPr>
          <w:p w14:paraId="4E5ACB37" w14:textId="77777777" w:rsidR="00D90E1F" w:rsidRPr="009B546D" w:rsidRDefault="00D90E1F" w:rsidP="00F432B9">
            <w:pPr>
              <w:widowControl w:val="0"/>
              <w:spacing w:line="240" w:lineRule="auto"/>
              <w:rPr>
                <w:rFonts w:cstheme="minorHAnsi"/>
                <w:b/>
                <w:szCs w:val="20"/>
              </w:rPr>
            </w:pPr>
            <w:r w:rsidRPr="009B546D">
              <w:rPr>
                <w:rFonts w:cstheme="minorHAnsi"/>
                <w:b/>
                <w:szCs w:val="20"/>
              </w:rPr>
              <w:t>“Listing Prospectus”</w:t>
            </w:r>
          </w:p>
        </w:tc>
        <w:tc>
          <w:tcPr>
            <w:tcW w:w="5799" w:type="dxa"/>
            <w:shd w:val="clear" w:color="auto" w:fill="auto"/>
          </w:tcPr>
          <w:p w14:paraId="0C32E85B" w14:textId="6C1235F7" w:rsidR="00D90E1F" w:rsidRPr="009B546D" w:rsidRDefault="00D90E1F" w:rsidP="00F432B9">
            <w:pPr>
              <w:widowControl w:val="0"/>
              <w:spacing w:line="240" w:lineRule="auto"/>
              <w:rPr>
                <w:rFonts w:cstheme="minorHAnsi"/>
                <w:szCs w:val="20"/>
              </w:rPr>
            </w:pPr>
            <w:r w:rsidRPr="009B546D">
              <w:rPr>
                <w:rFonts w:cstheme="minorHAnsi"/>
                <w:szCs w:val="20"/>
              </w:rPr>
              <w:t xml:space="preserve">the </w:t>
            </w:r>
            <w:r w:rsidR="0077279D" w:rsidRPr="009B546D">
              <w:rPr>
                <w:rFonts w:cstheme="minorHAnsi"/>
                <w:szCs w:val="20"/>
              </w:rPr>
              <w:t>Prospectus</w:t>
            </w:r>
            <w:r w:rsidRPr="009B546D">
              <w:rPr>
                <w:rFonts w:cstheme="minorHAnsi"/>
                <w:szCs w:val="20"/>
              </w:rPr>
              <w:t xml:space="preserve"> published by the Company in connection with the Listing</w:t>
            </w:r>
          </w:p>
        </w:tc>
      </w:tr>
      <w:tr w:rsidR="00D90E1F" w:rsidRPr="009B546D" w14:paraId="0C890A7E" w14:textId="77777777" w:rsidTr="007B5E1A">
        <w:trPr>
          <w:cantSplit/>
        </w:trPr>
        <w:tc>
          <w:tcPr>
            <w:tcW w:w="3084" w:type="dxa"/>
            <w:shd w:val="clear" w:color="auto" w:fill="auto"/>
          </w:tcPr>
          <w:p w14:paraId="1F630C2D" w14:textId="77777777" w:rsidR="00D90E1F" w:rsidRPr="009B546D" w:rsidRDefault="00D90E1F" w:rsidP="00F432B9">
            <w:pPr>
              <w:widowControl w:val="0"/>
              <w:spacing w:line="240" w:lineRule="auto"/>
              <w:rPr>
                <w:rFonts w:cstheme="minorHAnsi"/>
                <w:b/>
                <w:szCs w:val="20"/>
              </w:rPr>
            </w:pPr>
            <w:r w:rsidRPr="009B546D">
              <w:rPr>
                <w:rFonts w:cstheme="minorHAnsi"/>
                <w:b/>
                <w:szCs w:val="20"/>
              </w:rPr>
              <w:t>“Listing Rules”</w:t>
            </w:r>
          </w:p>
        </w:tc>
        <w:tc>
          <w:tcPr>
            <w:tcW w:w="5799" w:type="dxa"/>
            <w:shd w:val="clear" w:color="auto" w:fill="auto"/>
          </w:tcPr>
          <w:p w14:paraId="35D6CD26" w14:textId="77777777" w:rsidR="00D90E1F" w:rsidRPr="009B546D" w:rsidRDefault="00D90E1F" w:rsidP="00F432B9">
            <w:pPr>
              <w:widowControl w:val="0"/>
              <w:spacing w:line="240" w:lineRule="auto"/>
              <w:rPr>
                <w:rFonts w:cstheme="minorHAnsi"/>
                <w:szCs w:val="20"/>
              </w:rPr>
            </w:pPr>
            <w:r w:rsidRPr="009B546D">
              <w:rPr>
                <w:rFonts w:cstheme="minorHAnsi"/>
                <w:szCs w:val="20"/>
              </w:rPr>
              <w:t>the Listing Rules of the FCA made under Part VI of the FSMA (as amended from time to time)</w:t>
            </w:r>
          </w:p>
        </w:tc>
      </w:tr>
      <w:tr w:rsidR="00D90E1F" w:rsidRPr="009B546D" w14:paraId="31BAAAA4" w14:textId="77777777" w:rsidTr="007B5E1A">
        <w:trPr>
          <w:cantSplit/>
        </w:trPr>
        <w:tc>
          <w:tcPr>
            <w:tcW w:w="3084" w:type="dxa"/>
            <w:shd w:val="clear" w:color="auto" w:fill="auto"/>
          </w:tcPr>
          <w:p w14:paraId="00643588" w14:textId="44536114" w:rsidR="00D90E1F" w:rsidRPr="009B546D" w:rsidRDefault="00D90E1F" w:rsidP="00F432B9">
            <w:pPr>
              <w:widowControl w:val="0"/>
              <w:spacing w:line="240" w:lineRule="auto"/>
              <w:rPr>
                <w:rFonts w:cstheme="minorHAnsi"/>
                <w:b/>
                <w:szCs w:val="20"/>
              </w:rPr>
            </w:pPr>
            <w:r w:rsidRPr="009B546D">
              <w:rPr>
                <w:rFonts w:cstheme="minorHAnsi"/>
                <w:b/>
                <w:szCs w:val="20"/>
              </w:rPr>
              <w:t>“London Stock Exchange” or “LSE</w:t>
            </w:r>
            <w:r w:rsidR="004831AA" w:rsidRPr="009B546D">
              <w:rPr>
                <w:rFonts w:cstheme="minorHAnsi"/>
                <w:b/>
                <w:szCs w:val="20"/>
              </w:rPr>
              <w:t>”</w:t>
            </w:r>
          </w:p>
        </w:tc>
        <w:tc>
          <w:tcPr>
            <w:tcW w:w="5799" w:type="dxa"/>
            <w:shd w:val="clear" w:color="auto" w:fill="auto"/>
          </w:tcPr>
          <w:p w14:paraId="1F6646E6" w14:textId="77777777" w:rsidR="00D90E1F" w:rsidRPr="009B546D" w:rsidRDefault="00D90E1F" w:rsidP="00F432B9">
            <w:pPr>
              <w:widowControl w:val="0"/>
              <w:spacing w:line="240" w:lineRule="auto"/>
              <w:rPr>
                <w:rFonts w:cstheme="minorHAnsi"/>
                <w:szCs w:val="20"/>
              </w:rPr>
            </w:pPr>
            <w:r w:rsidRPr="009B546D">
              <w:rPr>
                <w:rFonts w:cstheme="minorHAnsi"/>
                <w:szCs w:val="20"/>
              </w:rPr>
              <w:t>London Stock Exchange plc</w:t>
            </w:r>
          </w:p>
        </w:tc>
      </w:tr>
      <w:tr w:rsidR="00D90E1F" w:rsidRPr="009B546D" w14:paraId="53D5836A" w14:textId="77777777" w:rsidTr="007B5E1A">
        <w:trPr>
          <w:cantSplit/>
        </w:trPr>
        <w:tc>
          <w:tcPr>
            <w:tcW w:w="3084" w:type="dxa"/>
            <w:shd w:val="clear" w:color="auto" w:fill="auto"/>
          </w:tcPr>
          <w:p w14:paraId="61312992" w14:textId="77777777" w:rsidR="00D90E1F" w:rsidRPr="009B546D" w:rsidRDefault="00D90E1F" w:rsidP="00F432B9">
            <w:pPr>
              <w:widowControl w:val="0"/>
              <w:spacing w:line="240" w:lineRule="auto"/>
              <w:rPr>
                <w:rFonts w:cstheme="minorHAnsi"/>
                <w:b/>
                <w:szCs w:val="20"/>
              </w:rPr>
            </w:pPr>
            <w:r w:rsidRPr="009B546D">
              <w:rPr>
                <w:rFonts w:cstheme="minorHAnsi"/>
                <w:b/>
                <w:szCs w:val="20"/>
              </w:rPr>
              <w:t>“Main Market”</w:t>
            </w:r>
          </w:p>
        </w:tc>
        <w:tc>
          <w:tcPr>
            <w:tcW w:w="5799" w:type="dxa"/>
            <w:shd w:val="clear" w:color="auto" w:fill="auto"/>
          </w:tcPr>
          <w:p w14:paraId="3614B7A2" w14:textId="77777777" w:rsidR="00D90E1F" w:rsidRPr="009B546D" w:rsidRDefault="00D90E1F" w:rsidP="00F432B9">
            <w:pPr>
              <w:widowControl w:val="0"/>
              <w:spacing w:line="240" w:lineRule="auto"/>
              <w:rPr>
                <w:rFonts w:cstheme="minorHAnsi"/>
                <w:szCs w:val="20"/>
              </w:rPr>
            </w:pPr>
            <w:r w:rsidRPr="009B546D">
              <w:rPr>
                <w:rFonts w:cstheme="minorHAnsi"/>
                <w:szCs w:val="20"/>
              </w:rPr>
              <w:t>the main market for listed securities of the LSE</w:t>
            </w:r>
          </w:p>
        </w:tc>
      </w:tr>
      <w:tr w:rsidR="00D90E1F" w:rsidRPr="009B546D" w14:paraId="4D490C5C" w14:textId="77777777" w:rsidTr="007B5E1A">
        <w:trPr>
          <w:cantSplit/>
        </w:trPr>
        <w:tc>
          <w:tcPr>
            <w:tcW w:w="3084" w:type="dxa"/>
            <w:shd w:val="clear" w:color="auto" w:fill="auto"/>
          </w:tcPr>
          <w:p w14:paraId="411F50E0" w14:textId="54DAFEF4" w:rsidR="00D90E1F" w:rsidRPr="009B546D" w:rsidRDefault="00D90E1F" w:rsidP="00F432B9">
            <w:pPr>
              <w:widowControl w:val="0"/>
              <w:spacing w:line="240" w:lineRule="auto"/>
              <w:rPr>
                <w:rFonts w:cstheme="minorHAnsi"/>
                <w:b/>
                <w:szCs w:val="20"/>
              </w:rPr>
            </w:pPr>
            <w:bookmarkStart w:id="70" w:name="_BPDCI_665"/>
            <w:r w:rsidRPr="009B546D">
              <w:rPr>
                <w:rFonts w:cstheme="minorHAnsi"/>
                <w:b/>
                <w:szCs w:val="20"/>
              </w:rPr>
              <w:t>“Market Abuse Regulation”</w:t>
            </w:r>
            <w:bookmarkEnd w:id="70"/>
          </w:p>
        </w:tc>
        <w:tc>
          <w:tcPr>
            <w:tcW w:w="5799" w:type="dxa"/>
            <w:shd w:val="clear" w:color="auto" w:fill="auto"/>
          </w:tcPr>
          <w:p w14:paraId="696E7345" w14:textId="77777777" w:rsidR="00D90E1F" w:rsidRPr="009B546D" w:rsidRDefault="00D90E1F" w:rsidP="00F432B9">
            <w:pPr>
              <w:widowControl w:val="0"/>
              <w:spacing w:line="240" w:lineRule="auto"/>
              <w:rPr>
                <w:rFonts w:cstheme="minorHAnsi"/>
                <w:szCs w:val="20"/>
              </w:rPr>
            </w:pPr>
            <w:bookmarkStart w:id="71" w:name="_BPDCI_666"/>
            <w:r w:rsidRPr="009B546D">
              <w:rPr>
                <w:rFonts w:cstheme="minorHAnsi"/>
                <w:szCs w:val="20"/>
              </w:rPr>
              <w:t>means Regulation (EU) No. 596/2014 of the European Parliament and the Council of 16 April 2014 on market abuse</w:t>
            </w:r>
            <w:bookmarkEnd w:id="71"/>
          </w:p>
        </w:tc>
      </w:tr>
      <w:tr w:rsidR="00D90E1F" w:rsidRPr="009B546D" w14:paraId="12E0DA7D" w14:textId="77777777" w:rsidTr="007B5E1A">
        <w:trPr>
          <w:cantSplit/>
        </w:trPr>
        <w:tc>
          <w:tcPr>
            <w:tcW w:w="3084" w:type="dxa"/>
            <w:shd w:val="clear" w:color="auto" w:fill="auto"/>
          </w:tcPr>
          <w:p w14:paraId="066C0DA7" w14:textId="77777777" w:rsidR="00D90E1F" w:rsidRPr="009B546D" w:rsidRDefault="00D90E1F" w:rsidP="00F432B9">
            <w:pPr>
              <w:widowControl w:val="0"/>
              <w:spacing w:line="240" w:lineRule="auto"/>
              <w:rPr>
                <w:rFonts w:cstheme="minorHAnsi"/>
                <w:b/>
                <w:szCs w:val="20"/>
              </w:rPr>
            </w:pPr>
            <w:r w:rsidRPr="009B546D">
              <w:rPr>
                <w:rFonts w:cstheme="minorHAnsi"/>
                <w:b/>
                <w:szCs w:val="20"/>
              </w:rPr>
              <w:t>“Memorandum”</w:t>
            </w:r>
          </w:p>
        </w:tc>
        <w:tc>
          <w:tcPr>
            <w:tcW w:w="5799" w:type="dxa"/>
            <w:shd w:val="clear" w:color="auto" w:fill="auto"/>
          </w:tcPr>
          <w:p w14:paraId="7A54662E" w14:textId="77777777" w:rsidR="00D90E1F" w:rsidRPr="009B546D" w:rsidRDefault="00D90E1F" w:rsidP="00F432B9">
            <w:pPr>
              <w:widowControl w:val="0"/>
              <w:spacing w:line="240" w:lineRule="auto"/>
              <w:rPr>
                <w:rFonts w:cstheme="minorHAnsi"/>
                <w:szCs w:val="20"/>
              </w:rPr>
            </w:pPr>
            <w:r w:rsidRPr="009B546D">
              <w:rPr>
                <w:rFonts w:cstheme="minorHAnsi"/>
                <w:szCs w:val="20"/>
              </w:rPr>
              <w:t>the Memorandum of Association of the Company (as amended from time)</w:t>
            </w:r>
          </w:p>
        </w:tc>
      </w:tr>
      <w:tr w:rsidR="00D90E1F" w:rsidRPr="009B546D" w14:paraId="00B471A8" w14:textId="77777777" w:rsidTr="007B5E1A">
        <w:trPr>
          <w:cantSplit/>
        </w:trPr>
        <w:tc>
          <w:tcPr>
            <w:tcW w:w="3084" w:type="dxa"/>
            <w:shd w:val="clear" w:color="auto" w:fill="auto"/>
          </w:tcPr>
          <w:p w14:paraId="6070D3A5" w14:textId="77777777" w:rsidR="00D90E1F" w:rsidRPr="009B546D" w:rsidRDefault="00D90E1F" w:rsidP="00F432B9">
            <w:pPr>
              <w:widowControl w:val="0"/>
              <w:spacing w:line="240" w:lineRule="auto"/>
              <w:rPr>
                <w:rFonts w:cstheme="minorHAnsi"/>
                <w:b/>
                <w:szCs w:val="20"/>
              </w:rPr>
            </w:pPr>
            <w:r w:rsidRPr="009B546D">
              <w:rPr>
                <w:rFonts w:cstheme="minorHAnsi"/>
                <w:b/>
                <w:szCs w:val="20"/>
              </w:rPr>
              <w:lastRenderedPageBreak/>
              <w:t>“New Ordinary Shares”</w:t>
            </w:r>
          </w:p>
        </w:tc>
        <w:tc>
          <w:tcPr>
            <w:tcW w:w="5799" w:type="dxa"/>
            <w:shd w:val="clear" w:color="auto" w:fill="auto"/>
          </w:tcPr>
          <w:p w14:paraId="63745381" w14:textId="2B17122D" w:rsidR="00D90E1F" w:rsidRPr="009B546D" w:rsidRDefault="00D90E1F" w:rsidP="00F432B9">
            <w:pPr>
              <w:widowControl w:val="0"/>
              <w:spacing w:line="240" w:lineRule="auto"/>
              <w:rPr>
                <w:rFonts w:cstheme="minorHAnsi"/>
                <w:szCs w:val="20"/>
              </w:rPr>
            </w:pPr>
            <w:r w:rsidRPr="009B546D">
              <w:rPr>
                <w:rFonts w:cstheme="minorHAnsi"/>
                <w:szCs w:val="20"/>
              </w:rPr>
              <w:t xml:space="preserve">the </w:t>
            </w:r>
            <w:r w:rsidR="00043D57">
              <w:rPr>
                <w:rFonts w:cstheme="minorHAnsi"/>
                <w:szCs w:val="20"/>
              </w:rPr>
              <w:t xml:space="preserve">12,921,346 </w:t>
            </w:r>
            <w:r w:rsidRPr="009B546D">
              <w:rPr>
                <w:rFonts w:cstheme="minorHAnsi"/>
                <w:szCs w:val="20"/>
              </w:rPr>
              <w:t xml:space="preserve">new Ordinary Shares consisting of the Consideration Shares </w:t>
            </w:r>
          </w:p>
        </w:tc>
      </w:tr>
      <w:tr w:rsidR="00D90E1F" w:rsidRPr="009B546D" w14:paraId="1E346F40" w14:textId="77777777" w:rsidTr="007B5E1A">
        <w:trPr>
          <w:cantSplit/>
        </w:trPr>
        <w:tc>
          <w:tcPr>
            <w:tcW w:w="3084" w:type="dxa"/>
            <w:shd w:val="clear" w:color="auto" w:fill="auto"/>
          </w:tcPr>
          <w:p w14:paraId="2578DBD3" w14:textId="77777777" w:rsidR="00D90E1F" w:rsidRPr="009B546D" w:rsidRDefault="00D90E1F" w:rsidP="00F432B9">
            <w:pPr>
              <w:widowControl w:val="0"/>
              <w:spacing w:line="240" w:lineRule="auto"/>
              <w:rPr>
                <w:rFonts w:cstheme="minorHAnsi"/>
                <w:b/>
                <w:szCs w:val="20"/>
              </w:rPr>
            </w:pPr>
            <w:r w:rsidRPr="009B546D">
              <w:rPr>
                <w:rFonts w:cstheme="minorHAnsi"/>
                <w:b/>
                <w:szCs w:val="20"/>
              </w:rPr>
              <w:t>“Non-Executive Directors”</w:t>
            </w:r>
          </w:p>
        </w:tc>
        <w:tc>
          <w:tcPr>
            <w:tcW w:w="5799" w:type="dxa"/>
            <w:shd w:val="clear" w:color="auto" w:fill="auto"/>
          </w:tcPr>
          <w:p w14:paraId="2896046C" w14:textId="24BF01E5" w:rsidR="00D90E1F" w:rsidRPr="009B546D" w:rsidRDefault="00D90E1F" w:rsidP="00F432B9">
            <w:pPr>
              <w:widowControl w:val="0"/>
              <w:spacing w:line="240" w:lineRule="auto"/>
              <w:rPr>
                <w:rFonts w:cstheme="minorHAnsi"/>
                <w:szCs w:val="20"/>
              </w:rPr>
            </w:pPr>
            <w:r w:rsidRPr="009B546D">
              <w:rPr>
                <w:rFonts w:cstheme="minorHAnsi"/>
                <w:szCs w:val="20"/>
              </w:rPr>
              <w:t>means Graham Duncan</w:t>
            </w:r>
            <w:r w:rsidR="000037C0">
              <w:rPr>
                <w:rFonts w:cstheme="minorHAnsi"/>
                <w:szCs w:val="20"/>
              </w:rPr>
              <w:t xml:space="preserve"> </w:t>
            </w:r>
            <w:r w:rsidRPr="009B546D">
              <w:rPr>
                <w:rFonts w:cstheme="minorHAnsi"/>
                <w:szCs w:val="20"/>
              </w:rPr>
              <w:t>and Harry Chathli</w:t>
            </w:r>
          </w:p>
        </w:tc>
      </w:tr>
      <w:tr w:rsidR="00D90E1F" w:rsidRPr="009B546D" w14:paraId="4913B799" w14:textId="77777777" w:rsidTr="007B5E1A">
        <w:trPr>
          <w:cantSplit/>
        </w:trPr>
        <w:tc>
          <w:tcPr>
            <w:tcW w:w="3084" w:type="dxa"/>
            <w:shd w:val="clear" w:color="auto" w:fill="auto"/>
          </w:tcPr>
          <w:p w14:paraId="5C9CBB6F" w14:textId="77777777" w:rsidR="00D90E1F" w:rsidRPr="009B546D" w:rsidRDefault="00D90E1F" w:rsidP="00F432B9">
            <w:pPr>
              <w:widowControl w:val="0"/>
              <w:spacing w:line="240" w:lineRule="auto"/>
              <w:rPr>
                <w:rFonts w:cstheme="minorHAnsi"/>
                <w:b/>
                <w:szCs w:val="20"/>
              </w:rPr>
            </w:pPr>
            <w:r w:rsidRPr="009B546D">
              <w:rPr>
                <w:rFonts w:cstheme="minorHAnsi"/>
                <w:b/>
                <w:szCs w:val="20"/>
              </w:rPr>
              <w:t>“Official List”</w:t>
            </w:r>
          </w:p>
        </w:tc>
        <w:tc>
          <w:tcPr>
            <w:tcW w:w="5799" w:type="dxa"/>
            <w:shd w:val="clear" w:color="auto" w:fill="auto"/>
          </w:tcPr>
          <w:p w14:paraId="03CF76F8" w14:textId="77777777" w:rsidR="00D90E1F" w:rsidRPr="009B546D" w:rsidRDefault="00D90E1F" w:rsidP="00F432B9">
            <w:pPr>
              <w:widowControl w:val="0"/>
              <w:spacing w:line="240" w:lineRule="auto"/>
              <w:rPr>
                <w:rFonts w:cstheme="minorHAnsi"/>
                <w:szCs w:val="20"/>
              </w:rPr>
            </w:pPr>
            <w:r w:rsidRPr="009B546D">
              <w:rPr>
                <w:rFonts w:cstheme="minorHAnsi"/>
                <w:szCs w:val="20"/>
              </w:rPr>
              <w:t>the Official List of the FCA</w:t>
            </w:r>
          </w:p>
        </w:tc>
      </w:tr>
      <w:tr w:rsidR="00D90E1F" w:rsidRPr="009B546D" w14:paraId="70A35AB4" w14:textId="77777777" w:rsidTr="007B5E1A">
        <w:trPr>
          <w:cantSplit/>
        </w:trPr>
        <w:tc>
          <w:tcPr>
            <w:tcW w:w="3084" w:type="dxa"/>
            <w:shd w:val="clear" w:color="auto" w:fill="auto"/>
          </w:tcPr>
          <w:p w14:paraId="14774891" w14:textId="77777777" w:rsidR="00D90E1F" w:rsidRPr="009B546D" w:rsidRDefault="00D90E1F" w:rsidP="00F432B9">
            <w:pPr>
              <w:widowControl w:val="0"/>
              <w:spacing w:line="240" w:lineRule="auto"/>
              <w:rPr>
                <w:rFonts w:cstheme="minorHAnsi"/>
                <w:b/>
                <w:szCs w:val="20"/>
              </w:rPr>
            </w:pPr>
            <w:r w:rsidRPr="009B546D">
              <w:rPr>
                <w:rFonts w:cstheme="minorHAnsi"/>
                <w:b/>
                <w:szCs w:val="20"/>
              </w:rPr>
              <w:t>“Ordinary Shares”</w:t>
            </w:r>
          </w:p>
        </w:tc>
        <w:tc>
          <w:tcPr>
            <w:tcW w:w="5799" w:type="dxa"/>
            <w:shd w:val="clear" w:color="auto" w:fill="auto"/>
          </w:tcPr>
          <w:p w14:paraId="3F27B04D" w14:textId="77777777" w:rsidR="00D90E1F" w:rsidRPr="009B546D" w:rsidRDefault="00D90E1F" w:rsidP="00F432B9">
            <w:pPr>
              <w:widowControl w:val="0"/>
              <w:spacing w:line="240" w:lineRule="auto"/>
              <w:rPr>
                <w:rFonts w:cstheme="minorHAnsi"/>
                <w:szCs w:val="20"/>
              </w:rPr>
            </w:pPr>
            <w:r w:rsidRPr="009B546D">
              <w:rPr>
                <w:rFonts w:cstheme="minorHAnsi"/>
                <w:szCs w:val="20"/>
              </w:rPr>
              <w:t>the ordinary shares of £0.01 each in the capital of the Company</w:t>
            </w:r>
          </w:p>
        </w:tc>
      </w:tr>
      <w:tr w:rsidR="00EF4302" w:rsidRPr="009B546D" w14:paraId="000FF491" w14:textId="77777777" w:rsidTr="007B5E1A">
        <w:trPr>
          <w:cantSplit/>
        </w:trPr>
        <w:tc>
          <w:tcPr>
            <w:tcW w:w="3084" w:type="dxa"/>
            <w:shd w:val="clear" w:color="auto" w:fill="auto"/>
          </w:tcPr>
          <w:p w14:paraId="23B4F843" w14:textId="278B8A9C" w:rsidR="00EF4302" w:rsidRPr="009B546D" w:rsidRDefault="00EF4302" w:rsidP="00F432B9">
            <w:pPr>
              <w:widowControl w:val="0"/>
              <w:spacing w:line="240" w:lineRule="auto"/>
              <w:rPr>
                <w:rFonts w:cstheme="minorHAnsi"/>
                <w:b/>
                <w:szCs w:val="20"/>
              </w:rPr>
            </w:pPr>
            <w:r w:rsidRPr="009B546D">
              <w:rPr>
                <w:rFonts w:cstheme="minorHAnsi"/>
                <w:b/>
                <w:szCs w:val="20"/>
              </w:rPr>
              <w:t>“Proposed Acquisition”</w:t>
            </w:r>
          </w:p>
        </w:tc>
        <w:tc>
          <w:tcPr>
            <w:tcW w:w="5799" w:type="dxa"/>
            <w:shd w:val="clear" w:color="auto" w:fill="auto"/>
          </w:tcPr>
          <w:p w14:paraId="70A4DF1B" w14:textId="4EB8869B" w:rsidR="00EF4302" w:rsidRPr="009B546D" w:rsidRDefault="00EF4302" w:rsidP="00F432B9">
            <w:pPr>
              <w:widowControl w:val="0"/>
              <w:spacing w:line="240" w:lineRule="auto"/>
              <w:rPr>
                <w:rFonts w:cstheme="minorHAnsi"/>
                <w:szCs w:val="20"/>
              </w:rPr>
            </w:pPr>
            <w:r w:rsidRPr="009B546D">
              <w:rPr>
                <w:rFonts w:cstheme="minorHAnsi"/>
                <w:szCs w:val="20"/>
              </w:rPr>
              <w:t xml:space="preserve">the </w:t>
            </w:r>
            <w:r w:rsidR="00284911" w:rsidRPr="009B546D">
              <w:rPr>
                <w:rFonts w:cstheme="minorHAnsi"/>
                <w:szCs w:val="20"/>
              </w:rPr>
              <w:t xml:space="preserve">conditional </w:t>
            </w:r>
            <w:r w:rsidRPr="009B546D">
              <w:rPr>
                <w:rFonts w:cstheme="minorHAnsi"/>
                <w:szCs w:val="20"/>
              </w:rPr>
              <w:t xml:space="preserve">acquisition </w:t>
            </w:r>
            <w:r w:rsidR="00284911" w:rsidRPr="009B546D">
              <w:rPr>
                <w:rFonts w:cstheme="minorHAnsi"/>
                <w:szCs w:val="20"/>
              </w:rPr>
              <w:t xml:space="preserve">by the Company </w:t>
            </w:r>
            <w:r w:rsidRPr="009B546D">
              <w:rPr>
                <w:rFonts w:cstheme="minorHAnsi"/>
                <w:szCs w:val="20"/>
              </w:rPr>
              <w:t>of</w:t>
            </w:r>
            <w:r w:rsidR="00284911" w:rsidRPr="009B546D">
              <w:rPr>
                <w:rFonts w:cstheme="minorHAnsi"/>
                <w:szCs w:val="20"/>
              </w:rPr>
              <w:t xml:space="preserve"> the entire issued share capital of</w:t>
            </w:r>
            <w:r w:rsidRPr="009B546D">
              <w:rPr>
                <w:rFonts w:cstheme="minorHAnsi"/>
                <w:szCs w:val="20"/>
              </w:rPr>
              <w:t xml:space="preserve"> Alchemist Codes Sdn Bhd</w:t>
            </w:r>
            <w:r w:rsidR="007D12CA" w:rsidRPr="009B546D">
              <w:rPr>
                <w:rFonts w:cstheme="minorHAnsi"/>
                <w:szCs w:val="20"/>
              </w:rPr>
              <w:t xml:space="preserve"> </w:t>
            </w:r>
            <w:r w:rsidR="00EC6C61" w:rsidRPr="009B546D">
              <w:rPr>
                <w:rFonts w:cstheme="minorHAnsi"/>
                <w:szCs w:val="20"/>
              </w:rPr>
              <w:t xml:space="preserve">pursuant to the terms of the </w:t>
            </w:r>
            <w:r w:rsidR="00481309" w:rsidRPr="009B546D">
              <w:rPr>
                <w:rFonts w:cstheme="minorHAnsi"/>
                <w:szCs w:val="20"/>
              </w:rPr>
              <w:t>Acquisition Agreement</w:t>
            </w:r>
            <w:r w:rsidR="00EC6C61" w:rsidRPr="009B546D">
              <w:rPr>
                <w:rFonts w:cstheme="minorHAnsi"/>
                <w:szCs w:val="20"/>
              </w:rPr>
              <w:t xml:space="preserve"> dated</w:t>
            </w:r>
            <w:r w:rsidR="000A2836" w:rsidRPr="009B546D">
              <w:rPr>
                <w:rFonts w:cstheme="minorHAnsi"/>
                <w:szCs w:val="20"/>
              </w:rPr>
              <w:t xml:space="preserve"> </w:t>
            </w:r>
            <w:r w:rsidR="00084F85">
              <w:rPr>
                <w:rFonts w:cstheme="minorHAnsi"/>
                <w:szCs w:val="20"/>
              </w:rPr>
              <w:t>20</w:t>
            </w:r>
            <w:r w:rsidR="000A2836" w:rsidRPr="009B546D">
              <w:rPr>
                <w:rFonts w:cstheme="minorHAnsi"/>
                <w:szCs w:val="20"/>
              </w:rPr>
              <w:t xml:space="preserve"> </w:t>
            </w:r>
            <w:r w:rsidR="00D76E92" w:rsidRPr="009B546D">
              <w:rPr>
                <w:rFonts w:cstheme="minorHAnsi"/>
                <w:szCs w:val="20"/>
              </w:rPr>
              <w:t xml:space="preserve">March </w:t>
            </w:r>
            <w:r w:rsidR="000A2836" w:rsidRPr="009B546D">
              <w:rPr>
                <w:rFonts w:cstheme="minorHAnsi"/>
                <w:szCs w:val="20"/>
              </w:rPr>
              <w:t>2020</w:t>
            </w:r>
          </w:p>
        </w:tc>
      </w:tr>
      <w:tr w:rsidR="00D90E1F" w:rsidRPr="009B546D" w14:paraId="26BAF10F" w14:textId="77777777" w:rsidTr="007B5E1A">
        <w:trPr>
          <w:cantSplit/>
        </w:trPr>
        <w:tc>
          <w:tcPr>
            <w:tcW w:w="3084" w:type="dxa"/>
            <w:shd w:val="clear" w:color="auto" w:fill="auto"/>
          </w:tcPr>
          <w:p w14:paraId="45DB9856" w14:textId="77777777" w:rsidR="00D90E1F" w:rsidRPr="009B546D" w:rsidRDefault="00D90E1F" w:rsidP="00F432B9">
            <w:pPr>
              <w:widowControl w:val="0"/>
              <w:spacing w:line="240" w:lineRule="auto"/>
              <w:rPr>
                <w:rFonts w:cstheme="minorHAnsi"/>
                <w:b/>
                <w:szCs w:val="20"/>
              </w:rPr>
            </w:pPr>
            <w:r w:rsidRPr="009B546D">
              <w:rPr>
                <w:rFonts w:cstheme="minorHAnsi"/>
                <w:b/>
                <w:szCs w:val="20"/>
              </w:rPr>
              <w:t>“Proposed Director”</w:t>
            </w:r>
          </w:p>
        </w:tc>
        <w:tc>
          <w:tcPr>
            <w:tcW w:w="5799" w:type="dxa"/>
            <w:shd w:val="clear" w:color="auto" w:fill="auto"/>
          </w:tcPr>
          <w:p w14:paraId="146FF948" w14:textId="77777777" w:rsidR="00D90E1F" w:rsidRPr="009B546D" w:rsidRDefault="00D90E1F" w:rsidP="00F432B9">
            <w:pPr>
              <w:widowControl w:val="0"/>
              <w:spacing w:line="240" w:lineRule="auto"/>
              <w:rPr>
                <w:rFonts w:cstheme="minorHAnsi"/>
                <w:szCs w:val="20"/>
              </w:rPr>
            </w:pPr>
            <w:r w:rsidRPr="009B546D">
              <w:rPr>
                <w:rFonts w:cstheme="minorHAnsi"/>
                <w:szCs w:val="20"/>
              </w:rPr>
              <w:t>means Charles Yong Kai Yee</w:t>
            </w:r>
          </w:p>
        </w:tc>
      </w:tr>
      <w:tr w:rsidR="00D90E1F" w:rsidRPr="009B546D" w14:paraId="73A5F481" w14:textId="77777777" w:rsidTr="007B5E1A">
        <w:trPr>
          <w:cantSplit/>
        </w:trPr>
        <w:tc>
          <w:tcPr>
            <w:tcW w:w="3084" w:type="dxa"/>
            <w:shd w:val="clear" w:color="auto" w:fill="auto"/>
          </w:tcPr>
          <w:p w14:paraId="6CBEA53D" w14:textId="7048F091" w:rsidR="00D90E1F" w:rsidRPr="009B546D" w:rsidRDefault="00D90E1F" w:rsidP="00F432B9">
            <w:pPr>
              <w:widowControl w:val="0"/>
              <w:spacing w:line="240" w:lineRule="auto"/>
              <w:rPr>
                <w:rFonts w:cstheme="minorHAnsi"/>
                <w:b/>
                <w:szCs w:val="20"/>
              </w:rPr>
            </w:pPr>
            <w:r w:rsidRPr="009B546D">
              <w:rPr>
                <w:rFonts w:cstheme="minorHAnsi"/>
                <w:b/>
                <w:szCs w:val="20"/>
              </w:rPr>
              <w:t>“Prospectus”</w:t>
            </w:r>
            <w:r w:rsidR="0023670B" w:rsidRPr="009B546D">
              <w:rPr>
                <w:rFonts w:cstheme="minorHAnsi"/>
                <w:b/>
                <w:szCs w:val="20"/>
              </w:rPr>
              <w:t xml:space="preserve"> or “Document”</w:t>
            </w:r>
          </w:p>
        </w:tc>
        <w:tc>
          <w:tcPr>
            <w:tcW w:w="5799" w:type="dxa"/>
            <w:shd w:val="clear" w:color="auto" w:fill="auto"/>
          </w:tcPr>
          <w:p w14:paraId="68D5F85D" w14:textId="1B1D86D8" w:rsidR="00D90E1F" w:rsidRPr="009B546D" w:rsidRDefault="00D90E1F" w:rsidP="00F432B9">
            <w:pPr>
              <w:widowControl w:val="0"/>
              <w:spacing w:line="240" w:lineRule="auto"/>
              <w:rPr>
                <w:rFonts w:cstheme="minorHAnsi"/>
                <w:szCs w:val="20"/>
              </w:rPr>
            </w:pPr>
            <w:r w:rsidRPr="009B546D">
              <w:rPr>
                <w:rFonts w:cstheme="minorHAnsi"/>
                <w:szCs w:val="20"/>
              </w:rPr>
              <w:t xml:space="preserve">means this </w:t>
            </w:r>
            <w:r w:rsidR="0023670B" w:rsidRPr="009B546D">
              <w:rPr>
                <w:rFonts w:cstheme="minorHAnsi"/>
                <w:szCs w:val="20"/>
              </w:rPr>
              <w:t>p</w:t>
            </w:r>
            <w:r w:rsidR="0077279D" w:rsidRPr="009B546D">
              <w:rPr>
                <w:rFonts w:cstheme="minorHAnsi"/>
                <w:szCs w:val="20"/>
              </w:rPr>
              <w:t>rospectus</w:t>
            </w:r>
          </w:p>
        </w:tc>
      </w:tr>
      <w:tr w:rsidR="00D90E1F" w:rsidRPr="009B546D" w14:paraId="66B45690" w14:textId="77777777" w:rsidTr="007B5E1A">
        <w:trPr>
          <w:cantSplit/>
        </w:trPr>
        <w:tc>
          <w:tcPr>
            <w:tcW w:w="3084" w:type="dxa"/>
            <w:shd w:val="clear" w:color="auto" w:fill="auto"/>
          </w:tcPr>
          <w:p w14:paraId="40A1E835" w14:textId="77777777" w:rsidR="00D90E1F" w:rsidRPr="009B546D" w:rsidRDefault="00D90E1F" w:rsidP="00F432B9">
            <w:pPr>
              <w:widowControl w:val="0"/>
              <w:spacing w:line="240" w:lineRule="auto"/>
              <w:rPr>
                <w:rFonts w:cstheme="minorHAnsi"/>
                <w:b/>
                <w:szCs w:val="20"/>
              </w:rPr>
            </w:pPr>
            <w:r w:rsidRPr="009B546D">
              <w:rPr>
                <w:rFonts w:cstheme="minorHAnsi"/>
                <w:b/>
                <w:szCs w:val="20"/>
              </w:rPr>
              <w:t>“Prospectus Rules”</w:t>
            </w:r>
          </w:p>
        </w:tc>
        <w:tc>
          <w:tcPr>
            <w:tcW w:w="5799" w:type="dxa"/>
            <w:shd w:val="clear" w:color="auto" w:fill="auto"/>
          </w:tcPr>
          <w:p w14:paraId="1E561019" w14:textId="77777777" w:rsidR="00D90E1F" w:rsidRPr="009B546D" w:rsidRDefault="00D90E1F" w:rsidP="00F432B9">
            <w:pPr>
              <w:widowControl w:val="0"/>
              <w:spacing w:line="240" w:lineRule="auto"/>
              <w:rPr>
                <w:rFonts w:cstheme="minorHAnsi"/>
                <w:szCs w:val="20"/>
              </w:rPr>
            </w:pPr>
            <w:r w:rsidRPr="009B546D">
              <w:rPr>
                <w:rFonts w:cstheme="minorHAnsi"/>
                <w:szCs w:val="20"/>
              </w:rPr>
              <w:t>the Prospectus Rules made by the FCA under section 73A of FSMA (as amended from time to time)</w:t>
            </w:r>
          </w:p>
        </w:tc>
      </w:tr>
      <w:tr w:rsidR="00D90E1F" w:rsidRPr="009B546D" w14:paraId="2C26E689" w14:textId="77777777" w:rsidTr="007B5E1A">
        <w:trPr>
          <w:cantSplit/>
        </w:trPr>
        <w:tc>
          <w:tcPr>
            <w:tcW w:w="3084" w:type="dxa"/>
            <w:shd w:val="clear" w:color="auto" w:fill="auto"/>
          </w:tcPr>
          <w:p w14:paraId="2F69B718" w14:textId="77777777" w:rsidR="00D90E1F" w:rsidRPr="009B546D" w:rsidRDefault="00D90E1F" w:rsidP="00F432B9">
            <w:pPr>
              <w:widowControl w:val="0"/>
              <w:spacing w:line="240" w:lineRule="auto"/>
              <w:rPr>
                <w:rFonts w:cstheme="minorHAnsi"/>
                <w:b/>
                <w:szCs w:val="20"/>
              </w:rPr>
            </w:pPr>
            <w:r w:rsidRPr="009B546D">
              <w:rPr>
                <w:rFonts w:cstheme="minorHAnsi"/>
                <w:b/>
                <w:szCs w:val="20"/>
              </w:rPr>
              <w:t>“Re-Admission’’</w:t>
            </w:r>
          </w:p>
        </w:tc>
        <w:tc>
          <w:tcPr>
            <w:tcW w:w="5799" w:type="dxa"/>
            <w:shd w:val="clear" w:color="auto" w:fill="auto"/>
          </w:tcPr>
          <w:p w14:paraId="05A1D2F6" w14:textId="77777777" w:rsidR="00D90E1F" w:rsidRPr="009B546D" w:rsidRDefault="00D90E1F" w:rsidP="00F432B9">
            <w:pPr>
              <w:widowControl w:val="0"/>
              <w:spacing w:line="240" w:lineRule="auto"/>
              <w:rPr>
                <w:rFonts w:cstheme="minorHAnsi"/>
                <w:szCs w:val="20"/>
              </w:rPr>
            </w:pPr>
            <w:r w:rsidRPr="009B546D">
              <w:rPr>
                <w:rFonts w:cstheme="minorHAnsi"/>
                <w:szCs w:val="20"/>
              </w:rPr>
              <w:t xml:space="preserve">admission of the Enlarged Share Capital to the standard segment of the Official List and to trading on the Main Market </w:t>
            </w:r>
          </w:p>
        </w:tc>
      </w:tr>
      <w:tr w:rsidR="00D90E1F" w:rsidRPr="009B546D" w14:paraId="10712187" w14:textId="77777777" w:rsidTr="007B5E1A">
        <w:trPr>
          <w:cantSplit/>
        </w:trPr>
        <w:tc>
          <w:tcPr>
            <w:tcW w:w="3084" w:type="dxa"/>
            <w:shd w:val="clear" w:color="auto" w:fill="auto"/>
          </w:tcPr>
          <w:p w14:paraId="6B66CDF7" w14:textId="2B1F3F08" w:rsidR="00D90E1F" w:rsidRPr="009B546D" w:rsidRDefault="00D90E1F" w:rsidP="00F432B9">
            <w:pPr>
              <w:widowControl w:val="0"/>
              <w:spacing w:line="240" w:lineRule="auto"/>
              <w:rPr>
                <w:rFonts w:cstheme="minorHAnsi"/>
                <w:b/>
                <w:szCs w:val="20"/>
              </w:rPr>
            </w:pPr>
            <w:bookmarkStart w:id="72" w:name="_BPDCI_672"/>
            <w:r w:rsidRPr="009B546D">
              <w:rPr>
                <w:rFonts w:cstheme="minorHAnsi"/>
                <w:b/>
                <w:szCs w:val="20"/>
              </w:rPr>
              <w:t>"Registrar"</w:t>
            </w:r>
            <w:bookmarkEnd w:id="72"/>
          </w:p>
        </w:tc>
        <w:tc>
          <w:tcPr>
            <w:tcW w:w="5799" w:type="dxa"/>
            <w:shd w:val="clear" w:color="auto" w:fill="auto"/>
          </w:tcPr>
          <w:p w14:paraId="61F85F69" w14:textId="77777777" w:rsidR="00D90E1F" w:rsidRPr="009B546D" w:rsidRDefault="00D90E1F" w:rsidP="00F432B9">
            <w:pPr>
              <w:widowControl w:val="0"/>
              <w:spacing w:line="240" w:lineRule="auto"/>
              <w:rPr>
                <w:rFonts w:cstheme="minorHAnsi"/>
                <w:szCs w:val="20"/>
              </w:rPr>
            </w:pPr>
            <w:bookmarkStart w:id="73" w:name="_BPDCI_673"/>
            <w:r w:rsidRPr="009B546D">
              <w:rPr>
                <w:rFonts w:cstheme="minorHAnsi"/>
                <w:szCs w:val="20"/>
              </w:rPr>
              <w:t xml:space="preserve">means Computershare Investor Services (Cayman) Limited </w:t>
            </w:r>
            <w:bookmarkEnd w:id="73"/>
          </w:p>
        </w:tc>
      </w:tr>
      <w:tr w:rsidR="001A3EBD" w:rsidRPr="009B546D" w14:paraId="1CCF3E4E" w14:textId="77777777" w:rsidTr="007B5E1A">
        <w:trPr>
          <w:cantSplit/>
        </w:trPr>
        <w:tc>
          <w:tcPr>
            <w:tcW w:w="3084" w:type="dxa"/>
            <w:shd w:val="clear" w:color="auto" w:fill="auto"/>
          </w:tcPr>
          <w:p w14:paraId="57CA4823" w14:textId="0C4253AD" w:rsidR="001A3EBD" w:rsidRPr="009B546D" w:rsidRDefault="001A3EBD" w:rsidP="00F432B9">
            <w:pPr>
              <w:widowControl w:val="0"/>
              <w:spacing w:line="240" w:lineRule="auto"/>
              <w:rPr>
                <w:rFonts w:cstheme="minorHAnsi"/>
                <w:b/>
                <w:szCs w:val="20"/>
              </w:rPr>
            </w:pPr>
            <w:r w:rsidRPr="009B546D">
              <w:rPr>
                <w:rFonts w:cstheme="minorHAnsi"/>
                <w:b/>
                <w:szCs w:val="20"/>
              </w:rPr>
              <w:t>“RM”</w:t>
            </w:r>
          </w:p>
        </w:tc>
        <w:tc>
          <w:tcPr>
            <w:tcW w:w="5799" w:type="dxa"/>
            <w:shd w:val="clear" w:color="auto" w:fill="auto"/>
          </w:tcPr>
          <w:p w14:paraId="063E3DA3" w14:textId="450E576B" w:rsidR="001A3EBD" w:rsidRPr="009B546D" w:rsidRDefault="001A3EBD" w:rsidP="00F432B9">
            <w:pPr>
              <w:widowControl w:val="0"/>
              <w:spacing w:line="240" w:lineRule="auto"/>
              <w:rPr>
                <w:rFonts w:cstheme="minorHAnsi"/>
                <w:szCs w:val="20"/>
              </w:rPr>
            </w:pPr>
            <w:r w:rsidRPr="009B546D">
              <w:rPr>
                <w:rFonts w:cstheme="minorHAnsi"/>
                <w:szCs w:val="20"/>
              </w:rPr>
              <w:t>means Malaysian Ringgit, the lawful currency of Malaysia</w:t>
            </w:r>
          </w:p>
        </w:tc>
      </w:tr>
      <w:tr w:rsidR="00D90E1F" w:rsidRPr="009B546D" w14:paraId="63974FA3" w14:textId="77777777" w:rsidTr="007B5E1A">
        <w:trPr>
          <w:cantSplit/>
        </w:trPr>
        <w:tc>
          <w:tcPr>
            <w:tcW w:w="3084" w:type="dxa"/>
            <w:shd w:val="clear" w:color="auto" w:fill="auto"/>
          </w:tcPr>
          <w:p w14:paraId="5F1FFE79" w14:textId="77777777" w:rsidR="00D90E1F" w:rsidRPr="009B546D" w:rsidRDefault="00D90E1F" w:rsidP="00F432B9">
            <w:pPr>
              <w:widowControl w:val="0"/>
              <w:spacing w:line="240" w:lineRule="auto"/>
              <w:rPr>
                <w:rFonts w:cstheme="minorHAnsi"/>
                <w:b/>
                <w:szCs w:val="20"/>
              </w:rPr>
            </w:pPr>
            <w:r w:rsidRPr="009B546D">
              <w:rPr>
                <w:rFonts w:cstheme="minorHAnsi"/>
                <w:b/>
                <w:szCs w:val="20"/>
              </w:rPr>
              <w:t>“SEC”</w:t>
            </w:r>
          </w:p>
        </w:tc>
        <w:tc>
          <w:tcPr>
            <w:tcW w:w="5799" w:type="dxa"/>
            <w:shd w:val="clear" w:color="auto" w:fill="auto"/>
          </w:tcPr>
          <w:p w14:paraId="69725E44" w14:textId="77777777" w:rsidR="00D90E1F" w:rsidRPr="009B546D" w:rsidRDefault="00D90E1F" w:rsidP="00F432B9">
            <w:pPr>
              <w:widowControl w:val="0"/>
              <w:spacing w:line="240" w:lineRule="auto"/>
              <w:rPr>
                <w:rFonts w:cstheme="minorHAnsi"/>
                <w:szCs w:val="20"/>
              </w:rPr>
            </w:pPr>
            <w:r w:rsidRPr="009B546D">
              <w:rPr>
                <w:rFonts w:cstheme="minorHAnsi"/>
                <w:szCs w:val="20"/>
              </w:rPr>
              <w:t>US Securities and Exchange Commission</w:t>
            </w:r>
          </w:p>
        </w:tc>
      </w:tr>
      <w:tr w:rsidR="00D90E1F" w:rsidRPr="009B546D" w14:paraId="4554CA77" w14:textId="77777777" w:rsidTr="007B5E1A">
        <w:trPr>
          <w:cantSplit/>
        </w:trPr>
        <w:tc>
          <w:tcPr>
            <w:tcW w:w="3084" w:type="dxa"/>
            <w:shd w:val="clear" w:color="auto" w:fill="auto"/>
          </w:tcPr>
          <w:p w14:paraId="3ED70080" w14:textId="77777777" w:rsidR="00D90E1F" w:rsidRPr="009B546D" w:rsidRDefault="00D90E1F" w:rsidP="00F432B9">
            <w:pPr>
              <w:widowControl w:val="0"/>
              <w:spacing w:line="240" w:lineRule="auto"/>
              <w:rPr>
                <w:rFonts w:cstheme="minorHAnsi"/>
                <w:b/>
                <w:szCs w:val="20"/>
              </w:rPr>
            </w:pPr>
            <w:r w:rsidRPr="009B546D">
              <w:rPr>
                <w:rFonts w:cstheme="minorHAnsi"/>
                <w:b/>
                <w:szCs w:val="20"/>
              </w:rPr>
              <w:t>“Securities Act”</w:t>
            </w:r>
          </w:p>
        </w:tc>
        <w:tc>
          <w:tcPr>
            <w:tcW w:w="5799" w:type="dxa"/>
            <w:shd w:val="clear" w:color="auto" w:fill="auto"/>
          </w:tcPr>
          <w:p w14:paraId="593AF1A2" w14:textId="77777777" w:rsidR="00D90E1F" w:rsidRPr="009B546D" w:rsidRDefault="00D90E1F" w:rsidP="00F432B9">
            <w:pPr>
              <w:widowControl w:val="0"/>
              <w:spacing w:line="240" w:lineRule="auto"/>
              <w:rPr>
                <w:rFonts w:cstheme="minorHAnsi"/>
                <w:szCs w:val="20"/>
              </w:rPr>
            </w:pPr>
            <w:r w:rsidRPr="009B546D">
              <w:rPr>
                <w:rFonts w:cstheme="minorHAnsi"/>
                <w:szCs w:val="20"/>
              </w:rPr>
              <w:t>United States Securities Act of 1933 (as amended from time to time)</w:t>
            </w:r>
          </w:p>
        </w:tc>
      </w:tr>
      <w:tr w:rsidR="00D90E1F" w:rsidRPr="009B546D" w14:paraId="3FE235EB" w14:textId="77777777" w:rsidTr="007B5E1A">
        <w:trPr>
          <w:cantSplit/>
        </w:trPr>
        <w:tc>
          <w:tcPr>
            <w:tcW w:w="3084" w:type="dxa"/>
            <w:shd w:val="clear" w:color="auto" w:fill="auto"/>
          </w:tcPr>
          <w:p w14:paraId="60E7FF4F" w14:textId="77777777" w:rsidR="00D90E1F" w:rsidRPr="009B546D" w:rsidRDefault="00D90E1F" w:rsidP="00F432B9">
            <w:pPr>
              <w:widowControl w:val="0"/>
              <w:spacing w:line="240" w:lineRule="auto"/>
              <w:rPr>
                <w:rFonts w:cstheme="minorHAnsi"/>
                <w:b/>
                <w:szCs w:val="20"/>
              </w:rPr>
            </w:pPr>
            <w:r w:rsidRPr="009B546D">
              <w:rPr>
                <w:rFonts w:cstheme="minorHAnsi"/>
                <w:b/>
                <w:szCs w:val="20"/>
              </w:rPr>
              <w:t>“Sellers”</w:t>
            </w:r>
          </w:p>
        </w:tc>
        <w:tc>
          <w:tcPr>
            <w:tcW w:w="5799" w:type="dxa"/>
            <w:shd w:val="clear" w:color="auto" w:fill="auto"/>
          </w:tcPr>
          <w:p w14:paraId="3F3A6FDD" w14:textId="1A6F1988" w:rsidR="00D90E1F" w:rsidRPr="009B546D" w:rsidRDefault="00D90E1F" w:rsidP="00F432B9">
            <w:pPr>
              <w:widowControl w:val="0"/>
              <w:spacing w:line="240" w:lineRule="auto"/>
              <w:rPr>
                <w:rFonts w:cstheme="minorHAnsi"/>
                <w:szCs w:val="20"/>
              </w:rPr>
            </w:pPr>
            <w:r w:rsidRPr="009B546D">
              <w:rPr>
                <w:rFonts w:cstheme="minorHAnsi"/>
                <w:szCs w:val="20"/>
              </w:rPr>
              <w:t xml:space="preserve">the selling shareholders of </w:t>
            </w:r>
            <w:r w:rsidR="00AF0C4A" w:rsidRPr="009B546D">
              <w:rPr>
                <w:rFonts w:cstheme="minorHAnsi"/>
                <w:szCs w:val="20"/>
              </w:rPr>
              <w:t>Alchemist Codes</w:t>
            </w:r>
            <w:r w:rsidRPr="009B546D">
              <w:rPr>
                <w:rFonts w:cstheme="minorHAnsi"/>
                <w:szCs w:val="20"/>
              </w:rPr>
              <w:t xml:space="preserve"> pursuant to the Acquisition Agreement </w:t>
            </w:r>
          </w:p>
        </w:tc>
      </w:tr>
      <w:tr w:rsidR="00D90E1F" w:rsidRPr="009B546D" w14:paraId="264D09D8" w14:textId="77777777" w:rsidTr="007B5E1A">
        <w:trPr>
          <w:cantSplit/>
        </w:trPr>
        <w:tc>
          <w:tcPr>
            <w:tcW w:w="3084" w:type="dxa"/>
            <w:shd w:val="clear" w:color="auto" w:fill="auto"/>
          </w:tcPr>
          <w:p w14:paraId="643B60E5" w14:textId="77777777" w:rsidR="00D90E1F" w:rsidRPr="009B546D" w:rsidRDefault="00D90E1F" w:rsidP="00F432B9">
            <w:pPr>
              <w:widowControl w:val="0"/>
              <w:spacing w:line="240" w:lineRule="auto"/>
              <w:rPr>
                <w:rFonts w:cstheme="minorHAnsi"/>
                <w:b/>
                <w:szCs w:val="20"/>
              </w:rPr>
            </w:pPr>
            <w:r w:rsidRPr="009B546D">
              <w:rPr>
                <w:rFonts w:cstheme="minorHAnsi"/>
                <w:b/>
                <w:szCs w:val="20"/>
              </w:rPr>
              <w:t>“Shareholder” or “Shareholders”</w:t>
            </w:r>
          </w:p>
        </w:tc>
        <w:tc>
          <w:tcPr>
            <w:tcW w:w="5799" w:type="dxa"/>
            <w:shd w:val="clear" w:color="auto" w:fill="auto"/>
          </w:tcPr>
          <w:p w14:paraId="550119F1" w14:textId="77777777" w:rsidR="00D90E1F" w:rsidRPr="009B546D" w:rsidRDefault="00D90E1F" w:rsidP="00F432B9">
            <w:pPr>
              <w:widowControl w:val="0"/>
              <w:spacing w:line="240" w:lineRule="auto"/>
              <w:rPr>
                <w:rFonts w:cstheme="minorHAnsi"/>
                <w:szCs w:val="20"/>
              </w:rPr>
            </w:pPr>
            <w:r w:rsidRPr="009B546D">
              <w:rPr>
                <w:rFonts w:cstheme="minorHAnsi"/>
                <w:szCs w:val="20"/>
              </w:rPr>
              <w:t xml:space="preserve">holder or holders of Ordinary Shares and/or New Ordinary Shares, as the context requires </w:t>
            </w:r>
          </w:p>
        </w:tc>
      </w:tr>
      <w:tr w:rsidR="00D90E1F" w:rsidRPr="009B546D" w14:paraId="3DA5F2BC" w14:textId="77777777" w:rsidTr="007B5E1A">
        <w:trPr>
          <w:cantSplit/>
        </w:trPr>
        <w:tc>
          <w:tcPr>
            <w:tcW w:w="3084" w:type="dxa"/>
            <w:shd w:val="clear" w:color="auto" w:fill="auto"/>
          </w:tcPr>
          <w:p w14:paraId="747F6E65" w14:textId="77777777" w:rsidR="00D90E1F" w:rsidRPr="009B546D" w:rsidRDefault="00D90E1F" w:rsidP="00F432B9">
            <w:pPr>
              <w:widowControl w:val="0"/>
              <w:spacing w:line="240" w:lineRule="auto"/>
              <w:rPr>
                <w:rFonts w:cstheme="minorHAnsi"/>
                <w:b/>
                <w:szCs w:val="20"/>
              </w:rPr>
            </w:pPr>
            <w:r w:rsidRPr="009B546D">
              <w:rPr>
                <w:rFonts w:cstheme="minorHAnsi"/>
                <w:b/>
                <w:szCs w:val="20"/>
              </w:rPr>
              <w:t>“Standard Listing”</w:t>
            </w:r>
          </w:p>
        </w:tc>
        <w:tc>
          <w:tcPr>
            <w:tcW w:w="5799" w:type="dxa"/>
            <w:shd w:val="clear" w:color="auto" w:fill="auto"/>
          </w:tcPr>
          <w:p w14:paraId="57BB0B1B" w14:textId="77777777" w:rsidR="00D90E1F" w:rsidRPr="009B546D" w:rsidRDefault="00D90E1F" w:rsidP="00F432B9">
            <w:pPr>
              <w:widowControl w:val="0"/>
              <w:spacing w:line="240" w:lineRule="auto"/>
              <w:rPr>
                <w:rFonts w:cstheme="minorHAnsi"/>
                <w:szCs w:val="20"/>
              </w:rPr>
            </w:pPr>
            <w:r w:rsidRPr="009B546D">
              <w:rPr>
                <w:rFonts w:cstheme="minorHAnsi"/>
                <w:szCs w:val="20"/>
              </w:rPr>
              <w:t>a Standard Listing under Chapter 14 of the Listing Rules</w:t>
            </w:r>
          </w:p>
        </w:tc>
      </w:tr>
      <w:tr w:rsidR="00D90E1F" w:rsidRPr="009B546D" w14:paraId="51AC5037" w14:textId="77777777" w:rsidTr="007B5E1A">
        <w:trPr>
          <w:cantSplit/>
        </w:trPr>
        <w:tc>
          <w:tcPr>
            <w:tcW w:w="3084" w:type="dxa"/>
            <w:shd w:val="clear" w:color="auto" w:fill="auto"/>
          </w:tcPr>
          <w:p w14:paraId="458FBC2C" w14:textId="77777777" w:rsidR="00D90E1F" w:rsidRPr="009B546D" w:rsidRDefault="00D90E1F" w:rsidP="00F432B9">
            <w:pPr>
              <w:widowControl w:val="0"/>
              <w:spacing w:line="240" w:lineRule="auto"/>
              <w:rPr>
                <w:rFonts w:cstheme="minorHAnsi"/>
                <w:b/>
                <w:szCs w:val="20"/>
              </w:rPr>
            </w:pPr>
            <w:r w:rsidRPr="009B546D">
              <w:rPr>
                <w:rFonts w:cstheme="minorHAnsi"/>
                <w:b/>
                <w:szCs w:val="20"/>
              </w:rPr>
              <w:t>“Transaction Costs”</w:t>
            </w:r>
          </w:p>
        </w:tc>
        <w:tc>
          <w:tcPr>
            <w:tcW w:w="5799" w:type="dxa"/>
            <w:shd w:val="clear" w:color="auto" w:fill="auto"/>
          </w:tcPr>
          <w:p w14:paraId="3632B090" w14:textId="3330AFED" w:rsidR="00D90E1F" w:rsidRPr="009B546D" w:rsidRDefault="00D90E1F" w:rsidP="00F432B9">
            <w:pPr>
              <w:widowControl w:val="0"/>
              <w:spacing w:line="240" w:lineRule="auto"/>
              <w:rPr>
                <w:rFonts w:cstheme="minorHAnsi"/>
                <w:szCs w:val="20"/>
              </w:rPr>
            </w:pPr>
            <w:r w:rsidRPr="009B546D">
              <w:rPr>
                <w:rFonts w:cstheme="minorHAnsi"/>
                <w:szCs w:val="20"/>
              </w:rPr>
              <w:t xml:space="preserve">the total expenses incurred (or to be incurred) by the Company in connection with the </w:t>
            </w:r>
            <w:r w:rsidR="008B2FC5" w:rsidRPr="009B546D">
              <w:rPr>
                <w:rFonts w:cstheme="minorHAnsi"/>
                <w:szCs w:val="20"/>
              </w:rPr>
              <w:t xml:space="preserve">Proposed </w:t>
            </w:r>
            <w:r w:rsidRPr="009B546D">
              <w:rPr>
                <w:rFonts w:cstheme="minorHAnsi"/>
                <w:szCs w:val="20"/>
              </w:rPr>
              <w:t>Acquisition</w:t>
            </w:r>
            <w:r w:rsidR="007565FD" w:rsidRPr="009B546D">
              <w:rPr>
                <w:rFonts w:cstheme="minorHAnsi"/>
                <w:szCs w:val="20"/>
              </w:rPr>
              <w:t xml:space="preserve"> </w:t>
            </w:r>
            <w:r w:rsidRPr="009B546D">
              <w:rPr>
                <w:rFonts w:cstheme="minorHAnsi"/>
                <w:szCs w:val="20"/>
              </w:rPr>
              <w:t xml:space="preserve">and Re-Admission amounting to approximately </w:t>
            </w:r>
            <w:r w:rsidRPr="00960F77">
              <w:rPr>
                <w:rFonts w:cstheme="minorHAnsi"/>
                <w:szCs w:val="20"/>
              </w:rPr>
              <w:t>£</w:t>
            </w:r>
            <w:r w:rsidR="001A32DA" w:rsidRPr="00960F77">
              <w:rPr>
                <w:rFonts w:cstheme="minorHAnsi"/>
                <w:szCs w:val="20"/>
              </w:rPr>
              <w:t>364,000</w:t>
            </w:r>
          </w:p>
        </w:tc>
      </w:tr>
      <w:tr w:rsidR="00D90E1F" w:rsidRPr="009B546D" w14:paraId="20CC44A6" w14:textId="77777777" w:rsidTr="007B5E1A">
        <w:trPr>
          <w:cantSplit/>
        </w:trPr>
        <w:tc>
          <w:tcPr>
            <w:tcW w:w="3084" w:type="dxa"/>
            <w:shd w:val="clear" w:color="auto" w:fill="auto"/>
          </w:tcPr>
          <w:p w14:paraId="5A8E27E5" w14:textId="77777777" w:rsidR="00D90E1F" w:rsidRPr="009B546D" w:rsidRDefault="00D90E1F" w:rsidP="00F432B9">
            <w:pPr>
              <w:widowControl w:val="0"/>
              <w:spacing w:line="240" w:lineRule="auto"/>
              <w:rPr>
                <w:rFonts w:cstheme="minorHAnsi"/>
                <w:b/>
                <w:szCs w:val="20"/>
              </w:rPr>
            </w:pPr>
            <w:r w:rsidRPr="009B546D">
              <w:rPr>
                <w:rFonts w:cstheme="minorHAnsi"/>
                <w:b/>
                <w:szCs w:val="20"/>
              </w:rPr>
              <w:t>“UK” or “United Kingdom”</w:t>
            </w:r>
          </w:p>
        </w:tc>
        <w:tc>
          <w:tcPr>
            <w:tcW w:w="5799" w:type="dxa"/>
            <w:shd w:val="clear" w:color="auto" w:fill="auto"/>
          </w:tcPr>
          <w:p w14:paraId="1A9D54D6" w14:textId="77777777" w:rsidR="00D90E1F" w:rsidRPr="009B546D" w:rsidRDefault="00D90E1F" w:rsidP="00F432B9">
            <w:pPr>
              <w:widowControl w:val="0"/>
              <w:spacing w:line="240" w:lineRule="auto"/>
              <w:rPr>
                <w:rFonts w:cstheme="minorHAnsi"/>
                <w:szCs w:val="20"/>
              </w:rPr>
            </w:pPr>
            <w:r w:rsidRPr="009B546D">
              <w:rPr>
                <w:rFonts w:cstheme="minorHAnsi"/>
                <w:szCs w:val="20"/>
              </w:rPr>
              <w:t xml:space="preserve">the United Kingdom of England and Wales </w:t>
            </w:r>
          </w:p>
        </w:tc>
      </w:tr>
      <w:tr w:rsidR="00D90E1F" w:rsidRPr="009B546D" w14:paraId="43574D53" w14:textId="77777777" w:rsidTr="007B5E1A">
        <w:trPr>
          <w:cantSplit/>
        </w:trPr>
        <w:tc>
          <w:tcPr>
            <w:tcW w:w="3084" w:type="dxa"/>
            <w:shd w:val="clear" w:color="auto" w:fill="auto"/>
          </w:tcPr>
          <w:p w14:paraId="577262E7" w14:textId="77777777" w:rsidR="00D90E1F" w:rsidRPr="009B546D" w:rsidRDefault="00D90E1F" w:rsidP="00F432B9">
            <w:pPr>
              <w:widowControl w:val="0"/>
              <w:spacing w:line="240" w:lineRule="auto"/>
              <w:rPr>
                <w:rFonts w:cstheme="minorHAnsi"/>
                <w:b/>
                <w:szCs w:val="20"/>
              </w:rPr>
            </w:pPr>
            <w:r w:rsidRPr="009B546D">
              <w:rPr>
                <w:rFonts w:cstheme="minorHAnsi"/>
                <w:b/>
                <w:szCs w:val="20"/>
              </w:rPr>
              <w:t>“UK Corporate Governance Code”</w:t>
            </w:r>
          </w:p>
        </w:tc>
        <w:tc>
          <w:tcPr>
            <w:tcW w:w="5799" w:type="dxa"/>
            <w:shd w:val="clear" w:color="auto" w:fill="auto"/>
          </w:tcPr>
          <w:p w14:paraId="5A492683" w14:textId="02F32D66" w:rsidR="00D90E1F" w:rsidRPr="009B546D" w:rsidRDefault="00D90E1F" w:rsidP="00F432B9">
            <w:pPr>
              <w:widowControl w:val="0"/>
              <w:spacing w:line="240" w:lineRule="auto"/>
              <w:rPr>
                <w:rFonts w:cstheme="minorHAnsi"/>
                <w:szCs w:val="20"/>
              </w:rPr>
            </w:pPr>
            <w:r w:rsidRPr="009B546D">
              <w:rPr>
                <w:rFonts w:cstheme="minorHAnsi"/>
                <w:szCs w:val="20"/>
              </w:rPr>
              <w:t>the UK Corporate Governance Code as published by the Financial Reporting Council in July 2018</w:t>
            </w:r>
          </w:p>
        </w:tc>
      </w:tr>
      <w:tr w:rsidR="00D90E1F" w:rsidRPr="009B546D" w14:paraId="3169E54B" w14:textId="77777777" w:rsidTr="007B5E1A">
        <w:trPr>
          <w:cantSplit/>
        </w:trPr>
        <w:tc>
          <w:tcPr>
            <w:tcW w:w="3084" w:type="dxa"/>
            <w:shd w:val="clear" w:color="auto" w:fill="auto"/>
          </w:tcPr>
          <w:p w14:paraId="073E4BE9" w14:textId="77777777" w:rsidR="00D90E1F" w:rsidRPr="009B546D" w:rsidRDefault="00D90E1F" w:rsidP="00F432B9">
            <w:pPr>
              <w:widowControl w:val="0"/>
              <w:spacing w:line="240" w:lineRule="auto"/>
              <w:rPr>
                <w:rFonts w:cstheme="minorHAnsi"/>
                <w:b/>
                <w:szCs w:val="20"/>
              </w:rPr>
            </w:pPr>
            <w:r w:rsidRPr="009B546D">
              <w:rPr>
                <w:rFonts w:cstheme="minorHAnsi"/>
                <w:b/>
                <w:szCs w:val="20"/>
              </w:rPr>
              <w:t>“USD” or “US$”</w:t>
            </w:r>
          </w:p>
        </w:tc>
        <w:tc>
          <w:tcPr>
            <w:tcW w:w="5799" w:type="dxa"/>
            <w:shd w:val="clear" w:color="auto" w:fill="auto"/>
          </w:tcPr>
          <w:p w14:paraId="7BF2EC8D" w14:textId="77777777" w:rsidR="00D90E1F" w:rsidRPr="009B546D" w:rsidRDefault="00D90E1F" w:rsidP="00F432B9">
            <w:pPr>
              <w:widowControl w:val="0"/>
              <w:spacing w:line="240" w:lineRule="auto"/>
              <w:rPr>
                <w:rFonts w:cstheme="minorHAnsi"/>
                <w:szCs w:val="20"/>
              </w:rPr>
            </w:pPr>
            <w:r w:rsidRPr="009B546D">
              <w:rPr>
                <w:rFonts w:cstheme="minorHAnsi"/>
                <w:szCs w:val="20"/>
              </w:rPr>
              <w:t xml:space="preserve">the lawful currency for the time being of the United States </w:t>
            </w:r>
          </w:p>
        </w:tc>
      </w:tr>
      <w:tr w:rsidR="00D90E1F" w:rsidRPr="009B546D" w14:paraId="795F9C04" w14:textId="77777777" w:rsidTr="007B5E1A">
        <w:trPr>
          <w:cantSplit/>
        </w:trPr>
        <w:tc>
          <w:tcPr>
            <w:tcW w:w="3084" w:type="dxa"/>
            <w:shd w:val="clear" w:color="auto" w:fill="auto"/>
          </w:tcPr>
          <w:p w14:paraId="468E42B1" w14:textId="77777777" w:rsidR="00D90E1F" w:rsidRPr="009B546D" w:rsidRDefault="00D90E1F" w:rsidP="00F432B9">
            <w:pPr>
              <w:widowControl w:val="0"/>
              <w:spacing w:line="240" w:lineRule="auto"/>
              <w:rPr>
                <w:rFonts w:cstheme="minorHAnsi"/>
                <w:b/>
                <w:szCs w:val="20"/>
              </w:rPr>
            </w:pPr>
            <w:r w:rsidRPr="009B546D">
              <w:rPr>
                <w:rFonts w:cstheme="minorHAnsi"/>
                <w:b/>
                <w:szCs w:val="20"/>
              </w:rPr>
              <w:t>“Unaudited Pro Forma Financial Information”</w:t>
            </w:r>
          </w:p>
        </w:tc>
        <w:tc>
          <w:tcPr>
            <w:tcW w:w="5799" w:type="dxa"/>
            <w:shd w:val="clear" w:color="auto" w:fill="auto"/>
          </w:tcPr>
          <w:p w14:paraId="5AA14EF9" w14:textId="2DC66388" w:rsidR="00D90E1F" w:rsidRPr="009B546D" w:rsidRDefault="00D90E1F" w:rsidP="00F432B9">
            <w:pPr>
              <w:widowControl w:val="0"/>
              <w:spacing w:line="240" w:lineRule="auto"/>
              <w:rPr>
                <w:rFonts w:cstheme="minorHAnsi"/>
                <w:szCs w:val="20"/>
              </w:rPr>
            </w:pPr>
            <w:r w:rsidRPr="009B546D">
              <w:rPr>
                <w:rFonts w:cstheme="minorHAnsi"/>
                <w:szCs w:val="20"/>
              </w:rPr>
              <w:t xml:space="preserve">the unaudited </w:t>
            </w:r>
            <w:r w:rsidRPr="009B546D">
              <w:rPr>
                <w:rFonts w:cstheme="minorHAnsi"/>
                <w:i/>
                <w:iCs/>
                <w:szCs w:val="20"/>
              </w:rPr>
              <w:t>pro forma</w:t>
            </w:r>
            <w:r w:rsidRPr="009B546D">
              <w:rPr>
                <w:rFonts w:cstheme="minorHAnsi"/>
                <w:szCs w:val="20"/>
              </w:rPr>
              <w:t xml:space="preserve"> statements of aggregated net assets and earnings for the period ended </w:t>
            </w:r>
            <w:r w:rsidR="00B80E04" w:rsidRPr="009B546D">
              <w:rPr>
                <w:rFonts w:cstheme="minorHAnsi"/>
                <w:szCs w:val="20"/>
              </w:rPr>
              <w:t>31 October 2019</w:t>
            </w:r>
            <w:r w:rsidRPr="009B546D">
              <w:rPr>
                <w:rFonts w:cstheme="minorHAnsi"/>
                <w:szCs w:val="20"/>
              </w:rPr>
              <w:t xml:space="preserve"> of the Company as set out in Part </w:t>
            </w:r>
            <w:r w:rsidR="00873F98" w:rsidRPr="009B546D">
              <w:rPr>
                <w:rFonts w:cstheme="minorHAnsi"/>
                <w:szCs w:val="20"/>
              </w:rPr>
              <w:t>XVI</w:t>
            </w:r>
            <w:r w:rsidR="006F1645">
              <w:rPr>
                <w:rFonts w:cstheme="minorHAnsi"/>
                <w:szCs w:val="20"/>
              </w:rPr>
              <w:t>I</w:t>
            </w:r>
            <w:r w:rsidR="00873F98" w:rsidRPr="009B546D">
              <w:rPr>
                <w:rFonts w:cstheme="minorHAnsi"/>
                <w:szCs w:val="20"/>
              </w:rPr>
              <w:t xml:space="preserve"> </w:t>
            </w:r>
            <w:r w:rsidRPr="009B546D">
              <w:rPr>
                <w:rFonts w:cstheme="minorHAnsi"/>
                <w:szCs w:val="20"/>
              </w:rPr>
              <w:t>of this Prospectus</w:t>
            </w:r>
          </w:p>
        </w:tc>
      </w:tr>
      <w:tr w:rsidR="00D90E1F" w:rsidRPr="009B546D" w14:paraId="6436081B" w14:textId="77777777" w:rsidTr="007B5E1A">
        <w:trPr>
          <w:cantSplit/>
        </w:trPr>
        <w:tc>
          <w:tcPr>
            <w:tcW w:w="3084" w:type="dxa"/>
            <w:shd w:val="clear" w:color="auto" w:fill="auto"/>
          </w:tcPr>
          <w:p w14:paraId="63F1456E" w14:textId="77777777" w:rsidR="00D90E1F" w:rsidRPr="009B546D" w:rsidRDefault="00D90E1F" w:rsidP="00F432B9">
            <w:pPr>
              <w:widowControl w:val="0"/>
              <w:spacing w:line="240" w:lineRule="auto"/>
              <w:rPr>
                <w:rFonts w:cstheme="minorHAnsi"/>
                <w:b/>
                <w:szCs w:val="20"/>
              </w:rPr>
            </w:pPr>
            <w:r w:rsidRPr="009B546D">
              <w:rPr>
                <w:rFonts w:cstheme="minorHAnsi"/>
                <w:b/>
                <w:szCs w:val="20"/>
              </w:rPr>
              <w:t>“United States” or “US”</w:t>
            </w:r>
          </w:p>
        </w:tc>
        <w:tc>
          <w:tcPr>
            <w:tcW w:w="5799" w:type="dxa"/>
            <w:shd w:val="clear" w:color="auto" w:fill="auto"/>
          </w:tcPr>
          <w:p w14:paraId="3A017017" w14:textId="1810CF0A" w:rsidR="00D90E1F" w:rsidRPr="009B546D" w:rsidRDefault="00D90E1F" w:rsidP="00F432B9">
            <w:pPr>
              <w:widowControl w:val="0"/>
              <w:spacing w:line="240" w:lineRule="auto"/>
              <w:rPr>
                <w:rFonts w:cstheme="minorHAnsi"/>
                <w:szCs w:val="20"/>
              </w:rPr>
            </w:pPr>
            <w:r w:rsidRPr="009B546D">
              <w:rPr>
                <w:rFonts w:cstheme="minorHAnsi"/>
                <w:szCs w:val="20"/>
              </w:rPr>
              <w:t>has the meaning given to the term “</w:t>
            </w:r>
            <w:r w:rsidRPr="00EA2BB6">
              <w:rPr>
                <w:rFonts w:cstheme="minorHAnsi"/>
                <w:b/>
                <w:bCs/>
                <w:szCs w:val="20"/>
              </w:rPr>
              <w:t>United States</w:t>
            </w:r>
            <w:r w:rsidRPr="009B546D">
              <w:rPr>
                <w:rFonts w:cstheme="minorHAnsi"/>
                <w:szCs w:val="20"/>
              </w:rPr>
              <w:t>” in Regulation of the Securities Act</w:t>
            </w:r>
          </w:p>
        </w:tc>
      </w:tr>
      <w:tr w:rsidR="00D90E1F" w:rsidRPr="009B546D" w14:paraId="39DE08D1" w14:textId="77777777" w:rsidTr="007B5E1A">
        <w:trPr>
          <w:cantSplit/>
        </w:trPr>
        <w:tc>
          <w:tcPr>
            <w:tcW w:w="3084" w:type="dxa"/>
            <w:shd w:val="clear" w:color="auto" w:fill="auto"/>
          </w:tcPr>
          <w:p w14:paraId="07E1E747" w14:textId="77777777" w:rsidR="00D90E1F" w:rsidRPr="009B546D" w:rsidRDefault="00D90E1F" w:rsidP="00F432B9">
            <w:pPr>
              <w:widowControl w:val="0"/>
              <w:spacing w:line="240" w:lineRule="auto"/>
              <w:rPr>
                <w:rFonts w:cstheme="minorHAnsi"/>
                <w:b/>
                <w:szCs w:val="20"/>
              </w:rPr>
            </w:pPr>
            <w:r w:rsidRPr="009B546D">
              <w:rPr>
                <w:rFonts w:cstheme="minorHAnsi"/>
                <w:b/>
                <w:szCs w:val="20"/>
              </w:rPr>
              <w:t>“VSA” or “VSA Capital”</w:t>
            </w:r>
          </w:p>
        </w:tc>
        <w:tc>
          <w:tcPr>
            <w:tcW w:w="5799" w:type="dxa"/>
            <w:shd w:val="clear" w:color="auto" w:fill="auto"/>
          </w:tcPr>
          <w:p w14:paraId="00723EC0" w14:textId="77777777" w:rsidR="00D90E1F" w:rsidRPr="009B546D" w:rsidRDefault="00D90E1F" w:rsidP="00F432B9">
            <w:pPr>
              <w:widowControl w:val="0"/>
              <w:spacing w:line="240" w:lineRule="auto"/>
              <w:rPr>
                <w:rFonts w:cstheme="minorHAnsi"/>
                <w:szCs w:val="20"/>
              </w:rPr>
            </w:pPr>
            <w:r w:rsidRPr="009B546D">
              <w:rPr>
                <w:rFonts w:cstheme="minorHAnsi"/>
                <w:szCs w:val="20"/>
              </w:rPr>
              <w:t>VSA Capital Limited, Financial Advisor and Broker to the Company</w:t>
            </w:r>
          </w:p>
        </w:tc>
      </w:tr>
      <w:tr w:rsidR="00D90E1F" w:rsidRPr="009B546D" w14:paraId="23966DE7" w14:textId="77777777" w:rsidTr="007B5E1A">
        <w:trPr>
          <w:cantSplit/>
        </w:trPr>
        <w:tc>
          <w:tcPr>
            <w:tcW w:w="3084" w:type="dxa"/>
            <w:shd w:val="clear" w:color="auto" w:fill="auto"/>
          </w:tcPr>
          <w:p w14:paraId="16051531" w14:textId="77777777" w:rsidR="00D90E1F" w:rsidRPr="009B546D" w:rsidRDefault="00D90E1F" w:rsidP="00F432B9">
            <w:pPr>
              <w:widowControl w:val="0"/>
              <w:spacing w:line="240" w:lineRule="auto"/>
              <w:rPr>
                <w:rFonts w:cstheme="minorHAnsi"/>
                <w:b/>
                <w:szCs w:val="20"/>
              </w:rPr>
            </w:pPr>
            <w:r w:rsidRPr="009B546D">
              <w:rPr>
                <w:rFonts w:cstheme="minorHAnsi"/>
                <w:b/>
                <w:szCs w:val="20"/>
              </w:rPr>
              <w:t>“£” or “GBP”</w:t>
            </w:r>
          </w:p>
        </w:tc>
        <w:tc>
          <w:tcPr>
            <w:tcW w:w="5799" w:type="dxa"/>
            <w:shd w:val="clear" w:color="auto" w:fill="auto"/>
          </w:tcPr>
          <w:p w14:paraId="5C0AC0E1" w14:textId="77777777" w:rsidR="00D90E1F" w:rsidRPr="009B546D" w:rsidRDefault="00D90E1F" w:rsidP="00F432B9">
            <w:pPr>
              <w:widowControl w:val="0"/>
              <w:spacing w:line="240" w:lineRule="auto"/>
              <w:rPr>
                <w:rFonts w:cstheme="minorHAnsi"/>
                <w:szCs w:val="20"/>
              </w:rPr>
            </w:pPr>
            <w:r w:rsidRPr="009B546D">
              <w:rPr>
                <w:rFonts w:cstheme="minorHAnsi"/>
                <w:szCs w:val="20"/>
              </w:rPr>
              <w:t xml:space="preserve">means pound sterling, the lawful currency of the United Kingdom </w:t>
            </w:r>
          </w:p>
        </w:tc>
      </w:tr>
    </w:tbl>
    <w:p w14:paraId="265470C2" w14:textId="608DABC4" w:rsidR="00BF534B" w:rsidRPr="009B546D" w:rsidRDefault="00D90E1F" w:rsidP="00D4158A">
      <w:pPr>
        <w:widowControl w:val="0"/>
        <w:spacing w:line="240" w:lineRule="auto"/>
        <w:rPr>
          <w:rFonts w:cstheme="minorHAnsi"/>
        </w:rPr>
      </w:pPr>
      <w:r w:rsidRPr="009B546D">
        <w:rPr>
          <w:rFonts w:cstheme="minorHAnsi"/>
          <w:szCs w:val="20"/>
        </w:rPr>
        <w:t xml:space="preserve">In this Prospectus, words denoting any gender include all genders and the singular includes the plural (and </w:t>
      </w:r>
      <w:r w:rsidRPr="00EA2BB6">
        <w:rPr>
          <w:rFonts w:cstheme="minorHAnsi"/>
          <w:i/>
          <w:iCs/>
          <w:szCs w:val="20"/>
        </w:rPr>
        <w:t>vice versa).</w:t>
      </w:r>
    </w:p>
    <w:sectPr w:rsidR="00BF534B" w:rsidRPr="009B546D" w:rsidSect="00D4158A">
      <w:footerReference w:type="default" r:id="rId19"/>
      <w:headerReference w:type="first" r:id="rId2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BEAF5" w14:textId="77777777" w:rsidR="001164FD" w:rsidRDefault="001164FD" w:rsidP="008D7422">
      <w:pPr>
        <w:spacing w:after="0" w:line="240" w:lineRule="auto"/>
      </w:pPr>
      <w:r>
        <w:separator/>
      </w:r>
    </w:p>
  </w:endnote>
  <w:endnote w:type="continuationSeparator" w:id="0">
    <w:p w14:paraId="2940D486" w14:textId="77777777" w:rsidR="001164FD" w:rsidRDefault="001164FD" w:rsidP="008D7422">
      <w:pPr>
        <w:spacing w:after="0" w:line="240" w:lineRule="auto"/>
      </w:pPr>
      <w:r>
        <w:continuationSeparator/>
      </w:r>
    </w:p>
  </w:endnote>
  <w:endnote w:type="continuationNotice" w:id="1">
    <w:p w14:paraId="4545F074" w14:textId="77777777" w:rsidR="001164FD" w:rsidRDefault="001164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LT Std">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2"/>
        <w:szCs w:val="14"/>
      </w:rPr>
      <w:id w:val="175783906"/>
      <w:docPartObj>
        <w:docPartGallery w:val="Page Numbers (Bottom of Page)"/>
        <w:docPartUnique/>
      </w:docPartObj>
    </w:sdtPr>
    <w:sdtEndPr>
      <w:rPr>
        <w:rFonts w:ascii="Arial" w:hAnsi="Arial" w:cs="Arial"/>
        <w:noProof/>
      </w:rPr>
    </w:sdtEndPr>
    <w:sdtContent>
      <w:p w14:paraId="17089D72" w14:textId="77777777" w:rsidR="001C6F66" w:rsidRPr="00D87127" w:rsidRDefault="001C6F66">
        <w:pPr>
          <w:pStyle w:val="Footer"/>
          <w:jc w:val="center"/>
          <w:rPr>
            <w:sz w:val="12"/>
            <w:szCs w:val="14"/>
          </w:rPr>
        </w:pPr>
        <w:r w:rsidRPr="00D87127">
          <w:rPr>
            <w:rFonts w:ascii="Arial" w:hAnsi="Arial" w:cs="Arial"/>
            <w:sz w:val="12"/>
            <w:szCs w:val="14"/>
          </w:rPr>
          <w:fldChar w:fldCharType="begin"/>
        </w:r>
        <w:r w:rsidRPr="00E42C6E">
          <w:rPr>
            <w:rFonts w:ascii="Arial" w:hAnsi="Arial" w:cs="Arial"/>
            <w:sz w:val="12"/>
            <w:szCs w:val="14"/>
          </w:rPr>
          <w:instrText xml:space="preserve"> PAGE   \* MERGEFORMAT </w:instrText>
        </w:r>
        <w:r w:rsidRPr="00D87127">
          <w:rPr>
            <w:rFonts w:ascii="Arial" w:hAnsi="Arial" w:cs="Arial"/>
            <w:sz w:val="12"/>
            <w:szCs w:val="14"/>
          </w:rPr>
          <w:fldChar w:fldCharType="separate"/>
        </w:r>
        <w:r w:rsidRPr="00E42C6E">
          <w:rPr>
            <w:rFonts w:ascii="Arial" w:hAnsi="Arial" w:cs="Arial"/>
            <w:noProof/>
            <w:sz w:val="12"/>
            <w:szCs w:val="14"/>
          </w:rPr>
          <w:t>2</w:t>
        </w:r>
        <w:r w:rsidRPr="00D87127">
          <w:rPr>
            <w:rFonts w:ascii="Arial" w:hAnsi="Arial" w:cs="Arial"/>
            <w:noProof/>
            <w:sz w:val="12"/>
            <w:szCs w:val="14"/>
          </w:rPr>
          <w:fldChar w:fldCharType="end"/>
        </w:r>
      </w:p>
    </w:sdtContent>
  </w:sdt>
  <w:p w14:paraId="408CEF7D" w14:textId="77777777" w:rsidR="001C6F66" w:rsidRPr="00D87127" w:rsidRDefault="001C6F66" w:rsidP="005038BA">
    <w:pPr>
      <w:pStyle w:val="Footer"/>
      <w:jc w:val="right"/>
      <w:rPr>
        <w:sz w:val="12"/>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515168"/>
      <w:docPartObj>
        <w:docPartGallery w:val="Page Numbers (Bottom of Page)"/>
        <w:docPartUnique/>
      </w:docPartObj>
    </w:sdtPr>
    <w:sdtEndPr>
      <w:rPr>
        <w:noProof/>
      </w:rPr>
    </w:sdtEndPr>
    <w:sdtContent>
      <w:p w14:paraId="79478F63" w14:textId="11B8865D" w:rsidR="00682BB9" w:rsidRDefault="00682BB9">
        <w:pPr>
          <w:pStyle w:val="Footer"/>
          <w:jc w:val="center"/>
        </w:pPr>
        <w:r w:rsidRPr="008D7422">
          <w:rPr>
            <w:sz w:val="16"/>
            <w:szCs w:val="16"/>
          </w:rPr>
          <w:fldChar w:fldCharType="begin"/>
        </w:r>
        <w:r w:rsidRPr="008D7422">
          <w:rPr>
            <w:sz w:val="16"/>
            <w:szCs w:val="16"/>
          </w:rPr>
          <w:instrText xml:space="preserve"> PAGE   \* MERGEFORMAT </w:instrText>
        </w:r>
        <w:r w:rsidRPr="008D7422">
          <w:rPr>
            <w:sz w:val="16"/>
            <w:szCs w:val="16"/>
          </w:rPr>
          <w:fldChar w:fldCharType="separate"/>
        </w:r>
        <w:r>
          <w:rPr>
            <w:noProof/>
            <w:sz w:val="16"/>
            <w:szCs w:val="16"/>
          </w:rPr>
          <w:t>117</w:t>
        </w:r>
        <w:r w:rsidRPr="008D7422">
          <w:rPr>
            <w:noProof/>
            <w:sz w:val="16"/>
            <w:szCs w:val="16"/>
          </w:rPr>
          <w:fldChar w:fldCharType="end"/>
        </w:r>
      </w:p>
    </w:sdtContent>
  </w:sdt>
  <w:p w14:paraId="395B5D5F" w14:textId="77777777" w:rsidR="00682BB9" w:rsidRDefault="00682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E5BF7" w14:textId="77777777" w:rsidR="001164FD" w:rsidRDefault="001164FD" w:rsidP="008D7422">
      <w:pPr>
        <w:spacing w:after="0" w:line="240" w:lineRule="auto"/>
      </w:pPr>
      <w:r>
        <w:separator/>
      </w:r>
    </w:p>
  </w:footnote>
  <w:footnote w:type="continuationSeparator" w:id="0">
    <w:p w14:paraId="55438893" w14:textId="77777777" w:rsidR="001164FD" w:rsidRDefault="001164FD" w:rsidP="008D7422">
      <w:pPr>
        <w:spacing w:after="0" w:line="240" w:lineRule="auto"/>
      </w:pPr>
      <w:r>
        <w:continuationSeparator/>
      </w:r>
    </w:p>
  </w:footnote>
  <w:footnote w:type="continuationNotice" w:id="1">
    <w:p w14:paraId="6C4D41E5" w14:textId="77777777" w:rsidR="001164FD" w:rsidRDefault="001164FD">
      <w:pPr>
        <w:spacing w:after="0" w:line="240" w:lineRule="auto"/>
      </w:pPr>
    </w:p>
  </w:footnote>
  <w:footnote w:id="2">
    <w:p w14:paraId="110527DB" w14:textId="24F98BC1" w:rsidR="00682BB9" w:rsidRPr="005C151F" w:rsidRDefault="00682BB9">
      <w:pPr>
        <w:pStyle w:val="FootnoteText"/>
        <w:rPr>
          <w:rFonts w:asciiTheme="minorHAnsi" w:hAnsiTheme="minorHAnsi" w:cstheme="minorHAnsi"/>
          <w:sz w:val="10"/>
          <w:szCs w:val="10"/>
        </w:rPr>
      </w:pPr>
      <w:r w:rsidRPr="005C151F">
        <w:rPr>
          <w:rStyle w:val="FootnoteReference"/>
          <w:rFonts w:asciiTheme="minorHAnsi" w:hAnsiTheme="minorHAnsi" w:cstheme="minorHAnsi"/>
          <w:sz w:val="10"/>
          <w:szCs w:val="10"/>
        </w:rPr>
        <w:footnoteRef/>
      </w:r>
      <w:r w:rsidRPr="005C151F">
        <w:rPr>
          <w:rFonts w:asciiTheme="minorHAnsi" w:hAnsiTheme="minorHAnsi" w:cstheme="minorHAnsi"/>
          <w:sz w:val="10"/>
          <w:szCs w:val="10"/>
        </w:rPr>
        <w:t xml:space="preserve"> </w:t>
      </w:r>
      <w:r w:rsidRPr="005C151F">
        <w:rPr>
          <w:rFonts w:asciiTheme="minorHAnsi" w:hAnsiTheme="minorHAnsi" w:cstheme="minorHAnsi"/>
          <w:color w:val="000000"/>
          <w:sz w:val="10"/>
          <w:szCs w:val="10"/>
          <w:shd w:val="clear" w:color="auto" w:fill="FFFFFF"/>
        </w:rPr>
        <w:t>Worldpopulationreview.com. (2019). </w:t>
      </w:r>
      <w:r w:rsidRPr="005C151F">
        <w:rPr>
          <w:rFonts w:asciiTheme="minorHAnsi" w:hAnsiTheme="minorHAnsi" w:cstheme="minorHAnsi"/>
          <w:i/>
          <w:iCs/>
          <w:color w:val="000000"/>
          <w:sz w:val="10"/>
          <w:szCs w:val="10"/>
          <w:shd w:val="clear" w:color="auto" w:fill="FFFFFF"/>
        </w:rPr>
        <w:t>World Population Review</w:t>
      </w:r>
      <w:r w:rsidRPr="005C151F">
        <w:rPr>
          <w:rFonts w:asciiTheme="minorHAnsi" w:hAnsiTheme="minorHAnsi" w:cstheme="minorHAnsi"/>
          <w:color w:val="000000"/>
          <w:sz w:val="10"/>
          <w:szCs w:val="10"/>
          <w:shd w:val="clear" w:color="auto" w:fill="FFFFFF"/>
        </w:rPr>
        <w:t>. [online] Available at: http://worldpopulationreview.com/countries/malaysia-population/ [Accessed 6 Jan. 2020].</w:t>
      </w:r>
    </w:p>
  </w:footnote>
  <w:footnote w:id="3">
    <w:p w14:paraId="2D37F37D" w14:textId="74AFFB4D" w:rsidR="00682BB9" w:rsidRPr="005C151F" w:rsidRDefault="00682BB9">
      <w:pPr>
        <w:pStyle w:val="FootnoteText"/>
        <w:rPr>
          <w:rFonts w:asciiTheme="minorHAnsi" w:hAnsiTheme="minorHAnsi" w:cstheme="minorHAnsi"/>
          <w:sz w:val="10"/>
          <w:szCs w:val="10"/>
        </w:rPr>
      </w:pPr>
      <w:r w:rsidRPr="005C151F">
        <w:rPr>
          <w:rStyle w:val="FootnoteReference"/>
          <w:rFonts w:asciiTheme="minorHAnsi" w:hAnsiTheme="minorHAnsi" w:cstheme="minorHAnsi"/>
          <w:sz w:val="10"/>
          <w:szCs w:val="10"/>
        </w:rPr>
        <w:footnoteRef/>
      </w:r>
      <w:r w:rsidRPr="005C151F">
        <w:rPr>
          <w:rFonts w:asciiTheme="minorHAnsi" w:hAnsiTheme="minorHAnsi" w:cstheme="minorHAnsi"/>
          <w:sz w:val="10"/>
          <w:szCs w:val="10"/>
        </w:rPr>
        <w:t xml:space="preserve"> </w:t>
      </w:r>
      <w:r w:rsidRPr="005C151F">
        <w:rPr>
          <w:rFonts w:asciiTheme="minorHAnsi" w:hAnsiTheme="minorHAnsi" w:cstheme="minorHAnsi"/>
          <w:color w:val="000000"/>
          <w:sz w:val="10"/>
          <w:szCs w:val="10"/>
          <w:shd w:val="clear" w:color="auto" w:fill="FFFFFF"/>
        </w:rPr>
        <w:t>Oecd.org. (2019). </w:t>
      </w:r>
      <w:r w:rsidRPr="005C151F">
        <w:rPr>
          <w:rFonts w:asciiTheme="minorHAnsi" w:hAnsiTheme="minorHAnsi" w:cstheme="minorHAnsi"/>
          <w:i/>
          <w:iCs/>
          <w:color w:val="000000"/>
          <w:sz w:val="10"/>
          <w:szCs w:val="10"/>
          <w:shd w:val="clear" w:color="auto" w:fill="FFFFFF"/>
        </w:rPr>
        <w:t>OECD Economic Surveys Malaysia</w:t>
      </w:r>
      <w:r w:rsidRPr="005C151F">
        <w:rPr>
          <w:rFonts w:asciiTheme="minorHAnsi" w:hAnsiTheme="minorHAnsi" w:cstheme="minorHAnsi"/>
          <w:color w:val="000000"/>
          <w:sz w:val="10"/>
          <w:szCs w:val="10"/>
          <w:shd w:val="clear" w:color="auto" w:fill="FFFFFF"/>
        </w:rPr>
        <w:t>. [online] Available at: http://www.oecd.org/economy/surveys/Malaysia-2019-OECD-economic-survey-overview.pdf [Accessed 6 Jan. 2020].</w:t>
      </w:r>
    </w:p>
  </w:footnote>
  <w:footnote w:id="4">
    <w:p w14:paraId="70C4F8F0" w14:textId="41BD74C4" w:rsidR="00682BB9" w:rsidRPr="005C151F" w:rsidRDefault="00682BB9">
      <w:pPr>
        <w:pStyle w:val="FootnoteText"/>
        <w:rPr>
          <w:rFonts w:asciiTheme="minorHAnsi" w:hAnsiTheme="minorHAnsi" w:cstheme="minorHAnsi"/>
          <w:sz w:val="10"/>
          <w:szCs w:val="10"/>
        </w:rPr>
      </w:pPr>
      <w:r w:rsidRPr="005C151F">
        <w:rPr>
          <w:rStyle w:val="FootnoteReference"/>
          <w:rFonts w:asciiTheme="minorHAnsi" w:hAnsiTheme="minorHAnsi" w:cstheme="minorHAnsi"/>
          <w:sz w:val="10"/>
          <w:szCs w:val="10"/>
        </w:rPr>
        <w:footnoteRef/>
      </w:r>
      <w:r w:rsidRPr="005C151F">
        <w:rPr>
          <w:rFonts w:asciiTheme="minorHAnsi" w:hAnsiTheme="minorHAnsi" w:cstheme="minorHAnsi"/>
          <w:sz w:val="10"/>
          <w:szCs w:val="10"/>
        </w:rPr>
        <w:t xml:space="preserve"> </w:t>
      </w:r>
      <w:r w:rsidRPr="005C151F">
        <w:rPr>
          <w:rFonts w:asciiTheme="minorHAnsi" w:hAnsiTheme="minorHAnsi" w:cstheme="minorHAnsi"/>
          <w:color w:val="000000"/>
          <w:sz w:val="10"/>
          <w:szCs w:val="10"/>
          <w:shd w:val="clear" w:color="auto" w:fill="FFFFFF"/>
        </w:rPr>
        <w:t>Doingbusiness.org. (2020). </w:t>
      </w:r>
      <w:r w:rsidRPr="005C151F">
        <w:rPr>
          <w:rFonts w:asciiTheme="minorHAnsi" w:hAnsiTheme="minorHAnsi" w:cstheme="minorHAnsi"/>
          <w:i/>
          <w:iCs/>
          <w:color w:val="000000"/>
          <w:sz w:val="10"/>
          <w:szCs w:val="10"/>
          <w:shd w:val="clear" w:color="auto" w:fill="FFFFFF"/>
        </w:rPr>
        <w:t>Comparing Business Regulation in 190 Economies</w:t>
      </w:r>
      <w:r w:rsidRPr="005C151F">
        <w:rPr>
          <w:rFonts w:asciiTheme="minorHAnsi" w:hAnsiTheme="minorHAnsi" w:cstheme="minorHAnsi"/>
          <w:color w:val="000000"/>
          <w:sz w:val="10"/>
          <w:szCs w:val="10"/>
          <w:shd w:val="clear" w:color="auto" w:fill="FFFFFF"/>
        </w:rPr>
        <w:t>. [online] Available at: https://www.doingbusiness.org/content/dam/doingBusiness/country/m/malaysia/MYS.pdf [Accessed 6 Jan. 2020].</w:t>
      </w:r>
    </w:p>
  </w:footnote>
  <w:footnote w:id="5">
    <w:p w14:paraId="2C420B05" w14:textId="3FC065F1" w:rsidR="00682BB9" w:rsidRPr="005C151F" w:rsidRDefault="00682BB9">
      <w:pPr>
        <w:pStyle w:val="FootnoteText"/>
        <w:rPr>
          <w:rFonts w:asciiTheme="minorHAnsi" w:hAnsiTheme="minorHAnsi" w:cstheme="minorHAnsi"/>
          <w:sz w:val="10"/>
          <w:szCs w:val="10"/>
        </w:rPr>
      </w:pPr>
      <w:r w:rsidRPr="005C151F">
        <w:rPr>
          <w:rStyle w:val="FootnoteReference"/>
          <w:rFonts w:asciiTheme="minorHAnsi" w:hAnsiTheme="minorHAnsi" w:cstheme="minorHAnsi"/>
          <w:sz w:val="10"/>
          <w:szCs w:val="10"/>
        </w:rPr>
        <w:footnoteRef/>
      </w:r>
      <w:r w:rsidRPr="005C151F">
        <w:rPr>
          <w:rFonts w:asciiTheme="minorHAnsi" w:hAnsiTheme="minorHAnsi" w:cstheme="minorHAnsi"/>
          <w:sz w:val="10"/>
          <w:szCs w:val="10"/>
        </w:rPr>
        <w:t xml:space="preserve"> </w:t>
      </w:r>
      <w:r w:rsidRPr="005C151F">
        <w:rPr>
          <w:rFonts w:asciiTheme="minorHAnsi" w:hAnsiTheme="minorHAnsi" w:cstheme="minorHAnsi"/>
          <w:color w:val="000000"/>
          <w:sz w:val="10"/>
          <w:szCs w:val="10"/>
          <w:shd w:val="clear" w:color="auto" w:fill="FFFFFF"/>
        </w:rPr>
        <w:t>World Bank. (2019). </w:t>
      </w:r>
      <w:r w:rsidRPr="005C151F">
        <w:rPr>
          <w:rFonts w:asciiTheme="minorHAnsi" w:hAnsiTheme="minorHAnsi" w:cstheme="minorHAnsi"/>
          <w:i/>
          <w:iCs/>
          <w:color w:val="000000"/>
          <w:sz w:val="10"/>
          <w:szCs w:val="10"/>
          <w:shd w:val="clear" w:color="auto" w:fill="FFFFFF"/>
        </w:rPr>
        <w:t>Malaysia Economic Monitor June 2019: Re-energizing the Public Service</w:t>
      </w:r>
      <w:r w:rsidRPr="005C151F">
        <w:rPr>
          <w:rFonts w:asciiTheme="minorHAnsi" w:hAnsiTheme="minorHAnsi" w:cstheme="minorHAnsi"/>
          <w:color w:val="000000"/>
          <w:sz w:val="10"/>
          <w:szCs w:val="10"/>
          <w:shd w:val="clear" w:color="auto" w:fill="FFFFFF"/>
        </w:rPr>
        <w:t>. [online] Available at: https://www.worldbank.org/en/country/malaysia/publication/malaysia-economic-monitor-june-2019-re-energizing-the-public-service [Accessed 6 Jan. 2020].</w:t>
      </w:r>
    </w:p>
  </w:footnote>
  <w:footnote w:id="6">
    <w:p w14:paraId="1D511B3A" w14:textId="17DD739B" w:rsidR="00682BB9" w:rsidRPr="005C151F" w:rsidRDefault="00682BB9">
      <w:pPr>
        <w:pStyle w:val="FootnoteText"/>
        <w:rPr>
          <w:rFonts w:asciiTheme="minorHAnsi" w:hAnsiTheme="minorHAnsi" w:cstheme="minorHAnsi"/>
          <w:sz w:val="10"/>
          <w:szCs w:val="10"/>
        </w:rPr>
      </w:pPr>
      <w:r w:rsidRPr="005C151F">
        <w:rPr>
          <w:rStyle w:val="FootnoteReference"/>
          <w:rFonts w:asciiTheme="minorHAnsi" w:hAnsiTheme="minorHAnsi" w:cstheme="minorHAnsi"/>
          <w:sz w:val="10"/>
          <w:szCs w:val="10"/>
        </w:rPr>
        <w:footnoteRef/>
      </w:r>
      <w:r w:rsidRPr="005C151F">
        <w:rPr>
          <w:rFonts w:asciiTheme="minorHAnsi" w:hAnsiTheme="minorHAnsi" w:cstheme="minorHAnsi"/>
          <w:sz w:val="10"/>
          <w:szCs w:val="10"/>
        </w:rPr>
        <w:t xml:space="preserve"> </w:t>
      </w:r>
      <w:r w:rsidRPr="005C151F">
        <w:rPr>
          <w:rFonts w:asciiTheme="minorHAnsi" w:hAnsiTheme="minorHAnsi" w:cstheme="minorHAnsi"/>
          <w:color w:val="000000"/>
          <w:sz w:val="10"/>
          <w:szCs w:val="10"/>
          <w:shd w:val="clear" w:color="auto" w:fill="FFFFFF"/>
        </w:rPr>
        <w:t>World Bank. (2018). </w:t>
      </w:r>
      <w:r w:rsidRPr="005C151F">
        <w:rPr>
          <w:rFonts w:asciiTheme="minorHAnsi" w:hAnsiTheme="minorHAnsi" w:cstheme="minorHAnsi"/>
          <w:i/>
          <w:iCs/>
          <w:color w:val="000000"/>
          <w:sz w:val="10"/>
          <w:szCs w:val="10"/>
          <w:shd w:val="clear" w:color="auto" w:fill="FFFFFF"/>
        </w:rPr>
        <w:t>Empowering the Youth to Embrace the Digital Economy in Malaysia</w:t>
      </w:r>
      <w:r w:rsidRPr="005C151F">
        <w:rPr>
          <w:rFonts w:asciiTheme="minorHAnsi" w:hAnsiTheme="minorHAnsi" w:cstheme="minorHAnsi"/>
          <w:color w:val="000000"/>
          <w:sz w:val="10"/>
          <w:szCs w:val="10"/>
          <w:shd w:val="clear" w:color="auto" w:fill="FFFFFF"/>
        </w:rPr>
        <w:t>. [online] Available at: https://www.worldbank.org/en/news/feature/2018/09/12/empowering-the-youth-to-embrace-the-digital-economy-in-malaysia [Accessed 6 Jan. 2020].</w:t>
      </w:r>
    </w:p>
  </w:footnote>
  <w:footnote w:id="7">
    <w:p w14:paraId="79F0E50A" w14:textId="08334FB6" w:rsidR="00682BB9" w:rsidRPr="005C151F" w:rsidRDefault="00682BB9">
      <w:pPr>
        <w:pStyle w:val="FootnoteText"/>
        <w:rPr>
          <w:rFonts w:asciiTheme="minorHAnsi" w:hAnsiTheme="minorHAnsi" w:cstheme="minorHAnsi"/>
          <w:sz w:val="10"/>
          <w:szCs w:val="10"/>
        </w:rPr>
      </w:pPr>
      <w:r w:rsidRPr="005C151F">
        <w:rPr>
          <w:rStyle w:val="FootnoteReference"/>
          <w:rFonts w:asciiTheme="minorHAnsi" w:hAnsiTheme="minorHAnsi" w:cstheme="minorHAnsi"/>
          <w:sz w:val="10"/>
          <w:szCs w:val="10"/>
        </w:rPr>
        <w:footnoteRef/>
      </w:r>
      <w:r w:rsidRPr="005C151F">
        <w:rPr>
          <w:rFonts w:asciiTheme="minorHAnsi" w:hAnsiTheme="minorHAnsi" w:cstheme="minorHAnsi"/>
          <w:sz w:val="10"/>
          <w:szCs w:val="10"/>
        </w:rPr>
        <w:t xml:space="preserve"> </w:t>
      </w:r>
      <w:r w:rsidRPr="005C151F">
        <w:rPr>
          <w:rFonts w:asciiTheme="minorHAnsi" w:hAnsiTheme="minorHAnsi" w:cstheme="minorHAnsi"/>
          <w:color w:val="000000"/>
          <w:sz w:val="10"/>
          <w:szCs w:val="10"/>
          <w:shd w:val="clear" w:color="auto" w:fill="FFFFFF"/>
        </w:rPr>
        <w:t>Datareportal. (2019). </w:t>
      </w:r>
      <w:r w:rsidRPr="005C151F">
        <w:rPr>
          <w:rFonts w:asciiTheme="minorHAnsi" w:hAnsiTheme="minorHAnsi" w:cstheme="minorHAnsi"/>
          <w:i/>
          <w:iCs/>
          <w:color w:val="000000"/>
          <w:sz w:val="10"/>
          <w:szCs w:val="10"/>
          <w:shd w:val="clear" w:color="auto" w:fill="FFFFFF"/>
        </w:rPr>
        <w:t>Digital 2019 Spotlight: Ecommerce in Malaysia</w:t>
      </w:r>
      <w:r w:rsidRPr="005C151F">
        <w:rPr>
          <w:rFonts w:asciiTheme="minorHAnsi" w:hAnsiTheme="minorHAnsi" w:cstheme="minorHAnsi"/>
          <w:color w:val="000000"/>
          <w:sz w:val="10"/>
          <w:szCs w:val="10"/>
          <w:shd w:val="clear" w:color="auto" w:fill="FFFFFF"/>
        </w:rPr>
        <w:t>. [online] Available at: https://datareportal.com/reports/digital-2019-ecommerce-in-malaysia [Accessed 6 Jan. 2020].</w:t>
      </w:r>
    </w:p>
  </w:footnote>
  <w:footnote w:id="8">
    <w:p w14:paraId="63BEADE9" w14:textId="7AB89C52" w:rsidR="00682BB9" w:rsidRDefault="00682BB9">
      <w:pPr>
        <w:pStyle w:val="FootnoteText"/>
      </w:pPr>
      <w:r w:rsidRPr="005C151F">
        <w:rPr>
          <w:rStyle w:val="FootnoteReference"/>
          <w:rFonts w:asciiTheme="minorHAnsi" w:hAnsiTheme="minorHAnsi" w:cstheme="minorHAnsi"/>
          <w:sz w:val="10"/>
          <w:szCs w:val="10"/>
        </w:rPr>
        <w:footnoteRef/>
      </w:r>
      <w:r w:rsidRPr="005C151F">
        <w:rPr>
          <w:rFonts w:asciiTheme="minorHAnsi" w:hAnsiTheme="minorHAnsi" w:cstheme="minorHAnsi"/>
          <w:sz w:val="10"/>
          <w:szCs w:val="10"/>
        </w:rPr>
        <w:t xml:space="preserve"> </w:t>
      </w:r>
      <w:r w:rsidRPr="005C151F">
        <w:rPr>
          <w:rFonts w:asciiTheme="minorHAnsi" w:hAnsiTheme="minorHAnsi" w:cstheme="minorHAnsi"/>
          <w:color w:val="000000"/>
          <w:sz w:val="10"/>
          <w:szCs w:val="10"/>
          <w:shd w:val="clear" w:color="auto" w:fill="FFFFFF"/>
        </w:rPr>
        <w:t>miti.gov. (2020). </w:t>
      </w:r>
      <w:r w:rsidRPr="005C151F">
        <w:rPr>
          <w:rFonts w:asciiTheme="minorHAnsi" w:hAnsiTheme="minorHAnsi" w:cstheme="minorHAnsi"/>
          <w:i/>
          <w:iCs/>
          <w:color w:val="000000"/>
          <w:sz w:val="10"/>
          <w:szCs w:val="10"/>
          <w:shd w:val="clear" w:color="auto" w:fill="FFFFFF"/>
        </w:rPr>
        <w:t>National eCommerce Strategic Roadmap Overview</w:t>
      </w:r>
      <w:r w:rsidRPr="005C151F">
        <w:rPr>
          <w:rFonts w:asciiTheme="minorHAnsi" w:hAnsiTheme="minorHAnsi" w:cstheme="minorHAnsi"/>
          <w:color w:val="000000"/>
          <w:sz w:val="10"/>
          <w:szCs w:val="10"/>
          <w:shd w:val="clear" w:color="auto" w:fill="FFFFFF"/>
        </w:rPr>
        <w:t>. [online] Available at: https://www.miti.gov.my/miti/resources/Gallery_Walk.pdf [Accessed 6 Jan. 2020].</w:t>
      </w:r>
    </w:p>
  </w:footnote>
  <w:footnote w:id="9">
    <w:p w14:paraId="565CF487" w14:textId="0B0A9F00" w:rsidR="00682BB9" w:rsidRPr="005C151F" w:rsidRDefault="00682BB9">
      <w:pPr>
        <w:pStyle w:val="FootnoteText"/>
        <w:rPr>
          <w:rFonts w:asciiTheme="minorHAnsi" w:hAnsiTheme="minorHAnsi" w:cstheme="minorHAnsi"/>
          <w:sz w:val="10"/>
          <w:szCs w:val="10"/>
        </w:rPr>
      </w:pPr>
      <w:r w:rsidRPr="005C151F">
        <w:rPr>
          <w:rStyle w:val="FootnoteReference"/>
          <w:rFonts w:asciiTheme="minorHAnsi" w:hAnsiTheme="minorHAnsi" w:cstheme="minorHAnsi"/>
          <w:sz w:val="10"/>
          <w:szCs w:val="10"/>
        </w:rPr>
        <w:footnoteRef/>
      </w:r>
      <w:r w:rsidRPr="005C151F">
        <w:rPr>
          <w:rFonts w:asciiTheme="minorHAnsi" w:hAnsiTheme="minorHAnsi" w:cstheme="minorHAnsi"/>
          <w:sz w:val="10"/>
          <w:szCs w:val="10"/>
        </w:rPr>
        <w:t xml:space="preserve"> </w:t>
      </w:r>
      <w:r w:rsidRPr="005C151F">
        <w:rPr>
          <w:rFonts w:asciiTheme="minorHAnsi" w:hAnsiTheme="minorHAnsi" w:cstheme="minorHAnsi"/>
          <w:color w:val="000000"/>
          <w:sz w:val="10"/>
          <w:szCs w:val="10"/>
          <w:shd w:val="clear" w:color="auto" w:fill="FFFFFF"/>
        </w:rPr>
        <w:t>Mcmc.gov.my. (2018). </w:t>
      </w:r>
      <w:r w:rsidRPr="005C151F">
        <w:rPr>
          <w:rFonts w:asciiTheme="minorHAnsi" w:hAnsiTheme="minorHAnsi" w:cstheme="minorHAnsi"/>
          <w:i/>
          <w:iCs/>
          <w:color w:val="000000"/>
          <w:sz w:val="10"/>
          <w:szCs w:val="10"/>
          <w:shd w:val="clear" w:color="auto" w:fill="FFFFFF"/>
        </w:rPr>
        <w:t>Internet Users Survey 2018</w:t>
      </w:r>
      <w:r w:rsidRPr="005C151F">
        <w:rPr>
          <w:rFonts w:asciiTheme="minorHAnsi" w:hAnsiTheme="minorHAnsi" w:cstheme="minorHAnsi"/>
          <w:color w:val="000000"/>
          <w:sz w:val="10"/>
          <w:szCs w:val="10"/>
          <w:shd w:val="clear" w:color="auto" w:fill="FFFFFF"/>
        </w:rPr>
        <w:t>. [online] Available at: https://www.mcmc.gov.my/skmmgovmy/media/General/pdf/Internet-Users-Survey-2018.pdf [Accessed 6 Jan. 2020].</w:t>
      </w:r>
    </w:p>
  </w:footnote>
  <w:footnote w:id="10">
    <w:p w14:paraId="43E22748" w14:textId="3E9A1B1F" w:rsidR="00682BB9" w:rsidRDefault="00682BB9">
      <w:pPr>
        <w:pStyle w:val="FootnoteText"/>
      </w:pPr>
      <w:r w:rsidRPr="005C151F">
        <w:rPr>
          <w:rStyle w:val="FootnoteReference"/>
          <w:rFonts w:asciiTheme="minorHAnsi" w:hAnsiTheme="minorHAnsi" w:cstheme="minorHAnsi"/>
          <w:sz w:val="10"/>
          <w:szCs w:val="10"/>
        </w:rPr>
        <w:footnoteRef/>
      </w:r>
      <w:r w:rsidRPr="005C151F">
        <w:rPr>
          <w:rFonts w:asciiTheme="minorHAnsi" w:hAnsiTheme="minorHAnsi" w:cstheme="minorHAnsi"/>
          <w:sz w:val="10"/>
          <w:szCs w:val="10"/>
        </w:rPr>
        <w:t xml:space="preserve"> </w:t>
      </w:r>
      <w:r w:rsidRPr="005C151F">
        <w:rPr>
          <w:rFonts w:asciiTheme="minorHAnsi" w:hAnsiTheme="minorHAnsi" w:cstheme="minorHAnsi"/>
          <w:color w:val="000000"/>
          <w:sz w:val="10"/>
          <w:szCs w:val="10"/>
          <w:shd w:val="clear" w:color="auto" w:fill="FFFFFF"/>
        </w:rPr>
        <w:t>Datareportal. (2019). </w:t>
      </w:r>
      <w:r w:rsidRPr="005C151F">
        <w:rPr>
          <w:rFonts w:asciiTheme="minorHAnsi" w:hAnsiTheme="minorHAnsi" w:cstheme="minorHAnsi"/>
          <w:i/>
          <w:iCs/>
          <w:color w:val="000000"/>
          <w:sz w:val="10"/>
          <w:szCs w:val="10"/>
          <w:shd w:val="clear" w:color="auto" w:fill="FFFFFF"/>
        </w:rPr>
        <w:t>Digital 2019 Spotlight: Ecommerce in Malaysia</w:t>
      </w:r>
      <w:r w:rsidRPr="005C151F">
        <w:rPr>
          <w:rFonts w:asciiTheme="minorHAnsi" w:hAnsiTheme="minorHAnsi" w:cstheme="minorHAnsi"/>
          <w:color w:val="000000"/>
          <w:sz w:val="10"/>
          <w:szCs w:val="10"/>
          <w:shd w:val="clear" w:color="auto" w:fill="FFFFFF"/>
        </w:rPr>
        <w:t>. [online] Available at: https://datareportal.com/reports/digital-2019-ecommerce-in-malaysia [Accessed 6 Jan. 2020].</w:t>
      </w:r>
    </w:p>
  </w:footnote>
  <w:footnote w:id="11">
    <w:p w14:paraId="74736213" w14:textId="015521CF" w:rsidR="00682BB9" w:rsidRPr="005C151F" w:rsidRDefault="00682BB9">
      <w:pPr>
        <w:pStyle w:val="FootnoteText"/>
        <w:rPr>
          <w:rFonts w:asciiTheme="minorHAnsi" w:hAnsiTheme="minorHAnsi" w:cstheme="minorHAnsi"/>
          <w:sz w:val="10"/>
          <w:szCs w:val="10"/>
        </w:rPr>
      </w:pPr>
      <w:r w:rsidRPr="005C151F">
        <w:rPr>
          <w:rStyle w:val="FootnoteReference"/>
          <w:rFonts w:asciiTheme="minorHAnsi" w:hAnsiTheme="minorHAnsi" w:cstheme="minorHAnsi"/>
          <w:sz w:val="10"/>
          <w:szCs w:val="10"/>
        </w:rPr>
        <w:footnoteRef/>
      </w:r>
      <w:r w:rsidRPr="005C151F">
        <w:rPr>
          <w:rFonts w:asciiTheme="minorHAnsi" w:hAnsiTheme="minorHAnsi" w:cstheme="minorHAnsi"/>
          <w:sz w:val="10"/>
          <w:szCs w:val="10"/>
        </w:rPr>
        <w:t xml:space="preserve"> </w:t>
      </w:r>
      <w:r w:rsidRPr="005C151F">
        <w:rPr>
          <w:rFonts w:asciiTheme="minorHAnsi" w:hAnsiTheme="minorHAnsi" w:cstheme="minorHAnsi"/>
          <w:color w:val="000000"/>
          <w:sz w:val="10"/>
          <w:szCs w:val="10"/>
          <w:shd w:val="clear" w:color="auto" w:fill="FFFFFF"/>
        </w:rPr>
        <w:t>Export.gov. (2019). </w:t>
      </w:r>
      <w:r w:rsidRPr="005C151F">
        <w:rPr>
          <w:rFonts w:asciiTheme="minorHAnsi" w:hAnsiTheme="minorHAnsi" w:cstheme="minorHAnsi"/>
          <w:i/>
          <w:iCs/>
          <w:color w:val="000000"/>
          <w:sz w:val="10"/>
          <w:szCs w:val="10"/>
          <w:shd w:val="clear" w:color="auto" w:fill="FFFFFF"/>
        </w:rPr>
        <w:t>Malaysia - eCommerce | export.gov</w:t>
      </w:r>
      <w:r w:rsidRPr="005C151F">
        <w:rPr>
          <w:rFonts w:asciiTheme="minorHAnsi" w:hAnsiTheme="minorHAnsi" w:cstheme="minorHAnsi"/>
          <w:color w:val="000000"/>
          <w:sz w:val="10"/>
          <w:szCs w:val="10"/>
          <w:shd w:val="clear" w:color="auto" w:fill="FFFFFF"/>
        </w:rPr>
        <w:t>. [online] Available at: https://www.export.gov/article?id=Malaysia-E-Commerce [Accessed 6 Jan. 2020].</w:t>
      </w:r>
    </w:p>
  </w:footnote>
  <w:footnote w:id="12">
    <w:p w14:paraId="42C7D30D" w14:textId="6927547D" w:rsidR="00682BB9" w:rsidRPr="005C151F" w:rsidRDefault="00682BB9">
      <w:pPr>
        <w:pStyle w:val="FootnoteText"/>
        <w:rPr>
          <w:rFonts w:asciiTheme="minorHAnsi" w:hAnsiTheme="minorHAnsi" w:cstheme="minorHAnsi"/>
          <w:sz w:val="10"/>
          <w:szCs w:val="10"/>
        </w:rPr>
      </w:pPr>
      <w:r w:rsidRPr="005C151F">
        <w:rPr>
          <w:rStyle w:val="FootnoteReference"/>
          <w:rFonts w:asciiTheme="minorHAnsi" w:hAnsiTheme="minorHAnsi" w:cstheme="minorHAnsi"/>
          <w:sz w:val="10"/>
          <w:szCs w:val="10"/>
        </w:rPr>
        <w:footnoteRef/>
      </w:r>
      <w:r w:rsidRPr="005C151F">
        <w:rPr>
          <w:rFonts w:asciiTheme="minorHAnsi" w:hAnsiTheme="minorHAnsi" w:cstheme="minorHAnsi"/>
          <w:sz w:val="10"/>
          <w:szCs w:val="10"/>
        </w:rPr>
        <w:t xml:space="preserve"> ibid</w:t>
      </w:r>
    </w:p>
  </w:footnote>
  <w:footnote w:id="13">
    <w:p w14:paraId="6DC2D931" w14:textId="03398D23" w:rsidR="00682BB9" w:rsidRDefault="00682BB9">
      <w:pPr>
        <w:pStyle w:val="FootnoteText"/>
      </w:pPr>
      <w:r w:rsidRPr="005C151F">
        <w:rPr>
          <w:rStyle w:val="FootnoteReference"/>
          <w:rFonts w:asciiTheme="minorHAnsi" w:hAnsiTheme="minorHAnsi" w:cstheme="minorHAnsi"/>
          <w:sz w:val="10"/>
          <w:szCs w:val="10"/>
        </w:rPr>
        <w:footnoteRef/>
      </w:r>
      <w:r w:rsidRPr="005C151F">
        <w:rPr>
          <w:rFonts w:asciiTheme="minorHAnsi" w:hAnsiTheme="minorHAnsi" w:cstheme="minorHAnsi"/>
          <w:sz w:val="10"/>
          <w:szCs w:val="10"/>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7744" w14:textId="361C049C" w:rsidR="00682BB9" w:rsidRPr="00473535" w:rsidRDefault="00682BB9">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2296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0017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9F6BD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1840C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33E18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D476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E06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1A07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107A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4ACF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525A3"/>
    <w:multiLevelType w:val="multilevel"/>
    <w:tmpl w:val="0809001D"/>
    <w:styleLink w:val="1ai"/>
    <w:lvl w:ilvl="0">
      <w:start w:val="1"/>
      <w:numFmt w:val="decimal"/>
      <w:lvlText w:val="%1)"/>
      <w:lvlJc w:val="left"/>
      <w:pPr>
        <w:ind w:left="360" w:hanging="360"/>
      </w:pPr>
      <w:rPr>
        <w:rFonts w:ascii="Trebuchet MS" w:hAnsi="Trebuchet M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2966976"/>
    <w:multiLevelType w:val="hybridMultilevel"/>
    <w:tmpl w:val="68445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45A0ECD"/>
    <w:multiLevelType w:val="hybridMultilevel"/>
    <w:tmpl w:val="EC10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F6732D"/>
    <w:multiLevelType w:val="hybridMultilevel"/>
    <w:tmpl w:val="E7C648C6"/>
    <w:lvl w:ilvl="0" w:tplc="571E7396">
      <w:start w:val="1"/>
      <w:numFmt w:val="lowerLetter"/>
      <w:lvlText w:val="(%1)"/>
      <w:lvlJc w:val="left"/>
      <w:pPr>
        <w:ind w:left="1872" w:hanging="360"/>
      </w:pPr>
      <w:rPr>
        <w:b w:val="0"/>
      </w:rPr>
    </w:lvl>
    <w:lvl w:ilvl="1" w:tplc="04090019">
      <w:start w:val="1"/>
      <w:numFmt w:val="lowerLetter"/>
      <w:lvlText w:val="%2."/>
      <w:lvlJc w:val="left"/>
      <w:pPr>
        <w:ind w:left="2592" w:hanging="360"/>
      </w:pPr>
    </w:lvl>
    <w:lvl w:ilvl="2" w:tplc="0409001B">
      <w:start w:val="1"/>
      <w:numFmt w:val="lowerRoman"/>
      <w:lvlText w:val="%3."/>
      <w:lvlJc w:val="right"/>
      <w:pPr>
        <w:ind w:left="3312" w:hanging="180"/>
      </w:pPr>
    </w:lvl>
    <w:lvl w:ilvl="3" w:tplc="0409000F">
      <w:start w:val="1"/>
      <w:numFmt w:val="decimal"/>
      <w:lvlText w:val="%4."/>
      <w:lvlJc w:val="left"/>
      <w:pPr>
        <w:ind w:left="4032" w:hanging="360"/>
      </w:pPr>
    </w:lvl>
    <w:lvl w:ilvl="4" w:tplc="04090019">
      <w:start w:val="1"/>
      <w:numFmt w:val="lowerLetter"/>
      <w:lvlText w:val="%5."/>
      <w:lvlJc w:val="left"/>
      <w:pPr>
        <w:ind w:left="4752" w:hanging="360"/>
      </w:pPr>
    </w:lvl>
    <w:lvl w:ilvl="5" w:tplc="0409001B">
      <w:start w:val="1"/>
      <w:numFmt w:val="lowerRoman"/>
      <w:lvlText w:val="%6."/>
      <w:lvlJc w:val="right"/>
      <w:pPr>
        <w:ind w:left="5472" w:hanging="180"/>
      </w:pPr>
    </w:lvl>
    <w:lvl w:ilvl="6" w:tplc="0409000F">
      <w:start w:val="1"/>
      <w:numFmt w:val="decimal"/>
      <w:lvlText w:val="%7."/>
      <w:lvlJc w:val="left"/>
      <w:pPr>
        <w:ind w:left="6192" w:hanging="360"/>
      </w:pPr>
    </w:lvl>
    <w:lvl w:ilvl="7" w:tplc="04090019">
      <w:start w:val="1"/>
      <w:numFmt w:val="lowerLetter"/>
      <w:lvlText w:val="%8."/>
      <w:lvlJc w:val="left"/>
      <w:pPr>
        <w:ind w:left="6912" w:hanging="360"/>
      </w:pPr>
    </w:lvl>
    <w:lvl w:ilvl="8" w:tplc="0409001B">
      <w:start w:val="1"/>
      <w:numFmt w:val="lowerRoman"/>
      <w:lvlText w:val="%9."/>
      <w:lvlJc w:val="right"/>
      <w:pPr>
        <w:ind w:left="7632" w:hanging="180"/>
      </w:pPr>
    </w:lvl>
  </w:abstractNum>
  <w:abstractNum w:abstractNumId="14" w15:restartNumberingAfterBreak="0">
    <w:nsid w:val="087C2102"/>
    <w:multiLevelType w:val="hybridMultilevel"/>
    <w:tmpl w:val="221838E0"/>
    <w:lvl w:ilvl="0" w:tplc="44090001">
      <w:start w:val="1"/>
      <w:numFmt w:val="bullet"/>
      <w:lvlText w:val=""/>
      <w:lvlJc w:val="left"/>
      <w:pPr>
        <w:ind w:left="1854" w:hanging="360"/>
      </w:pPr>
      <w:rPr>
        <w:rFonts w:ascii="Symbol" w:hAnsi="Symbol" w:hint="default"/>
      </w:rPr>
    </w:lvl>
    <w:lvl w:ilvl="1" w:tplc="44090003" w:tentative="1">
      <w:start w:val="1"/>
      <w:numFmt w:val="bullet"/>
      <w:lvlText w:val="o"/>
      <w:lvlJc w:val="left"/>
      <w:pPr>
        <w:ind w:left="2574" w:hanging="360"/>
      </w:pPr>
      <w:rPr>
        <w:rFonts w:ascii="Courier New" w:hAnsi="Courier New" w:cs="Courier New" w:hint="default"/>
      </w:rPr>
    </w:lvl>
    <w:lvl w:ilvl="2" w:tplc="44090005" w:tentative="1">
      <w:start w:val="1"/>
      <w:numFmt w:val="bullet"/>
      <w:lvlText w:val=""/>
      <w:lvlJc w:val="left"/>
      <w:pPr>
        <w:ind w:left="3294" w:hanging="360"/>
      </w:pPr>
      <w:rPr>
        <w:rFonts w:ascii="Wingdings" w:hAnsi="Wingdings" w:hint="default"/>
      </w:rPr>
    </w:lvl>
    <w:lvl w:ilvl="3" w:tplc="44090001" w:tentative="1">
      <w:start w:val="1"/>
      <w:numFmt w:val="bullet"/>
      <w:lvlText w:val=""/>
      <w:lvlJc w:val="left"/>
      <w:pPr>
        <w:ind w:left="4014" w:hanging="360"/>
      </w:pPr>
      <w:rPr>
        <w:rFonts w:ascii="Symbol" w:hAnsi="Symbol" w:hint="default"/>
      </w:rPr>
    </w:lvl>
    <w:lvl w:ilvl="4" w:tplc="44090003" w:tentative="1">
      <w:start w:val="1"/>
      <w:numFmt w:val="bullet"/>
      <w:lvlText w:val="o"/>
      <w:lvlJc w:val="left"/>
      <w:pPr>
        <w:ind w:left="4734" w:hanging="360"/>
      </w:pPr>
      <w:rPr>
        <w:rFonts w:ascii="Courier New" w:hAnsi="Courier New" w:cs="Courier New" w:hint="default"/>
      </w:rPr>
    </w:lvl>
    <w:lvl w:ilvl="5" w:tplc="44090005" w:tentative="1">
      <w:start w:val="1"/>
      <w:numFmt w:val="bullet"/>
      <w:lvlText w:val=""/>
      <w:lvlJc w:val="left"/>
      <w:pPr>
        <w:ind w:left="5454" w:hanging="360"/>
      </w:pPr>
      <w:rPr>
        <w:rFonts w:ascii="Wingdings" w:hAnsi="Wingdings" w:hint="default"/>
      </w:rPr>
    </w:lvl>
    <w:lvl w:ilvl="6" w:tplc="44090001" w:tentative="1">
      <w:start w:val="1"/>
      <w:numFmt w:val="bullet"/>
      <w:lvlText w:val=""/>
      <w:lvlJc w:val="left"/>
      <w:pPr>
        <w:ind w:left="6174" w:hanging="360"/>
      </w:pPr>
      <w:rPr>
        <w:rFonts w:ascii="Symbol" w:hAnsi="Symbol" w:hint="default"/>
      </w:rPr>
    </w:lvl>
    <w:lvl w:ilvl="7" w:tplc="44090003" w:tentative="1">
      <w:start w:val="1"/>
      <w:numFmt w:val="bullet"/>
      <w:lvlText w:val="o"/>
      <w:lvlJc w:val="left"/>
      <w:pPr>
        <w:ind w:left="6894" w:hanging="360"/>
      </w:pPr>
      <w:rPr>
        <w:rFonts w:ascii="Courier New" w:hAnsi="Courier New" w:cs="Courier New" w:hint="default"/>
      </w:rPr>
    </w:lvl>
    <w:lvl w:ilvl="8" w:tplc="44090005" w:tentative="1">
      <w:start w:val="1"/>
      <w:numFmt w:val="bullet"/>
      <w:lvlText w:val=""/>
      <w:lvlJc w:val="left"/>
      <w:pPr>
        <w:ind w:left="7614" w:hanging="360"/>
      </w:pPr>
      <w:rPr>
        <w:rFonts w:ascii="Wingdings" w:hAnsi="Wingdings" w:hint="default"/>
      </w:rPr>
    </w:lvl>
  </w:abstractNum>
  <w:abstractNum w:abstractNumId="15" w15:restartNumberingAfterBreak="0">
    <w:nsid w:val="09EE1F50"/>
    <w:multiLevelType w:val="hybridMultilevel"/>
    <w:tmpl w:val="360CB1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0CA55558"/>
    <w:multiLevelType w:val="hybridMultilevel"/>
    <w:tmpl w:val="D4DC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A9422B"/>
    <w:multiLevelType w:val="multilevel"/>
    <w:tmpl w:val="08090023"/>
    <w:styleLink w:val="ArticleSection"/>
    <w:lvl w:ilvl="0">
      <w:start w:val="1"/>
      <w:numFmt w:val="upperRoman"/>
      <w:lvlText w:val="Article %1."/>
      <w:lvlJc w:val="left"/>
      <w:pPr>
        <w:ind w:left="0" w:firstLine="0"/>
      </w:pPr>
      <w:rPr>
        <w:rFonts w:ascii="Trebuchet MS" w:hAnsi="Trebuchet MS"/>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2921282"/>
    <w:multiLevelType w:val="hybridMultilevel"/>
    <w:tmpl w:val="69C8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FC711B"/>
    <w:multiLevelType w:val="hybridMultilevel"/>
    <w:tmpl w:val="E3E682C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13F54CF6"/>
    <w:multiLevelType w:val="hybridMultilevel"/>
    <w:tmpl w:val="63AC3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614108"/>
    <w:multiLevelType w:val="multilevel"/>
    <w:tmpl w:val="07467C18"/>
    <w:lvl w:ilvl="0">
      <w:start w:val="1"/>
      <w:numFmt w:val="decimal"/>
      <w:lvlText w:val="%1."/>
      <w:lvlJc w:val="left"/>
      <w:pPr>
        <w:ind w:left="360" w:hanging="360"/>
      </w:pPr>
      <w:rPr>
        <w:rFonts w:hint="default"/>
        <w:b w:val="0"/>
      </w:rPr>
    </w:lvl>
    <w:lvl w:ilvl="1">
      <w:start w:val="1"/>
      <w:numFmt w:val="decimal"/>
      <w:lvlText w:val="%1.%2."/>
      <w:lvlJc w:val="left"/>
      <w:pPr>
        <w:ind w:left="851" w:hanging="491"/>
      </w:pPr>
      <w:rPr>
        <w:rFonts w:hint="default"/>
        <w:b w:val="0"/>
        <w:i w:val="0"/>
        <w:sz w:val="20"/>
      </w:rPr>
    </w:lvl>
    <w:lvl w:ilvl="2">
      <w:start w:val="1"/>
      <w:numFmt w:val="decimal"/>
      <w:lvlText w:val="%1.%2.%3."/>
      <w:lvlJc w:val="left"/>
      <w:pPr>
        <w:ind w:left="1701"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6C12EDB"/>
    <w:multiLevelType w:val="multilevel"/>
    <w:tmpl w:val="8218648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17F84267"/>
    <w:multiLevelType w:val="hybridMultilevel"/>
    <w:tmpl w:val="722A3120"/>
    <w:lvl w:ilvl="0" w:tplc="0A5005D2">
      <w:start w:val="1"/>
      <w:numFmt w:val="decimal"/>
      <w:lvlText w:val="(%1)"/>
      <w:lvlJc w:val="left"/>
      <w:pPr>
        <w:tabs>
          <w:tab w:val="num" w:pos="720"/>
        </w:tabs>
        <w:ind w:left="720" w:hanging="360"/>
      </w:pPr>
      <w:rPr>
        <w:rFonts w:hint="default"/>
        <w:vertAlign w:val="superscrip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A061767"/>
    <w:multiLevelType w:val="multilevel"/>
    <w:tmpl w:val="974EFDFC"/>
    <w:lvl w:ilvl="0">
      <w:start w:val="4"/>
      <w:numFmt w:val="decimal"/>
      <w:lvlText w:val="%1"/>
      <w:lvlJc w:val="left"/>
      <w:pPr>
        <w:tabs>
          <w:tab w:val="num" w:pos="576"/>
        </w:tabs>
        <w:ind w:left="576" w:hanging="576"/>
      </w:pPr>
      <w:rPr>
        <w:rFonts w:ascii="Times New Roman" w:hAnsi="Times New Roman" w:cs="Times New Roman" w:hint="default"/>
        <w:b/>
        <w:i w:val="0"/>
        <w:caps w:val="0"/>
        <w:sz w:val="22"/>
        <w:u w:val="none"/>
      </w:rPr>
    </w:lvl>
    <w:lvl w:ilvl="1">
      <w:start w:val="2"/>
      <w:numFmt w:val="decimal"/>
      <w:lvlText w:val="%1.%2"/>
      <w:lvlJc w:val="left"/>
      <w:pPr>
        <w:tabs>
          <w:tab w:val="num" w:pos="576"/>
        </w:tabs>
        <w:ind w:left="1152" w:hanging="576"/>
      </w:pPr>
      <w:rPr>
        <w:rFonts w:ascii="Times New Roman" w:hAnsi="Times New Roman"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25" w15:restartNumberingAfterBreak="0">
    <w:nsid w:val="21ED40D0"/>
    <w:multiLevelType w:val="multilevel"/>
    <w:tmpl w:val="95DC990C"/>
    <w:lvl w:ilvl="0">
      <w:start w:val="1"/>
      <w:numFmt w:val="decimal"/>
      <w:lvlText w:val="%1."/>
      <w:lvlJc w:val="left"/>
      <w:pPr>
        <w:ind w:left="360" w:hanging="360"/>
      </w:pPr>
      <w:rPr>
        <w:rFonts w:hint="default"/>
        <w:b w:val="0"/>
      </w:rPr>
    </w:lvl>
    <w:lvl w:ilvl="1">
      <w:start w:val="1"/>
      <w:numFmt w:val="decimal"/>
      <w:lvlText w:val="%1.%2."/>
      <w:lvlJc w:val="left"/>
      <w:pPr>
        <w:ind w:left="851" w:hanging="491"/>
      </w:pPr>
      <w:rPr>
        <w:rFonts w:hint="default"/>
        <w:b w:val="0"/>
        <w:i w:val="0"/>
        <w:sz w:val="20"/>
      </w:rPr>
    </w:lvl>
    <w:lvl w:ilvl="2">
      <w:start w:val="1"/>
      <w:numFmt w:val="decimal"/>
      <w:lvlText w:val="%1.%2.%3."/>
      <w:lvlJc w:val="left"/>
      <w:pPr>
        <w:ind w:left="1701"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1F85E4C"/>
    <w:multiLevelType w:val="hybridMultilevel"/>
    <w:tmpl w:val="CB4A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A2529F"/>
    <w:multiLevelType w:val="hybridMultilevel"/>
    <w:tmpl w:val="2CB201B2"/>
    <w:lvl w:ilvl="0" w:tplc="44090001">
      <w:start w:val="1"/>
      <w:numFmt w:val="bullet"/>
      <w:lvlText w:val=""/>
      <w:lvlJc w:val="left"/>
      <w:pPr>
        <w:ind w:left="1908" w:hanging="360"/>
      </w:pPr>
      <w:rPr>
        <w:rFonts w:ascii="Symbol" w:hAnsi="Symbol" w:hint="default"/>
      </w:rPr>
    </w:lvl>
    <w:lvl w:ilvl="1" w:tplc="44090003" w:tentative="1">
      <w:start w:val="1"/>
      <w:numFmt w:val="bullet"/>
      <w:lvlText w:val="o"/>
      <w:lvlJc w:val="left"/>
      <w:pPr>
        <w:ind w:left="2628" w:hanging="360"/>
      </w:pPr>
      <w:rPr>
        <w:rFonts w:ascii="Courier New" w:hAnsi="Courier New" w:cs="Courier New" w:hint="default"/>
      </w:rPr>
    </w:lvl>
    <w:lvl w:ilvl="2" w:tplc="44090005" w:tentative="1">
      <w:start w:val="1"/>
      <w:numFmt w:val="bullet"/>
      <w:lvlText w:val=""/>
      <w:lvlJc w:val="left"/>
      <w:pPr>
        <w:ind w:left="3348" w:hanging="360"/>
      </w:pPr>
      <w:rPr>
        <w:rFonts w:ascii="Wingdings" w:hAnsi="Wingdings" w:hint="default"/>
      </w:rPr>
    </w:lvl>
    <w:lvl w:ilvl="3" w:tplc="44090001" w:tentative="1">
      <w:start w:val="1"/>
      <w:numFmt w:val="bullet"/>
      <w:lvlText w:val=""/>
      <w:lvlJc w:val="left"/>
      <w:pPr>
        <w:ind w:left="4068" w:hanging="360"/>
      </w:pPr>
      <w:rPr>
        <w:rFonts w:ascii="Symbol" w:hAnsi="Symbol" w:hint="default"/>
      </w:rPr>
    </w:lvl>
    <w:lvl w:ilvl="4" w:tplc="44090003" w:tentative="1">
      <w:start w:val="1"/>
      <w:numFmt w:val="bullet"/>
      <w:lvlText w:val="o"/>
      <w:lvlJc w:val="left"/>
      <w:pPr>
        <w:ind w:left="4788" w:hanging="360"/>
      </w:pPr>
      <w:rPr>
        <w:rFonts w:ascii="Courier New" w:hAnsi="Courier New" w:cs="Courier New" w:hint="default"/>
      </w:rPr>
    </w:lvl>
    <w:lvl w:ilvl="5" w:tplc="44090005" w:tentative="1">
      <w:start w:val="1"/>
      <w:numFmt w:val="bullet"/>
      <w:lvlText w:val=""/>
      <w:lvlJc w:val="left"/>
      <w:pPr>
        <w:ind w:left="5508" w:hanging="360"/>
      </w:pPr>
      <w:rPr>
        <w:rFonts w:ascii="Wingdings" w:hAnsi="Wingdings" w:hint="default"/>
      </w:rPr>
    </w:lvl>
    <w:lvl w:ilvl="6" w:tplc="44090001" w:tentative="1">
      <w:start w:val="1"/>
      <w:numFmt w:val="bullet"/>
      <w:lvlText w:val=""/>
      <w:lvlJc w:val="left"/>
      <w:pPr>
        <w:ind w:left="6228" w:hanging="360"/>
      </w:pPr>
      <w:rPr>
        <w:rFonts w:ascii="Symbol" w:hAnsi="Symbol" w:hint="default"/>
      </w:rPr>
    </w:lvl>
    <w:lvl w:ilvl="7" w:tplc="44090003" w:tentative="1">
      <w:start w:val="1"/>
      <w:numFmt w:val="bullet"/>
      <w:lvlText w:val="o"/>
      <w:lvlJc w:val="left"/>
      <w:pPr>
        <w:ind w:left="6948" w:hanging="360"/>
      </w:pPr>
      <w:rPr>
        <w:rFonts w:ascii="Courier New" w:hAnsi="Courier New" w:cs="Courier New" w:hint="default"/>
      </w:rPr>
    </w:lvl>
    <w:lvl w:ilvl="8" w:tplc="44090005" w:tentative="1">
      <w:start w:val="1"/>
      <w:numFmt w:val="bullet"/>
      <w:lvlText w:val=""/>
      <w:lvlJc w:val="left"/>
      <w:pPr>
        <w:ind w:left="7668" w:hanging="360"/>
      </w:pPr>
      <w:rPr>
        <w:rFonts w:ascii="Wingdings" w:hAnsi="Wingdings" w:hint="default"/>
      </w:rPr>
    </w:lvl>
  </w:abstractNum>
  <w:abstractNum w:abstractNumId="28" w15:restartNumberingAfterBreak="0">
    <w:nsid w:val="22E84C01"/>
    <w:multiLevelType w:val="hybridMultilevel"/>
    <w:tmpl w:val="E3E682C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2593397C"/>
    <w:multiLevelType w:val="multilevel"/>
    <w:tmpl w:val="1062D498"/>
    <w:lvl w:ilvl="0">
      <w:start w:val="3"/>
      <w:numFmt w:val="decimal"/>
      <w:lvlText w:val="%1"/>
      <w:lvlJc w:val="left"/>
      <w:pPr>
        <w:tabs>
          <w:tab w:val="num" w:pos="576"/>
        </w:tabs>
        <w:ind w:left="576" w:hanging="576"/>
      </w:pPr>
      <w:rPr>
        <w:rFonts w:ascii="Times New Roman" w:hAnsi="Times New Roman" w:cs="Times New Roman" w:hint="default"/>
        <w:b/>
        <w:i w:val="0"/>
        <w:caps w:val="0"/>
        <w:sz w:val="22"/>
        <w:u w:val="none"/>
      </w:rPr>
    </w:lvl>
    <w:lvl w:ilvl="1">
      <w:start w:val="1"/>
      <w:numFmt w:val="decimal"/>
      <w:lvlText w:val="%1.%2"/>
      <w:lvlJc w:val="left"/>
      <w:pPr>
        <w:tabs>
          <w:tab w:val="num" w:pos="576"/>
        </w:tabs>
        <w:ind w:left="1152" w:hanging="576"/>
      </w:pPr>
      <w:rPr>
        <w:rFonts w:ascii="Times New Roman" w:hAnsi="Times New Roman"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30" w15:restartNumberingAfterBreak="0">
    <w:nsid w:val="25B96245"/>
    <w:multiLevelType w:val="hybridMultilevel"/>
    <w:tmpl w:val="7B9EEB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28BC74F8"/>
    <w:multiLevelType w:val="multilevel"/>
    <w:tmpl w:val="8EF004C2"/>
    <w:lvl w:ilvl="0">
      <w:start w:val="1"/>
      <w:numFmt w:val="bullet"/>
      <w:lvlText w:val=""/>
      <w:lvlJc w:val="left"/>
      <w:pPr>
        <w:tabs>
          <w:tab w:val="num" w:pos="576"/>
        </w:tabs>
        <w:ind w:left="576" w:hanging="576"/>
      </w:pPr>
      <w:rPr>
        <w:rFonts w:ascii="Symbol" w:hAnsi="Symbol" w:hint="default"/>
        <w:b/>
        <w:i w:val="0"/>
        <w:caps w:val="0"/>
        <w:sz w:val="22"/>
        <w:u w:val="none"/>
      </w:rPr>
    </w:lvl>
    <w:lvl w:ilvl="1">
      <w:start w:val="1"/>
      <w:numFmt w:val="decimal"/>
      <w:lvlText w:val="%1.%2"/>
      <w:lvlJc w:val="left"/>
      <w:pPr>
        <w:tabs>
          <w:tab w:val="num" w:pos="576"/>
        </w:tabs>
        <w:ind w:left="1152" w:hanging="576"/>
      </w:pPr>
      <w:rPr>
        <w:rFonts w:ascii="Trebuchet MS" w:hAnsi="Trebuchet MS"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32" w15:restartNumberingAfterBreak="0">
    <w:nsid w:val="2939279D"/>
    <w:multiLevelType w:val="multilevel"/>
    <w:tmpl w:val="5A1C5B14"/>
    <w:lvl w:ilvl="0">
      <w:start w:val="3"/>
      <w:numFmt w:val="decimal"/>
      <w:lvlText w:val="%1"/>
      <w:lvlJc w:val="left"/>
      <w:pPr>
        <w:tabs>
          <w:tab w:val="num" w:pos="576"/>
        </w:tabs>
        <w:ind w:left="576" w:hanging="576"/>
      </w:pPr>
      <w:rPr>
        <w:rFonts w:ascii="Times New Roman" w:hAnsi="Times New Roman" w:cs="Times New Roman" w:hint="default"/>
        <w:b/>
        <w:i w:val="0"/>
        <w:caps w:val="0"/>
        <w:sz w:val="22"/>
        <w:u w:val="none"/>
      </w:rPr>
    </w:lvl>
    <w:lvl w:ilvl="1">
      <w:start w:val="1"/>
      <w:numFmt w:val="decimal"/>
      <w:lvlText w:val="%1.%2"/>
      <w:lvlJc w:val="left"/>
      <w:pPr>
        <w:tabs>
          <w:tab w:val="num" w:pos="576"/>
        </w:tabs>
        <w:ind w:left="1152" w:hanging="576"/>
      </w:pPr>
      <w:rPr>
        <w:rFonts w:ascii="Times New Roman" w:hAnsi="Times New Roman"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33" w15:restartNumberingAfterBreak="0">
    <w:nsid w:val="29914977"/>
    <w:multiLevelType w:val="multilevel"/>
    <w:tmpl w:val="14FA0190"/>
    <w:lvl w:ilvl="0">
      <w:start w:val="2"/>
      <w:numFmt w:val="decimal"/>
      <w:lvlText w:val="%1"/>
      <w:lvlJc w:val="left"/>
      <w:pPr>
        <w:tabs>
          <w:tab w:val="num" w:pos="576"/>
        </w:tabs>
        <w:ind w:left="576" w:hanging="576"/>
      </w:pPr>
      <w:rPr>
        <w:rFonts w:ascii="Times New Roman" w:hAnsi="Times New Roman" w:cs="Times New Roman" w:hint="default"/>
        <w:b/>
        <w:i w:val="0"/>
        <w:caps w:val="0"/>
        <w:sz w:val="22"/>
        <w:u w:val="none"/>
      </w:rPr>
    </w:lvl>
    <w:lvl w:ilvl="1">
      <w:start w:val="1"/>
      <w:numFmt w:val="decimal"/>
      <w:lvlText w:val="%1.%2"/>
      <w:lvlJc w:val="left"/>
      <w:pPr>
        <w:tabs>
          <w:tab w:val="num" w:pos="576"/>
        </w:tabs>
        <w:ind w:left="1152" w:hanging="576"/>
      </w:pPr>
      <w:rPr>
        <w:rFonts w:ascii="Times New Roman" w:hAnsi="Times New Roman"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34" w15:restartNumberingAfterBreak="0">
    <w:nsid w:val="2B923FAB"/>
    <w:multiLevelType w:val="hybridMultilevel"/>
    <w:tmpl w:val="9FBA4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E0C417E"/>
    <w:multiLevelType w:val="hybridMultilevel"/>
    <w:tmpl w:val="5CE67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F91F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06D0C39"/>
    <w:multiLevelType w:val="multilevel"/>
    <w:tmpl w:val="20AE3A74"/>
    <w:lvl w:ilvl="0">
      <w:start w:val="5"/>
      <w:numFmt w:val="decimal"/>
      <w:lvlText w:val="%1"/>
      <w:lvlJc w:val="left"/>
      <w:pPr>
        <w:tabs>
          <w:tab w:val="num" w:pos="576"/>
        </w:tabs>
        <w:ind w:left="576" w:hanging="576"/>
      </w:pPr>
      <w:rPr>
        <w:rFonts w:ascii="Times New Roman" w:hAnsi="Times New Roman" w:cs="Times New Roman" w:hint="default"/>
        <w:b/>
        <w:i w:val="0"/>
        <w:caps w:val="0"/>
        <w:sz w:val="22"/>
        <w:u w:val="none"/>
      </w:rPr>
    </w:lvl>
    <w:lvl w:ilvl="1">
      <w:start w:val="1"/>
      <w:numFmt w:val="decimal"/>
      <w:lvlText w:val="%1.%2"/>
      <w:lvlJc w:val="left"/>
      <w:pPr>
        <w:tabs>
          <w:tab w:val="num" w:pos="576"/>
        </w:tabs>
        <w:ind w:left="1152" w:hanging="576"/>
      </w:pPr>
      <w:rPr>
        <w:rFonts w:ascii="Times New Roman" w:hAnsi="Times New Roman"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38" w15:restartNumberingAfterBreak="0">
    <w:nsid w:val="30E1569A"/>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322455AE"/>
    <w:multiLevelType w:val="multilevel"/>
    <w:tmpl w:val="601437DC"/>
    <w:lvl w:ilvl="0">
      <w:start w:val="4"/>
      <w:numFmt w:val="decimal"/>
      <w:lvlText w:val="%1"/>
      <w:lvlJc w:val="left"/>
      <w:pPr>
        <w:tabs>
          <w:tab w:val="num" w:pos="576"/>
        </w:tabs>
        <w:ind w:left="576" w:hanging="576"/>
      </w:pPr>
      <w:rPr>
        <w:rFonts w:ascii="Times New Roman" w:hAnsi="Times New Roman" w:cs="Times New Roman" w:hint="default"/>
        <w:b/>
        <w:i w:val="0"/>
        <w:caps w:val="0"/>
        <w:sz w:val="22"/>
        <w:u w:val="none"/>
      </w:rPr>
    </w:lvl>
    <w:lvl w:ilvl="1">
      <w:start w:val="1"/>
      <w:numFmt w:val="decimal"/>
      <w:lvlText w:val="%1.%2"/>
      <w:lvlJc w:val="left"/>
      <w:pPr>
        <w:tabs>
          <w:tab w:val="num" w:pos="576"/>
        </w:tabs>
        <w:ind w:left="1152" w:hanging="576"/>
      </w:pPr>
      <w:rPr>
        <w:rFonts w:ascii="Times New Roman" w:hAnsi="Times New Roman"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40" w15:restartNumberingAfterBreak="0">
    <w:nsid w:val="336319F8"/>
    <w:multiLevelType w:val="multilevel"/>
    <w:tmpl w:val="D60AF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7003009"/>
    <w:multiLevelType w:val="hybridMultilevel"/>
    <w:tmpl w:val="1F2C4C12"/>
    <w:lvl w:ilvl="0" w:tplc="44090001">
      <w:start w:val="1"/>
      <w:numFmt w:val="bullet"/>
      <w:lvlText w:val=""/>
      <w:lvlJc w:val="left"/>
      <w:pPr>
        <w:ind w:left="191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2" w15:restartNumberingAfterBreak="0">
    <w:nsid w:val="3739335F"/>
    <w:multiLevelType w:val="multilevel"/>
    <w:tmpl w:val="FC46A056"/>
    <w:lvl w:ilvl="0">
      <w:start w:val="14"/>
      <w:numFmt w:val="decimal"/>
      <w:lvlText w:val="%1"/>
      <w:lvlJc w:val="left"/>
      <w:pPr>
        <w:tabs>
          <w:tab w:val="num" w:pos="576"/>
        </w:tabs>
        <w:ind w:left="576" w:hanging="576"/>
      </w:pPr>
      <w:rPr>
        <w:rFonts w:ascii="Times New Roman" w:hAnsi="Times New Roman" w:cs="Times New Roman" w:hint="default"/>
        <w:b/>
        <w:i w:val="0"/>
        <w:caps w:val="0"/>
        <w:sz w:val="22"/>
        <w:u w:val="none"/>
      </w:rPr>
    </w:lvl>
    <w:lvl w:ilvl="1">
      <w:start w:val="2"/>
      <w:numFmt w:val="decimal"/>
      <w:lvlText w:val="%1.%2"/>
      <w:lvlJc w:val="left"/>
      <w:pPr>
        <w:tabs>
          <w:tab w:val="num" w:pos="576"/>
        </w:tabs>
        <w:ind w:left="1152" w:hanging="576"/>
      </w:pPr>
      <w:rPr>
        <w:rFonts w:ascii="Times New Roman" w:hAnsi="Times New Roman"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43" w15:restartNumberingAfterBreak="0">
    <w:nsid w:val="393E4633"/>
    <w:multiLevelType w:val="multilevel"/>
    <w:tmpl w:val="7F58F5CA"/>
    <w:lvl w:ilvl="0">
      <w:start w:val="15"/>
      <w:numFmt w:val="decimal"/>
      <w:lvlText w:val="%1"/>
      <w:lvlJc w:val="left"/>
      <w:pPr>
        <w:tabs>
          <w:tab w:val="num" w:pos="576"/>
        </w:tabs>
        <w:ind w:left="576" w:hanging="576"/>
      </w:pPr>
      <w:rPr>
        <w:rFonts w:ascii="Times New Roman" w:hAnsi="Times New Roman" w:cs="Times New Roman" w:hint="default"/>
        <w:b/>
        <w:i w:val="0"/>
        <w:caps w:val="0"/>
        <w:sz w:val="22"/>
        <w:u w:val="none"/>
      </w:rPr>
    </w:lvl>
    <w:lvl w:ilvl="1">
      <w:start w:val="2"/>
      <w:numFmt w:val="decimal"/>
      <w:lvlText w:val="%1.%2"/>
      <w:lvlJc w:val="left"/>
      <w:pPr>
        <w:tabs>
          <w:tab w:val="num" w:pos="576"/>
        </w:tabs>
        <w:ind w:left="1152" w:hanging="576"/>
      </w:pPr>
      <w:rPr>
        <w:rFonts w:ascii="Times New Roman" w:hAnsi="Times New Roman"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44" w15:restartNumberingAfterBreak="0">
    <w:nsid w:val="39E24FF6"/>
    <w:multiLevelType w:val="hybridMultilevel"/>
    <w:tmpl w:val="6AFCA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BF5EFC"/>
    <w:multiLevelType w:val="hybridMultilevel"/>
    <w:tmpl w:val="7B2A62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EA6776"/>
    <w:multiLevelType w:val="hybridMultilevel"/>
    <w:tmpl w:val="C936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C9C7E02"/>
    <w:multiLevelType w:val="multilevel"/>
    <w:tmpl w:val="FA309A06"/>
    <w:lvl w:ilvl="0">
      <w:start w:val="3"/>
      <w:numFmt w:val="decimal"/>
      <w:lvlText w:val="%1"/>
      <w:lvlJc w:val="left"/>
      <w:pPr>
        <w:tabs>
          <w:tab w:val="num" w:pos="576"/>
        </w:tabs>
        <w:ind w:left="576" w:hanging="576"/>
      </w:pPr>
      <w:rPr>
        <w:rFonts w:ascii="Times New Roman" w:hAnsi="Times New Roman" w:cs="Times New Roman" w:hint="default"/>
        <w:b/>
        <w:i w:val="0"/>
        <w:caps w:val="0"/>
        <w:sz w:val="22"/>
        <w:u w:val="none"/>
      </w:rPr>
    </w:lvl>
    <w:lvl w:ilvl="1">
      <w:start w:val="3"/>
      <w:numFmt w:val="decimal"/>
      <w:lvlText w:val="%1.%2"/>
      <w:lvlJc w:val="left"/>
      <w:pPr>
        <w:tabs>
          <w:tab w:val="num" w:pos="576"/>
        </w:tabs>
        <w:ind w:left="1152" w:hanging="576"/>
      </w:pPr>
      <w:rPr>
        <w:rFonts w:ascii="Times New Roman" w:hAnsi="Times New Roman"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48" w15:restartNumberingAfterBreak="0">
    <w:nsid w:val="3E895D7A"/>
    <w:multiLevelType w:val="multilevel"/>
    <w:tmpl w:val="8EF004C2"/>
    <w:lvl w:ilvl="0">
      <w:start w:val="1"/>
      <w:numFmt w:val="bullet"/>
      <w:lvlText w:val=""/>
      <w:lvlJc w:val="left"/>
      <w:pPr>
        <w:tabs>
          <w:tab w:val="num" w:pos="576"/>
        </w:tabs>
        <w:ind w:left="576" w:hanging="576"/>
      </w:pPr>
      <w:rPr>
        <w:rFonts w:ascii="Symbol" w:hAnsi="Symbol" w:hint="default"/>
        <w:b/>
        <w:i w:val="0"/>
        <w:caps w:val="0"/>
        <w:sz w:val="22"/>
        <w:u w:val="none"/>
      </w:rPr>
    </w:lvl>
    <w:lvl w:ilvl="1">
      <w:start w:val="1"/>
      <w:numFmt w:val="decimal"/>
      <w:lvlText w:val="%1.%2"/>
      <w:lvlJc w:val="left"/>
      <w:pPr>
        <w:tabs>
          <w:tab w:val="num" w:pos="576"/>
        </w:tabs>
        <w:ind w:left="1152" w:hanging="576"/>
      </w:pPr>
      <w:rPr>
        <w:rFonts w:ascii="Trebuchet MS" w:hAnsi="Trebuchet MS"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49" w15:restartNumberingAfterBreak="0">
    <w:nsid w:val="42783408"/>
    <w:multiLevelType w:val="multilevel"/>
    <w:tmpl w:val="8EF004C2"/>
    <w:lvl w:ilvl="0">
      <w:start w:val="1"/>
      <w:numFmt w:val="bullet"/>
      <w:lvlText w:val=""/>
      <w:lvlJc w:val="left"/>
      <w:pPr>
        <w:tabs>
          <w:tab w:val="num" w:pos="576"/>
        </w:tabs>
        <w:ind w:left="576" w:hanging="576"/>
      </w:pPr>
      <w:rPr>
        <w:rFonts w:ascii="Symbol" w:hAnsi="Symbol" w:hint="default"/>
        <w:b/>
        <w:i w:val="0"/>
        <w:caps w:val="0"/>
        <w:sz w:val="22"/>
        <w:u w:val="none"/>
      </w:rPr>
    </w:lvl>
    <w:lvl w:ilvl="1">
      <w:start w:val="1"/>
      <w:numFmt w:val="decimal"/>
      <w:lvlText w:val="%1.%2"/>
      <w:lvlJc w:val="left"/>
      <w:pPr>
        <w:tabs>
          <w:tab w:val="num" w:pos="576"/>
        </w:tabs>
        <w:ind w:left="1152" w:hanging="576"/>
      </w:pPr>
      <w:rPr>
        <w:rFonts w:ascii="Trebuchet MS" w:hAnsi="Trebuchet MS"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50"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51" w15:restartNumberingAfterBreak="0">
    <w:nsid w:val="4BFF295D"/>
    <w:multiLevelType w:val="singleLevel"/>
    <w:tmpl w:val="0526F1BA"/>
    <w:lvl w:ilvl="0">
      <w:start w:val="1"/>
      <w:numFmt w:val="lowerLetter"/>
      <w:lvlText w:val="(%1)"/>
      <w:lvlJc w:val="left"/>
      <w:pPr>
        <w:tabs>
          <w:tab w:val="num" w:pos="360"/>
        </w:tabs>
        <w:ind w:left="360" w:hanging="360"/>
      </w:pPr>
    </w:lvl>
  </w:abstractNum>
  <w:abstractNum w:abstractNumId="52" w15:restartNumberingAfterBreak="0">
    <w:nsid w:val="4E9A2BFC"/>
    <w:multiLevelType w:val="hybridMultilevel"/>
    <w:tmpl w:val="23F002AE"/>
    <w:lvl w:ilvl="0" w:tplc="4F5AAB4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EEF6310"/>
    <w:multiLevelType w:val="hybridMultilevel"/>
    <w:tmpl w:val="3DDA3E04"/>
    <w:lvl w:ilvl="0" w:tplc="7B9EF5A8">
      <w:numFmt w:val="bullet"/>
      <w:lvlText w:val=""/>
      <w:lvlJc w:val="left"/>
      <w:pPr>
        <w:ind w:left="720" w:hanging="360"/>
      </w:pPr>
      <w:rPr>
        <w:rFonts w:ascii="Symbol" w:eastAsia="Symbol" w:hAnsi="Symbol" w:cs="Symbol" w:hint="default"/>
        <w:w w:val="100"/>
        <w:sz w:val="18"/>
        <w:szCs w:val="18"/>
      </w:rPr>
    </w:lvl>
    <w:lvl w:ilvl="1" w:tplc="B73851C2">
      <w:numFmt w:val="bullet"/>
      <w:lvlText w:val="•"/>
      <w:lvlJc w:val="left"/>
      <w:pPr>
        <w:ind w:left="1517" w:hanging="360"/>
      </w:pPr>
      <w:rPr>
        <w:rFonts w:hint="default"/>
      </w:rPr>
    </w:lvl>
    <w:lvl w:ilvl="2" w:tplc="F2A677B4">
      <w:numFmt w:val="bullet"/>
      <w:lvlText w:val="•"/>
      <w:lvlJc w:val="left"/>
      <w:pPr>
        <w:ind w:left="2324" w:hanging="360"/>
      </w:pPr>
      <w:rPr>
        <w:rFonts w:hint="default"/>
      </w:rPr>
    </w:lvl>
    <w:lvl w:ilvl="3" w:tplc="D9A2981A">
      <w:numFmt w:val="bullet"/>
      <w:lvlText w:val="•"/>
      <w:lvlJc w:val="left"/>
      <w:pPr>
        <w:ind w:left="3130" w:hanging="360"/>
      </w:pPr>
      <w:rPr>
        <w:rFonts w:hint="default"/>
      </w:rPr>
    </w:lvl>
    <w:lvl w:ilvl="4" w:tplc="B5621F88">
      <w:numFmt w:val="bullet"/>
      <w:lvlText w:val="•"/>
      <w:lvlJc w:val="left"/>
      <w:pPr>
        <w:ind w:left="3937" w:hanging="360"/>
      </w:pPr>
      <w:rPr>
        <w:rFonts w:hint="default"/>
      </w:rPr>
    </w:lvl>
    <w:lvl w:ilvl="5" w:tplc="EE18BC00">
      <w:numFmt w:val="bullet"/>
      <w:lvlText w:val="•"/>
      <w:lvlJc w:val="left"/>
      <w:pPr>
        <w:ind w:left="4744" w:hanging="360"/>
      </w:pPr>
      <w:rPr>
        <w:rFonts w:hint="default"/>
      </w:rPr>
    </w:lvl>
    <w:lvl w:ilvl="6" w:tplc="FDBA56C2">
      <w:numFmt w:val="bullet"/>
      <w:lvlText w:val="•"/>
      <w:lvlJc w:val="left"/>
      <w:pPr>
        <w:ind w:left="5550" w:hanging="360"/>
      </w:pPr>
      <w:rPr>
        <w:rFonts w:hint="default"/>
      </w:rPr>
    </w:lvl>
    <w:lvl w:ilvl="7" w:tplc="D1DC8A14">
      <w:numFmt w:val="bullet"/>
      <w:lvlText w:val="•"/>
      <w:lvlJc w:val="left"/>
      <w:pPr>
        <w:ind w:left="6357" w:hanging="360"/>
      </w:pPr>
      <w:rPr>
        <w:rFonts w:hint="default"/>
      </w:rPr>
    </w:lvl>
    <w:lvl w:ilvl="8" w:tplc="C4941EB4">
      <w:numFmt w:val="bullet"/>
      <w:lvlText w:val="•"/>
      <w:lvlJc w:val="left"/>
      <w:pPr>
        <w:ind w:left="7164" w:hanging="360"/>
      </w:pPr>
      <w:rPr>
        <w:rFonts w:hint="default"/>
      </w:rPr>
    </w:lvl>
  </w:abstractNum>
  <w:abstractNum w:abstractNumId="54" w15:restartNumberingAfterBreak="0">
    <w:nsid w:val="4F6B0504"/>
    <w:multiLevelType w:val="multilevel"/>
    <w:tmpl w:val="8EF004C2"/>
    <w:lvl w:ilvl="0">
      <w:start w:val="1"/>
      <w:numFmt w:val="bullet"/>
      <w:lvlText w:val=""/>
      <w:lvlJc w:val="left"/>
      <w:pPr>
        <w:tabs>
          <w:tab w:val="num" w:pos="576"/>
        </w:tabs>
        <w:ind w:left="576" w:hanging="576"/>
      </w:pPr>
      <w:rPr>
        <w:rFonts w:ascii="Symbol" w:hAnsi="Symbol" w:hint="default"/>
        <w:b/>
        <w:i w:val="0"/>
        <w:caps w:val="0"/>
        <w:sz w:val="22"/>
        <w:u w:val="none"/>
      </w:rPr>
    </w:lvl>
    <w:lvl w:ilvl="1">
      <w:start w:val="1"/>
      <w:numFmt w:val="decimal"/>
      <w:lvlText w:val="%1.%2"/>
      <w:lvlJc w:val="left"/>
      <w:pPr>
        <w:tabs>
          <w:tab w:val="num" w:pos="576"/>
        </w:tabs>
        <w:ind w:left="1152" w:hanging="576"/>
      </w:pPr>
      <w:rPr>
        <w:rFonts w:ascii="Trebuchet MS" w:hAnsi="Trebuchet MS"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55" w15:restartNumberingAfterBreak="0">
    <w:nsid w:val="505336B1"/>
    <w:multiLevelType w:val="multilevel"/>
    <w:tmpl w:val="07F807E8"/>
    <w:lvl w:ilvl="0">
      <w:start w:val="12"/>
      <w:numFmt w:val="decimal"/>
      <w:lvlText w:val="%1"/>
      <w:lvlJc w:val="left"/>
      <w:pPr>
        <w:tabs>
          <w:tab w:val="num" w:pos="576"/>
        </w:tabs>
        <w:ind w:left="576" w:hanging="576"/>
      </w:pPr>
      <w:rPr>
        <w:rFonts w:ascii="Times New Roman" w:hAnsi="Times New Roman" w:cs="Times New Roman" w:hint="default"/>
        <w:b/>
        <w:i w:val="0"/>
        <w:caps w:val="0"/>
        <w:sz w:val="22"/>
        <w:u w:val="none"/>
      </w:rPr>
    </w:lvl>
    <w:lvl w:ilvl="1">
      <w:start w:val="2"/>
      <w:numFmt w:val="decimal"/>
      <w:lvlText w:val="%1.%2"/>
      <w:lvlJc w:val="left"/>
      <w:pPr>
        <w:tabs>
          <w:tab w:val="num" w:pos="576"/>
        </w:tabs>
        <w:ind w:left="1152" w:hanging="576"/>
      </w:pPr>
      <w:rPr>
        <w:rFonts w:ascii="Times New Roman" w:hAnsi="Times New Roman"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56" w15:restartNumberingAfterBreak="0">
    <w:nsid w:val="5956065F"/>
    <w:multiLevelType w:val="multilevel"/>
    <w:tmpl w:val="2026D68A"/>
    <w:lvl w:ilvl="0">
      <w:start w:val="1"/>
      <w:numFmt w:val="decimal"/>
      <w:lvlText w:val="%1."/>
      <w:lvlJc w:val="left"/>
      <w:pPr>
        <w:ind w:left="360" w:hanging="360"/>
      </w:pPr>
      <w:rPr>
        <w:b w:val="0"/>
      </w:rPr>
    </w:lvl>
    <w:lvl w:ilvl="1">
      <w:start w:val="1"/>
      <w:numFmt w:val="decimal"/>
      <w:lvlText w:val="%1.%2."/>
      <w:lvlJc w:val="left"/>
      <w:pPr>
        <w:ind w:left="851" w:hanging="491"/>
      </w:pPr>
      <w:rPr>
        <w:b w:val="0"/>
        <w:i w:val="0"/>
        <w:sz w:val="20"/>
        <w:szCs w:val="20"/>
      </w:rPr>
    </w:lvl>
    <w:lvl w:ilvl="2">
      <w:start w:val="1"/>
      <w:numFmt w:val="decimal"/>
      <w:lvlText w:val="%1.%2.%3."/>
      <w:lvlJc w:val="left"/>
      <w:pPr>
        <w:ind w:left="1701" w:hanging="85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A2C1270"/>
    <w:multiLevelType w:val="multilevel"/>
    <w:tmpl w:val="8272EED2"/>
    <w:lvl w:ilvl="0">
      <w:start w:val="4"/>
      <w:numFmt w:val="decimal"/>
      <w:lvlText w:val="%1"/>
      <w:lvlJc w:val="left"/>
      <w:pPr>
        <w:tabs>
          <w:tab w:val="num" w:pos="576"/>
        </w:tabs>
        <w:ind w:left="576" w:hanging="576"/>
      </w:pPr>
      <w:rPr>
        <w:rFonts w:ascii="Times New Roman" w:hAnsi="Times New Roman" w:cs="Times New Roman" w:hint="default"/>
        <w:b/>
        <w:i w:val="0"/>
        <w:caps w:val="0"/>
        <w:sz w:val="22"/>
        <w:u w:val="none"/>
      </w:rPr>
    </w:lvl>
    <w:lvl w:ilvl="1">
      <w:start w:val="3"/>
      <w:numFmt w:val="decimal"/>
      <w:lvlText w:val="%1.%2"/>
      <w:lvlJc w:val="left"/>
      <w:pPr>
        <w:tabs>
          <w:tab w:val="num" w:pos="576"/>
        </w:tabs>
        <w:ind w:left="1152" w:hanging="576"/>
      </w:pPr>
      <w:rPr>
        <w:rFonts w:ascii="Times New Roman" w:hAnsi="Times New Roman"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58" w15:restartNumberingAfterBreak="0">
    <w:nsid w:val="5AEB34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D0E1E5C"/>
    <w:multiLevelType w:val="hybridMultilevel"/>
    <w:tmpl w:val="62586458"/>
    <w:lvl w:ilvl="0" w:tplc="DF9849DE">
      <w:start w:val="1"/>
      <w:numFmt w:val="decimal"/>
      <w:lvlText w:val="(%1)"/>
      <w:lvlJc w:val="left"/>
      <w:pPr>
        <w:ind w:left="1163" w:hanging="425"/>
      </w:pPr>
      <w:rPr>
        <w:rFonts w:ascii="Calibri" w:eastAsia="Calibri" w:hAnsi="Calibri" w:cs="Calibri" w:hint="default"/>
        <w:spacing w:val="-20"/>
        <w:w w:val="100"/>
        <w:sz w:val="14"/>
        <w:szCs w:val="14"/>
      </w:rPr>
    </w:lvl>
    <w:lvl w:ilvl="1" w:tplc="3636181A">
      <w:numFmt w:val="bullet"/>
      <w:lvlText w:val="•"/>
      <w:lvlJc w:val="left"/>
      <w:pPr>
        <w:ind w:left="1994" w:hanging="425"/>
      </w:pPr>
      <w:rPr>
        <w:rFonts w:hint="default"/>
      </w:rPr>
    </w:lvl>
    <w:lvl w:ilvl="2" w:tplc="0BB0B922">
      <w:numFmt w:val="bullet"/>
      <w:lvlText w:val="•"/>
      <w:lvlJc w:val="left"/>
      <w:pPr>
        <w:ind w:left="2829" w:hanging="425"/>
      </w:pPr>
      <w:rPr>
        <w:rFonts w:hint="default"/>
      </w:rPr>
    </w:lvl>
    <w:lvl w:ilvl="3" w:tplc="CA4C5586">
      <w:numFmt w:val="bullet"/>
      <w:lvlText w:val="•"/>
      <w:lvlJc w:val="left"/>
      <w:pPr>
        <w:ind w:left="3663" w:hanging="425"/>
      </w:pPr>
      <w:rPr>
        <w:rFonts w:hint="default"/>
      </w:rPr>
    </w:lvl>
    <w:lvl w:ilvl="4" w:tplc="8362AABA">
      <w:numFmt w:val="bullet"/>
      <w:lvlText w:val="•"/>
      <w:lvlJc w:val="left"/>
      <w:pPr>
        <w:ind w:left="4498" w:hanging="425"/>
      </w:pPr>
      <w:rPr>
        <w:rFonts w:hint="default"/>
      </w:rPr>
    </w:lvl>
    <w:lvl w:ilvl="5" w:tplc="53B82840">
      <w:numFmt w:val="bullet"/>
      <w:lvlText w:val="•"/>
      <w:lvlJc w:val="left"/>
      <w:pPr>
        <w:ind w:left="5333" w:hanging="425"/>
      </w:pPr>
      <w:rPr>
        <w:rFonts w:hint="default"/>
      </w:rPr>
    </w:lvl>
    <w:lvl w:ilvl="6" w:tplc="718C9C56">
      <w:numFmt w:val="bullet"/>
      <w:lvlText w:val="•"/>
      <w:lvlJc w:val="left"/>
      <w:pPr>
        <w:ind w:left="6167" w:hanging="425"/>
      </w:pPr>
      <w:rPr>
        <w:rFonts w:hint="default"/>
      </w:rPr>
    </w:lvl>
    <w:lvl w:ilvl="7" w:tplc="383EEC28">
      <w:numFmt w:val="bullet"/>
      <w:lvlText w:val="•"/>
      <w:lvlJc w:val="left"/>
      <w:pPr>
        <w:ind w:left="7002" w:hanging="425"/>
      </w:pPr>
      <w:rPr>
        <w:rFonts w:hint="default"/>
      </w:rPr>
    </w:lvl>
    <w:lvl w:ilvl="8" w:tplc="7D6C3E24">
      <w:numFmt w:val="bullet"/>
      <w:lvlText w:val="•"/>
      <w:lvlJc w:val="left"/>
      <w:pPr>
        <w:ind w:left="7837" w:hanging="425"/>
      </w:pPr>
      <w:rPr>
        <w:rFonts w:hint="default"/>
      </w:rPr>
    </w:lvl>
  </w:abstractNum>
  <w:abstractNum w:abstractNumId="60" w15:restartNumberingAfterBreak="0">
    <w:nsid w:val="5D8037CB"/>
    <w:multiLevelType w:val="hybridMultilevel"/>
    <w:tmpl w:val="4C8266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F046149"/>
    <w:multiLevelType w:val="multilevel"/>
    <w:tmpl w:val="B2FE2E76"/>
    <w:lvl w:ilvl="0">
      <w:start w:val="1"/>
      <w:numFmt w:val="decimal"/>
      <w:lvlText w:val="%1."/>
      <w:lvlJc w:val="left"/>
      <w:pPr>
        <w:ind w:left="360" w:hanging="360"/>
      </w:pPr>
      <w:rPr>
        <w:rFonts w:hint="default"/>
        <w:b w:val="0"/>
      </w:rPr>
    </w:lvl>
    <w:lvl w:ilvl="1">
      <w:start w:val="1"/>
      <w:numFmt w:val="decimal"/>
      <w:lvlText w:val="%1.%2."/>
      <w:lvlJc w:val="left"/>
      <w:pPr>
        <w:ind w:left="851" w:hanging="491"/>
      </w:pPr>
      <w:rPr>
        <w:rFonts w:hint="default"/>
        <w:b w:val="0"/>
        <w:i w:val="0"/>
        <w:sz w:val="20"/>
      </w:rPr>
    </w:lvl>
    <w:lvl w:ilvl="2">
      <w:start w:val="1"/>
      <w:numFmt w:val="decimal"/>
      <w:lvlText w:val="%1.%2.%3."/>
      <w:lvlJc w:val="left"/>
      <w:pPr>
        <w:ind w:left="1701"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F835C5A"/>
    <w:multiLevelType w:val="multilevel"/>
    <w:tmpl w:val="F07C5AAA"/>
    <w:lvl w:ilvl="0">
      <w:start w:val="2"/>
      <w:numFmt w:val="decimal"/>
      <w:lvlText w:val="%1"/>
      <w:lvlJc w:val="left"/>
      <w:pPr>
        <w:tabs>
          <w:tab w:val="num" w:pos="576"/>
        </w:tabs>
        <w:ind w:left="576" w:hanging="576"/>
      </w:pPr>
      <w:rPr>
        <w:rFonts w:ascii="Times New Roman" w:hAnsi="Times New Roman" w:cs="Times New Roman" w:hint="default"/>
        <w:b/>
        <w:i w:val="0"/>
        <w:caps w:val="0"/>
        <w:sz w:val="22"/>
        <w:u w:val="none"/>
      </w:rPr>
    </w:lvl>
    <w:lvl w:ilvl="1">
      <w:start w:val="1"/>
      <w:numFmt w:val="decimal"/>
      <w:lvlText w:val="%1.%2"/>
      <w:lvlJc w:val="left"/>
      <w:pPr>
        <w:tabs>
          <w:tab w:val="num" w:pos="576"/>
        </w:tabs>
        <w:ind w:left="1152" w:hanging="576"/>
      </w:pPr>
      <w:rPr>
        <w:rFonts w:ascii="Times New Roman" w:hAnsi="Times New Roman"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63" w15:restartNumberingAfterBreak="0">
    <w:nsid w:val="61233994"/>
    <w:multiLevelType w:val="multilevel"/>
    <w:tmpl w:val="47A29E16"/>
    <w:lvl w:ilvl="0">
      <w:start w:val="13"/>
      <w:numFmt w:val="decimal"/>
      <w:lvlText w:val="%1"/>
      <w:lvlJc w:val="left"/>
      <w:pPr>
        <w:tabs>
          <w:tab w:val="num" w:pos="576"/>
        </w:tabs>
        <w:ind w:left="576" w:hanging="576"/>
      </w:pPr>
      <w:rPr>
        <w:rFonts w:ascii="Times New Roman" w:hAnsi="Times New Roman" w:cs="Times New Roman" w:hint="default"/>
        <w:b/>
        <w:i w:val="0"/>
        <w:caps w:val="0"/>
        <w:sz w:val="22"/>
        <w:u w:val="none"/>
      </w:rPr>
    </w:lvl>
    <w:lvl w:ilvl="1">
      <w:start w:val="1"/>
      <w:numFmt w:val="decimal"/>
      <w:lvlText w:val="%1.%2"/>
      <w:lvlJc w:val="left"/>
      <w:pPr>
        <w:tabs>
          <w:tab w:val="num" w:pos="576"/>
        </w:tabs>
        <w:ind w:left="1152" w:hanging="576"/>
      </w:pPr>
      <w:rPr>
        <w:rFonts w:ascii="Times New Roman" w:hAnsi="Times New Roman"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64" w15:restartNumberingAfterBreak="0">
    <w:nsid w:val="623C5C15"/>
    <w:multiLevelType w:val="hybridMultilevel"/>
    <w:tmpl w:val="E3E682C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5" w15:restartNumberingAfterBreak="0">
    <w:nsid w:val="674B7EF3"/>
    <w:multiLevelType w:val="hybridMultilevel"/>
    <w:tmpl w:val="1E38B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9DB3F8E"/>
    <w:multiLevelType w:val="hybridMultilevel"/>
    <w:tmpl w:val="C9926372"/>
    <w:lvl w:ilvl="0" w:tplc="8E0E3D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6712F4"/>
    <w:multiLevelType w:val="multilevel"/>
    <w:tmpl w:val="80D602DA"/>
    <w:lvl w:ilvl="0">
      <w:start w:val="18"/>
      <w:numFmt w:val="decimal"/>
      <w:lvlText w:val="%1"/>
      <w:lvlJc w:val="left"/>
      <w:pPr>
        <w:tabs>
          <w:tab w:val="num" w:pos="576"/>
        </w:tabs>
        <w:ind w:left="576" w:hanging="576"/>
      </w:pPr>
      <w:rPr>
        <w:rFonts w:ascii="Trebuchet MS" w:hAnsi="Trebuchet MS" w:cs="Times New Roman" w:hint="default"/>
        <w:b/>
        <w:i w:val="0"/>
        <w:caps w:val="0"/>
        <w:sz w:val="22"/>
        <w:u w:val="none"/>
      </w:rPr>
    </w:lvl>
    <w:lvl w:ilvl="1">
      <w:start w:val="1"/>
      <w:numFmt w:val="decimal"/>
      <w:lvlText w:val="%1.%2"/>
      <w:lvlJc w:val="left"/>
      <w:pPr>
        <w:tabs>
          <w:tab w:val="num" w:pos="576"/>
        </w:tabs>
        <w:ind w:left="1152" w:hanging="576"/>
      </w:pPr>
      <w:rPr>
        <w:rFonts w:ascii="Trebuchet MS" w:hAnsi="Trebuchet MS"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68" w15:restartNumberingAfterBreak="0">
    <w:nsid w:val="6DD84126"/>
    <w:multiLevelType w:val="hybridMultilevel"/>
    <w:tmpl w:val="0A1C49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FBF3613"/>
    <w:multiLevelType w:val="hybridMultilevel"/>
    <w:tmpl w:val="50261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49410B2"/>
    <w:multiLevelType w:val="multilevel"/>
    <w:tmpl w:val="1A3E295A"/>
    <w:lvl w:ilvl="0">
      <w:start w:val="3"/>
      <w:numFmt w:val="decimal"/>
      <w:lvlText w:val="%1"/>
      <w:lvlJc w:val="left"/>
      <w:pPr>
        <w:tabs>
          <w:tab w:val="num" w:pos="576"/>
        </w:tabs>
        <w:ind w:left="576" w:hanging="576"/>
      </w:pPr>
      <w:rPr>
        <w:rFonts w:ascii="Times New Roman" w:hAnsi="Times New Roman" w:cs="Times New Roman" w:hint="default"/>
        <w:b/>
        <w:i w:val="0"/>
        <w:caps w:val="0"/>
        <w:sz w:val="22"/>
        <w:u w:val="none"/>
      </w:rPr>
    </w:lvl>
    <w:lvl w:ilvl="1">
      <w:start w:val="1"/>
      <w:numFmt w:val="decimal"/>
      <w:lvlText w:val="%1.%2"/>
      <w:lvlJc w:val="left"/>
      <w:pPr>
        <w:tabs>
          <w:tab w:val="num" w:pos="576"/>
        </w:tabs>
        <w:ind w:left="1152" w:hanging="576"/>
      </w:pPr>
      <w:rPr>
        <w:rFonts w:ascii="Times New Roman" w:hAnsi="Times New Roman"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71" w15:restartNumberingAfterBreak="0">
    <w:nsid w:val="76F0385A"/>
    <w:multiLevelType w:val="multilevel"/>
    <w:tmpl w:val="0809001F"/>
    <w:styleLink w:val="111111"/>
    <w:lvl w:ilvl="0">
      <w:start w:val="1"/>
      <w:numFmt w:val="decimal"/>
      <w:lvlText w:val="%1."/>
      <w:lvlJc w:val="left"/>
      <w:pPr>
        <w:ind w:left="360" w:hanging="360"/>
      </w:pPr>
      <w:rPr>
        <w:rFonts w:ascii="Trebuchet MS" w:hAnsi="Trebuchet M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8A64E5D"/>
    <w:multiLevelType w:val="hybridMultilevel"/>
    <w:tmpl w:val="E3E682C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3" w15:restartNumberingAfterBreak="0">
    <w:nsid w:val="78C330BA"/>
    <w:multiLevelType w:val="hybridMultilevel"/>
    <w:tmpl w:val="34146556"/>
    <w:lvl w:ilvl="0" w:tplc="0409001B">
      <w:start w:val="1"/>
      <w:numFmt w:val="lowerRoman"/>
      <w:lvlText w:val="%1."/>
      <w:lvlJc w:val="righ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4" w15:restartNumberingAfterBreak="0">
    <w:nsid w:val="78F81B63"/>
    <w:multiLevelType w:val="multilevel"/>
    <w:tmpl w:val="ED1010EE"/>
    <w:lvl w:ilvl="0">
      <w:start w:val="1"/>
      <w:numFmt w:val="decimal"/>
      <w:lvlText w:val="%1"/>
      <w:lvlJc w:val="left"/>
      <w:pPr>
        <w:tabs>
          <w:tab w:val="num" w:pos="576"/>
        </w:tabs>
        <w:ind w:left="576" w:hanging="576"/>
      </w:pPr>
      <w:rPr>
        <w:rFonts w:ascii="Times New Roman" w:hAnsi="Times New Roman" w:cs="Times New Roman" w:hint="default"/>
        <w:b/>
        <w:i w:val="0"/>
        <w:caps w:val="0"/>
        <w:sz w:val="22"/>
        <w:u w:val="none"/>
      </w:rPr>
    </w:lvl>
    <w:lvl w:ilvl="1">
      <w:start w:val="1"/>
      <w:numFmt w:val="decimal"/>
      <w:lvlText w:val="%1.%2"/>
      <w:lvlJc w:val="left"/>
      <w:pPr>
        <w:tabs>
          <w:tab w:val="num" w:pos="576"/>
        </w:tabs>
        <w:ind w:left="1152" w:hanging="576"/>
      </w:pPr>
      <w:rPr>
        <w:rFonts w:ascii="Times New Roman" w:hAnsi="Times New Roman"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75" w15:restartNumberingAfterBreak="0">
    <w:nsid w:val="7C5F0B20"/>
    <w:multiLevelType w:val="multilevel"/>
    <w:tmpl w:val="41D4E2E4"/>
    <w:lvl w:ilvl="0">
      <w:start w:val="4"/>
      <w:numFmt w:val="decimal"/>
      <w:lvlText w:val="%1"/>
      <w:lvlJc w:val="left"/>
      <w:pPr>
        <w:tabs>
          <w:tab w:val="num" w:pos="576"/>
        </w:tabs>
        <w:ind w:left="576" w:hanging="576"/>
      </w:pPr>
      <w:rPr>
        <w:rFonts w:ascii="Times New Roman" w:hAnsi="Times New Roman" w:cs="Times New Roman" w:hint="default"/>
        <w:b/>
        <w:i w:val="0"/>
        <w:caps w:val="0"/>
        <w:sz w:val="22"/>
        <w:u w:val="none"/>
      </w:rPr>
    </w:lvl>
    <w:lvl w:ilvl="1">
      <w:start w:val="3"/>
      <w:numFmt w:val="decimal"/>
      <w:lvlText w:val="%1.%2"/>
      <w:lvlJc w:val="left"/>
      <w:pPr>
        <w:tabs>
          <w:tab w:val="num" w:pos="576"/>
        </w:tabs>
        <w:ind w:left="1152" w:hanging="576"/>
      </w:pPr>
      <w:rPr>
        <w:rFonts w:ascii="Times New Roman" w:hAnsi="Times New Roman" w:cs="Times New Roman" w:hint="default"/>
        <w:b/>
        <w:i w:val="0"/>
        <w:caps w:val="0"/>
        <w:sz w:val="22"/>
        <w:u w:val="none"/>
      </w:rPr>
    </w:lvl>
    <w:lvl w:ilvl="2">
      <w:start w:val="1"/>
      <w:numFmt w:val="lowerRoman"/>
      <w:lvlText w:val="%3)"/>
      <w:lvlJc w:val="left"/>
      <w:pPr>
        <w:tabs>
          <w:tab w:val="num" w:pos="576"/>
        </w:tabs>
        <w:ind w:left="1728" w:hanging="576"/>
      </w:pPr>
      <w:rPr>
        <w:rFonts w:ascii="Times New Roman" w:hAnsi="Times New Roman" w:cs="Times New Roman" w:hint="default"/>
        <w:b/>
        <w:i/>
        <w:caps w:val="0"/>
        <w:sz w:val="22"/>
        <w:u w:val="none"/>
      </w:rPr>
    </w:lvl>
    <w:lvl w:ilvl="3">
      <w:start w:val="1"/>
      <w:numFmt w:val="lowerLetter"/>
      <w:lvlText w:val="(%4)"/>
      <w:lvlJc w:val="left"/>
      <w:pPr>
        <w:tabs>
          <w:tab w:val="num" w:pos="576"/>
        </w:tabs>
        <w:ind w:left="1152" w:hanging="576"/>
      </w:pPr>
      <w:rPr>
        <w:rFonts w:ascii="Times New Roman" w:hAnsi="Times New Roman" w:cs="Times New Roman" w:hint="default"/>
        <w:b w:val="0"/>
        <w:i w:val="0"/>
        <w:caps w:val="0"/>
        <w:sz w:val="22"/>
        <w:u w:val="none"/>
      </w:rPr>
    </w:lvl>
    <w:lvl w:ilvl="4">
      <w:start w:val="1"/>
      <w:numFmt w:val="decimal"/>
      <w:suff w:val="nothing"/>
      <w:lvlText w:val=""/>
      <w:lvlJc w:val="left"/>
      <w:pPr>
        <w:ind w:left="0" w:firstLine="0"/>
      </w:pPr>
      <w:rPr>
        <w:rFonts w:ascii="Times New Roman" w:hAnsi="Times New Roman" w:cs="Times New Roman" w:hint="default"/>
        <w:b w:val="0"/>
        <w:i w:val="0"/>
        <w:caps w:val="0"/>
        <w:sz w:val="22"/>
        <w:u w:val="none"/>
      </w:rPr>
    </w:lvl>
    <w:lvl w:ilvl="5">
      <w:start w:val="1"/>
      <w:numFmt w:val="decimal"/>
      <w:suff w:val="nothing"/>
      <w:lvlText w:val=""/>
      <w:lvlJc w:val="left"/>
      <w:pPr>
        <w:ind w:left="0" w:firstLine="0"/>
      </w:pPr>
      <w:rPr>
        <w:rFonts w:ascii="Times New Roman" w:hAnsi="Times New Roman" w:cs="Times New Roman" w:hint="default"/>
        <w:b w:val="0"/>
        <w:i w:val="0"/>
        <w:caps w:val="0"/>
        <w:sz w:val="22"/>
        <w:u w:val="none"/>
      </w:rPr>
    </w:lvl>
    <w:lvl w:ilvl="6">
      <w:start w:val="1"/>
      <w:numFmt w:val="decimal"/>
      <w:suff w:val="nothing"/>
      <w:lvlText w:val=""/>
      <w:lvlJc w:val="left"/>
      <w:pPr>
        <w:ind w:left="0" w:firstLine="0"/>
      </w:pPr>
      <w:rPr>
        <w:rFonts w:ascii="Times New Roman" w:hAnsi="Times New Roman" w:cs="Times New Roman" w:hint="default"/>
        <w:b w:val="0"/>
        <w:i w:val="0"/>
        <w:caps w:val="0"/>
        <w:sz w:val="22"/>
        <w:u w:val="none"/>
      </w:rPr>
    </w:lvl>
    <w:lvl w:ilvl="7">
      <w:start w:val="1"/>
      <w:numFmt w:val="decimal"/>
      <w:suff w:val="nothing"/>
      <w:lvlText w:val=""/>
      <w:lvlJc w:val="left"/>
      <w:pPr>
        <w:ind w:left="0" w:firstLine="0"/>
      </w:pPr>
      <w:rPr>
        <w:rFonts w:ascii="Times New Roman" w:hAnsi="Times New Roman" w:cs="Times New Roman" w:hint="default"/>
        <w:b w:val="0"/>
        <w:i w:val="0"/>
        <w:caps w:val="0"/>
        <w:sz w:val="22"/>
        <w:u w:val="none"/>
      </w:rPr>
    </w:lvl>
    <w:lvl w:ilvl="8">
      <w:start w:val="1"/>
      <w:numFmt w:val="decimal"/>
      <w:suff w:val="nothing"/>
      <w:lvlText w:val=""/>
      <w:lvlJc w:val="left"/>
      <w:pPr>
        <w:ind w:left="0" w:firstLine="0"/>
      </w:pPr>
      <w:rPr>
        <w:rFonts w:ascii="Times New Roman" w:hAnsi="Times New Roman" w:cs="Times New Roman" w:hint="default"/>
        <w:b w:val="0"/>
        <w:i w:val="0"/>
        <w:caps w:val="0"/>
        <w:sz w:val="22"/>
        <w:u w:val="none"/>
      </w:rPr>
    </w:lvl>
  </w:abstractNum>
  <w:abstractNum w:abstractNumId="76" w15:restartNumberingAfterBreak="0">
    <w:nsid w:val="7EB83A65"/>
    <w:multiLevelType w:val="hybridMultilevel"/>
    <w:tmpl w:val="A7CA7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F9D750A"/>
    <w:multiLevelType w:val="hybridMultilevel"/>
    <w:tmpl w:val="9FA40572"/>
    <w:lvl w:ilvl="0" w:tplc="45B4A070">
      <w:start w:val="1"/>
      <w:numFmt w:val="decimal"/>
      <w:lvlText w:val="(%1)"/>
      <w:lvlJc w:val="left"/>
      <w:pPr>
        <w:ind w:left="1031" w:hanging="437"/>
      </w:pPr>
      <w:rPr>
        <w:rFonts w:ascii="Calibri" w:eastAsia="Calibri" w:hAnsi="Calibri" w:cs="Calibri" w:hint="default"/>
        <w:spacing w:val="-20"/>
        <w:w w:val="100"/>
        <w:sz w:val="18"/>
        <w:szCs w:val="18"/>
      </w:rPr>
    </w:lvl>
    <w:lvl w:ilvl="1" w:tplc="4F4A1FAE">
      <w:numFmt w:val="bullet"/>
      <w:lvlText w:val="•"/>
      <w:lvlJc w:val="left"/>
      <w:pPr>
        <w:ind w:left="1886" w:hanging="437"/>
      </w:pPr>
      <w:rPr>
        <w:rFonts w:hint="default"/>
      </w:rPr>
    </w:lvl>
    <w:lvl w:ilvl="2" w:tplc="D2F47360">
      <w:numFmt w:val="bullet"/>
      <w:lvlText w:val="•"/>
      <w:lvlJc w:val="left"/>
      <w:pPr>
        <w:ind w:left="2733" w:hanging="437"/>
      </w:pPr>
      <w:rPr>
        <w:rFonts w:hint="default"/>
      </w:rPr>
    </w:lvl>
    <w:lvl w:ilvl="3" w:tplc="953EF5E8">
      <w:numFmt w:val="bullet"/>
      <w:lvlText w:val="•"/>
      <w:lvlJc w:val="left"/>
      <w:pPr>
        <w:ind w:left="3579" w:hanging="437"/>
      </w:pPr>
      <w:rPr>
        <w:rFonts w:hint="default"/>
      </w:rPr>
    </w:lvl>
    <w:lvl w:ilvl="4" w:tplc="654EFC82">
      <w:numFmt w:val="bullet"/>
      <w:lvlText w:val="•"/>
      <w:lvlJc w:val="left"/>
      <w:pPr>
        <w:ind w:left="4426" w:hanging="437"/>
      </w:pPr>
      <w:rPr>
        <w:rFonts w:hint="default"/>
      </w:rPr>
    </w:lvl>
    <w:lvl w:ilvl="5" w:tplc="B3D80E4A">
      <w:numFmt w:val="bullet"/>
      <w:lvlText w:val="•"/>
      <w:lvlJc w:val="left"/>
      <w:pPr>
        <w:ind w:left="5273" w:hanging="437"/>
      </w:pPr>
      <w:rPr>
        <w:rFonts w:hint="default"/>
      </w:rPr>
    </w:lvl>
    <w:lvl w:ilvl="6" w:tplc="67742960">
      <w:numFmt w:val="bullet"/>
      <w:lvlText w:val="•"/>
      <w:lvlJc w:val="left"/>
      <w:pPr>
        <w:ind w:left="6119" w:hanging="437"/>
      </w:pPr>
      <w:rPr>
        <w:rFonts w:hint="default"/>
      </w:rPr>
    </w:lvl>
    <w:lvl w:ilvl="7" w:tplc="ACD2886E">
      <w:numFmt w:val="bullet"/>
      <w:lvlText w:val="•"/>
      <w:lvlJc w:val="left"/>
      <w:pPr>
        <w:ind w:left="6966" w:hanging="437"/>
      </w:pPr>
      <w:rPr>
        <w:rFonts w:hint="default"/>
      </w:rPr>
    </w:lvl>
    <w:lvl w:ilvl="8" w:tplc="7E223F1C">
      <w:numFmt w:val="bullet"/>
      <w:lvlText w:val="•"/>
      <w:lvlJc w:val="left"/>
      <w:pPr>
        <w:ind w:left="7813" w:hanging="437"/>
      </w:pPr>
      <w:rPr>
        <w:rFonts w:hint="default"/>
      </w:rPr>
    </w:lvl>
  </w:abstractNum>
  <w:num w:numId="1">
    <w:abstractNumId w:val="9"/>
  </w:num>
  <w:num w:numId="2">
    <w:abstractNumId w:val="12"/>
  </w:num>
  <w:num w:numId="3">
    <w:abstractNumId w:val="44"/>
  </w:num>
  <w:num w:numId="4">
    <w:abstractNumId w:val="66"/>
  </w:num>
  <w:num w:numId="5">
    <w:abstractNumId w:val="58"/>
  </w:num>
  <w:num w:numId="6">
    <w:abstractNumId w:val="36"/>
  </w:num>
  <w:num w:numId="7">
    <w:abstractNumId w:val="77"/>
  </w:num>
  <w:num w:numId="8">
    <w:abstractNumId w:val="59"/>
  </w:num>
  <w:num w:numId="9">
    <w:abstractNumId w:val="53"/>
  </w:num>
  <w:num w:numId="10">
    <w:abstractNumId w:val="25"/>
  </w:num>
  <w:num w:numId="11">
    <w:abstractNumId w:val="61"/>
  </w:num>
  <w:num w:numId="12">
    <w:abstractNumId w:val="21"/>
  </w:num>
  <w:num w:numId="13">
    <w:abstractNumId w:val="76"/>
  </w:num>
  <w:num w:numId="14">
    <w:abstractNumId w:val="71"/>
  </w:num>
  <w:num w:numId="15">
    <w:abstractNumId w:val="10"/>
  </w:num>
  <w:num w:numId="16">
    <w:abstractNumId w:val="17"/>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74"/>
  </w:num>
  <w:num w:numId="27">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41"/>
  </w:num>
  <w:num w:numId="30">
    <w:abstractNumId w:val="62"/>
  </w:num>
  <w:num w:numId="31">
    <w:abstractNumId w:val="32"/>
  </w:num>
  <w:num w:numId="32">
    <w:abstractNumId w:val="70"/>
  </w:num>
  <w:num w:numId="33">
    <w:abstractNumId w:val="47"/>
  </w:num>
  <w:num w:numId="34">
    <w:abstractNumId w:val="29"/>
  </w:num>
  <w:num w:numId="35">
    <w:abstractNumId w:val="39"/>
  </w:num>
  <w:num w:numId="36">
    <w:abstractNumId w:val="75"/>
  </w:num>
  <w:num w:numId="37">
    <w:abstractNumId w:val="24"/>
  </w:num>
  <w:num w:numId="38">
    <w:abstractNumId w:val="57"/>
  </w:num>
  <w:num w:numId="39">
    <w:abstractNumId w:val="63"/>
  </w:num>
  <w:num w:numId="40">
    <w:abstractNumId w:val="43"/>
  </w:num>
  <w:num w:numId="41">
    <w:abstractNumId w:val="48"/>
  </w:num>
  <w:num w:numId="42">
    <w:abstractNumId w:val="42"/>
  </w:num>
  <w:num w:numId="43">
    <w:abstractNumId w:val="54"/>
  </w:num>
  <w:num w:numId="44">
    <w:abstractNumId w:val="67"/>
  </w:num>
  <w:num w:numId="45">
    <w:abstractNumId w:val="40"/>
  </w:num>
  <w:num w:numId="46">
    <w:abstractNumId w:val="56"/>
  </w:num>
  <w:num w:numId="47">
    <w:abstractNumId w:val="22"/>
  </w:num>
  <w:num w:numId="48">
    <w:abstractNumId w:val="11"/>
  </w:num>
  <w:num w:numId="49">
    <w:abstractNumId w:val="46"/>
  </w:num>
  <w:num w:numId="50">
    <w:abstractNumId w:val="26"/>
  </w:num>
  <w:num w:numId="51">
    <w:abstractNumId w:val="65"/>
  </w:num>
  <w:num w:numId="52">
    <w:abstractNumId w:val="18"/>
  </w:num>
  <w:num w:numId="53">
    <w:abstractNumId w:val="69"/>
  </w:num>
  <w:num w:numId="54">
    <w:abstractNumId w:val="35"/>
  </w:num>
  <w:num w:numId="55">
    <w:abstractNumId w:val="34"/>
  </w:num>
  <w:num w:numId="56">
    <w:abstractNumId w:val="16"/>
  </w:num>
  <w:num w:numId="57">
    <w:abstractNumId w:val="50"/>
  </w:num>
  <w:num w:numId="58">
    <w:abstractNumId w:val="23"/>
  </w:num>
  <w:num w:numId="59">
    <w:abstractNumId w:val="51"/>
  </w:num>
  <w:num w:numId="60">
    <w:abstractNumId w:val="19"/>
  </w:num>
  <w:num w:numId="61">
    <w:abstractNumId w:val="30"/>
  </w:num>
  <w:num w:numId="62">
    <w:abstractNumId w:val="20"/>
  </w:num>
  <w:num w:numId="63">
    <w:abstractNumId w:val="73"/>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num>
  <w:num w:numId="66">
    <w:abstractNumId w:val="27"/>
  </w:num>
  <w:num w:numId="67">
    <w:abstractNumId w:val="33"/>
  </w:num>
  <w:num w:numId="68">
    <w:abstractNumId w:val="13"/>
  </w:num>
  <w:num w:numId="69">
    <w:abstractNumId w:val="55"/>
  </w:num>
  <w:num w:numId="70">
    <w:abstractNumId w:val="49"/>
  </w:num>
  <w:num w:numId="71">
    <w:abstractNumId w:val="31"/>
  </w:num>
  <w:num w:numId="72">
    <w:abstractNumId w:val="68"/>
  </w:num>
  <w:num w:numId="73">
    <w:abstractNumId w:val="45"/>
  </w:num>
  <w:num w:numId="74">
    <w:abstractNumId w:val="60"/>
  </w:num>
  <w:num w:numId="75">
    <w:abstractNumId w:val="64"/>
  </w:num>
  <w:num w:numId="76">
    <w:abstractNumId w:val="52"/>
  </w:num>
  <w:num w:numId="7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num>
  <w:num w:numId="79">
    <w:abstractNumId w:val="8"/>
    <w:lvlOverride w:ilvl="0">
      <w:startOverride w:val="1"/>
    </w:lvlOverride>
  </w:num>
  <w:num w:numId="80">
    <w:abstractNumId w:val="7"/>
  </w:num>
  <w:num w:numId="81">
    <w:abstractNumId w:val="6"/>
  </w:num>
  <w:num w:numId="82">
    <w:abstractNumId w:val="5"/>
  </w:num>
  <w:num w:numId="83">
    <w:abstractNumId w:val="4"/>
  </w:num>
  <w:num w:numId="84">
    <w:abstractNumId w:val="3"/>
    <w:lvlOverride w:ilvl="0">
      <w:startOverride w:val="1"/>
    </w:lvlOverride>
  </w:num>
  <w:num w:numId="85">
    <w:abstractNumId w:val="2"/>
    <w:lvlOverride w:ilvl="0">
      <w:startOverride w:val="1"/>
    </w:lvlOverride>
  </w:num>
  <w:num w:numId="86">
    <w:abstractNumId w:val="1"/>
    <w:lvlOverride w:ilvl="0">
      <w:startOverride w:val="1"/>
    </w:lvlOverride>
  </w:num>
  <w:num w:numId="87">
    <w:abstractNumId w:val="0"/>
    <w:lvlOverride w:ilvl="0">
      <w:startOverride w:val="1"/>
    </w:lvlOverride>
  </w:num>
  <w:num w:numId="8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num>
  <w:num w:numId="94">
    <w:abstractNumId w:val="72"/>
  </w:num>
  <w:num w:numId="95">
    <w:abstractNumId w:val="28"/>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an Urquhart">
    <w15:presenceInfo w15:providerId="AD" w15:userId="S::surquhart@vsacapital.com::7cd55331-b9ef-48ec-86e2-f92321fb98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5703DE"/>
    <w:rsid w:val="00000E8D"/>
    <w:rsid w:val="000037C0"/>
    <w:rsid w:val="000042C3"/>
    <w:rsid w:val="000046BA"/>
    <w:rsid w:val="00005CC3"/>
    <w:rsid w:val="00007607"/>
    <w:rsid w:val="00010F71"/>
    <w:rsid w:val="0001113D"/>
    <w:rsid w:val="0001157A"/>
    <w:rsid w:val="000119A1"/>
    <w:rsid w:val="00012F74"/>
    <w:rsid w:val="00014BAA"/>
    <w:rsid w:val="00015067"/>
    <w:rsid w:val="000164AB"/>
    <w:rsid w:val="00017486"/>
    <w:rsid w:val="00020C7E"/>
    <w:rsid w:val="0002146D"/>
    <w:rsid w:val="0002381D"/>
    <w:rsid w:val="00024432"/>
    <w:rsid w:val="00024D72"/>
    <w:rsid w:val="000265F2"/>
    <w:rsid w:val="0002719A"/>
    <w:rsid w:val="00031198"/>
    <w:rsid w:val="000347E6"/>
    <w:rsid w:val="00034C5F"/>
    <w:rsid w:val="00035CA8"/>
    <w:rsid w:val="000360D8"/>
    <w:rsid w:val="000364EA"/>
    <w:rsid w:val="00036BD3"/>
    <w:rsid w:val="00036E57"/>
    <w:rsid w:val="000370B8"/>
    <w:rsid w:val="00037C94"/>
    <w:rsid w:val="00041ACA"/>
    <w:rsid w:val="00041B38"/>
    <w:rsid w:val="0004233A"/>
    <w:rsid w:val="0004271A"/>
    <w:rsid w:val="00043D57"/>
    <w:rsid w:val="000473D3"/>
    <w:rsid w:val="00047400"/>
    <w:rsid w:val="000508D0"/>
    <w:rsid w:val="00051D99"/>
    <w:rsid w:val="00053CC4"/>
    <w:rsid w:val="000568DC"/>
    <w:rsid w:val="00056A42"/>
    <w:rsid w:val="00056ADA"/>
    <w:rsid w:val="0005731D"/>
    <w:rsid w:val="0006196E"/>
    <w:rsid w:val="00063F93"/>
    <w:rsid w:val="000658CF"/>
    <w:rsid w:val="00066DCA"/>
    <w:rsid w:val="000711B1"/>
    <w:rsid w:val="00071C15"/>
    <w:rsid w:val="000731D7"/>
    <w:rsid w:val="00073442"/>
    <w:rsid w:val="00075730"/>
    <w:rsid w:val="000758D2"/>
    <w:rsid w:val="0007786E"/>
    <w:rsid w:val="0008050A"/>
    <w:rsid w:val="00082A4C"/>
    <w:rsid w:val="00084F85"/>
    <w:rsid w:val="0008537C"/>
    <w:rsid w:val="00086878"/>
    <w:rsid w:val="000914D0"/>
    <w:rsid w:val="00091FC3"/>
    <w:rsid w:val="00092814"/>
    <w:rsid w:val="0009378E"/>
    <w:rsid w:val="00095C06"/>
    <w:rsid w:val="00096263"/>
    <w:rsid w:val="00096735"/>
    <w:rsid w:val="000A07A3"/>
    <w:rsid w:val="000A092D"/>
    <w:rsid w:val="000A1845"/>
    <w:rsid w:val="000A2836"/>
    <w:rsid w:val="000A2A33"/>
    <w:rsid w:val="000A3FE0"/>
    <w:rsid w:val="000A501A"/>
    <w:rsid w:val="000A5430"/>
    <w:rsid w:val="000A57B6"/>
    <w:rsid w:val="000A58A2"/>
    <w:rsid w:val="000A6EED"/>
    <w:rsid w:val="000B5F57"/>
    <w:rsid w:val="000B6AAD"/>
    <w:rsid w:val="000B7C07"/>
    <w:rsid w:val="000C028B"/>
    <w:rsid w:val="000C13A6"/>
    <w:rsid w:val="000C1BF7"/>
    <w:rsid w:val="000C2BAE"/>
    <w:rsid w:val="000C2E04"/>
    <w:rsid w:val="000C3A4F"/>
    <w:rsid w:val="000C6E3D"/>
    <w:rsid w:val="000C7962"/>
    <w:rsid w:val="000C7D48"/>
    <w:rsid w:val="000D06C0"/>
    <w:rsid w:val="000D0E35"/>
    <w:rsid w:val="000D0F05"/>
    <w:rsid w:val="000D1E8D"/>
    <w:rsid w:val="000D4B2E"/>
    <w:rsid w:val="000D5040"/>
    <w:rsid w:val="000D5D8A"/>
    <w:rsid w:val="000D67E9"/>
    <w:rsid w:val="000D7953"/>
    <w:rsid w:val="000E0913"/>
    <w:rsid w:val="000E120C"/>
    <w:rsid w:val="000E1D44"/>
    <w:rsid w:val="000E2427"/>
    <w:rsid w:val="000E3003"/>
    <w:rsid w:val="000E5398"/>
    <w:rsid w:val="000E545C"/>
    <w:rsid w:val="000E5C2F"/>
    <w:rsid w:val="000E5ED9"/>
    <w:rsid w:val="000E639A"/>
    <w:rsid w:val="000E6C7E"/>
    <w:rsid w:val="000E7962"/>
    <w:rsid w:val="000F121C"/>
    <w:rsid w:val="000F126C"/>
    <w:rsid w:val="000F165E"/>
    <w:rsid w:val="000F24C2"/>
    <w:rsid w:val="000F24F4"/>
    <w:rsid w:val="000F2E38"/>
    <w:rsid w:val="000F4179"/>
    <w:rsid w:val="000F5F89"/>
    <w:rsid w:val="000F6A9F"/>
    <w:rsid w:val="000F6C9B"/>
    <w:rsid w:val="001032B4"/>
    <w:rsid w:val="00106E88"/>
    <w:rsid w:val="00107A06"/>
    <w:rsid w:val="00110580"/>
    <w:rsid w:val="001116E5"/>
    <w:rsid w:val="00112267"/>
    <w:rsid w:val="00112297"/>
    <w:rsid w:val="00112472"/>
    <w:rsid w:val="0011611E"/>
    <w:rsid w:val="001164FD"/>
    <w:rsid w:val="001210A3"/>
    <w:rsid w:val="001210DF"/>
    <w:rsid w:val="0012241D"/>
    <w:rsid w:val="00124A27"/>
    <w:rsid w:val="00126931"/>
    <w:rsid w:val="0012768F"/>
    <w:rsid w:val="00127D8B"/>
    <w:rsid w:val="00131A2A"/>
    <w:rsid w:val="00134D5D"/>
    <w:rsid w:val="00134DBB"/>
    <w:rsid w:val="00135C81"/>
    <w:rsid w:val="001376B2"/>
    <w:rsid w:val="001379A8"/>
    <w:rsid w:val="00141439"/>
    <w:rsid w:val="001424F8"/>
    <w:rsid w:val="00142D95"/>
    <w:rsid w:val="00142F58"/>
    <w:rsid w:val="00144965"/>
    <w:rsid w:val="00146324"/>
    <w:rsid w:val="00146B77"/>
    <w:rsid w:val="00146DB8"/>
    <w:rsid w:val="00147165"/>
    <w:rsid w:val="00150326"/>
    <w:rsid w:val="001513E9"/>
    <w:rsid w:val="00151DAD"/>
    <w:rsid w:val="00152BE2"/>
    <w:rsid w:val="00152C52"/>
    <w:rsid w:val="00154BDB"/>
    <w:rsid w:val="001552EF"/>
    <w:rsid w:val="001555CE"/>
    <w:rsid w:val="0015636B"/>
    <w:rsid w:val="001564CC"/>
    <w:rsid w:val="00156D4C"/>
    <w:rsid w:val="00156F01"/>
    <w:rsid w:val="001577F7"/>
    <w:rsid w:val="00157B4B"/>
    <w:rsid w:val="001600D9"/>
    <w:rsid w:val="001604AF"/>
    <w:rsid w:val="0016343F"/>
    <w:rsid w:val="0016413B"/>
    <w:rsid w:val="00166C46"/>
    <w:rsid w:val="00166F38"/>
    <w:rsid w:val="0017052A"/>
    <w:rsid w:val="001726F7"/>
    <w:rsid w:val="00172D27"/>
    <w:rsid w:val="00174A60"/>
    <w:rsid w:val="00175B16"/>
    <w:rsid w:val="001763B1"/>
    <w:rsid w:val="00182D3C"/>
    <w:rsid w:val="00183F10"/>
    <w:rsid w:val="00184AEC"/>
    <w:rsid w:val="00185727"/>
    <w:rsid w:val="001863C5"/>
    <w:rsid w:val="001863DE"/>
    <w:rsid w:val="001864E3"/>
    <w:rsid w:val="00187302"/>
    <w:rsid w:val="0018747B"/>
    <w:rsid w:val="0018789D"/>
    <w:rsid w:val="00187D70"/>
    <w:rsid w:val="001902F4"/>
    <w:rsid w:val="00190350"/>
    <w:rsid w:val="001905AA"/>
    <w:rsid w:val="0019115D"/>
    <w:rsid w:val="00194782"/>
    <w:rsid w:val="00195C91"/>
    <w:rsid w:val="001A22A4"/>
    <w:rsid w:val="001A32DA"/>
    <w:rsid w:val="001A3EBD"/>
    <w:rsid w:val="001A44C2"/>
    <w:rsid w:val="001A49E8"/>
    <w:rsid w:val="001A5650"/>
    <w:rsid w:val="001A6708"/>
    <w:rsid w:val="001B13AC"/>
    <w:rsid w:val="001B2170"/>
    <w:rsid w:val="001B4E74"/>
    <w:rsid w:val="001B4F30"/>
    <w:rsid w:val="001B7322"/>
    <w:rsid w:val="001C2CEF"/>
    <w:rsid w:val="001C32BA"/>
    <w:rsid w:val="001C3A5C"/>
    <w:rsid w:val="001C424B"/>
    <w:rsid w:val="001C44BE"/>
    <w:rsid w:val="001C4EAA"/>
    <w:rsid w:val="001C5048"/>
    <w:rsid w:val="001C6F66"/>
    <w:rsid w:val="001C79C6"/>
    <w:rsid w:val="001D15AB"/>
    <w:rsid w:val="001D2738"/>
    <w:rsid w:val="001D2791"/>
    <w:rsid w:val="001D28CA"/>
    <w:rsid w:val="001D37D5"/>
    <w:rsid w:val="001D41DC"/>
    <w:rsid w:val="001D544A"/>
    <w:rsid w:val="001D6C1D"/>
    <w:rsid w:val="001D793B"/>
    <w:rsid w:val="001D7B3D"/>
    <w:rsid w:val="001E14F3"/>
    <w:rsid w:val="001E1549"/>
    <w:rsid w:val="001E1A37"/>
    <w:rsid w:val="001E356E"/>
    <w:rsid w:val="001E454D"/>
    <w:rsid w:val="001E5676"/>
    <w:rsid w:val="001E7927"/>
    <w:rsid w:val="001F1DCD"/>
    <w:rsid w:val="001F219A"/>
    <w:rsid w:val="001F27A6"/>
    <w:rsid w:val="001F31E2"/>
    <w:rsid w:val="001F388C"/>
    <w:rsid w:val="001F40FF"/>
    <w:rsid w:val="001F4D90"/>
    <w:rsid w:val="001F56EB"/>
    <w:rsid w:val="001F5E5B"/>
    <w:rsid w:val="001F6DB8"/>
    <w:rsid w:val="001F7270"/>
    <w:rsid w:val="00200BE8"/>
    <w:rsid w:val="0020130C"/>
    <w:rsid w:val="00202183"/>
    <w:rsid w:val="00202F98"/>
    <w:rsid w:val="00203929"/>
    <w:rsid w:val="00203B9A"/>
    <w:rsid w:val="0020634E"/>
    <w:rsid w:val="00210838"/>
    <w:rsid w:val="00211171"/>
    <w:rsid w:val="00215D15"/>
    <w:rsid w:val="00217CBD"/>
    <w:rsid w:val="0022056A"/>
    <w:rsid w:val="00220B21"/>
    <w:rsid w:val="0022159C"/>
    <w:rsid w:val="00221E03"/>
    <w:rsid w:val="00223606"/>
    <w:rsid w:val="00223A8A"/>
    <w:rsid w:val="00225663"/>
    <w:rsid w:val="00225EC9"/>
    <w:rsid w:val="00227364"/>
    <w:rsid w:val="00230356"/>
    <w:rsid w:val="0023143A"/>
    <w:rsid w:val="00232C5F"/>
    <w:rsid w:val="00233254"/>
    <w:rsid w:val="0023359A"/>
    <w:rsid w:val="0023487D"/>
    <w:rsid w:val="00234BCE"/>
    <w:rsid w:val="0023670B"/>
    <w:rsid w:val="0023681A"/>
    <w:rsid w:val="0024055A"/>
    <w:rsid w:val="002410E5"/>
    <w:rsid w:val="00241553"/>
    <w:rsid w:val="00241A05"/>
    <w:rsid w:val="00244BAB"/>
    <w:rsid w:val="00245A7F"/>
    <w:rsid w:val="00246381"/>
    <w:rsid w:val="00251F07"/>
    <w:rsid w:val="00252F97"/>
    <w:rsid w:val="002552B4"/>
    <w:rsid w:val="00257BA4"/>
    <w:rsid w:val="00257CB5"/>
    <w:rsid w:val="002609D4"/>
    <w:rsid w:val="00261F60"/>
    <w:rsid w:val="0026200D"/>
    <w:rsid w:val="00263286"/>
    <w:rsid w:val="002647F5"/>
    <w:rsid w:val="00266E8A"/>
    <w:rsid w:val="00267836"/>
    <w:rsid w:val="00267D4C"/>
    <w:rsid w:val="00270393"/>
    <w:rsid w:val="00270DDF"/>
    <w:rsid w:val="00272111"/>
    <w:rsid w:val="0027465B"/>
    <w:rsid w:val="002761AB"/>
    <w:rsid w:val="002774DA"/>
    <w:rsid w:val="00280450"/>
    <w:rsid w:val="00281299"/>
    <w:rsid w:val="00281407"/>
    <w:rsid w:val="00281D3E"/>
    <w:rsid w:val="002826E6"/>
    <w:rsid w:val="0028368B"/>
    <w:rsid w:val="00284911"/>
    <w:rsid w:val="00285D04"/>
    <w:rsid w:val="00286E2F"/>
    <w:rsid w:val="002963F3"/>
    <w:rsid w:val="00297669"/>
    <w:rsid w:val="002A2FE5"/>
    <w:rsid w:val="002A4FC8"/>
    <w:rsid w:val="002A5530"/>
    <w:rsid w:val="002A7B12"/>
    <w:rsid w:val="002B0838"/>
    <w:rsid w:val="002B08FF"/>
    <w:rsid w:val="002B21D0"/>
    <w:rsid w:val="002B35F4"/>
    <w:rsid w:val="002B44D3"/>
    <w:rsid w:val="002B6D19"/>
    <w:rsid w:val="002B7684"/>
    <w:rsid w:val="002C1065"/>
    <w:rsid w:val="002C16EB"/>
    <w:rsid w:val="002C3000"/>
    <w:rsid w:val="002C48E5"/>
    <w:rsid w:val="002C4C44"/>
    <w:rsid w:val="002C5BC5"/>
    <w:rsid w:val="002C5D1A"/>
    <w:rsid w:val="002C7D60"/>
    <w:rsid w:val="002D0B56"/>
    <w:rsid w:val="002D270D"/>
    <w:rsid w:val="002D3DAE"/>
    <w:rsid w:val="002D4003"/>
    <w:rsid w:val="002D4211"/>
    <w:rsid w:val="002D5B72"/>
    <w:rsid w:val="002D5D31"/>
    <w:rsid w:val="002D6149"/>
    <w:rsid w:val="002D64EE"/>
    <w:rsid w:val="002E17AD"/>
    <w:rsid w:val="002E1B53"/>
    <w:rsid w:val="002E2445"/>
    <w:rsid w:val="002E4365"/>
    <w:rsid w:val="002E4379"/>
    <w:rsid w:val="002E46A7"/>
    <w:rsid w:val="002E4BD8"/>
    <w:rsid w:val="002E56EC"/>
    <w:rsid w:val="002E5F06"/>
    <w:rsid w:val="002E5F77"/>
    <w:rsid w:val="002F294D"/>
    <w:rsid w:val="00300861"/>
    <w:rsid w:val="003009D3"/>
    <w:rsid w:val="00301AF7"/>
    <w:rsid w:val="00301C00"/>
    <w:rsid w:val="00305367"/>
    <w:rsid w:val="003053F5"/>
    <w:rsid w:val="00307769"/>
    <w:rsid w:val="00307D35"/>
    <w:rsid w:val="00311CE2"/>
    <w:rsid w:val="00312C2F"/>
    <w:rsid w:val="003144EB"/>
    <w:rsid w:val="00314B56"/>
    <w:rsid w:val="0031509F"/>
    <w:rsid w:val="00316BA2"/>
    <w:rsid w:val="00316E90"/>
    <w:rsid w:val="00317EF7"/>
    <w:rsid w:val="00321155"/>
    <w:rsid w:val="0032150B"/>
    <w:rsid w:val="0032283B"/>
    <w:rsid w:val="0032508A"/>
    <w:rsid w:val="003267BF"/>
    <w:rsid w:val="003267F8"/>
    <w:rsid w:val="00326F62"/>
    <w:rsid w:val="00327F92"/>
    <w:rsid w:val="00330B1D"/>
    <w:rsid w:val="00331B0E"/>
    <w:rsid w:val="003320AC"/>
    <w:rsid w:val="003321AC"/>
    <w:rsid w:val="0033288D"/>
    <w:rsid w:val="00333161"/>
    <w:rsid w:val="0033396B"/>
    <w:rsid w:val="00333AD1"/>
    <w:rsid w:val="003342E5"/>
    <w:rsid w:val="00341B7D"/>
    <w:rsid w:val="003436FA"/>
    <w:rsid w:val="00346024"/>
    <w:rsid w:val="0034636F"/>
    <w:rsid w:val="00346D53"/>
    <w:rsid w:val="00347992"/>
    <w:rsid w:val="003531E7"/>
    <w:rsid w:val="0035387C"/>
    <w:rsid w:val="00356075"/>
    <w:rsid w:val="003610CA"/>
    <w:rsid w:val="0036185B"/>
    <w:rsid w:val="003633CD"/>
    <w:rsid w:val="00363467"/>
    <w:rsid w:val="003644CE"/>
    <w:rsid w:val="003648E9"/>
    <w:rsid w:val="00366F45"/>
    <w:rsid w:val="00367419"/>
    <w:rsid w:val="00367D29"/>
    <w:rsid w:val="003714CC"/>
    <w:rsid w:val="003730BB"/>
    <w:rsid w:val="003734EE"/>
    <w:rsid w:val="00375B8A"/>
    <w:rsid w:val="00376269"/>
    <w:rsid w:val="00377CE2"/>
    <w:rsid w:val="00377F1A"/>
    <w:rsid w:val="00381420"/>
    <w:rsid w:val="00383F53"/>
    <w:rsid w:val="00384557"/>
    <w:rsid w:val="00385164"/>
    <w:rsid w:val="0038567F"/>
    <w:rsid w:val="00386339"/>
    <w:rsid w:val="00386CEA"/>
    <w:rsid w:val="00386F27"/>
    <w:rsid w:val="003932C7"/>
    <w:rsid w:val="003961E8"/>
    <w:rsid w:val="003963C5"/>
    <w:rsid w:val="00396D0F"/>
    <w:rsid w:val="00396DD3"/>
    <w:rsid w:val="003A2FD5"/>
    <w:rsid w:val="003A3D9C"/>
    <w:rsid w:val="003A43D4"/>
    <w:rsid w:val="003A6BFD"/>
    <w:rsid w:val="003B001B"/>
    <w:rsid w:val="003B07B6"/>
    <w:rsid w:val="003B20B6"/>
    <w:rsid w:val="003B4174"/>
    <w:rsid w:val="003B651A"/>
    <w:rsid w:val="003C01C3"/>
    <w:rsid w:val="003C06B4"/>
    <w:rsid w:val="003C23C5"/>
    <w:rsid w:val="003C3449"/>
    <w:rsid w:val="003C48E5"/>
    <w:rsid w:val="003C5119"/>
    <w:rsid w:val="003C5D8A"/>
    <w:rsid w:val="003C62BB"/>
    <w:rsid w:val="003C6876"/>
    <w:rsid w:val="003C7E8E"/>
    <w:rsid w:val="003D0694"/>
    <w:rsid w:val="003D3845"/>
    <w:rsid w:val="003D3BA4"/>
    <w:rsid w:val="003D4D22"/>
    <w:rsid w:val="003D5560"/>
    <w:rsid w:val="003D5DF0"/>
    <w:rsid w:val="003D7CFE"/>
    <w:rsid w:val="003E02DC"/>
    <w:rsid w:val="003E1344"/>
    <w:rsid w:val="003E1DEA"/>
    <w:rsid w:val="003E4DFF"/>
    <w:rsid w:val="003E4FF0"/>
    <w:rsid w:val="003E6924"/>
    <w:rsid w:val="003E73B6"/>
    <w:rsid w:val="003F00EB"/>
    <w:rsid w:val="003F1161"/>
    <w:rsid w:val="003F1E0E"/>
    <w:rsid w:val="003F1E89"/>
    <w:rsid w:val="003F22CD"/>
    <w:rsid w:val="003F3329"/>
    <w:rsid w:val="003F3345"/>
    <w:rsid w:val="003F552E"/>
    <w:rsid w:val="003F6658"/>
    <w:rsid w:val="003F7213"/>
    <w:rsid w:val="00401E64"/>
    <w:rsid w:val="0040369E"/>
    <w:rsid w:val="00404377"/>
    <w:rsid w:val="00406A6E"/>
    <w:rsid w:val="00407261"/>
    <w:rsid w:val="00407A3E"/>
    <w:rsid w:val="0041081C"/>
    <w:rsid w:val="00412DF1"/>
    <w:rsid w:val="00413D00"/>
    <w:rsid w:val="004149F3"/>
    <w:rsid w:val="0041576C"/>
    <w:rsid w:val="0041764B"/>
    <w:rsid w:val="00420EA6"/>
    <w:rsid w:val="0042284B"/>
    <w:rsid w:val="00423571"/>
    <w:rsid w:val="00423F79"/>
    <w:rsid w:val="0042490B"/>
    <w:rsid w:val="004264DD"/>
    <w:rsid w:val="00426711"/>
    <w:rsid w:val="00426EC1"/>
    <w:rsid w:val="00431129"/>
    <w:rsid w:val="00433427"/>
    <w:rsid w:val="00433687"/>
    <w:rsid w:val="004340E0"/>
    <w:rsid w:val="0043473F"/>
    <w:rsid w:val="0043602D"/>
    <w:rsid w:val="004366AA"/>
    <w:rsid w:val="00436999"/>
    <w:rsid w:val="00441182"/>
    <w:rsid w:val="004415E6"/>
    <w:rsid w:val="0044204E"/>
    <w:rsid w:val="00442194"/>
    <w:rsid w:val="004429FD"/>
    <w:rsid w:val="004462E8"/>
    <w:rsid w:val="004464A3"/>
    <w:rsid w:val="004473B0"/>
    <w:rsid w:val="00450DD6"/>
    <w:rsid w:val="00450FE4"/>
    <w:rsid w:val="0045253F"/>
    <w:rsid w:val="004535FF"/>
    <w:rsid w:val="00453981"/>
    <w:rsid w:val="004566C3"/>
    <w:rsid w:val="00457962"/>
    <w:rsid w:val="00457E3A"/>
    <w:rsid w:val="00461D00"/>
    <w:rsid w:val="00461FA1"/>
    <w:rsid w:val="00462558"/>
    <w:rsid w:val="00462FCF"/>
    <w:rsid w:val="004639F6"/>
    <w:rsid w:val="004650B5"/>
    <w:rsid w:val="00466BC3"/>
    <w:rsid w:val="004671F1"/>
    <w:rsid w:val="0046795F"/>
    <w:rsid w:val="00471157"/>
    <w:rsid w:val="004712BD"/>
    <w:rsid w:val="00471F6C"/>
    <w:rsid w:val="00472332"/>
    <w:rsid w:val="00472798"/>
    <w:rsid w:val="00473535"/>
    <w:rsid w:val="004749B5"/>
    <w:rsid w:val="00476902"/>
    <w:rsid w:val="00476D6A"/>
    <w:rsid w:val="004802FD"/>
    <w:rsid w:val="00481309"/>
    <w:rsid w:val="00482674"/>
    <w:rsid w:val="004831AA"/>
    <w:rsid w:val="00486460"/>
    <w:rsid w:val="00486853"/>
    <w:rsid w:val="00490688"/>
    <w:rsid w:val="00490E62"/>
    <w:rsid w:val="00491FA9"/>
    <w:rsid w:val="00493397"/>
    <w:rsid w:val="00494313"/>
    <w:rsid w:val="00494513"/>
    <w:rsid w:val="00496B89"/>
    <w:rsid w:val="00497869"/>
    <w:rsid w:val="004A0626"/>
    <w:rsid w:val="004A10FC"/>
    <w:rsid w:val="004A1E77"/>
    <w:rsid w:val="004A21C1"/>
    <w:rsid w:val="004A2BC4"/>
    <w:rsid w:val="004A336E"/>
    <w:rsid w:val="004A4817"/>
    <w:rsid w:val="004A4F73"/>
    <w:rsid w:val="004A5408"/>
    <w:rsid w:val="004A5D48"/>
    <w:rsid w:val="004A5DF1"/>
    <w:rsid w:val="004A76A4"/>
    <w:rsid w:val="004A7C75"/>
    <w:rsid w:val="004B08DD"/>
    <w:rsid w:val="004B180C"/>
    <w:rsid w:val="004B1D6D"/>
    <w:rsid w:val="004B3F2A"/>
    <w:rsid w:val="004B746F"/>
    <w:rsid w:val="004C08B2"/>
    <w:rsid w:val="004C0904"/>
    <w:rsid w:val="004C1BC6"/>
    <w:rsid w:val="004C1F5B"/>
    <w:rsid w:val="004C375A"/>
    <w:rsid w:val="004C4900"/>
    <w:rsid w:val="004C592B"/>
    <w:rsid w:val="004C5A93"/>
    <w:rsid w:val="004C5C94"/>
    <w:rsid w:val="004C5D4E"/>
    <w:rsid w:val="004C6504"/>
    <w:rsid w:val="004C7E0B"/>
    <w:rsid w:val="004D072D"/>
    <w:rsid w:val="004D29DF"/>
    <w:rsid w:val="004D3567"/>
    <w:rsid w:val="004D3656"/>
    <w:rsid w:val="004D66F6"/>
    <w:rsid w:val="004D722B"/>
    <w:rsid w:val="004E2025"/>
    <w:rsid w:val="004E2F1E"/>
    <w:rsid w:val="004E343D"/>
    <w:rsid w:val="004E55A8"/>
    <w:rsid w:val="004E5767"/>
    <w:rsid w:val="004F0826"/>
    <w:rsid w:val="004F0E97"/>
    <w:rsid w:val="004F14E3"/>
    <w:rsid w:val="004F2F52"/>
    <w:rsid w:val="004F3299"/>
    <w:rsid w:val="004F36A3"/>
    <w:rsid w:val="004F37D4"/>
    <w:rsid w:val="004F4A02"/>
    <w:rsid w:val="004F5EFF"/>
    <w:rsid w:val="00500F68"/>
    <w:rsid w:val="0050273B"/>
    <w:rsid w:val="005032E3"/>
    <w:rsid w:val="005053B0"/>
    <w:rsid w:val="00505660"/>
    <w:rsid w:val="0050782A"/>
    <w:rsid w:val="005101A6"/>
    <w:rsid w:val="00510284"/>
    <w:rsid w:val="0051061F"/>
    <w:rsid w:val="00510DCB"/>
    <w:rsid w:val="00513B9B"/>
    <w:rsid w:val="005140C0"/>
    <w:rsid w:val="00514E14"/>
    <w:rsid w:val="00514F9A"/>
    <w:rsid w:val="0051540F"/>
    <w:rsid w:val="0052167F"/>
    <w:rsid w:val="0052216F"/>
    <w:rsid w:val="005237C3"/>
    <w:rsid w:val="005243D4"/>
    <w:rsid w:val="00525254"/>
    <w:rsid w:val="005260D8"/>
    <w:rsid w:val="005269B2"/>
    <w:rsid w:val="005272B1"/>
    <w:rsid w:val="00531148"/>
    <w:rsid w:val="0053153C"/>
    <w:rsid w:val="005319DE"/>
    <w:rsid w:val="00535DF9"/>
    <w:rsid w:val="0053663C"/>
    <w:rsid w:val="00536E7F"/>
    <w:rsid w:val="00537378"/>
    <w:rsid w:val="0053758E"/>
    <w:rsid w:val="005416CE"/>
    <w:rsid w:val="00541D91"/>
    <w:rsid w:val="00543328"/>
    <w:rsid w:val="005444A3"/>
    <w:rsid w:val="005445FF"/>
    <w:rsid w:val="00547CD7"/>
    <w:rsid w:val="00550AE0"/>
    <w:rsid w:val="00551A1A"/>
    <w:rsid w:val="00552514"/>
    <w:rsid w:val="00552DC7"/>
    <w:rsid w:val="0055355B"/>
    <w:rsid w:val="00554294"/>
    <w:rsid w:val="00554FEA"/>
    <w:rsid w:val="00555CB5"/>
    <w:rsid w:val="005606E3"/>
    <w:rsid w:val="00560FB3"/>
    <w:rsid w:val="0056277C"/>
    <w:rsid w:val="00562E13"/>
    <w:rsid w:val="005643D4"/>
    <w:rsid w:val="005646B3"/>
    <w:rsid w:val="005667CB"/>
    <w:rsid w:val="005679BA"/>
    <w:rsid w:val="00570314"/>
    <w:rsid w:val="005703DE"/>
    <w:rsid w:val="00570443"/>
    <w:rsid w:val="00570A14"/>
    <w:rsid w:val="00570FFE"/>
    <w:rsid w:val="00571C78"/>
    <w:rsid w:val="00573950"/>
    <w:rsid w:val="00573F60"/>
    <w:rsid w:val="005763B4"/>
    <w:rsid w:val="00576688"/>
    <w:rsid w:val="00576FC8"/>
    <w:rsid w:val="00577173"/>
    <w:rsid w:val="005774D1"/>
    <w:rsid w:val="00577A8E"/>
    <w:rsid w:val="005808FA"/>
    <w:rsid w:val="00580B24"/>
    <w:rsid w:val="00580E69"/>
    <w:rsid w:val="00580EC1"/>
    <w:rsid w:val="00581449"/>
    <w:rsid w:val="00583FD8"/>
    <w:rsid w:val="00585568"/>
    <w:rsid w:val="00590872"/>
    <w:rsid w:val="00592584"/>
    <w:rsid w:val="0059283B"/>
    <w:rsid w:val="0059299D"/>
    <w:rsid w:val="00592F50"/>
    <w:rsid w:val="00593B61"/>
    <w:rsid w:val="00593F82"/>
    <w:rsid w:val="00594487"/>
    <w:rsid w:val="005951F2"/>
    <w:rsid w:val="005962A7"/>
    <w:rsid w:val="00596727"/>
    <w:rsid w:val="005A0916"/>
    <w:rsid w:val="005A1323"/>
    <w:rsid w:val="005A22D8"/>
    <w:rsid w:val="005A423A"/>
    <w:rsid w:val="005A4706"/>
    <w:rsid w:val="005A5472"/>
    <w:rsid w:val="005A5510"/>
    <w:rsid w:val="005B2DC6"/>
    <w:rsid w:val="005B2FFF"/>
    <w:rsid w:val="005B4337"/>
    <w:rsid w:val="005B4EF7"/>
    <w:rsid w:val="005B6170"/>
    <w:rsid w:val="005B663C"/>
    <w:rsid w:val="005B6A93"/>
    <w:rsid w:val="005B779C"/>
    <w:rsid w:val="005C02B7"/>
    <w:rsid w:val="005C151F"/>
    <w:rsid w:val="005C4042"/>
    <w:rsid w:val="005C4514"/>
    <w:rsid w:val="005C5A31"/>
    <w:rsid w:val="005C5A58"/>
    <w:rsid w:val="005C67F8"/>
    <w:rsid w:val="005C6C7D"/>
    <w:rsid w:val="005D00B2"/>
    <w:rsid w:val="005D00DD"/>
    <w:rsid w:val="005D0800"/>
    <w:rsid w:val="005D289A"/>
    <w:rsid w:val="005D5297"/>
    <w:rsid w:val="005D5349"/>
    <w:rsid w:val="005D5397"/>
    <w:rsid w:val="005D5D15"/>
    <w:rsid w:val="005E0730"/>
    <w:rsid w:val="005E1404"/>
    <w:rsid w:val="005E53CF"/>
    <w:rsid w:val="005E6088"/>
    <w:rsid w:val="005E6420"/>
    <w:rsid w:val="005E6E32"/>
    <w:rsid w:val="005E7D47"/>
    <w:rsid w:val="005F11D2"/>
    <w:rsid w:val="005F16C2"/>
    <w:rsid w:val="005F1C32"/>
    <w:rsid w:val="005F1EE3"/>
    <w:rsid w:val="005F34D4"/>
    <w:rsid w:val="005F4772"/>
    <w:rsid w:val="005F4EDC"/>
    <w:rsid w:val="005F7107"/>
    <w:rsid w:val="00600A3D"/>
    <w:rsid w:val="00600B15"/>
    <w:rsid w:val="00601468"/>
    <w:rsid w:val="00601E1E"/>
    <w:rsid w:val="00602B91"/>
    <w:rsid w:val="006057B5"/>
    <w:rsid w:val="00606E04"/>
    <w:rsid w:val="0060750D"/>
    <w:rsid w:val="006111FF"/>
    <w:rsid w:val="00611235"/>
    <w:rsid w:val="006112A9"/>
    <w:rsid w:val="00611F93"/>
    <w:rsid w:val="006129AC"/>
    <w:rsid w:val="006129F4"/>
    <w:rsid w:val="00614B65"/>
    <w:rsid w:val="00615F56"/>
    <w:rsid w:val="00617DEF"/>
    <w:rsid w:val="00620EFF"/>
    <w:rsid w:val="00621231"/>
    <w:rsid w:val="006226E9"/>
    <w:rsid w:val="0062486E"/>
    <w:rsid w:val="00624A78"/>
    <w:rsid w:val="00625542"/>
    <w:rsid w:val="00626365"/>
    <w:rsid w:val="006267ED"/>
    <w:rsid w:val="0062748D"/>
    <w:rsid w:val="00627513"/>
    <w:rsid w:val="0063049D"/>
    <w:rsid w:val="00630853"/>
    <w:rsid w:val="00630C34"/>
    <w:rsid w:val="00631779"/>
    <w:rsid w:val="00631918"/>
    <w:rsid w:val="00632D0F"/>
    <w:rsid w:val="00633088"/>
    <w:rsid w:val="0063338F"/>
    <w:rsid w:val="00633C31"/>
    <w:rsid w:val="00636A15"/>
    <w:rsid w:val="00636A20"/>
    <w:rsid w:val="006376DF"/>
    <w:rsid w:val="0064024F"/>
    <w:rsid w:val="00641612"/>
    <w:rsid w:val="00643584"/>
    <w:rsid w:val="0064391C"/>
    <w:rsid w:val="006439E8"/>
    <w:rsid w:val="00645C1C"/>
    <w:rsid w:val="0064666A"/>
    <w:rsid w:val="006468D1"/>
    <w:rsid w:val="00646FF1"/>
    <w:rsid w:val="00647027"/>
    <w:rsid w:val="006470BC"/>
    <w:rsid w:val="00647DCA"/>
    <w:rsid w:val="00650122"/>
    <w:rsid w:val="006506D9"/>
    <w:rsid w:val="0065070B"/>
    <w:rsid w:val="00651CE6"/>
    <w:rsid w:val="006548C4"/>
    <w:rsid w:val="006551E2"/>
    <w:rsid w:val="00655712"/>
    <w:rsid w:val="00656E78"/>
    <w:rsid w:val="0066036E"/>
    <w:rsid w:val="006615CF"/>
    <w:rsid w:val="0066170A"/>
    <w:rsid w:val="00661B6A"/>
    <w:rsid w:val="006620B1"/>
    <w:rsid w:val="00662264"/>
    <w:rsid w:val="00663A01"/>
    <w:rsid w:val="006651F0"/>
    <w:rsid w:val="00665948"/>
    <w:rsid w:val="00665A85"/>
    <w:rsid w:val="00667241"/>
    <w:rsid w:val="00667F04"/>
    <w:rsid w:val="00670FCD"/>
    <w:rsid w:val="006741BA"/>
    <w:rsid w:val="00674854"/>
    <w:rsid w:val="00680A99"/>
    <w:rsid w:val="00681DC8"/>
    <w:rsid w:val="00682BB9"/>
    <w:rsid w:val="00683C33"/>
    <w:rsid w:val="00685383"/>
    <w:rsid w:val="00690467"/>
    <w:rsid w:val="00690AAC"/>
    <w:rsid w:val="00691EDD"/>
    <w:rsid w:val="00693083"/>
    <w:rsid w:val="006953F0"/>
    <w:rsid w:val="0069579A"/>
    <w:rsid w:val="006A02AE"/>
    <w:rsid w:val="006A1084"/>
    <w:rsid w:val="006A6A0F"/>
    <w:rsid w:val="006B13C2"/>
    <w:rsid w:val="006B232E"/>
    <w:rsid w:val="006B246E"/>
    <w:rsid w:val="006B26DC"/>
    <w:rsid w:val="006B3AE0"/>
    <w:rsid w:val="006B454F"/>
    <w:rsid w:val="006B5120"/>
    <w:rsid w:val="006B5329"/>
    <w:rsid w:val="006B539E"/>
    <w:rsid w:val="006B7A8C"/>
    <w:rsid w:val="006C0608"/>
    <w:rsid w:val="006C10B5"/>
    <w:rsid w:val="006C2B2A"/>
    <w:rsid w:val="006C32A8"/>
    <w:rsid w:val="006C3B5C"/>
    <w:rsid w:val="006C3D8F"/>
    <w:rsid w:val="006C48AE"/>
    <w:rsid w:val="006C7D74"/>
    <w:rsid w:val="006D331B"/>
    <w:rsid w:val="006D391F"/>
    <w:rsid w:val="006D3DAB"/>
    <w:rsid w:val="006D4628"/>
    <w:rsid w:val="006D5BDD"/>
    <w:rsid w:val="006D605F"/>
    <w:rsid w:val="006D631A"/>
    <w:rsid w:val="006D6499"/>
    <w:rsid w:val="006D69AE"/>
    <w:rsid w:val="006E0919"/>
    <w:rsid w:val="006E1D0B"/>
    <w:rsid w:val="006E4358"/>
    <w:rsid w:val="006E4D4A"/>
    <w:rsid w:val="006E5292"/>
    <w:rsid w:val="006E5DB6"/>
    <w:rsid w:val="006E6995"/>
    <w:rsid w:val="006E699D"/>
    <w:rsid w:val="006E6E54"/>
    <w:rsid w:val="006E6FDD"/>
    <w:rsid w:val="006F03FF"/>
    <w:rsid w:val="006F06A4"/>
    <w:rsid w:val="006F06B1"/>
    <w:rsid w:val="006F1645"/>
    <w:rsid w:val="006F2C50"/>
    <w:rsid w:val="006F44B8"/>
    <w:rsid w:val="006F4C2F"/>
    <w:rsid w:val="006F594D"/>
    <w:rsid w:val="006F5C5D"/>
    <w:rsid w:val="006F6416"/>
    <w:rsid w:val="006F6C7B"/>
    <w:rsid w:val="006F767A"/>
    <w:rsid w:val="0070044B"/>
    <w:rsid w:val="00700750"/>
    <w:rsid w:val="00701F91"/>
    <w:rsid w:val="00707915"/>
    <w:rsid w:val="007079E3"/>
    <w:rsid w:val="007110E3"/>
    <w:rsid w:val="007114CB"/>
    <w:rsid w:val="00713419"/>
    <w:rsid w:val="00713B1C"/>
    <w:rsid w:val="00715033"/>
    <w:rsid w:val="0071591E"/>
    <w:rsid w:val="00715E31"/>
    <w:rsid w:val="007164D3"/>
    <w:rsid w:val="00716FEE"/>
    <w:rsid w:val="0072037B"/>
    <w:rsid w:val="00723396"/>
    <w:rsid w:val="007240E0"/>
    <w:rsid w:val="00724126"/>
    <w:rsid w:val="007258E1"/>
    <w:rsid w:val="00733F50"/>
    <w:rsid w:val="00734261"/>
    <w:rsid w:val="00734699"/>
    <w:rsid w:val="00735107"/>
    <w:rsid w:val="0073573A"/>
    <w:rsid w:val="00736659"/>
    <w:rsid w:val="00736BC3"/>
    <w:rsid w:val="007373AA"/>
    <w:rsid w:val="00737506"/>
    <w:rsid w:val="0073787B"/>
    <w:rsid w:val="00737973"/>
    <w:rsid w:val="00740261"/>
    <w:rsid w:val="00740F75"/>
    <w:rsid w:val="00741648"/>
    <w:rsid w:val="0074170C"/>
    <w:rsid w:val="007437A1"/>
    <w:rsid w:val="00743EF1"/>
    <w:rsid w:val="007441FF"/>
    <w:rsid w:val="0074446D"/>
    <w:rsid w:val="00746338"/>
    <w:rsid w:val="007565FD"/>
    <w:rsid w:val="0075704F"/>
    <w:rsid w:val="007576D2"/>
    <w:rsid w:val="00760CDF"/>
    <w:rsid w:val="00760DBE"/>
    <w:rsid w:val="007619D9"/>
    <w:rsid w:val="00762BFE"/>
    <w:rsid w:val="00763102"/>
    <w:rsid w:val="00763BEF"/>
    <w:rsid w:val="00765BA0"/>
    <w:rsid w:val="00767A49"/>
    <w:rsid w:val="00767D59"/>
    <w:rsid w:val="00770D97"/>
    <w:rsid w:val="0077279D"/>
    <w:rsid w:val="0077680F"/>
    <w:rsid w:val="00782924"/>
    <w:rsid w:val="007839E4"/>
    <w:rsid w:val="00783B1F"/>
    <w:rsid w:val="00783CDE"/>
    <w:rsid w:val="00785971"/>
    <w:rsid w:val="0078736B"/>
    <w:rsid w:val="00787A02"/>
    <w:rsid w:val="00787BF1"/>
    <w:rsid w:val="00787EE7"/>
    <w:rsid w:val="007903AC"/>
    <w:rsid w:val="00790E85"/>
    <w:rsid w:val="00791303"/>
    <w:rsid w:val="00792977"/>
    <w:rsid w:val="0079388F"/>
    <w:rsid w:val="00793FA6"/>
    <w:rsid w:val="0079476E"/>
    <w:rsid w:val="00794AB1"/>
    <w:rsid w:val="00795935"/>
    <w:rsid w:val="007A045A"/>
    <w:rsid w:val="007A0527"/>
    <w:rsid w:val="007A2EFD"/>
    <w:rsid w:val="007A450E"/>
    <w:rsid w:val="007A4B18"/>
    <w:rsid w:val="007A4FBF"/>
    <w:rsid w:val="007A5DC6"/>
    <w:rsid w:val="007B020F"/>
    <w:rsid w:val="007B20AC"/>
    <w:rsid w:val="007B44E0"/>
    <w:rsid w:val="007B4FDA"/>
    <w:rsid w:val="007B4FE1"/>
    <w:rsid w:val="007B5E1A"/>
    <w:rsid w:val="007B7C0E"/>
    <w:rsid w:val="007C0902"/>
    <w:rsid w:val="007C0D3D"/>
    <w:rsid w:val="007C23FA"/>
    <w:rsid w:val="007C2753"/>
    <w:rsid w:val="007C2AAA"/>
    <w:rsid w:val="007C5793"/>
    <w:rsid w:val="007C6655"/>
    <w:rsid w:val="007C6FF0"/>
    <w:rsid w:val="007C718E"/>
    <w:rsid w:val="007D1192"/>
    <w:rsid w:val="007D12CA"/>
    <w:rsid w:val="007D2757"/>
    <w:rsid w:val="007D32D4"/>
    <w:rsid w:val="007D3733"/>
    <w:rsid w:val="007D399C"/>
    <w:rsid w:val="007D456A"/>
    <w:rsid w:val="007D563C"/>
    <w:rsid w:val="007D7B06"/>
    <w:rsid w:val="007D7B13"/>
    <w:rsid w:val="007E132E"/>
    <w:rsid w:val="007E3BDA"/>
    <w:rsid w:val="007E3D01"/>
    <w:rsid w:val="007E44A8"/>
    <w:rsid w:val="007E5289"/>
    <w:rsid w:val="007E676B"/>
    <w:rsid w:val="007E7E08"/>
    <w:rsid w:val="007F2057"/>
    <w:rsid w:val="007F2C98"/>
    <w:rsid w:val="007F2FA0"/>
    <w:rsid w:val="007F4867"/>
    <w:rsid w:val="007F52A4"/>
    <w:rsid w:val="007F7524"/>
    <w:rsid w:val="007F788F"/>
    <w:rsid w:val="00800EF3"/>
    <w:rsid w:val="008017CA"/>
    <w:rsid w:val="0080189A"/>
    <w:rsid w:val="00804BC6"/>
    <w:rsid w:val="00804CF8"/>
    <w:rsid w:val="00806243"/>
    <w:rsid w:val="00807F8C"/>
    <w:rsid w:val="00812CCC"/>
    <w:rsid w:val="00813EED"/>
    <w:rsid w:val="00814539"/>
    <w:rsid w:val="00814A37"/>
    <w:rsid w:val="00817342"/>
    <w:rsid w:val="0082065E"/>
    <w:rsid w:val="00821305"/>
    <w:rsid w:val="00821713"/>
    <w:rsid w:val="00821CFF"/>
    <w:rsid w:val="00822FD0"/>
    <w:rsid w:val="00824DE7"/>
    <w:rsid w:val="008265FD"/>
    <w:rsid w:val="008268C4"/>
    <w:rsid w:val="0083042B"/>
    <w:rsid w:val="008322F1"/>
    <w:rsid w:val="00832A40"/>
    <w:rsid w:val="008338C1"/>
    <w:rsid w:val="00834CD1"/>
    <w:rsid w:val="00836177"/>
    <w:rsid w:val="008402F5"/>
    <w:rsid w:val="008404F1"/>
    <w:rsid w:val="008408D9"/>
    <w:rsid w:val="00842175"/>
    <w:rsid w:val="0084229E"/>
    <w:rsid w:val="00842A5E"/>
    <w:rsid w:val="00846B5B"/>
    <w:rsid w:val="0085052B"/>
    <w:rsid w:val="00851765"/>
    <w:rsid w:val="008529B8"/>
    <w:rsid w:val="00852A20"/>
    <w:rsid w:val="00852D2B"/>
    <w:rsid w:val="00857246"/>
    <w:rsid w:val="00861131"/>
    <w:rsid w:val="00865757"/>
    <w:rsid w:val="00866528"/>
    <w:rsid w:val="00867035"/>
    <w:rsid w:val="008674EC"/>
    <w:rsid w:val="00872379"/>
    <w:rsid w:val="00873DA9"/>
    <w:rsid w:val="00873F98"/>
    <w:rsid w:val="00874D16"/>
    <w:rsid w:val="008755A4"/>
    <w:rsid w:val="008755C3"/>
    <w:rsid w:val="0087573D"/>
    <w:rsid w:val="008805B4"/>
    <w:rsid w:val="00885372"/>
    <w:rsid w:val="0088548D"/>
    <w:rsid w:val="00886494"/>
    <w:rsid w:val="00887161"/>
    <w:rsid w:val="00890426"/>
    <w:rsid w:val="00891FE1"/>
    <w:rsid w:val="00893B6D"/>
    <w:rsid w:val="008950DB"/>
    <w:rsid w:val="008951CC"/>
    <w:rsid w:val="00897B16"/>
    <w:rsid w:val="00897D7A"/>
    <w:rsid w:val="008A0D53"/>
    <w:rsid w:val="008A1E9C"/>
    <w:rsid w:val="008A2048"/>
    <w:rsid w:val="008A2103"/>
    <w:rsid w:val="008A2D7E"/>
    <w:rsid w:val="008A3E96"/>
    <w:rsid w:val="008A474D"/>
    <w:rsid w:val="008A49AC"/>
    <w:rsid w:val="008A4D36"/>
    <w:rsid w:val="008A5650"/>
    <w:rsid w:val="008A7BE9"/>
    <w:rsid w:val="008B0AFA"/>
    <w:rsid w:val="008B29D5"/>
    <w:rsid w:val="008B2D76"/>
    <w:rsid w:val="008B2FC5"/>
    <w:rsid w:val="008B475E"/>
    <w:rsid w:val="008B480B"/>
    <w:rsid w:val="008B523B"/>
    <w:rsid w:val="008B7531"/>
    <w:rsid w:val="008C022D"/>
    <w:rsid w:val="008C0646"/>
    <w:rsid w:val="008C1A9D"/>
    <w:rsid w:val="008C23F7"/>
    <w:rsid w:val="008C31EF"/>
    <w:rsid w:val="008C7A14"/>
    <w:rsid w:val="008C7B06"/>
    <w:rsid w:val="008D0BB8"/>
    <w:rsid w:val="008D2D34"/>
    <w:rsid w:val="008D344E"/>
    <w:rsid w:val="008D38DA"/>
    <w:rsid w:val="008D401D"/>
    <w:rsid w:val="008D4CF0"/>
    <w:rsid w:val="008D512F"/>
    <w:rsid w:val="008D5802"/>
    <w:rsid w:val="008D5826"/>
    <w:rsid w:val="008D59FC"/>
    <w:rsid w:val="008D6A4B"/>
    <w:rsid w:val="008D7422"/>
    <w:rsid w:val="008D7A7F"/>
    <w:rsid w:val="008D7D8B"/>
    <w:rsid w:val="008D7E09"/>
    <w:rsid w:val="008E0294"/>
    <w:rsid w:val="008E190E"/>
    <w:rsid w:val="008E3349"/>
    <w:rsid w:val="008E4D8B"/>
    <w:rsid w:val="008E5418"/>
    <w:rsid w:val="008E5D9D"/>
    <w:rsid w:val="008E6962"/>
    <w:rsid w:val="008E7B57"/>
    <w:rsid w:val="008F336D"/>
    <w:rsid w:val="008F420F"/>
    <w:rsid w:val="008F548E"/>
    <w:rsid w:val="008F69B5"/>
    <w:rsid w:val="009003EB"/>
    <w:rsid w:val="009017A3"/>
    <w:rsid w:val="00902A26"/>
    <w:rsid w:val="00903523"/>
    <w:rsid w:val="00904033"/>
    <w:rsid w:val="00904C2E"/>
    <w:rsid w:val="00904F1D"/>
    <w:rsid w:val="009061B2"/>
    <w:rsid w:val="00906D17"/>
    <w:rsid w:val="00912FDD"/>
    <w:rsid w:val="00913ECF"/>
    <w:rsid w:val="009155FC"/>
    <w:rsid w:val="00915C77"/>
    <w:rsid w:val="00915F75"/>
    <w:rsid w:val="00916E3A"/>
    <w:rsid w:val="00917515"/>
    <w:rsid w:val="00917A4E"/>
    <w:rsid w:val="00917C62"/>
    <w:rsid w:val="00921055"/>
    <w:rsid w:val="0092141C"/>
    <w:rsid w:val="00922C04"/>
    <w:rsid w:val="00923721"/>
    <w:rsid w:val="009241BF"/>
    <w:rsid w:val="009247CE"/>
    <w:rsid w:val="009250A3"/>
    <w:rsid w:val="00926A79"/>
    <w:rsid w:val="00927193"/>
    <w:rsid w:val="00931E4E"/>
    <w:rsid w:val="009347AF"/>
    <w:rsid w:val="00934E55"/>
    <w:rsid w:val="009357AD"/>
    <w:rsid w:val="00935FC7"/>
    <w:rsid w:val="00936A93"/>
    <w:rsid w:val="00937463"/>
    <w:rsid w:val="00940607"/>
    <w:rsid w:val="009407D4"/>
    <w:rsid w:val="00941611"/>
    <w:rsid w:val="00941B8D"/>
    <w:rsid w:val="00945CE7"/>
    <w:rsid w:val="00946EDC"/>
    <w:rsid w:val="00947B70"/>
    <w:rsid w:val="00951856"/>
    <w:rsid w:val="00952393"/>
    <w:rsid w:val="009532A8"/>
    <w:rsid w:val="00953F04"/>
    <w:rsid w:val="00956A12"/>
    <w:rsid w:val="00957D05"/>
    <w:rsid w:val="00960F77"/>
    <w:rsid w:val="0096169A"/>
    <w:rsid w:val="00961E17"/>
    <w:rsid w:val="009644E0"/>
    <w:rsid w:val="009666DE"/>
    <w:rsid w:val="00970997"/>
    <w:rsid w:val="00970A75"/>
    <w:rsid w:val="0097131E"/>
    <w:rsid w:val="00971F0D"/>
    <w:rsid w:val="00973BD8"/>
    <w:rsid w:val="00973FA7"/>
    <w:rsid w:val="00975B52"/>
    <w:rsid w:val="009775D7"/>
    <w:rsid w:val="009801CE"/>
    <w:rsid w:val="00982D21"/>
    <w:rsid w:val="009877C3"/>
    <w:rsid w:val="00987B3B"/>
    <w:rsid w:val="00987BBE"/>
    <w:rsid w:val="00987CDD"/>
    <w:rsid w:val="00990678"/>
    <w:rsid w:val="0099244C"/>
    <w:rsid w:val="00992E51"/>
    <w:rsid w:val="00994AEE"/>
    <w:rsid w:val="009969DE"/>
    <w:rsid w:val="009A01A1"/>
    <w:rsid w:val="009A2220"/>
    <w:rsid w:val="009A3100"/>
    <w:rsid w:val="009A3760"/>
    <w:rsid w:val="009A442B"/>
    <w:rsid w:val="009A465B"/>
    <w:rsid w:val="009A4D4A"/>
    <w:rsid w:val="009A6F9A"/>
    <w:rsid w:val="009B02EE"/>
    <w:rsid w:val="009B0AF4"/>
    <w:rsid w:val="009B141C"/>
    <w:rsid w:val="009B2FDC"/>
    <w:rsid w:val="009B49CB"/>
    <w:rsid w:val="009B546D"/>
    <w:rsid w:val="009B67D2"/>
    <w:rsid w:val="009B6F42"/>
    <w:rsid w:val="009B712B"/>
    <w:rsid w:val="009B77C2"/>
    <w:rsid w:val="009C2708"/>
    <w:rsid w:val="009C277F"/>
    <w:rsid w:val="009C41AB"/>
    <w:rsid w:val="009C5834"/>
    <w:rsid w:val="009C76B6"/>
    <w:rsid w:val="009D0DD9"/>
    <w:rsid w:val="009D1209"/>
    <w:rsid w:val="009D33A3"/>
    <w:rsid w:val="009D4595"/>
    <w:rsid w:val="009D482E"/>
    <w:rsid w:val="009D550F"/>
    <w:rsid w:val="009D56F9"/>
    <w:rsid w:val="009D59DB"/>
    <w:rsid w:val="009D5CF6"/>
    <w:rsid w:val="009D7B47"/>
    <w:rsid w:val="009E0796"/>
    <w:rsid w:val="009E1C1C"/>
    <w:rsid w:val="009E2038"/>
    <w:rsid w:val="009E2A70"/>
    <w:rsid w:val="009E3389"/>
    <w:rsid w:val="009E353C"/>
    <w:rsid w:val="009E770E"/>
    <w:rsid w:val="009F09F6"/>
    <w:rsid w:val="009F26A6"/>
    <w:rsid w:val="009F3285"/>
    <w:rsid w:val="009F37C0"/>
    <w:rsid w:val="009F438F"/>
    <w:rsid w:val="009F48DA"/>
    <w:rsid w:val="009F49CA"/>
    <w:rsid w:val="009F51CF"/>
    <w:rsid w:val="009F5D91"/>
    <w:rsid w:val="009F623E"/>
    <w:rsid w:val="009F6720"/>
    <w:rsid w:val="009F706F"/>
    <w:rsid w:val="009F760B"/>
    <w:rsid w:val="009F79DB"/>
    <w:rsid w:val="009F7AB4"/>
    <w:rsid w:val="00A001E4"/>
    <w:rsid w:val="00A003C8"/>
    <w:rsid w:val="00A0295F"/>
    <w:rsid w:val="00A02E1C"/>
    <w:rsid w:val="00A03135"/>
    <w:rsid w:val="00A03481"/>
    <w:rsid w:val="00A038E5"/>
    <w:rsid w:val="00A06491"/>
    <w:rsid w:val="00A06C52"/>
    <w:rsid w:val="00A07423"/>
    <w:rsid w:val="00A12AE9"/>
    <w:rsid w:val="00A13549"/>
    <w:rsid w:val="00A135B0"/>
    <w:rsid w:val="00A13695"/>
    <w:rsid w:val="00A140A5"/>
    <w:rsid w:val="00A14734"/>
    <w:rsid w:val="00A15C4C"/>
    <w:rsid w:val="00A16BFA"/>
    <w:rsid w:val="00A17A18"/>
    <w:rsid w:val="00A202CE"/>
    <w:rsid w:val="00A20888"/>
    <w:rsid w:val="00A2196F"/>
    <w:rsid w:val="00A22112"/>
    <w:rsid w:val="00A22959"/>
    <w:rsid w:val="00A230A6"/>
    <w:rsid w:val="00A2601F"/>
    <w:rsid w:val="00A27752"/>
    <w:rsid w:val="00A27CF2"/>
    <w:rsid w:val="00A355E8"/>
    <w:rsid w:val="00A3653F"/>
    <w:rsid w:val="00A37690"/>
    <w:rsid w:val="00A41325"/>
    <w:rsid w:val="00A425F2"/>
    <w:rsid w:val="00A442C8"/>
    <w:rsid w:val="00A44413"/>
    <w:rsid w:val="00A44786"/>
    <w:rsid w:val="00A4679D"/>
    <w:rsid w:val="00A46D4C"/>
    <w:rsid w:val="00A50255"/>
    <w:rsid w:val="00A51366"/>
    <w:rsid w:val="00A52DB2"/>
    <w:rsid w:val="00A5334D"/>
    <w:rsid w:val="00A61215"/>
    <w:rsid w:val="00A6149A"/>
    <w:rsid w:val="00A61A84"/>
    <w:rsid w:val="00A61F33"/>
    <w:rsid w:val="00A65EF6"/>
    <w:rsid w:val="00A67228"/>
    <w:rsid w:val="00A7032A"/>
    <w:rsid w:val="00A71244"/>
    <w:rsid w:val="00A73B1F"/>
    <w:rsid w:val="00A73F5D"/>
    <w:rsid w:val="00A76910"/>
    <w:rsid w:val="00A80C91"/>
    <w:rsid w:val="00A823A7"/>
    <w:rsid w:val="00A83D72"/>
    <w:rsid w:val="00A84AD0"/>
    <w:rsid w:val="00A84B1F"/>
    <w:rsid w:val="00A84BB1"/>
    <w:rsid w:val="00A84DD1"/>
    <w:rsid w:val="00A86F74"/>
    <w:rsid w:val="00A90DCA"/>
    <w:rsid w:val="00A90E52"/>
    <w:rsid w:val="00A95719"/>
    <w:rsid w:val="00A96F5C"/>
    <w:rsid w:val="00A971A0"/>
    <w:rsid w:val="00A971C2"/>
    <w:rsid w:val="00AA045C"/>
    <w:rsid w:val="00AA0B83"/>
    <w:rsid w:val="00AA1AB3"/>
    <w:rsid w:val="00AA41D1"/>
    <w:rsid w:val="00AA4DA4"/>
    <w:rsid w:val="00AB0062"/>
    <w:rsid w:val="00AB0FF6"/>
    <w:rsid w:val="00AB1054"/>
    <w:rsid w:val="00AB1549"/>
    <w:rsid w:val="00AB218D"/>
    <w:rsid w:val="00AB265B"/>
    <w:rsid w:val="00AB2892"/>
    <w:rsid w:val="00AB38E5"/>
    <w:rsid w:val="00AB3DCD"/>
    <w:rsid w:val="00AB3E7C"/>
    <w:rsid w:val="00AB5F29"/>
    <w:rsid w:val="00AB7FF6"/>
    <w:rsid w:val="00AC015C"/>
    <w:rsid w:val="00AC3D14"/>
    <w:rsid w:val="00AC40E4"/>
    <w:rsid w:val="00AC4951"/>
    <w:rsid w:val="00AC4FA8"/>
    <w:rsid w:val="00AC6E53"/>
    <w:rsid w:val="00AD233E"/>
    <w:rsid w:val="00AD2416"/>
    <w:rsid w:val="00AD37CC"/>
    <w:rsid w:val="00AD59AA"/>
    <w:rsid w:val="00AD5D6F"/>
    <w:rsid w:val="00AD5F97"/>
    <w:rsid w:val="00AD6967"/>
    <w:rsid w:val="00AD73E2"/>
    <w:rsid w:val="00AD7D8F"/>
    <w:rsid w:val="00AE00C8"/>
    <w:rsid w:val="00AE09D5"/>
    <w:rsid w:val="00AE26A9"/>
    <w:rsid w:val="00AE4EDD"/>
    <w:rsid w:val="00AE621C"/>
    <w:rsid w:val="00AE6502"/>
    <w:rsid w:val="00AE6DBD"/>
    <w:rsid w:val="00AE7D9D"/>
    <w:rsid w:val="00AF0C4A"/>
    <w:rsid w:val="00AF1828"/>
    <w:rsid w:val="00AF188F"/>
    <w:rsid w:val="00AF240D"/>
    <w:rsid w:val="00AF27B6"/>
    <w:rsid w:val="00AF2840"/>
    <w:rsid w:val="00AF3132"/>
    <w:rsid w:val="00AF4185"/>
    <w:rsid w:val="00AF7EDA"/>
    <w:rsid w:val="00B000B0"/>
    <w:rsid w:val="00B00212"/>
    <w:rsid w:val="00B0049E"/>
    <w:rsid w:val="00B00C2A"/>
    <w:rsid w:val="00B049CC"/>
    <w:rsid w:val="00B049D0"/>
    <w:rsid w:val="00B04FC9"/>
    <w:rsid w:val="00B05AAA"/>
    <w:rsid w:val="00B06952"/>
    <w:rsid w:val="00B06CEB"/>
    <w:rsid w:val="00B07BFA"/>
    <w:rsid w:val="00B10208"/>
    <w:rsid w:val="00B10597"/>
    <w:rsid w:val="00B10EBB"/>
    <w:rsid w:val="00B13439"/>
    <w:rsid w:val="00B16A60"/>
    <w:rsid w:val="00B16D61"/>
    <w:rsid w:val="00B16D92"/>
    <w:rsid w:val="00B1713A"/>
    <w:rsid w:val="00B20B43"/>
    <w:rsid w:val="00B21238"/>
    <w:rsid w:val="00B22071"/>
    <w:rsid w:val="00B251F9"/>
    <w:rsid w:val="00B26B7B"/>
    <w:rsid w:val="00B27884"/>
    <w:rsid w:val="00B314CF"/>
    <w:rsid w:val="00B315C6"/>
    <w:rsid w:val="00B31904"/>
    <w:rsid w:val="00B3246B"/>
    <w:rsid w:val="00B32C18"/>
    <w:rsid w:val="00B33629"/>
    <w:rsid w:val="00B33AAB"/>
    <w:rsid w:val="00B35234"/>
    <w:rsid w:val="00B36067"/>
    <w:rsid w:val="00B415A1"/>
    <w:rsid w:val="00B41BF5"/>
    <w:rsid w:val="00B423C9"/>
    <w:rsid w:val="00B50B72"/>
    <w:rsid w:val="00B522DC"/>
    <w:rsid w:val="00B526FB"/>
    <w:rsid w:val="00B53973"/>
    <w:rsid w:val="00B55A91"/>
    <w:rsid w:val="00B575FC"/>
    <w:rsid w:val="00B610AB"/>
    <w:rsid w:val="00B6194A"/>
    <w:rsid w:val="00B62B54"/>
    <w:rsid w:val="00B6557E"/>
    <w:rsid w:val="00B6610A"/>
    <w:rsid w:val="00B66800"/>
    <w:rsid w:val="00B67BF1"/>
    <w:rsid w:val="00B709FF"/>
    <w:rsid w:val="00B757C9"/>
    <w:rsid w:val="00B75C9D"/>
    <w:rsid w:val="00B75DEA"/>
    <w:rsid w:val="00B76667"/>
    <w:rsid w:val="00B76971"/>
    <w:rsid w:val="00B779DE"/>
    <w:rsid w:val="00B77E6F"/>
    <w:rsid w:val="00B8058C"/>
    <w:rsid w:val="00B80E04"/>
    <w:rsid w:val="00B81EDD"/>
    <w:rsid w:val="00B826A6"/>
    <w:rsid w:val="00B829F5"/>
    <w:rsid w:val="00B82EED"/>
    <w:rsid w:val="00B83C8E"/>
    <w:rsid w:val="00B84E8F"/>
    <w:rsid w:val="00B85F00"/>
    <w:rsid w:val="00B874E0"/>
    <w:rsid w:val="00B902FD"/>
    <w:rsid w:val="00B937C4"/>
    <w:rsid w:val="00B95A98"/>
    <w:rsid w:val="00B97155"/>
    <w:rsid w:val="00BA0795"/>
    <w:rsid w:val="00BA08DD"/>
    <w:rsid w:val="00BA2C68"/>
    <w:rsid w:val="00BA34EB"/>
    <w:rsid w:val="00BA395E"/>
    <w:rsid w:val="00BA3AD5"/>
    <w:rsid w:val="00BA3C34"/>
    <w:rsid w:val="00BA41E3"/>
    <w:rsid w:val="00BA5A9A"/>
    <w:rsid w:val="00BA5FF5"/>
    <w:rsid w:val="00BA74ED"/>
    <w:rsid w:val="00BA78BA"/>
    <w:rsid w:val="00BA7B7A"/>
    <w:rsid w:val="00BB2469"/>
    <w:rsid w:val="00BB43D6"/>
    <w:rsid w:val="00BB44F6"/>
    <w:rsid w:val="00BB4D90"/>
    <w:rsid w:val="00BB4FA1"/>
    <w:rsid w:val="00BB525E"/>
    <w:rsid w:val="00BB5A16"/>
    <w:rsid w:val="00BB78B7"/>
    <w:rsid w:val="00BB7EB4"/>
    <w:rsid w:val="00BC1211"/>
    <w:rsid w:val="00BC1848"/>
    <w:rsid w:val="00BC28DC"/>
    <w:rsid w:val="00BC33B0"/>
    <w:rsid w:val="00BC371E"/>
    <w:rsid w:val="00BC46E7"/>
    <w:rsid w:val="00BC4E7F"/>
    <w:rsid w:val="00BC535F"/>
    <w:rsid w:val="00BC6C2C"/>
    <w:rsid w:val="00BC7352"/>
    <w:rsid w:val="00BD0028"/>
    <w:rsid w:val="00BD01CB"/>
    <w:rsid w:val="00BD0FDE"/>
    <w:rsid w:val="00BD1095"/>
    <w:rsid w:val="00BD1825"/>
    <w:rsid w:val="00BD1F12"/>
    <w:rsid w:val="00BD22F4"/>
    <w:rsid w:val="00BD3629"/>
    <w:rsid w:val="00BD36FA"/>
    <w:rsid w:val="00BD45B1"/>
    <w:rsid w:val="00BD6C7C"/>
    <w:rsid w:val="00BD7C02"/>
    <w:rsid w:val="00BE0C81"/>
    <w:rsid w:val="00BE2ED3"/>
    <w:rsid w:val="00BE442D"/>
    <w:rsid w:val="00BE4C0A"/>
    <w:rsid w:val="00BE4FF0"/>
    <w:rsid w:val="00BE5419"/>
    <w:rsid w:val="00BF09C2"/>
    <w:rsid w:val="00BF0F78"/>
    <w:rsid w:val="00BF129D"/>
    <w:rsid w:val="00BF19C3"/>
    <w:rsid w:val="00BF1E64"/>
    <w:rsid w:val="00BF240F"/>
    <w:rsid w:val="00BF314B"/>
    <w:rsid w:val="00BF448F"/>
    <w:rsid w:val="00BF534B"/>
    <w:rsid w:val="00BF54F4"/>
    <w:rsid w:val="00BF5C32"/>
    <w:rsid w:val="00BF6CC4"/>
    <w:rsid w:val="00BF7CA9"/>
    <w:rsid w:val="00C01FF6"/>
    <w:rsid w:val="00C04BA1"/>
    <w:rsid w:val="00C04F3E"/>
    <w:rsid w:val="00C05DD1"/>
    <w:rsid w:val="00C062B1"/>
    <w:rsid w:val="00C11892"/>
    <w:rsid w:val="00C11A13"/>
    <w:rsid w:val="00C11CB2"/>
    <w:rsid w:val="00C137FA"/>
    <w:rsid w:val="00C169BC"/>
    <w:rsid w:val="00C179D3"/>
    <w:rsid w:val="00C17CAA"/>
    <w:rsid w:val="00C17FC9"/>
    <w:rsid w:val="00C22941"/>
    <w:rsid w:val="00C24B66"/>
    <w:rsid w:val="00C27FC4"/>
    <w:rsid w:val="00C30B0F"/>
    <w:rsid w:val="00C30FCE"/>
    <w:rsid w:val="00C34882"/>
    <w:rsid w:val="00C34FE1"/>
    <w:rsid w:val="00C37966"/>
    <w:rsid w:val="00C40FE2"/>
    <w:rsid w:val="00C41295"/>
    <w:rsid w:val="00C417F0"/>
    <w:rsid w:val="00C437DF"/>
    <w:rsid w:val="00C47036"/>
    <w:rsid w:val="00C50943"/>
    <w:rsid w:val="00C521FF"/>
    <w:rsid w:val="00C542C6"/>
    <w:rsid w:val="00C55842"/>
    <w:rsid w:val="00C55E72"/>
    <w:rsid w:val="00C57404"/>
    <w:rsid w:val="00C60C07"/>
    <w:rsid w:val="00C64524"/>
    <w:rsid w:val="00C646E6"/>
    <w:rsid w:val="00C64965"/>
    <w:rsid w:val="00C649B3"/>
    <w:rsid w:val="00C65B08"/>
    <w:rsid w:val="00C65EF7"/>
    <w:rsid w:val="00C65F50"/>
    <w:rsid w:val="00C66BF9"/>
    <w:rsid w:val="00C70E40"/>
    <w:rsid w:val="00C71992"/>
    <w:rsid w:val="00C7264C"/>
    <w:rsid w:val="00C72944"/>
    <w:rsid w:val="00C729CE"/>
    <w:rsid w:val="00C72DCD"/>
    <w:rsid w:val="00C72FA1"/>
    <w:rsid w:val="00C7645C"/>
    <w:rsid w:val="00C77F97"/>
    <w:rsid w:val="00C81D20"/>
    <w:rsid w:val="00C8206D"/>
    <w:rsid w:val="00C826B7"/>
    <w:rsid w:val="00C82F0A"/>
    <w:rsid w:val="00C83BC3"/>
    <w:rsid w:val="00C8403E"/>
    <w:rsid w:val="00C84AF5"/>
    <w:rsid w:val="00C85BA6"/>
    <w:rsid w:val="00C87018"/>
    <w:rsid w:val="00C93CFB"/>
    <w:rsid w:val="00C9468E"/>
    <w:rsid w:val="00C94917"/>
    <w:rsid w:val="00C94BBF"/>
    <w:rsid w:val="00C95BF6"/>
    <w:rsid w:val="00C967DA"/>
    <w:rsid w:val="00CA0EBC"/>
    <w:rsid w:val="00CA241E"/>
    <w:rsid w:val="00CA26CC"/>
    <w:rsid w:val="00CA3943"/>
    <w:rsid w:val="00CA4CDC"/>
    <w:rsid w:val="00CA507B"/>
    <w:rsid w:val="00CA5464"/>
    <w:rsid w:val="00CA58E2"/>
    <w:rsid w:val="00CA602F"/>
    <w:rsid w:val="00CA79E1"/>
    <w:rsid w:val="00CA7E47"/>
    <w:rsid w:val="00CB06C7"/>
    <w:rsid w:val="00CB3C0B"/>
    <w:rsid w:val="00CB4626"/>
    <w:rsid w:val="00CB5BB9"/>
    <w:rsid w:val="00CB7B10"/>
    <w:rsid w:val="00CB7CA4"/>
    <w:rsid w:val="00CC0EB4"/>
    <w:rsid w:val="00CC1142"/>
    <w:rsid w:val="00CC20A1"/>
    <w:rsid w:val="00CC298E"/>
    <w:rsid w:val="00CC69F0"/>
    <w:rsid w:val="00CD06AA"/>
    <w:rsid w:val="00CD32AD"/>
    <w:rsid w:val="00CD46B5"/>
    <w:rsid w:val="00CD46E3"/>
    <w:rsid w:val="00CD50AA"/>
    <w:rsid w:val="00CD5A02"/>
    <w:rsid w:val="00CD6936"/>
    <w:rsid w:val="00CD7933"/>
    <w:rsid w:val="00CE0F05"/>
    <w:rsid w:val="00CE1C37"/>
    <w:rsid w:val="00CE2CDF"/>
    <w:rsid w:val="00CE627F"/>
    <w:rsid w:val="00CE6383"/>
    <w:rsid w:val="00CE761E"/>
    <w:rsid w:val="00CE7E4F"/>
    <w:rsid w:val="00CF1773"/>
    <w:rsid w:val="00CF1793"/>
    <w:rsid w:val="00CF183A"/>
    <w:rsid w:val="00CF19F4"/>
    <w:rsid w:val="00CF373F"/>
    <w:rsid w:val="00CF611E"/>
    <w:rsid w:val="00CF6B15"/>
    <w:rsid w:val="00D00011"/>
    <w:rsid w:val="00D01F7C"/>
    <w:rsid w:val="00D02319"/>
    <w:rsid w:val="00D02A5A"/>
    <w:rsid w:val="00D04030"/>
    <w:rsid w:val="00D047A7"/>
    <w:rsid w:val="00D04CEB"/>
    <w:rsid w:val="00D06BB9"/>
    <w:rsid w:val="00D100A2"/>
    <w:rsid w:val="00D1179F"/>
    <w:rsid w:val="00D128B7"/>
    <w:rsid w:val="00D132ED"/>
    <w:rsid w:val="00D13F07"/>
    <w:rsid w:val="00D17651"/>
    <w:rsid w:val="00D20DDF"/>
    <w:rsid w:val="00D21B3C"/>
    <w:rsid w:val="00D24380"/>
    <w:rsid w:val="00D2603F"/>
    <w:rsid w:val="00D2729A"/>
    <w:rsid w:val="00D27778"/>
    <w:rsid w:val="00D27C56"/>
    <w:rsid w:val="00D30B7F"/>
    <w:rsid w:val="00D31EF9"/>
    <w:rsid w:val="00D330BF"/>
    <w:rsid w:val="00D33C05"/>
    <w:rsid w:val="00D36415"/>
    <w:rsid w:val="00D4158A"/>
    <w:rsid w:val="00D415A4"/>
    <w:rsid w:val="00D426F3"/>
    <w:rsid w:val="00D42879"/>
    <w:rsid w:val="00D438DF"/>
    <w:rsid w:val="00D45B5A"/>
    <w:rsid w:val="00D46404"/>
    <w:rsid w:val="00D476F7"/>
    <w:rsid w:val="00D502D9"/>
    <w:rsid w:val="00D50A29"/>
    <w:rsid w:val="00D5184D"/>
    <w:rsid w:val="00D5195D"/>
    <w:rsid w:val="00D5255E"/>
    <w:rsid w:val="00D52B96"/>
    <w:rsid w:val="00D52E7E"/>
    <w:rsid w:val="00D55F24"/>
    <w:rsid w:val="00D56321"/>
    <w:rsid w:val="00D56948"/>
    <w:rsid w:val="00D57B11"/>
    <w:rsid w:val="00D60555"/>
    <w:rsid w:val="00D605A3"/>
    <w:rsid w:val="00D60702"/>
    <w:rsid w:val="00D60F49"/>
    <w:rsid w:val="00D63295"/>
    <w:rsid w:val="00D63E43"/>
    <w:rsid w:val="00D64CEB"/>
    <w:rsid w:val="00D6587B"/>
    <w:rsid w:val="00D66256"/>
    <w:rsid w:val="00D66C09"/>
    <w:rsid w:val="00D67BB0"/>
    <w:rsid w:val="00D7050A"/>
    <w:rsid w:val="00D70C78"/>
    <w:rsid w:val="00D71E6B"/>
    <w:rsid w:val="00D72BBF"/>
    <w:rsid w:val="00D72E4B"/>
    <w:rsid w:val="00D73249"/>
    <w:rsid w:val="00D7374D"/>
    <w:rsid w:val="00D7479F"/>
    <w:rsid w:val="00D7546D"/>
    <w:rsid w:val="00D75726"/>
    <w:rsid w:val="00D76E92"/>
    <w:rsid w:val="00D76EA7"/>
    <w:rsid w:val="00D770AF"/>
    <w:rsid w:val="00D77413"/>
    <w:rsid w:val="00D77C20"/>
    <w:rsid w:val="00D77CB2"/>
    <w:rsid w:val="00D81167"/>
    <w:rsid w:val="00D82B54"/>
    <w:rsid w:val="00D852FF"/>
    <w:rsid w:val="00D86265"/>
    <w:rsid w:val="00D87127"/>
    <w:rsid w:val="00D9081B"/>
    <w:rsid w:val="00D90E1F"/>
    <w:rsid w:val="00D91FC1"/>
    <w:rsid w:val="00D92958"/>
    <w:rsid w:val="00D9534C"/>
    <w:rsid w:val="00D956EF"/>
    <w:rsid w:val="00D97B68"/>
    <w:rsid w:val="00DA056E"/>
    <w:rsid w:val="00DA0654"/>
    <w:rsid w:val="00DA1FF5"/>
    <w:rsid w:val="00DA3849"/>
    <w:rsid w:val="00DA3BEA"/>
    <w:rsid w:val="00DA6519"/>
    <w:rsid w:val="00DB0E8E"/>
    <w:rsid w:val="00DB11F6"/>
    <w:rsid w:val="00DB1763"/>
    <w:rsid w:val="00DB1C5C"/>
    <w:rsid w:val="00DB1E72"/>
    <w:rsid w:val="00DB1F86"/>
    <w:rsid w:val="00DB3179"/>
    <w:rsid w:val="00DB54F9"/>
    <w:rsid w:val="00DB58D2"/>
    <w:rsid w:val="00DB5C2B"/>
    <w:rsid w:val="00DB7326"/>
    <w:rsid w:val="00DC0C76"/>
    <w:rsid w:val="00DC2732"/>
    <w:rsid w:val="00DC36D3"/>
    <w:rsid w:val="00DC38C6"/>
    <w:rsid w:val="00DC44F6"/>
    <w:rsid w:val="00DC4A7E"/>
    <w:rsid w:val="00DC55CA"/>
    <w:rsid w:val="00DC5C6F"/>
    <w:rsid w:val="00DC5E29"/>
    <w:rsid w:val="00DC7E96"/>
    <w:rsid w:val="00DD22B2"/>
    <w:rsid w:val="00DD67B6"/>
    <w:rsid w:val="00DE0445"/>
    <w:rsid w:val="00DE45E7"/>
    <w:rsid w:val="00DE4ADC"/>
    <w:rsid w:val="00DE5049"/>
    <w:rsid w:val="00DE67C8"/>
    <w:rsid w:val="00DE74C8"/>
    <w:rsid w:val="00DE7643"/>
    <w:rsid w:val="00DE7CCC"/>
    <w:rsid w:val="00DF011E"/>
    <w:rsid w:val="00DF0165"/>
    <w:rsid w:val="00DF0549"/>
    <w:rsid w:val="00DF0C2B"/>
    <w:rsid w:val="00DF3B9C"/>
    <w:rsid w:val="00DF5EC3"/>
    <w:rsid w:val="00DF6C77"/>
    <w:rsid w:val="00DF79D1"/>
    <w:rsid w:val="00DF79F9"/>
    <w:rsid w:val="00E05314"/>
    <w:rsid w:val="00E05762"/>
    <w:rsid w:val="00E0672A"/>
    <w:rsid w:val="00E1165A"/>
    <w:rsid w:val="00E11E78"/>
    <w:rsid w:val="00E15241"/>
    <w:rsid w:val="00E16E08"/>
    <w:rsid w:val="00E17BBB"/>
    <w:rsid w:val="00E21C8D"/>
    <w:rsid w:val="00E2423B"/>
    <w:rsid w:val="00E2525E"/>
    <w:rsid w:val="00E2529D"/>
    <w:rsid w:val="00E25483"/>
    <w:rsid w:val="00E26BE8"/>
    <w:rsid w:val="00E2772C"/>
    <w:rsid w:val="00E3077B"/>
    <w:rsid w:val="00E32138"/>
    <w:rsid w:val="00E32A28"/>
    <w:rsid w:val="00E33034"/>
    <w:rsid w:val="00E35C93"/>
    <w:rsid w:val="00E3633C"/>
    <w:rsid w:val="00E3681E"/>
    <w:rsid w:val="00E4134E"/>
    <w:rsid w:val="00E41493"/>
    <w:rsid w:val="00E4179F"/>
    <w:rsid w:val="00E42C6E"/>
    <w:rsid w:val="00E43F62"/>
    <w:rsid w:val="00E477C9"/>
    <w:rsid w:val="00E47EE0"/>
    <w:rsid w:val="00E516B4"/>
    <w:rsid w:val="00E52211"/>
    <w:rsid w:val="00E52D92"/>
    <w:rsid w:val="00E53222"/>
    <w:rsid w:val="00E54B1E"/>
    <w:rsid w:val="00E5620D"/>
    <w:rsid w:val="00E566E8"/>
    <w:rsid w:val="00E56DFE"/>
    <w:rsid w:val="00E579F9"/>
    <w:rsid w:val="00E607B5"/>
    <w:rsid w:val="00E61E54"/>
    <w:rsid w:val="00E62453"/>
    <w:rsid w:val="00E62B1D"/>
    <w:rsid w:val="00E62F87"/>
    <w:rsid w:val="00E66993"/>
    <w:rsid w:val="00E67E17"/>
    <w:rsid w:val="00E717DD"/>
    <w:rsid w:val="00E71AAD"/>
    <w:rsid w:val="00E71C16"/>
    <w:rsid w:val="00E71C8E"/>
    <w:rsid w:val="00E75F4F"/>
    <w:rsid w:val="00E77065"/>
    <w:rsid w:val="00E77399"/>
    <w:rsid w:val="00E80E0E"/>
    <w:rsid w:val="00E81601"/>
    <w:rsid w:val="00E8195A"/>
    <w:rsid w:val="00E82B42"/>
    <w:rsid w:val="00E8415F"/>
    <w:rsid w:val="00E851C4"/>
    <w:rsid w:val="00E860F5"/>
    <w:rsid w:val="00E87E42"/>
    <w:rsid w:val="00E900BA"/>
    <w:rsid w:val="00E90B56"/>
    <w:rsid w:val="00E924D2"/>
    <w:rsid w:val="00E94EED"/>
    <w:rsid w:val="00E95F08"/>
    <w:rsid w:val="00E97EA0"/>
    <w:rsid w:val="00EA0CCB"/>
    <w:rsid w:val="00EA2BB6"/>
    <w:rsid w:val="00EA45F4"/>
    <w:rsid w:val="00EA4D33"/>
    <w:rsid w:val="00EA5114"/>
    <w:rsid w:val="00EA5870"/>
    <w:rsid w:val="00EA5903"/>
    <w:rsid w:val="00EA6C4D"/>
    <w:rsid w:val="00EA7F98"/>
    <w:rsid w:val="00EB3072"/>
    <w:rsid w:val="00EB3F62"/>
    <w:rsid w:val="00EB4040"/>
    <w:rsid w:val="00EB43F9"/>
    <w:rsid w:val="00EB45DD"/>
    <w:rsid w:val="00EB5352"/>
    <w:rsid w:val="00EB5495"/>
    <w:rsid w:val="00EB621D"/>
    <w:rsid w:val="00EB7AE7"/>
    <w:rsid w:val="00EC1CC3"/>
    <w:rsid w:val="00EC2D58"/>
    <w:rsid w:val="00EC316A"/>
    <w:rsid w:val="00EC6C61"/>
    <w:rsid w:val="00ED01EE"/>
    <w:rsid w:val="00ED0480"/>
    <w:rsid w:val="00ED2101"/>
    <w:rsid w:val="00ED3A2E"/>
    <w:rsid w:val="00ED68C0"/>
    <w:rsid w:val="00ED6BF7"/>
    <w:rsid w:val="00ED778A"/>
    <w:rsid w:val="00EE114B"/>
    <w:rsid w:val="00EE2279"/>
    <w:rsid w:val="00EE262D"/>
    <w:rsid w:val="00EE2BCA"/>
    <w:rsid w:val="00EE5033"/>
    <w:rsid w:val="00EF134D"/>
    <w:rsid w:val="00EF13CC"/>
    <w:rsid w:val="00EF1747"/>
    <w:rsid w:val="00EF1F44"/>
    <w:rsid w:val="00EF3ACB"/>
    <w:rsid w:val="00EF4302"/>
    <w:rsid w:val="00EF5564"/>
    <w:rsid w:val="00EF5F14"/>
    <w:rsid w:val="00EF7420"/>
    <w:rsid w:val="00EF7BA2"/>
    <w:rsid w:val="00EF7BD3"/>
    <w:rsid w:val="00EF7CD5"/>
    <w:rsid w:val="00F0043C"/>
    <w:rsid w:val="00F00734"/>
    <w:rsid w:val="00F011C3"/>
    <w:rsid w:val="00F03AFE"/>
    <w:rsid w:val="00F05EB1"/>
    <w:rsid w:val="00F0614B"/>
    <w:rsid w:val="00F10A87"/>
    <w:rsid w:val="00F111E3"/>
    <w:rsid w:val="00F13B37"/>
    <w:rsid w:val="00F14AB3"/>
    <w:rsid w:val="00F15663"/>
    <w:rsid w:val="00F15912"/>
    <w:rsid w:val="00F16184"/>
    <w:rsid w:val="00F1638C"/>
    <w:rsid w:val="00F16B1E"/>
    <w:rsid w:val="00F17DCD"/>
    <w:rsid w:val="00F21225"/>
    <w:rsid w:val="00F21669"/>
    <w:rsid w:val="00F2300C"/>
    <w:rsid w:val="00F232C2"/>
    <w:rsid w:val="00F23E90"/>
    <w:rsid w:val="00F253CC"/>
    <w:rsid w:val="00F26EE3"/>
    <w:rsid w:val="00F27209"/>
    <w:rsid w:val="00F3073D"/>
    <w:rsid w:val="00F311BB"/>
    <w:rsid w:val="00F313B4"/>
    <w:rsid w:val="00F320BA"/>
    <w:rsid w:val="00F323BC"/>
    <w:rsid w:val="00F35582"/>
    <w:rsid w:val="00F40070"/>
    <w:rsid w:val="00F4065B"/>
    <w:rsid w:val="00F40A6B"/>
    <w:rsid w:val="00F418CC"/>
    <w:rsid w:val="00F41EF2"/>
    <w:rsid w:val="00F432B9"/>
    <w:rsid w:val="00F440E9"/>
    <w:rsid w:val="00F45C2F"/>
    <w:rsid w:val="00F46884"/>
    <w:rsid w:val="00F47003"/>
    <w:rsid w:val="00F47BAD"/>
    <w:rsid w:val="00F5028A"/>
    <w:rsid w:val="00F53B85"/>
    <w:rsid w:val="00F53C2F"/>
    <w:rsid w:val="00F54CD0"/>
    <w:rsid w:val="00F54D9C"/>
    <w:rsid w:val="00F55B81"/>
    <w:rsid w:val="00F5669A"/>
    <w:rsid w:val="00F6168F"/>
    <w:rsid w:val="00F6231C"/>
    <w:rsid w:val="00F6272F"/>
    <w:rsid w:val="00F631AD"/>
    <w:rsid w:val="00F63631"/>
    <w:rsid w:val="00F64E41"/>
    <w:rsid w:val="00F6509C"/>
    <w:rsid w:val="00F6515B"/>
    <w:rsid w:val="00F66645"/>
    <w:rsid w:val="00F673A7"/>
    <w:rsid w:val="00F673CD"/>
    <w:rsid w:val="00F6777E"/>
    <w:rsid w:val="00F7220F"/>
    <w:rsid w:val="00F7296A"/>
    <w:rsid w:val="00F73108"/>
    <w:rsid w:val="00F750BD"/>
    <w:rsid w:val="00F753A2"/>
    <w:rsid w:val="00F754D5"/>
    <w:rsid w:val="00F75A45"/>
    <w:rsid w:val="00F775B1"/>
    <w:rsid w:val="00F779FC"/>
    <w:rsid w:val="00F77AAD"/>
    <w:rsid w:val="00F77FCF"/>
    <w:rsid w:val="00F8059E"/>
    <w:rsid w:val="00F82048"/>
    <w:rsid w:val="00F83527"/>
    <w:rsid w:val="00F84873"/>
    <w:rsid w:val="00F84A10"/>
    <w:rsid w:val="00F850F4"/>
    <w:rsid w:val="00F8610B"/>
    <w:rsid w:val="00F90F60"/>
    <w:rsid w:val="00F93E08"/>
    <w:rsid w:val="00F943BF"/>
    <w:rsid w:val="00F9441A"/>
    <w:rsid w:val="00F96A3A"/>
    <w:rsid w:val="00FA06E6"/>
    <w:rsid w:val="00FA238B"/>
    <w:rsid w:val="00FA2A95"/>
    <w:rsid w:val="00FA6C94"/>
    <w:rsid w:val="00FA7DE6"/>
    <w:rsid w:val="00FB07AA"/>
    <w:rsid w:val="00FB28F6"/>
    <w:rsid w:val="00FB2DEF"/>
    <w:rsid w:val="00FB3B2B"/>
    <w:rsid w:val="00FB3B8E"/>
    <w:rsid w:val="00FB5442"/>
    <w:rsid w:val="00FB7640"/>
    <w:rsid w:val="00FC1293"/>
    <w:rsid w:val="00FC1C60"/>
    <w:rsid w:val="00FC3128"/>
    <w:rsid w:val="00FC41DD"/>
    <w:rsid w:val="00FC4A3B"/>
    <w:rsid w:val="00FC6BA8"/>
    <w:rsid w:val="00FD11F8"/>
    <w:rsid w:val="00FD1FA0"/>
    <w:rsid w:val="00FD24D4"/>
    <w:rsid w:val="00FD3341"/>
    <w:rsid w:val="00FD61D7"/>
    <w:rsid w:val="00FD7E7D"/>
    <w:rsid w:val="00FE0286"/>
    <w:rsid w:val="00FE02B5"/>
    <w:rsid w:val="00FE16A1"/>
    <w:rsid w:val="00FE21A0"/>
    <w:rsid w:val="00FE3869"/>
    <w:rsid w:val="00FE3BAD"/>
    <w:rsid w:val="00FE41DE"/>
    <w:rsid w:val="00FE4C77"/>
    <w:rsid w:val="00FE5454"/>
    <w:rsid w:val="00FE74A5"/>
    <w:rsid w:val="00FE7C28"/>
    <w:rsid w:val="00FE7E30"/>
    <w:rsid w:val="00FF004A"/>
    <w:rsid w:val="00FF03A0"/>
    <w:rsid w:val="00FF114F"/>
    <w:rsid w:val="00FF32D9"/>
    <w:rsid w:val="00FF3CC4"/>
    <w:rsid w:val="00FF4FAB"/>
    <w:rsid w:val="15D66B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450BF9F"/>
  <w15:docId w15:val="{6F111CBD-968B-47CC-B1D5-2D66399C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035"/>
    <w:pPr>
      <w:jc w:val="both"/>
    </w:pPr>
    <w:rPr>
      <w:sz w:val="20"/>
    </w:rPr>
  </w:style>
  <w:style w:type="paragraph" w:styleId="Heading1">
    <w:name w:val="heading 1"/>
    <w:basedOn w:val="Normal"/>
    <w:next w:val="Normal"/>
    <w:link w:val="Heading1Char"/>
    <w:qFormat/>
    <w:rsid w:val="008A49AC"/>
    <w:pPr>
      <w:keepNext/>
      <w:keepLines/>
      <w:spacing w:before="240" w:after="0"/>
      <w:outlineLvl w:val="0"/>
    </w:pPr>
    <w:rPr>
      <w:rFonts w:asciiTheme="majorHAnsi" w:eastAsiaTheme="majorEastAsia" w:hAnsiTheme="majorHAnsi" w:cstheme="majorBidi"/>
      <w:b/>
      <w:color w:val="000000" w:themeColor="text1"/>
      <w:sz w:val="24"/>
      <w:szCs w:val="32"/>
    </w:rPr>
  </w:style>
  <w:style w:type="paragraph" w:styleId="Heading2">
    <w:name w:val="heading 2"/>
    <w:basedOn w:val="Normal"/>
    <w:next w:val="Normal"/>
    <w:link w:val="Heading2Char"/>
    <w:unhideWhenUsed/>
    <w:qFormat/>
    <w:rsid w:val="00B32C18"/>
    <w:pPr>
      <w:keepNext/>
      <w:keepLines/>
      <w:spacing w:before="40" w:after="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nhideWhenUsed/>
    <w:qFormat/>
    <w:rsid w:val="00215D15"/>
    <w:pPr>
      <w:keepNext/>
      <w:keepLines/>
      <w:spacing w:before="40" w:after="0"/>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nhideWhenUsed/>
    <w:qFormat/>
    <w:rsid w:val="0043699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410E5"/>
    <w:pPr>
      <w:keepNext/>
      <w:keepLines/>
      <w:spacing w:before="200" w:after="0" w:line="240" w:lineRule="auto"/>
      <w:ind w:left="1008" w:hanging="432"/>
      <w:outlineLvl w:val="4"/>
    </w:pPr>
    <w:rPr>
      <w:rFonts w:ascii="Times New Roman" w:eastAsiaTheme="majorEastAsia" w:hAnsi="Times New Roman" w:cstheme="majorBidi"/>
      <w:color w:val="1F3763" w:themeColor="accent1" w:themeShade="7F"/>
      <w:sz w:val="22"/>
      <w:szCs w:val="20"/>
      <w:lang w:eastAsia="en-GB"/>
    </w:rPr>
  </w:style>
  <w:style w:type="paragraph" w:styleId="Heading6">
    <w:name w:val="heading 6"/>
    <w:basedOn w:val="Normal"/>
    <w:next w:val="Normal"/>
    <w:link w:val="Heading6Char"/>
    <w:semiHidden/>
    <w:unhideWhenUsed/>
    <w:qFormat/>
    <w:rsid w:val="002410E5"/>
    <w:pPr>
      <w:keepNext/>
      <w:keepLines/>
      <w:spacing w:before="200" w:after="0" w:line="240" w:lineRule="auto"/>
      <w:ind w:left="1152" w:hanging="432"/>
      <w:outlineLvl w:val="5"/>
    </w:pPr>
    <w:rPr>
      <w:rFonts w:ascii="Times New Roman" w:eastAsiaTheme="majorEastAsia" w:hAnsi="Times New Roman" w:cstheme="majorBidi"/>
      <w:i/>
      <w:iCs/>
      <w:color w:val="1F3763" w:themeColor="accent1" w:themeShade="7F"/>
      <w:sz w:val="22"/>
      <w:szCs w:val="20"/>
      <w:lang w:eastAsia="en-GB"/>
    </w:rPr>
  </w:style>
  <w:style w:type="paragraph" w:styleId="Heading7">
    <w:name w:val="heading 7"/>
    <w:basedOn w:val="Normal"/>
    <w:next w:val="Normal"/>
    <w:link w:val="Heading7Char"/>
    <w:uiPriority w:val="99"/>
    <w:semiHidden/>
    <w:unhideWhenUsed/>
    <w:qFormat/>
    <w:rsid w:val="002410E5"/>
    <w:pPr>
      <w:keepNext/>
      <w:keepLines/>
      <w:spacing w:before="200" w:after="0" w:line="240" w:lineRule="auto"/>
      <w:ind w:left="1296" w:hanging="288"/>
      <w:outlineLvl w:val="6"/>
    </w:pPr>
    <w:rPr>
      <w:rFonts w:ascii="Times New Roman" w:eastAsiaTheme="majorEastAsia" w:hAnsi="Times New Roman" w:cstheme="majorBidi"/>
      <w:i/>
      <w:iCs/>
      <w:color w:val="404040" w:themeColor="text1" w:themeTint="BF"/>
      <w:sz w:val="22"/>
      <w:szCs w:val="20"/>
      <w:lang w:eastAsia="en-GB"/>
    </w:rPr>
  </w:style>
  <w:style w:type="paragraph" w:styleId="Heading8">
    <w:name w:val="heading 8"/>
    <w:basedOn w:val="Normal"/>
    <w:next w:val="Normal"/>
    <w:link w:val="Heading8Char"/>
    <w:uiPriority w:val="99"/>
    <w:semiHidden/>
    <w:unhideWhenUsed/>
    <w:qFormat/>
    <w:rsid w:val="002410E5"/>
    <w:pPr>
      <w:keepNext/>
      <w:keepLines/>
      <w:spacing w:before="200" w:after="0" w:line="240" w:lineRule="auto"/>
      <w:ind w:left="1440" w:hanging="432"/>
      <w:outlineLvl w:val="7"/>
    </w:pPr>
    <w:rPr>
      <w:rFonts w:ascii="Times New Roman" w:eastAsiaTheme="majorEastAsia" w:hAnsi="Times New Roman" w:cstheme="majorBidi"/>
      <w:color w:val="404040" w:themeColor="text1" w:themeTint="BF"/>
      <w:sz w:val="22"/>
      <w:szCs w:val="20"/>
      <w:lang w:eastAsia="en-GB"/>
    </w:rPr>
  </w:style>
  <w:style w:type="paragraph" w:styleId="Heading9">
    <w:name w:val="heading 9"/>
    <w:basedOn w:val="Normal"/>
    <w:next w:val="Normal"/>
    <w:link w:val="Heading9Char"/>
    <w:uiPriority w:val="99"/>
    <w:semiHidden/>
    <w:unhideWhenUsed/>
    <w:qFormat/>
    <w:rsid w:val="002410E5"/>
    <w:pPr>
      <w:keepNext/>
      <w:keepLines/>
      <w:spacing w:before="200" w:after="0" w:line="240" w:lineRule="auto"/>
      <w:ind w:left="1584" w:hanging="144"/>
      <w:outlineLvl w:val="8"/>
    </w:pPr>
    <w:rPr>
      <w:rFonts w:ascii="Times New Roman" w:eastAsiaTheme="majorEastAsia" w:hAnsi="Times New Roman" w:cstheme="majorBidi"/>
      <w:i/>
      <w:iCs/>
      <w:color w:val="404040" w:themeColor="text1" w:themeTint="BF"/>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9AC"/>
    <w:rPr>
      <w:rFonts w:asciiTheme="majorHAnsi" w:eastAsiaTheme="majorEastAsia" w:hAnsiTheme="majorHAnsi" w:cstheme="majorBidi"/>
      <w:b/>
      <w:color w:val="000000" w:themeColor="text1"/>
      <w:sz w:val="24"/>
      <w:szCs w:val="32"/>
    </w:rPr>
  </w:style>
  <w:style w:type="character" w:customStyle="1" w:styleId="Heading2Char">
    <w:name w:val="Heading 2 Char"/>
    <w:basedOn w:val="DefaultParagraphFont"/>
    <w:link w:val="Heading2"/>
    <w:rsid w:val="00B32C18"/>
    <w:rPr>
      <w:rFonts w:asciiTheme="majorHAnsi" w:eastAsiaTheme="majorEastAsia" w:hAnsiTheme="majorHAnsi" w:cstheme="majorBidi"/>
      <w:b/>
      <w:color w:val="000000" w:themeColor="text1"/>
      <w:sz w:val="20"/>
      <w:szCs w:val="26"/>
    </w:rPr>
  </w:style>
  <w:style w:type="character" w:customStyle="1" w:styleId="Heading3Char">
    <w:name w:val="Heading 3 Char"/>
    <w:basedOn w:val="DefaultParagraphFont"/>
    <w:link w:val="Heading3"/>
    <w:rsid w:val="00215D15"/>
    <w:rPr>
      <w:rFonts w:asciiTheme="majorHAnsi" w:eastAsiaTheme="majorEastAsia" w:hAnsiTheme="majorHAnsi" w:cstheme="majorBidi"/>
      <w:b/>
      <w:color w:val="000000" w:themeColor="text1"/>
      <w:sz w:val="20"/>
      <w:szCs w:val="24"/>
    </w:rPr>
  </w:style>
  <w:style w:type="character" w:styleId="Hyperlink">
    <w:name w:val="Hyperlink"/>
    <w:basedOn w:val="DefaultParagraphFont"/>
    <w:uiPriority w:val="99"/>
    <w:unhideWhenUsed/>
    <w:rsid w:val="00C04F3E"/>
    <w:rPr>
      <w:color w:val="0563C1" w:themeColor="hyperlink"/>
      <w:u w:val="single"/>
    </w:rPr>
  </w:style>
  <w:style w:type="character" w:customStyle="1" w:styleId="UnresolvedMention1">
    <w:name w:val="Unresolved Mention1"/>
    <w:basedOn w:val="DefaultParagraphFont"/>
    <w:uiPriority w:val="99"/>
    <w:semiHidden/>
    <w:unhideWhenUsed/>
    <w:rsid w:val="00C04F3E"/>
    <w:rPr>
      <w:color w:val="605E5C"/>
      <w:shd w:val="clear" w:color="auto" w:fill="E1DFDD"/>
    </w:rPr>
  </w:style>
  <w:style w:type="paragraph" w:styleId="ListBullet">
    <w:name w:val="List Bullet"/>
    <w:basedOn w:val="Normal"/>
    <w:uiPriority w:val="99"/>
    <w:unhideWhenUsed/>
    <w:rsid w:val="00B415A1"/>
    <w:pPr>
      <w:numPr>
        <w:numId w:val="1"/>
      </w:numPr>
      <w:contextualSpacing/>
    </w:pPr>
  </w:style>
  <w:style w:type="paragraph" w:styleId="Header">
    <w:name w:val="header"/>
    <w:basedOn w:val="Normal"/>
    <w:link w:val="HeaderChar"/>
    <w:uiPriority w:val="99"/>
    <w:unhideWhenUsed/>
    <w:rsid w:val="008D7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422"/>
  </w:style>
  <w:style w:type="paragraph" w:styleId="Footer">
    <w:name w:val="footer"/>
    <w:basedOn w:val="Normal"/>
    <w:link w:val="FooterChar"/>
    <w:uiPriority w:val="99"/>
    <w:unhideWhenUsed/>
    <w:rsid w:val="008D7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422"/>
  </w:style>
  <w:style w:type="paragraph" w:styleId="ListParagraph">
    <w:name w:val="List Paragraph"/>
    <w:basedOn w:val="Normal"/>
    <w:link w:val="ListParagraphChar"/>
    <w:uiPriority w:val="34"/>
    <w:unhideWhenUsed/>
    <w:qFormat/>
    <w:rsid w:val="007E7E08"/>
    <w:pPr>
      <w:widowControl w:val="0"/>
      <w:spacing w:after="0" w:line="240" w:lineRule="auto"/>
      <w:ind w:left="720"/>
      <w:contextualSpacing/>
    </w:pPr>
    <w:rPr>
      <w:rFonts w:ascii="Calibri" w:eastAsia="SimSun" w:hAnsi="Calibri" w:cs="Times New Roman"/>
      <w:kern w:val="2"/>
      <w:sz w:val="21"/>
      <w:lang w:eastAsia="zh-CN"/>
    </w:rPr>
  </w:style>
  <w:style w:type="paragraph" w:styleId="BodyText">
    <w:name w:val="Body Text"/>
    <w:basedOn w:val="Normal"/>
    <w:link w:val="BodyTextChar"/>
    <w:uiPriority w:val="99"/>
    <w:unhideWhenUsed/>
    <w:qFormat/>
    <w:rsid w:val="00F6231C"/>
    <w:pPr>
      <w:spacing w:after="120" w:line="288" w:lineRule="auto"/>
    </w:pPr>
    <w:rPr>
      <w:rFonts w:ascii="Arial" w:eastAsia="PMingLiU" w:hAnsi="Arial" w:cs="Times New Roman"/>
      <w:sz w:val="22"/>
      <w:szCs w:val="24"/>
    </w:rPr>
  </w:style>
  <w:style w:type="character" w:customStyle="1" w:styleId="BodyTextChar">
    <w:name w:val="Body Text Char"/>
    <w:basedOn w:val="DefaultParagraphFont"/>
    <w:link w:val="BodyText"/>
    <w:uiPriority w:val="99"/>
    <w:rsid w:val="00F6231C"/>
    <w:rPr>
      <w:rFonts w:ascii="Arial" w:eastAsia="PMingLiU" w:hAnsi="Arial" w:cs="Times New Roman"/>
      <w:szCs w:val="24"/>
    </w:rPr>
  </w:style>
  <w:style w:type="character" w:styleId="CommentReference">
    <w:name w:val="annotation reference"/>
    <w:basedOn w:val="DefaultParagraphFont"/>
    <w:unhideWhenUsed/>
    <w:rsid w:val="006551E2"/>
    <w:rPr>
      <w:sz w:val="16"/>
      <w:szCs w:val="16"/>
    </w:rPr>
  </w:style>
  <w:style w:type="paragraph" w:styleId="CommentText">
    <w:name w:val="annotation text"/>
    <w:basedOn w:val="Normal"/>
    <w:link w:val="CommentTextChar"/>
    <w:uiPriority w:val="99"/>
    <w:unhideWhenUsed/>
    <w:rsid w:val="006551E2"/>
    <w:pPr>
      <w:spacing w:line="240" w:lineRule="auto"/>
    </w:pPr>
    <w:rPr>
      <w:szCs w:val="20"/>
    </w:rPr>
  </w:style>
  <w:style w:type="character" w:customStyle="1" w:styleId="CommentTextChar">
    <w:name w:val="Comment Text Char"/>
    <w:basedOn w:val="DefaultParagraphFont"/>
    <w:link w:val="CommentText"/>
    <w:uiPriority w:val="99"/>
    <w:rsid w:val="006551E2"/>
    <w:rPr>
      <w:sz w:val="20"/>
      <w:szCs w:val="20"/>
    </w:rPr>
  </w:style>
  <w:style w:type="paragraph" w:styleId="CommentSubject">
    <w:name w:val="annotation subject"/>
    <w:basedOn w:val="CommentText"/>
    <w:next w:val="CommentText"/>
    <w:link w:val="CommentSubjectChar"/>
    <w:uiPriority w:val="99"/>
    <w:unhideWhenUsed/>
    <w:rsid w:val="006551E2"/>
    <w:rPr>
      <w:b/>
      <w:bCs/>
    </w:rPr>
  </w:style>
  <w:style w:type="character" w:customStyle="1" w:styleId="CommentSubjectChar">
    <w:name w:val="Comment Subject Char"/>
    <w:basedOn w:val="CommentTextChar"/>
    <w:link w:val="CommentSubject"/>
    <w:uiPriority w:val="99"/>
    <w:rsid w:val="006551E2"/>
    <w:rPr>
      <w:b/>
      <w:bCs/>
      <w:sz w:val="20"/>
      <w:szCs w:val="20"/>
    </w:rPr>
  </w:style>
  <w:style w:type="paragraph" w:styleId="BalloonText">
    <w:name w:val="Balloon Text"/>
    <w:basedOn w:val="Normal"/>
    <w:link w:val="BalloonTextChar"/>
    <w:uiPriority w:val="99"/>
    <w:unhideWhenUsed/>
    <w:rsid w:val="00655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551E2"/>
    <w:rPr>
      <w:rFonts w:ascii="Segoe UI" w:hAnsi="Segoe UI" w:cs="Segoe UI"/>
      <w:sz w:val="18"/>
      <w:szCs w:val="18"/>
    </w:rPr>
  </w:style>
  <w:style w:type="table" w:styleId="TableGrid">
    <w:name w:val="Table Grid"/>
    <w:basedOn w:val="TableNormal"/>
    <w:rsid w:val="006E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36BD3"/>
    <w:pPr>
      <w:jc w:val="left"/>
      <w:outlineLvl w:val="9"/>
    </w:pPr>
    <w:rPr>
      <w:b w:val="0"/>
      <w:color w:val="2F5496" w:themeColor="accent1" w:themeShade="BF"/>
      <w:sz w:val="32"/>
      <w:lang w:val="en-US"/>
    </w:rPr>
  </w:style>
  <w:style w:type="paragraph" w:styleId="TOC1">
    <w:name w:val="toc 1"/>
    <w:basedOn w:val="Normal"/>
    <w:next w:val="Normal"/>
    <w:autoRedefine/>
    <w:uiPriority w:val="39"/>
    <w:unhideWhenUsed/>
    <w:rsid w:val="004712BD"/>
    <w:pPr>
      <w:tabs>
        <w:tab w:val="right" w:leader="dot" w:pos="9016"/>
      </w:tabs>
      <w:spacing w:after="100"/>
    </w:pPr>
  </w:style>
  <w:style w:type="paragraph" w:styleId="TOC2">
    <w:name w:val="toc 2"/>
    <w:basedOn w:val="Normal"/>
    <w:next w:val="Normal"/>
    <w:autoRedefine/>
    <w:uiPriority w:val="99"/>
    <w:unhideWhenUsed/>
    <w:rsid w:val="00036BD3"/>
    <w:pPr>
      <w:spacing w:after="100"/>
      <w:ind w:left="200"/>
    </w:pPr>
  </w:style>
  <w:style w:type="paragraph" w:styleId="TOC3">
    <w:name w:val="toc 3"/>
    <w:basedOn w:val="Normal"/>
    <w:next w:val="Normal"/>
    <w:autoRedefine/>
    <w:uiPriority w:val="99"/>
    <w:unhideWhenUsed/>
    <w:rsid w:val="00036BD3"/>
    <w:pPr>
      <w:spacing w:after="100"/>
      <w:ind w:left="400"/>
    </w:pPr>
  </w:style>
  <w:style w:type="character" w:customStyle="1" w:styleId="Heading4Char">
    <w:name w:val="Heading 4 Char"/>
    <w:basedOn w:val="DefaultParagraphFont"/>
    <w:link w:val="Heading4"/>
    <w:rsid w:val="00436999"/>
    <w:rPr>
      <w:rFonts w:asciiTheme="majorHAnsi" w:eastAsiaTheme="majorEastAsia" w:hAnsiTheme="majorHAnsi" w:cstheme="majorBidi"/>
      <w:i/>
      <w:iCs/>
      <w:color w:val="2F5496" w:themeColor="accent1" w:themeShade="BF"/>
      <w:sz w:val="20"/>
    </w:rPr>
  </w:style>
  <w:style w:type="paragraph" w:customStyle="1" w:styleId="TableParagraph">
    <w:name w:val="Table Paragraph"/>
    <w:basedOn w:val="Normal"/>
    <w:uiPriority w:val="1"/>
    <w:qFormat/>
    <w:rsid w:val="00D90E1F"/>
    <w:pPr>
      <w:widowControl w:val="0"/>
      <w:autoSpaceDE w:val="0"/>
      <w:autoSpaceDN w:val="0"/>
      <w:spacing w:after="0" w:line="240" w:lineRule="auto"/>
      <w:jc w:val="left"/>
    </w:pPr>
    <w:rPr>
      <w:rFonts w:ascii="Calibri" w:eastAsia="Calibri" w:hAnsi="Calibri" w:cs="Calibri"/>
      <w:sz w:val="22"/>
      <w:lang w:val="en-US"/>
    </w:rPr>
  </w:style>
  <w:style w:type="paragraph" w:styleId="TOC4">
    <w:name w:val="toc 4"/>
    <w:basedOn w:val="Normal"/>
    <w:next w:val="Normal"/>
    <w:autoRedefine/>
    <w:uiPriority w:val="99"/>
    <w:unhideWhenUsed/>
    <w:rsid w:val="00D90E1F"/>
    <w:pPr>
      <w:spacing w:after="100"/>
      <w:ind w:left="660"/>
      <w:jc w:val="left"/>
    </w:pPr>
    <w:rPr>
      <w:rFonts w:eastAsiaTheme="minorEastAsia"/>
      <w:sz w:val="22"/>
      <w:lang w:eastAsia="zh-CN"/>
    </w:rPr>
  </w:style>
  <w:style w:type="paragraph" w:styleId="TOC5">
    <w:name w:val="toc 5"/>
    <w:basedOn w:val="Normal"/>
    <w:next w:val="Normal"/>
    <w:autoRedefine/>
    <w:uiPriority w:val="99"/>
    <w:unhideWhenUsed/>
    <w:rsid w:val="00D90E1F"/>
    <w:pPr>
      <w:spacing w:after="100"/>
      <w:ind w:left="880"/>
      <w:jc w:val="left"/>
    </w:pPr>
    <w:rPr>
      <w:rFonts w:eastAsiaTheme="minorEastAsia"/>
      <w:sz w:val="22"/>
      <w:lang w:eastAsia="zh-CN"/>
    </w:rPr>
  </w:style>
  <w:style w:type="paragraph" w:styleId="TOC6">
    <w:name w:val="toc 6"/>
    <w:basedOn w:val="Normal"/>
    <w:next w:val="Normal"/>
    <w:autoRedefine/>
    <w:uiPriority w:val="99"/>
    <w:unhideWhenUsed/>
    <w:rsid w:val="00D90E1F"/>
    <w:pPr>
      <w:spacing w:after="100"/>
      <w:ind w:left="1100"/>
      <w:jc w:val="left"/>
    </w:pPr>
    <w:rPr>
      <w:rFonts w:eastAsiaTheme="minorEastAsia"/>
      <w:sz w:val="22"/>
      <w:lang w:eastAsia="zh-CN"/>
    </w:rPr>
  </w:style>
  <w:style w:type="paragraph" w:styleId="TOC7">
    <w:name w:val="toc 7"/>
    <w:basedOn w:val="Normal"/>
    <w:next w:val="Normal"/>
    <w:autoRedefine/>
    <w:uiPriority w:val="99"/>
    <w:unhideWhenUsed/>
    <w:rsid w:val="00D90E1F"/>
    <w:pPr>
      <w:spacing w:after="100"/>
      <w:ind w:left="1320"/>
      <w:jc w:val="left"/>
    </w:pPr>
    <w:rPr>
      <w:rFonts w:eastAsiaTheme="minorEastAsia"/>
      <w:sz w:val="22"/>
      <w:lang w:eastAsia="zh-CN"/>
    </w:rPr>
  </w:style>
  <w:style w:type="paragraph" w:styleId="TOC8">
    <w:name w:val="toc 8"/>
    <w:basedOn w:val="Normal"/>
    <w:next w:val="Normal"/>
    <w:autoRedefine/>
    <w:uiPriority w:val="99"/>
    <w:unhideWhenUsed/>
    <w:rsid w:val="00D90E1F"/>
    <w:pPr>
      <w:spacing w:after="100"/>
      <w:ind w:left="1540"/>
      <w:jc w:val="left"/>
    </w:pPr>
    <w:rPr>
      <w:rFonts w:eastAsiaTheme="minorEastAsia"/>
      <w:sz w:val="22"/>
      <w:lang w:eastAsia="zh-CN"/>
    </w:rPr>
  </w:style>
  <w:style w:type="paragraph" w:styleId="TOC9">
    <w:name w:val="toc 9"/>
    <w:basedOn w:val="Normal"/>
    <w:next w:val="Normal"/>
    <w:autoRedefine/>
    <w:uiPriority w:val="99"/>
    <w:unhideWhenUsed/>
    <w:rsid w:val="00D90E1F"/>
    <w:pPr>
      <w:spacing w:after="100"/>
      <w:ind w:left="1760"/>
      <w:jc w:val="left"/>
    </w:pPr>
    <w:rPr>
      <w:rFonts w:eastAsiaTheme="minorEastAsia"/>
      <w:sz w:val="22"/>
      <w:lang w:eastAsia="zh-CN"/>
    </w:rPr>
  </w:style>
  <w:style w:type="paragraph" w:styleId="Caption">
    <w:name w:val="caption"/>
    <w:basedOn w:val="Normal"/>
    <w:next w:val="Normal"/>
    <w:uiPriority w:val="99"/>
    <w:unhideWhenUsed/>
    <w:qFormat/>
    <w:rsid w:val="00D90E1F"/>
    <w:pPr>
      <w:spacing w:after="200" w:line="240" w:lineRule="auto"/>
    </w:pPr>
    <w:rPr>
      <w:i/>
      <w:iCs/>
      <w:color w:val="44546A" w:themeColor="text2"/>
      <w:sz w:val="18"/>
      <w:szCs w:val="18"/>
    </w:rPr>
  </w:style>
  <w:style w:type="character" w:styleId="FollowedHyperlink">
    <w:name w:val="FollowedHyperlink"/>
    <w:basedOn w:val="DefaultParagraphFont"/>
    <w:unhideWhenUsed/>
    <w:rsid w:val="00D90E1F"/>
    <w:rPr>
      <w:color w:val="954F72" w:themeColor="followedHyperlink"/>
      <w:u w:val="single"/>
    </w:rPr>
  </w:style>
  <w:style w:type="paragraph" w:styleId="NormalWeb">
    <w:name w:val="Normal (Web)"/>
    <w:basedOn w:val="Normal"/>
    <w:uiPriority w:val="99"/>
    <w:unhideWhenUsed/>
    <w:rsid w:val="00E71C16"/>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Default">
    <w:name w:val="Default"/>
    <w:uiPriority w:val="99"/>
    <w:rsid w:val="00014BAA"/>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FE5454"/>
    <w:pPr>
      <w:spacing w:after="0" w:line="240" w:lineRule="auto"/>
    </w:pPr>
    <w:rPr>
      <w:sz w:val="20"/>
    </w:rPr>
  </w:style>
  <w:style w:type="character" w:customStyle="1" w:styleId="NoSpacingChar">
    <w:name w:val="No Spacing Char"/>
    <w:link w:val="NoSpacing"/>
    <w:uiPriority w:val="1"/>
    <w:rsid w:val="00FE5454"/>
    <w:rPr>
      <w:sz w:val="20"/>
    </w:rPr>
  </w:style>
  <w:style w:type="character" w:customStyle="1" w:styleId="ListParagraphChar">
    <w:name w:val="List Paragraph Char"/>
    <w:basedOn w:val="DefaultParagraphFont"/>
    <w:link w:val="ListParagraph"/>
    <w:uiPriority w:val="34"/>
    <w:rsid w:val="00FE5454"/>
    <w:rPr>
      <w:rFonts w:ascii="Calibri" w:eastAsia="SimSun" w:hAnsi="Calibri" w:cs="Times New Roman"/>
      <w:kern w:val="2"/>
      <w:sz w:val="21"/>
      <w:lang w:eastAsia="zh-CN"/>
    </w:rPr>
  </w:style>
  <w:style w:type="paragraph" w:customStyle="1" w:styleId="au">
    <w:name w:val="au"/>
    <w:basedOn w:val="Normal"/>
    <w:rsid w:val="001116E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semiHidden/>
    <w:rsid w:val="002410E5"/>
    <w:rPr>
      <w:rFonts w:ascii="Times New Roman" w:eastAsiaTheme="majorEastAsia" w:hAnsi="Times New Roman" w:cstheme="majorBidi"/>
      <w:color w:val="1F3763" w:themeColor="accent1" w:themeShade="7F"/>
      <w:szCs w:val="20"/>
      <w:lang w:eastAsia="en-GB"/>
    </w:rPr>
  </w:style>
  <w:style w:type="character" w:customStyle="1" w:styleId="Heading6Char">
    <w:name w:val="Heading 6 Char"/>
    <w:basedOn w:val="DefaultParagraphFont"/>
    <w:link w:val="Heading6"/>
    <w:semiHidden/>
    <w:rsid w:val="002410E5"/>
    <w:rPr>
      <w:rFonts w:ascii="Times New Roman" w:eastAsiaTheme="majorEastAsia" w:hAnsi="Times New Roman" w:cstheme="majorBidi"/>
      <w:i/>
      <w:iCs/>
      <w:color w:val="1F3763" w:themeColor="accent1" w:themeShade="7F"/>
      <w:szCs w:val="20"/>
      <w:lang w:eastAsia="en-GB"/>
    </w:rPr>
  </w:style>
  <w:style w:type="character" w:customStyle="1" w:styleId="Heading7Char">
    <w:name w:val="Heading 7 Char"/>
    <w:basedOn w:val="DefaultParagraphFont"/>
    <w:link w:val="Heading7"/>
    <w:uiPriority w:val="99"/>
    <w:semiHidden/>
    <w:rsid w:val="002410E5"/>
    <w:rPr>
      <w:rFonts w:ascii="Times New Roman" w:eastAsiaTheme="majorEastAsia" w:hAnsi="Times New Roman" w:cstheme="majorBidi"/>
      <w:i/>
      <w:iCs/>
      <w:color w:val="404040" w:themeColor="text1" w:themeTint="BF"/>
      <w:szCs w:val="20"/>
      <w:lang w:eastAsia="en-GB"/>
    </w:rPr>
  </w:style>
  <w:style w:type="character" w:customStyle="1" w:styleId="Heading8Char">
    <w:name w:val="Heading 8 Char"/>
    <w:basedOn w:val="DefaultParagraphFont"/>
    <w:link w:val="Heading8"/>
    <w:uiPriority w:val="99"/>
    <w:semiHidden/>
    <w:rsid w:val="002410E5"/>
    <w:rPr>
      <w:rFonts w:ascii="Times New Roman" w:eastAsiaTheme="majorEastAsia" w:hAnsi="Times New Roman" w:cstheme="majorBidi"/>
      <w:color w:val="404040" w:themeColor="text1" w:themeTint="BF"/>
      <w:szCs w:val="20"/>
      <w:lang w:eastAsia="en-GB"/>
    </w:rPr>
  </w:style>
  <w:style w:type="character" w:customStyle="1" w:styleId="Heading9Char">
    <w:name w:val="Heading 9 Char"/>
    <w:basedOn w:val="DefaultParagraphFont"/>
    <w:link w:val="Heading9"/>
    <w:uiPriority w:val="99"/>
    <w:semiHidden/>
    <w:rsid w:val="002410E5"/>
    <w:rPr>
      <w:rFonts w:ascii="Times New Roman" w:eastAsiaTheme="majorEastAsia" w:hAnsi="Times New Roman" w:cstheme="majorBidi"/>
      <w:i/>
      <w:iCs/>
      <w:color w:val="404040" w:themeColor="text1" w:themeTint="BF"/>
      <w:szCs w:val="20"/>
      <w:lang w:eastAsia="en-GB"/>
    </w:rPr>
  </w:style>
  <w:style w:type="numbering" w:styleId="111111">
    <w:name w:val="Outline List 2"/>
    <w:basedOn w:val="NoList"/>
    <w:rsid w:val="002410E5"/>
    <w:pPr>
      <w:numPr>
        <w:numId w:val="14"/>
      </w:numPr>
    </w:pPr>
  </w:style>
  <w:style w:type="numbering" w:styleId="1ai">
    <w:name w:val="Outline List 1"/>
    <w:basedOn w:val="NoList"/>
    <w:rsid w:val="002410E5"/>
    <w:pPr>
      <w:numPr>
        <w:numId w:val="15"/>
      </w:numPr>
    </w:pPr>
  </w:style>
  <w:style w:type="numbering" w:styleId="ArticleSection">
    <w:name w:val="Outline List 3"/>
    <w:basedOn w:val="NoList"/>
    <w:rsid w:val="002410E5"/>
    <w:pPr>
      <w:numPr>
        <w:numId w:val="16"/>
      </w:numPr>
    </w:pPr>
  </w:style>
  <w:style w:type="paragraph" w:styleId="Bibliography">
    <w:name w:val="Bibliography"/>
    <w:basedOn w:val="Normal"/>
    <w:next w:val="Normal"/>
    <w:uiPriority w:val="37"/>
    <w:semiHidden/>
    <w:unhideWhenUsed/>
    <w:rsid w:val="002410E5"/>
    <w:pPr>
      <w:spacing w:after="0" w:line="240" w:lineRule="auto"/>
    </w:pPr>
    <w:rPr>
      <w:rFonts w:ascii="Times New Roman" w:eastAsia="Times New Roman" w:hAnsi="Times New Roman" w:cs="Times New Roman"/>
      <w:sz w:val="22"/>
      <w:szCs w:val="20"/>
      <w:lang w:eastAsia="en-GB"/>
    </w:rPr>
  </w:style>
  <w:style w:type="paragraph" w:styleId="BlockText">
    <w:name w:val="Block Text"/>
    <w:basedOn w:val="Normal"/>
    <w:uiPriority w:val="99"/>
    <w:rsid w:val="002410E5"/>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spacing w:after="0" w:line="240" w:lineRule="auto"/>
      <w:ind w:left="1152" w:right="1152"/>
    </w:pPr>
    <w:rPr>
      <w:rFonts w:ascii="Times New Roman" w:eastAsiaTheme="minorEastAsia" w:hAnsi="Times New Roman"/>
      <w:i/>
      <w:iCs/>
      <w:color w:val="4472C4" w:themeColor="accent1"/>
      <w:sz w:val="22"/>
      <w:szCs w:val="20"/>
      <w:lang w:eastAsia="en-GB"/>
    </w:rPr>
  </w:style>
  <w:style w:type="paragraph" w:styleId="BodyText2">
    <w:name w:val="Body Text 2"/>
    <w:basedOn w:val="Normal"/>
    <w:link w:val="BodyText2Char"/>
    <w:uiPriority w:val="99"/>
    <w:rsid w:val="002410E5"/>
    <w:pPr>
      <w:spacing w:after="120" w:line="480" w:lineRule="auto"/>
    </w:pPr>
    <w:rPr>
      <w:rFonts w:ascii="Times New Roman" w:eastAsia="Times New Roman" w:hAnsi="Times New Roman" w:cs="Times New Roman"/>
      <w:sz w:val="22"/>
      <w:szCs w:val="20"/>
      <w:lang w:eastAsia="en-GB"/>
    </w:rPr>
  </w:style>
  <w:style w:type="character" w:customStyle="1" w:styleId="BodyText2Char">
    <w:name w:val="Body Text 2 Char"/>
    <w:basedOn w:val="DefaultParagraphFont"/>
    <w:link w:val="BodyText2"/>
    <w:uiPriority w:val="99"/>
    <w:rsid w:val="002410E5"/>
    <w:rPr>
      <w:rFonts w:ascii="Times New Roman" w:eastAsia="Times New Roman" w:hAnsi="Times New Roman" w:cs="Times New Roman"/>
      <w:szCs w:val="20"/>
      <w:lang w:eastAsia="en-GB"/>
    </w:rPr>
  </w:style>
  <w:style w:type="paragraph" w:styleId="BodyText3">
    <w:name w:val="Body Text 3"/>
    <w:basedOn w:val="Normal"/>
    <w:link w:val="BodyText3Char"/>
    <w:uiPriority w:val="99"/>
    <w:rsid w:val="002410E5"/>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rsid w:val="002410E5"/>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uiPriority w:val="99"/>
    <w:rsid w:val="002410E5"/>
    <w:pPr>
      <w:spacing w:after="0" w:line="240" w:lineRule="auto"/>
      <w:ind w:firstLine="360"/>
    </w:pPr>
    <w:rPr>
      <w:rFonts w:ascii="Times New Roman" w:eastAsia="Times New Roman" w:hAnsi="Times New Roman"/>
      <w:szCs w:val="20"/>
      <w:lang w:eastAsia="en-GB"/>
    </w:rPr>
  </w:style>
  <w:style w:type="character" w:customStyle="1" w:styleId="BodyTextFirstIndentChar">
    <w:name w:val="Body Text First Indent Char"/>
    <w:basedOn w:val="BodyTextChar"/>
    <w:link w:val="BodyTextFirstIndent"/>
    <w:uiPriority w:val="99"/>
    <w:rsid w:val="002410E5"/>
    <w:rPr>
      <w:rFonts w:ascii="Times New Roman" w:eastAsia="Times New Roman" w:hAnsi="Times New Roman" w:cs="Times New Roman"/>
      <w:szCs w:val="20"/>
      <w:lang w:eastAsia="en-GB"/>
    </w:rPr>
  </w:style>
  <w:style w:type="paragraph" w:styleId="BodyTextIndent">
    <w:name w:val="Body Text Indent"/>
    <w:basedOn w:val="Normal"/>
    <w:link w:val="BodyTextIndentChar"/>
    <w:uiPriority w:val="99"/>
    <w:rsid w:val="002410E5"/>
    <w:pPr>
      <w:spacing w:after="120" w:line="240" w:lineRule="auto"/>
      <w:ind w:left="283"/>
    </w:pPr>
    <w:rPr>
      <w:rFonts w:ascii="Times New Roman" w:eastAsia="Times New Roman" w:hAnsi="Times New Roman" w:cs="Times New Roman"/>
      <w:sz w:val="22"/>
      <w:szCs w:val="20"/>
      <w:lang w:eastAsia="en-GB"/>
    </w:rPr>
  </w:style>
  <w:style w:type="character" w:customStyle="1" w:styleId="BodyTextIndentChar">
    <w:name w:val="Body Text Indent Char"/>
    <w:basedOn w:val="DefaultParagraphFont"/>
    <w:link w:val="BodyTextIndent"/>
    <w:uiPriority w:val="99"/>
    <w:rsid w:val="002410E5"/>
    <w:rPr>
      <w:rFonts w:ascii="Times New Roman" w:eastAsia="Times New Roman" w:hAnsi="Times New Roman" w:cs="Times New Roman"/>
      <w:szCs w:val="20"/>
      <w:lang w:eastAsia="en-GB"/>
    </w:rPr>
  </w:style>
  <w:style w:type="paragraph" w:styleId="BodyTextFirstIndent2">
    <w:name w:val="Body Text First Indent 2"/>
    <w:basedOn w:val="BodyTextIndent"/>
    <w:link w:val="BodyTextFirstIndent2Char"/>
    <w:uiPriority w:val="99"/>
    <w:rsid w:val="002410E5"/>
    <w:pPr>
      <w:spacing w:after="0"/>
      <w:ind w:left="360" w:firstLine="360"/>
    </w:pPr>
  </w:style>
  <w:style w:type="character" w:customStyle="1" w:styleId="BodyTextFirstIndent2Char">
    <w:name w:val="Body Text First Indent 2 Char"/>
    <w:basedOn w:val="BodyTextIndentChar"/>
    <w:link w:val="BodyTextFirstIndent2"/>
    <w:uiPriority w:val="99"/>
    <w:rsid w:val="002410E5"/>
    <w:rPr>
      <w:rFonts w:ascii="Times New Roman" w:eastAsia="Times New Roman" w:hAnsi="Times New Roman" w:cs="Times New Roman"/>
      <w:szCs w:val="20"/>
      <w:lang w:eastAsia="en-GB"/>
    </w:rPr>
  </w:style>
  <w:style w:type="paragraph" w:styleId="BodyTextIndent2">
    <w:name w:val="Body Text Indent 2"/>
    <w:basedOn w:val="Normal"/>
    <w:link w:val="BodyTextIndent2Char"/>
    <w:uiPriority w:val="99"/>
    <w:rsid w:val="002410E5"/>
    <w:pPr>
      <w:spacing w:after="120" w:line="480" w:lineRule="auto"/>
      <w:ind w:left="283"/>
    </w:pPr>
    <w:rPr>
      <w:rFonts w:ascii="Times New Roman" w:eastAsia="Times New Roman" w:hAnsi="Times New Roman" w:cs="Times New Roman"/>
      <w:sz w:val="22"/>
      <w:szCs w:val="20"/>
      <w:lang w:eastAsia="en-GB"/>
    </w:rPr>
  </w:style>
  <w:style w:type="character" w:customStyle="1" w:styleId="BodyTextIndent2Char">
    <w:name w:val="Body Text Indent 2 Char"/>
    <w:basedOn w:val="DefaultParagraphFont"/>
    <w:link w:val="BodyTextIndent2"/>
    <w:uiPriority w:val="99"/>
    <w:rsid w:val="002410E5"/>
    <w:rPr>
      <w:rFonts w:ascii="Times New Roman" w:eastAsia="Times New Roman" w:hAnsi="Times New Roman" w:cs="Times New Roman"/>
      <w:szCs w:val="20"/>
      <w:lang w:eastAsia="en-GB"/>
    </w:rPr>
  </w:style>
  <w:style w:type="paragraph" w:styleId="BodyTextIndent3">
    <w:name w:val="Body Text Indent 3"/>
    <w:basedOn w:val="Normal"/>
    <w:link w:val="BodyTextIndent3Char"/>
    <w:uiPriority w:val="99"/>
    <w:rsid w:val="002410E5"/>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uiPriority w:val="99"/>
    <w:rsid w:val="002410E5"/>
    <w:rPr>
      <w:rFonts w:ascii="Times New Roman" w:eastAsia="Times New Roman" w:hAnsi="Times New Roman" w:cs="Times New Roman"/>
      <w:sz w:val="16"/>
      <w:szCs w:val="16"/>
      <w:lang w:eastAsia="en-GB"/>
    </w:rPr>
  </w:style>
  <w:style w:type="character" w:styleId="BookTitle">
    <w:name w:val="Book Title"/>
    <w:basedOn w:val="DefaultParagraphFont"/>
    <w:uiPriority w:val="33"/>
    <w:qFormat/>
    <w:rsid w:val="002410E5"/>
    <w:rPr>
      <w:rFonts w:ascii="Trebuchet MS" w:hAnsi="Trebuchet MS"/>
      <w:b/>
      <w:bCs/>
      <w:smallCaps/>
      <w:spacing w:val="5"/>
    </w:rPr>
  </w:style>
  <w:style w:type="paragraph" w:styleId="Closing">
    <w:name w:val="Closing"/>
    <w:basedOn w:val="Normal"/>
    <w:link w:val="ClosingChar"/>
    <w:uiPriority w:val="99"/>
    <w:rsid w:val="002410E5"/>
    <w:pPr>
      <w:spacing w:after="0" w:line="240" w:lineRule="auto"/>
      <w:ind w:left="4252"/>
    </w:pPr>
    <w:rPr>
      <w:rFonts w:ascii="Times New Roman" w:eastAsia="Times New Roman" w:hAnsi="Times New Roman" w:cs="Times New Roman"/>
      <w:sz w:val="22"/>
      <w:szCs w:val="20"/>
      <w:lang w:eastAsia="en-GB"/>
    </w:rPr>
  </w:style>
  <w:style w:type="character" w:customStyle="1" w:styleId="ClosingChar">
    <w:name w:val="Closing Char"/>
    <w:basedOn w:val="DefaultParagraphFont"/>
    <w:link w:val="Closing"/>
    <w:uiPriority w:val="99"/>
    <w:rsid w:val="002410E5"/>
    <w:rPr>
      <w:rFonts w:ascii="Times New Roman" w:eastAsia="Times New Roman" w:hAnsi="Times New Roman" w:cs="Times New Roman"/>
      <w:szCs w:val="20"/>
      <w:lang w:eastAsia="en-GB"/>
    </w:rPr>
  </w:style>
  <w:style w:type="table" w:customStyle="1" w:styleId="ColorfulGrid1">
    <w:name w:val="Colorful Grid1"/>
    <w:basedOn w:val="TableNormal"/>
    <w:uiPriority w:val="73"/>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ColorfulList1">
    <w:name w:val="Colorful List1"/>
    <w:basedOn w:val="TableNormal"/>
    <w:uiPriority w:val="72"/>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ColorfulShading1">
    <w:name w:val="Colorful Shading1"/>
    <w:basedOn w:val="TableNormal"/>
    <w:uiPriority w:val="71"/>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2410E5"/>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410E5"/>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410E5"/>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410E5"/>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410E5"/>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410E5"/>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410E5"/>
    <w:pPr>
      <w:spacing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rsid w:val="002410E5"/>
    <w:pPr>
      <w:spacing w:after="0" w:line="240" w:lineRule="auto"/>
    </w:pPr>
    <w:rPr>
      <w:rFonts w:ascii="Times New Roman" w:eastAsia="Times New Roman" w:hAnsi="Times New Roman" w:cs="Times New Roman"/>
      <w:sz w:val="22"/>
      <w:szCs w:val="20"/>
      <w:lang w:eastAsia="en-GB"/>
    </w:rPr>
  </w:style>
  <w:style w:type="character" w:customStyle="1" w:styleId="DateChar">
    <w:name w:val="Date Char"/>
    <w:basedOn w:val="DefaultParagraphFont"/>
    <w:link w:val="Date"/>
    <w:uiPriority w:val="99"/>
    <w:rsid w:val="002410E5"/>
    <w:rPr>
      <w:rFonts w:ascii="Times New Roman" w:eastAsia="Times New Roman" w:hAnsi="Times New Roman" w:cs="Times New Roman"/>
      <w:szCs w:val="20"/>
      <w:lang w:eastAsia="en-GB"/>
    </w:rPr>
  </w:style>
  <w:style w:type="paragraph" w:styleId="DocumentMap">
    <w:name w:val="Document Map"/>
    <w:basedOn w:val="Normal"/>
    <w:link w:val="DocumentMapChar"/>
    <w:uiPriority w:val="99"/>
    <w:rsid w:val="002410E5"/>
    <w:pPr>
      <w:spacing w:after="0" w:line="240" w:lineRule="auto"/>
    </w:pPr>
    <w:rPr>
      <w:rFonts w:ascii="Times New Roman" w:eastAsia="Times New Roman" w:hAnsi="Times New Roman" w:cs="Tahoma"/>
      <w:sz w:val="16"/>
      <w:szCs w:val="16"/>
      <w:lang w:eastAsia="en-GB"/>
    </w:rPr>
  </w:style>
  <w:style w:type="character" w:customStyle="1" w:styleId="DocumentMapChar">
    <w:name w:val="Document Map Char"/>
    <w:basedOn w:val="DefaultParagraphFont"/>
    <w:link w:val="DocumentMap"/>
    <w:uiPriority w:val="99"/>
    <w:rsid w:val="002410E5"/>
    <w:rPr>
      <w:rFonts w:ascii="Times New Roman" w:eastAsia="Times New Roman" w:hAnsi="Times New Roman" w:cs="Tahoma"/>
      <w:sz w:val="16"/>
      <w:szCs w:val="16"/>
      <w:lang w:eastAsia="en-GB"/>
    </w:rPr>
  </w:style>
  <w:style w:type="paragraph" w:styleId="E-mailSignature">
    <w:name w:val="E-mail Signature"/>
    <w:basedOn w:val="Normal"/>
    <w:link w:val="E-mailSignatureChar"/>
    <w:uiPriority w:val="99"/>
    <w:rsid w:val="002410E5"/>
    <w:pPr>
      <w:spacing w:after="0" w:line="240" w:lineRule="auto"/>
    </w:pPr>
    <w:rPr>
      <w:rFonts w:ascii="Times New Roman" w:eastAsia="Times New Roman" w:hAnsi="Times New Roman" w:cs="Times New Roman"/>
      <w:sz w:val="22"/>
      <w:szCs w:val="20"/>
      <w:lang w:eastAsia="en-GB"/>
    </w:rPr>
  </w:style>
  <w:style w:type="character" w:customStyle="1" w:styleId="E-mailSignatureChar">
    <w:name w:val="E-mail Signature Char"/>
    <w:basedOn w:val="DefaultParagraphFont"/>
    <w:link w:val="E-mailSignature"/>
    <w:uiPriority w:val="99"/>
    <w:rsid w:val="002410E5"/>
    <w:rPr>
      <w:rFonts w:ascii="Times New Roman" w:eastAsia="Times New Roman" w:hAnsi="Times New Roman" w:cs="Times New Roman"/>
      <w:szCs w:val="20"/>
      <w:lang w:eastAsia="en-GB"/>
    </w:rPr>
  </w:style>
  <w:style w:type="character" w:styleId="Emphasis">
    <w:name w:val="Emphasis"/>
    <w:basedOn w:val="DefaultParagraphFont"/>
    <w:qFormat/>
    <w:rsid w:val="002410E5"/>
    <w:rPr>
      <w:rFonts w:ascii="Trebuchet MS" w:hAnsi="Trebuchet MS"/>
      <w:i/>
      <w:iCs/>
    </w:rPr>
  </w:style>
  <w:style w:type="character" w:styleId="EndnoteReference">
    <w:name w:val="endnote reference"/>
    <w:basedOn w:val="DefaultParagraphFont"/>
    <w:rsid w:val="002410E5"/>
    <w:rPr>
      <w:rFonts w:ascii="Trebuchet MS" w:hAnsi="Trebuchet MS"/>
      <w:vertAlign w:val="superscript"/>
    </w:rPr>
  </w:style>
  <w:style w:type="paragraph" w:styleId="EndnoteText">
    <w:name w:val="endnote text"/>
    <w:basedOn w:val="Normal"/>
    <w:link w:val="EndnoteTextChar"/>
    <w:uiPriority w:val="99"/>
    <w:rsid w:val="002410E5"/>
    <w:pPr>
      <w:spacing w:after="0" w:line="240" w:lineRule="auto"/>
    </w:pPr>
    <w:rPr>
      <w:rFonts w:ascii="Times New Roman" w:eastAsia="Times New Roman" w:hAnsi="Times New Roman" w:cs="Times New Roman"/>
      <w:sz w:val="22"/>
      <w:szCs w:val="20"/>
      <w:lang w:eastAsia="en-GB"/>
    </w:rPr>
  </w:style>
  <w:style w:type="character" w:customStyle="1" w:styleId="EndnoteTextChar">
    <w:name w:val="Endnote Text Char"/>
    <w:basedOn w:val="DefaultParagraphFont"/>
    <w:link w:val="EndnoteText"/>
    <w:uiPriority w:val="99"/>
    <w:rsid w:val="002410E5"/>
    <w:rPr>
      <w:rFonts w:ascii="Times New Roman" w:eastAsia="Times New Roman" w:hAnsi="Times New Roman" w:cs="Times New Roman"/>
      <w:szCs w:val="20"/>
      <w:lang w:eastAsia="en-GB"/>
    </w:rPr>
  </w:style>
  <w:style w:type="paragraph" w:styleId="EnvelopeAddress">
    <w:name w:val="envelope address"/>
    <w:basedOn w:val="Normal"/>
    <w:uiPriority w:val="99"/>
    <w:rsid w:val="002410E5"/>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0"/>
      <w:lang w:eastAsia="en-GB"/>
    </w:rPr>
  </w:style>
  <w:style w:type="paragraph" w:styleId="EnvelopeReturn">
    <w:name w:val="envelope return"/>
    <w:basedOn w:val="Normal"/>
    <w:uiPriority w:val="99"/>
    <w:rsid w:val="002410E5"/>
    <w:pPr>
      <w:spacing w:after="0" w:line="240" w:lineRule="auto"/>
    </w:pPr>
    <w:rPr>
      <w:rFonts w:ascii="Times New Roman" w:eastAsiaTheme="majorEastAsia" w:hAnsi="Times New Roman" w:cstheme="majorBidi"/>
      <w:sz w:val="22"/>
      <w:szCs w:val="20"/>
      <w:lang w:eastAsia="en-GB"/>
    </w:rPr>
  </w:style>
  <w:style w:type="character" w:styleId="FootnoteReference">
    <w:name w:val="footnote reference"/>
    <w:basedOn w:val="DefaultParagraphFont"/>
    <w:rsid w:val="002410E5"/>
    <w:rPr>
      <w:rFonts w:ascii="Trebuchet MS" w:hAnsi="Trebuchet MS"/>
      <w:vertAlign w:val="superscript"/>
    </w:rPr>
  </w:style>
  <w:style w:type="paragraph" w:styleId="FootnoteText">
    <w:name w:val="footnote text"/>
    <w:basedOn w:val="Normal"/>
    <w:link w:val="FootnoteTextChar"/>
    <w:uiPriority w:val="99"/>
    <w:rsid w:val="002410E5"/>
    <w:pPr>
      <w:spacing w:after="0" w:line="240" w:lineRule="auto"/>
    </w:pPr>
    <w:rPr>
      <w:rFonts w:ascii="Times New Roman" w:eastAsia="Times New Roman" w:hAnsi="Times New Roman" w:cs="Times New Roman"/>
      <w:sz w:val="22"/>
      <w:szCs w:val="20"/>
      <w:lang w:eastAsia="en-GB"/>
    </w:rPr>
  </w:style>
  <w:style w:type="character" w:customStyle="1" w:styleId="FootnoteTextChar">
    <w:name w:val="Footnote Text Char"/>
    <w:basedOn w:val="DefaultParagraphFont"/>
    <w:link w:val="FootnoteText"/>
    <w:uiPriority w:val="99"/>
    <w:rsid w:val="002410E5"/>
    <w:rPr>
      <w:rFonts w:ascii="Times New Roman" w:eastAsia="Times New Roman" w:hAnsi="Times New Roman" w:cs="Times New Roman"/>
      <w:szCs w:val="20"/>
      <w:lang w:eastAsia="en-GB"/>
    </w:rPr>
  </w:style>
  <w:style w:type="character" w:styleId="HTMLAcronym">
    <w:name w:val="HTML Acronym"/>
    <w:basedOn w:val="DefaultParagraphFont"/>
    <w:rsid w:val="002410E5"/>
    <w:rPr>
      <w:rFonts w:ascii="Trebuchet MS" w:hAnsi="Trebuchet MS"/>
    </w:rPr>
  </w:style>
  <w:style w:type="paragraph" w:styleId="HTMLAddress">
    <w:name w:val="HTML Address"/>
    <w:basedOn w:val="Normal"/>
    <w:link w:val="HTMLAddressChar"/>
    <w:rsid w:val="002410E5"/>
    <w:pPr>
      <w:spacing w:after="0" w:line="240" w:lineRule="auto"/>
    </w:pPr>
    <w:rPr>
      <w:rFonts w:ascii="Times New Roman" w:eastAsia="Times New Roman" w:hAnsi="Times New Roman" w:cs="Times New Roman"/>
      <w:i/>
      <w:iCs/>
      <w:sz w:val="22"/>
      <w:szCs w:val="20"/>
      <w:lang w:eastAsia="en-GB"/>
    </w:rPr>
  </w:style>
  <w:style w:type="character" w:customStyle="1" w:styleId="HTMLAddressChar">
    <w:name w:val="HTML Address Char"/>
    <w:basedOn w:val="DefaultParagraphFont"/>
    <w:link w:val="HTMLAddress"/>
    <w:rsid w:val="002410E5"/>
    <w:rPr>
      <w:rFonts w:ascii="Times New Roman" w:eastAsia="Times New Roman" w:hAnsi="Times New Roman" w:cs="Times New Roman"/>
      <w:i/>
      <w:iCs/>
      <w:szCs w:val="20"/>
      <w:lang w:eastAsia="en-GB"/>
    </w:rPr>
  </w:style>
  <w:style w:type="character" w:styleId="HTMLCite">
    <w:name w:val="HTML Cite"/>
    <w:basedOn w:val="DefaultParagraphFont"/>
    <w:rsid w:val="002410E5"/>
    <w:rPr>
      <w:rFonts w:ascii="Trebuchet MS" w:hAnsi="Trebuchet MS"/>
      <w:i/>
      <w:iCs/>
    </w:rPr>
  </w:style>
  <w:style w:type="character" w:styleId="HTMLCode">
    <w:name w:val="HTML Code"/>
    <w:basedOn w:val="DefaultParagraphFont"/>
    <w:rsid w:val="002410E5"/>
    <w:rPr>
      <w:rFonts w:ascii="Consolas" w:hAnsi="Consolas"/>
      <w:sz w:val="20"/>
      <w:szCs w:val="20"/>
    </w:rPr>
  </w:style>
  <w:style w:type="character" w:styleId="HTMLDefinition">
    <w:name w:val="HTML Definition"/>
    <w:basedOn w:val="DefaultParagraphFont"/>
    <w:rsid w:val="002410E5"/>
    <w:rPr>
      <w:rFonts w:ascii="Trebuchet MS" w:hAnsi="Trebuchet MS"/>
      <w:i/>
      <w:iCs/>
    </w:rPr>
  </w:style>
  <w:style w:type="character" w:styleId="HTMLKeyboard">
    <w:name w:val="HTML Keyboard"/>
    <w:basedOn w:val="DefaultParagraphFont"/>
    <w:rsid w:val="002410E5"/>
    <w:rPr>
      <w:rFonts w:ascii="Consolas" w:hAnsi="Consolas"/>
      <w:sz w:val="20"/>
      <w:szCs w:val="20"/>
    </w:rPr>
  </w:style>
  <w:style w:type="paragraph" w:styleId="HTMLPreformatted">
    <w:name w:val="HTML Preformatted"/>
    <w:basedOn w:val="Normal"/>
    <w:link w:val="HTMLPreformattedChar"/>
    <w:rsid w:val="002410E5"/>
    <w:pPr>
      <w:spacing w:after="0" w:line="240" w:lineRule="auto"/>
    </w:pPr>
    <w:rPr>
      <w:rFonts w:ascii="Times New Roman" w:eastAsia="Times New Roman" w:hAnsi="Times New Roman" w:cs="Times New Roman"/>
      <w:sz w:val="22"/>
      <w:szCs w:val="20"/>
      <w:lang w:eastAsia="en-GB"/>
    </w:rPr>
  </w:style>
  <w:style w:type="character" w:customStyle="1" w:styleId="HTMLPreformattedChar">
    <w:name w:val="HTML Preformatted Char"/>
    <w:basedOn w:val="DefaultParagraphFont"/>
    <w:link w:val="HTMLPreformatted"/>
    <w:rsid w:val="002410E5"/>
    <w:rPr>
      <w:rFonts w:ascii="Times New Roman" w:eastAsia="Times New Roman" w:hAnsi="Times New Roman" w:cs="Times New Roman"/>
      <w:szCs w:val="20"/>
      <w:lang w:eastAsia="en-GB"/>
    </w:rPr>
  </w:style>
  <w:style w:type="character" w:styleId="HTMLSample">
    <w:name w:val="HTML Sample"/>
    <w:basedOn w:val="DefaultParagraphFont"/>
    <w:rsid w:val="002410E5"/>
    <w:rPr>
      <w:rFonts w:ascii="Consolas" w:hAnsi="Consolas"/>
      <w:sz w:val="24"/>
      <w:szCs w:val="24"/>
    </w:rPr>
  </w:style>
  <w:style w:type="character" w:styleId="HTMLTypewriter">
    <w:name w:val="HTML Typewriter"/>
    <w:basedOn w:val="DefaultParagraphFont"/>
    <w:rsid w:val="002410E5"/>
    <w:rPr>
      <w:rFonts w:ascii="Consolas" w:hAnsi="Consolas"/>
      <w:sz w:val="20"/>
      <w:szCs w:val="20"/>
    </w:rPr>
  </w:style>
  <w:style w:type="character" w:styleId="HTMLVariable">
    <w:name w:val="HTML Variable"/>
    <w:basedOn w:val="DefaultParagraphFont"/>
    <w:rsid w:val="002410E5"/>
    <w:rPr>
      <w:rFonts w:ascii="Trebuchet MS" w:hAnsi="Trebuchet MS"/>
      <w:i/>
      <w:iCs/>
    </w:rPr>
  </w:style>
  <w:style w:type="paragraph" w:styleId="Index1">
    <w:name w:val="index 1"/>
    <w:basedOn w:val="Normal"/>
    <w:next w:val="Normal"/>
    <w:autoRedefine/>
    <w:uiPriority w:val="99"/>
    <w:rsid w:val="002410E5"/>
    <w:pPr>
      <w:spacing w:after="0" w:line="240" w:lineRule="auto"/>
      <w:ind w:left="200" w:hanging="200"/>
    </w:pPr>
    <w:rPr>
      <w:rFonts w:ascii="Times New Roman" w:eastAsia="Times New Roman" w:hAnsi="Times New Roman" w:cs="Times New Roman"/>
      <w:sz w:val="22"/>
      <w:szCs w:val="20"/>
      <w:lang w:eastAsia="en-GB"/>
    </w:rPr>
  </w:style>
  <w:style w:type="paragraph" w:styleId="Index2">
    <w:name w:val="index 2"/>
    <w:basedOn w:val="Normal"/>
    <w:next w:val="Normal"/>
    <w:autoRedefine/>
    <w:uiPriority w:val="99"/>
    <w:rsid w:val="002410E5"/>
    <w:pPr>
      <w:spacing w:after="0" w:line="240" w:lineRule="auto"/>
      <w:ind w:left="400" w:hanging="200"/>
    </w:pPr>
    <w:rPr>
      <w:rFonts w:ascii="Times New Roman" w:eastAsia="Times New Roman" w:hAnsi="Times New Roman" w:cs="Times New Roman"/>
      <w:sz w:val="22"/>
      <w:szCs w:val="20"/>
      <w:lang w:eastAsia="en-GB"/>
    </w:rPr>
  </w:style>
  <w:style w:type="paragraph" w:styleId="Index3">
    <w:name w:val="index 3"/>
    <w:basedOn w:val="Normal"/>
    <w:next w:val="Normal"/>
    <w:autoRedefine/>
    <w:uiPriority w:val="99"/>
    <w:rsid w:val="002410E5"/>
    <w:pPr>
      <w:spacing w:after="0" w:line="240" w:lineRule="auto"/>
      <w:ind w:left="600" w:hanging="200"/>
    </w:pPr>
    <w:rPr>
      <w:rFonts w:ascii="Times New Roman" w:eastAsia="Times New Roman" w:hAnsi="Times New Roman" w:cs="Times New Roman"/>
      <w:sz w:val="22"/>
      <w:szCs w:val="20"/>
      <w:lang w:eastAsia="en-GB"/>
    </w:rPr>
  </w:style>
  <w:style w:type="paragraph" w:styleId="Index4">
    <w:name w:val="index 4"/>
    <w:basedOn w:val="Normal"/>
    <w:next w:val="Normal"/>
    <w:autoRedefine/>
    <w:uiPriority w:val="99"/>
    <w:rsid w:val="002410E5"/>
    <w:pPr>
      <w:spacing w:after="0" w:line="240" w:lineRule="auto"/>
      <w:ind w:left="800" w:hanging="200"/>
    </w:pPr>
    <w:rPr>
      <w:rFonts w:ascii="Times New Roman" w:eastAsia="Times New Roman" w:hAnsi="Times New Roman" w:cs="Times New Roman"/>
      <w:sz w:val="22"/>
      <w:szCs w:val="20"/>
      <w:lang w:eastAsia="en-GB"/>
    </w:rPr>
  </w:style>
  <w:style w:type="paragraph" w:styleId="Index5">
    <w:name w:val="index 5"/>
    <w:basedOn w:val="Normal"/>
    <w:next w:val="Normal"/>
    <w:autoRedefine/>
    <w:uiPriority w:val="99"/>
    <w:rsid w:val="002410E5"/>
    <w:pPr>
      <w:spacing w:after="0" w:line="240" w:lineRule="auto"/>
      <w:ind w:left="1000" w:hanging="200"/>
    </w:pPr>
    <w:rPr>
      <w:rFonts w:ascii="Times New Roman" w:eastAsia="Times New Roman" w:hAnsi="Times New Roman" w:cs="Times New Roman"/>
      <w:sz w:val="22"/>
      <w:szCs w:val="20"/>
      <w:lang w:eastAsia="en-GB"/>
    </w:rPr>
  </w:style>
  <w:style w:type="paragraph" w:styleId="Index6">
    <w:name w:val="index 6"/>
    <w:basedOn w:val="Normal"/>
    <w:next w:val="Normal"/>
    <w:autoRedefine/>
    <w:uiPriority w:val="99"/>
    <w:rsid w:val="002410E5"/>
    <w:pPr>
      <w:spacing w:after="0" w:line="240" w:lineRule="auto"/>
      <w:ind w:left="1200" w:hanging="200"/>
    </w:pPr>
    <w:rPr>
      <w:rFonts w:ascii="Times New Roman" w:eastAsia="Times New Roman" w:hAnsi="Times New Roman" w:cs="Times New Roman"/>
      <w:sz w:val="22"/>
      <w:szCs w:val="20"/>
      <w:lang w:eastAsia="en-GB"/>
    </w:rPr>
  </w:style>
  <w:style w:type="paragraph" w:styleId="Index7">
    <w:name w:val="index 7"/>
    <w:basedOn w:val="Normal"/>
    <w:next w:val="Normal"/>
    <w:autoRedefine/>
    <w:uiPriority w:val="99"/>
    <w:rsid w:val="002410E5"/>
    <w:pPr>
      <w:spacing w:after="0" w:line="240" w:lineRule="auto"/>
      <w:ind w:left="1400" w:hanging="200"/>
    </w:pPr>
    <w:rPr>
      <w:rFonts w:ascii="Times New Roman" w:eastAsia="Times New Roman" w:hAnsi="Times New Roman" w:cs="Times New Roman"/>
      <w:sz w:val="22"/>
      <w:szCs w:val="20"/>
      <w:lang w:eastAsia="en-GB"/>
    </w:rPr>
  </w:style>
  <w:style w:type="paragraph" w:styleId="Index8">
    <w:name w:val="index 8"/>
    <w:basedOn w:val="Normal"/>
    <w:next w:val="Normal"/>
    <w:autoRedefine/>
    <w:uiPriority w:val="99"/>
    <w:rsid w:val="002410E5"/>
    <w:pPr>
      <w:spacing w:after="0" w:line="240" w:lineRule="auto"/>
      <w:ind w:left="1600" w:hanging="200"/>
    </w:pPr>
    <w:rPr>
      <w:rFonts w:ascii="Times New Roman" w:eastAsia="Times New Roman" w:hAnsi="Times New Roman" w:cs="Times New Roman"/>
      <w:sz w:val="22"/>
      <w:szCs w:val="20"/>
      <w:lang w:eastAsia="en-GB"/>
    </w:rPr>
  </w:style>
  <w:style w:type="paragraph" w:styleId="Index9">
    <w:name w:val="index 9"/>
    <w:basedOn w:val="Normal"/>
    <w:next w:val="Normal"/>
    <w:autoRedefine/>
    <w:uiPriority w:val="99"/>
    <w:rsid w:val="002410E5"/>
    <w:pPr>
      <w:spacing w:after="0" w:line="240" w:lineRule="auto"/>
      <w:ind w:left="1800" w:hanging="200"/>
    </w:pPr>
    <w:rPr>
      <w:rFonts w:ascii="Times New Roman" w:eastAsia="Times New Roman" w:hAnsi="Times New Roman" w:cs="Times New Roman"/>
      <w:sz w:val="22"/>
      <w:szCs w:val="20"/>
      <w:lang w:eastAsia="en-GB"/>
    </w:rPr>
  </w:style>
  <w:style w:type="paragraph" w:styleId="IndexHeading">
    <w:name w:val="index heading"/>
    <w:basedOn w:val="Normal"/>
    <w:next w:val="Index1"/>
    <w:uiPriority w:val="99"/>
    <w:rsid w:val="002410E5"/>
    <w:pPr>
      <w:spacing w:after="0" w:line="240" w:lineRule="auto"/>
    </w:pPr>
    <w:rPr>
      <w:rFonts w:ascii="Times New Roman" w:eastAsiaTheme="majorEastAsia" w:hAnsi="Times New Roman" w:cstheme="majorBidi"/>
      <w:b/>
      <w:bCs/>
      <w:sz w:val="22"/>
      <w:szCs w:val="20"/>
      <w:lang w:eastAsia="en-GB"/>
    </w:rPr>
  </w:style>
  <w:style w:type="character" w:styleId="IntenseEmphasis">
    <w:name w:val="Intense Emphasis"/>
    <w:basedOn w:val="DefaultParagraphFont"/>
    <w:uiPriority w:val="21"/>
    <w:qFormat/>
    <w:rsid w:val="002410E5"/>
    <w:rPr>
      <w:rFonts w:ascii="Trebuchet MS" w:hAnsi="Trebuchet MS"/>
      <w:b/>
      <w:bCs/>
      <w:i/>
      <w:iCs/>
      <w:color w:val="4472C4" w:themeColor="accent1"/>
    </w:rPr>
  </w:style>
  <w:style w:type="paragraph" w:styleId="IntenseQuote">
    <w:name w:val="Intense Quote"/>
    <w:basedOn w:val="Normal"/>
    <w:next w:val="Normal"/>
    <w:link w:val="IntenseQuoteChar"/>
    <w:uiPriority w:val="30"/>
    <w:qFormat/>
    <w:rsid w:val="002410E5"/>
    <w:pPr>
      <w:pBdr>
        <w:bottom w:val="single" w:sz="4" w:space="4" w:color="4472C4" w:themeColor="accent1"/>
      </w:pBdr>
      <w:spacing w:before="200" w:after="280" w:line="240" w:lineRule="auto"/>
      <w:ind w:left="936" w:right="936"/>
    </w:pPr>
    <w:rPr>
      <w:rFonts w:ascii="Times New Roman" w:eastAsia="Times New Roman" w:hAnsi="Times New Roman" w:cs="Times New Roman"/>
      <w:b/>
      <w:bCs/>
      <w:i/>
      <w:iCs/>
      <w:color w:val="4472C4" w:themeColor="accent1"/>
      <w:sz w:val="22"/>
      <w:szCs w:val="20"/>
      <w:lang w:eastAsia="en-GB"/>
    </w:rPr>
  </w:style>
  <w:style w:type="character" w:customStyle="1" w:styleId="IntenseQuoteChar">
    <w:name w:val="Intense Quote Char"/>
    <w:basedOn w:val="DefaultParagraphFont"/>
    <w:link w:val="IntenseQuote"/>
    <w:uiPriority w:val="30"/>
    <w:rsid w:val="002410E5"/>
    <w:rPr>
      <w:rFonts w:ascii="Times New Roman" w:eastAsia="Times New Roman" w:hAnsi="Times New Roman" w:cs="Times New Roman"/>
      <w:b/>
      <w:bCs/>
      <w:i/>
      <w:iCs/>
      <w:color w:val="4472C4" w:themeColor="accent1"/>
      <w:szCs w:val="20"/>
      <w:lang w:eastAsia="en-GB"/>
    </w:rPr>
  </w:style>
  <w:style w:type="character" w:styleId="IntenseReference">
    <w:name w:val="Intense Reference"/>
    <w:basedOn w:val="DefaultParagraphFont"/>
    <w:uiPriority w:val="32"/>
    <w:qFormat/>
    <w:rsid w:val="002410E5"/>
    <w:rPr>
      <w:rFonts w:ascii="Trebuchet MS" w:hAnsi="Trebuchet MS"/>
      <w:b/>
      <w:bCs/>
      <w:smallCaps/>
      <w:color w:val="ED7D31" w:themeColor="accent2"/>
      <w:spacing w:val="5"/>
      <w:u w:val="single"/>
    </w:rPr>
  </w:style>
  <w:style w:type="table" w:customStyle="1" w:styleId="LightGrid1">
    <w:name w:val="Light Grid1"/>
    <w:basedOn w:val="TableNormal"/>
    <w:uiPriority w:val="62"/>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List1">
    <w:name w:val="Light List1"/>
    <w:basedOn w:val="TableNormal"/>
    <w:uiPriority w:val="61"/>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Shading1">
    <w:name w:val="Light Shading1"/>
    <w:basedOn w:val="TableNormal"/>
    <w:uiPriority w:val="60"/>
    <w:rsid w:val="002410E5"/>
    <w:pPr>
      <w:spacing w:after="0" w:line="240" w:lineRule="auto"/>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2410E5"/>
    <w:pPr>
      <w:spacing w:after="0" w:line="240" w:lineRule="auto"/>
    </w:pPr>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410E5"/>
    <w:pPr>
      <w:spacing w:after="0" w:line="240" w:lineRule="auto"/>
    </w:pPr>
    <w:rPr>
      <w:rFonts w:ascii="Times New Roman" w:eastAsia="Times New Roman" w:hAnsi="Times New Roman" w:cs="Times New Roman"/>
      <w:color w:val="C45911" w:themeColor="accent2" w:themeShade="BF"/>
      <w:sz w:val="20"/>
      <w:szCs w:val="20"/>
      <w:lang w:eastAsia="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410E5"/>
    <w:pPr>
      <w:spacing w:after="0" w:line="240" w:lineRule="auto"/>
    </w:pPr>
    <w:rPr>
      <w:rFonts w:ascii="Times New Roman" w:eastAsia="Times New Roman" w:hAnsi="Times New Roman" w:cs="Times New Roman"/>
      <w:color w:val="7B7B7B" w:themeColor="accent3" w:themeShade="BF"/>
      <w:sz w:val="20"/>
      <w:szCs w:val="20"/>
      <w:lang w:eastAsia="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410E5"/>
    <w:pPr>
      <w:spacing w:after="0" w:line="240" w:lineRule="auto"/>
    </w:pPr>
    <w:rPr>
      <w:rFonts w:ascii="Times New Roman" w:eastAsia="Times New Roman" w:hAnsi="Times New Roman" w:cs="Times New Roman"/>
      <w:color w:val="BF8F00" w:themeColor="accent4" w:themeShade="BF"/>
      <w:sz w:val="20"/>
      <w:szCs w:val="20"/>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410E5"/>
    <w:pPr>
      <w:spacing w:after="0" w:line="240" w:lineRule="auto"/>
    </w:pPr>
    <w:rPr>
      <w:rFonts w:ascii="Times New Roman" w:eastAsia="Times New Roman" w:hAnsi="Times New Roman" w:cs="Times New Roman"/>
      <w:color w:val="2E74B5" w:themeColor="accent5" w:themeShade="BF"/>
      <w:sz w:val="20"/>
      <w:szCs w:val="20"/>
      <w:lang w:eastAsia="en-GB"/>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410E5"/>
    <w:pPr>
      <w:spacing w:after="0" w:line="240" w:lineRule="auto"/>
    </w:pPr>
    <w:rPr>
      <w:rFonts w:ascii="Times New Roman" w:eastAsia="Times New Roman" w:hAnsi="Times New Roman" w:cs="Times New Roman"/>
      <w:color w:val="538135" w:themeColor="accent6" w:themeShade="BF"/>
      <w:sz w:val="20"/>
      <w:szCs w:val="20"/>
      <w:lang w:eastAsia="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rsid w:val="002410E5"/>
    <w:rPr>
      <w:rFonts w:ascii="Trebuchet MS" w:hAnsi="Trebuchet MS"/>
    </w:rPr>
  </w:style>
  <w:style w:type="paragraph" w:styleId="List">
    <w:name w:val="List"/>
    <w:basedOn w:val="Normal"/>
    <w:uiPriority w:val="99"/>
    <w:rsid w:val="002410E5"/>
    <w:pPr>
      <w:spacing w:after="0" w:line="240" w:lineRule="auto"/>
      <w:ind w:left="283" w:hanging="283"/>
      <w:contextualSpacing/>
    </w:pPr>
    <w:rPr>
      <w:rFonts w:ascii="Times New Roman" w:eastAsia="Times New Roman" w:hAnsi="Times New Roman" w:cs="Times New Roman"/>
      <w:sz w:val="22"/>
      <w:szCs w:val="20"/>
      <w:lang w:eastAsia="en-GB"/>
    </w:rPr>
  </w:style>
  <w:style w:type="paragraph" w:styleId="List2">
    <w:name w:val="List 2"/>
    <w:basedOn w:val="Normal"/>
    <w:uiPriority w:val="99"/>
    <w:rsid w:val="002410E5"/>
    <w:pPr>
      <w:spacing w:after="0" w:line="240" w:lineRule="auto"/>
      <w:ind w:left="566" w:hanging="283"/>
      <w:contextualSpacing/>
    </w:pPr>
    <w:rPr>
      <w:rFonts w:ascii="Times New Roman" w:eastAsia="Times New Roman" w:hAnsi="Times New Roman" w:cs="Times New Roman"/>
      <w:sz w:val="22"/>
      <w:szCs w:val="20"/>
      <w:lang w:eastAsia="en-GB"/>
    </w:rPr>
  </w:style>
  <w:style w:type="paragraph" w:styleId="List3">
    <w:name w:val="List 3"/>
    <w:basedOn w:val="Normal"/>
    <w:uiPriority w:val="99"/>
    <w:rsid w:val="002410E5"/>
    <w:pPr>
      <w:spacing w:after="0" w:line="240" w:lineRule="auto"/>
      <w:ind w:left="849" w:hanging="283"/>
      <w:contextualSpacing/>
    </w:pPr>
    <w:rPr>
      <w:rFonts w:ascii="Times New Roman" w:eastAsia="Times New Roman" w:hAnsi="Times New Roman" w:cs="Times New Roman"/>
      <w:sz w:val="22"/>
      <w:szCs w:val="20"/>
      <w:lang w:eastAsia="en-GB"/>
    </w:rPr>
  </w:style>
  <w:style w:type="paragraph" w:styleId="List4">
    <w:name w:val="List 4"/>
    <w:basedOn w:val="Normal"/>
    <w:uiPriority w:val="99"/>
    <w:rsid w:val="002410E5"/>
    <w:pPr>
      <w:spacing w:after="0" w:line="240" w:lineRule="auto"/>
      <w:ind w:left="1132" w:hanging="283"/>
      <w:contextualSpacing/>
    </w:pPr>
    <w:rPr>
      <w:rFonts w:ascii="Times New Roman" w:eastAsia="Times New Roman" w:hAnsi="Times New Roman" w:cs="Times New Roman"/>
      <w:sz w:val="22"/>
      <w:szCs w:val="20"/>
      <w:lang w:eastAsia="en-GB"/>
    </w:rPr>
  </w:style>
  <w:style w:type="paragraph" w:styleId="List5">
    <w:name w:val="List 5"/>
    <w:basedOn w:val="Normal"/>
    <w:uiPriority w:val="99"/>
    <w:rsid w:val="002410E5"/>
    <w:pPr>
      <w:spacing w:after="0" w:line="240" w:lineRule="auto"/>
      <w:ind w:left="1415" w:hanging="283"/>
      <w:contextualSpacing/>
    </w:pPr>
    <w:rPr>
      <w:rFonts w:ascii="Times New Roman" w:eastAsia="Times New Roman" w:hAnsi="Times New Roman" w:cs="Times New Roman"/>
      <w:sz w:val="22"/>
      <w:szCs w:val="20"/>
      <w:lang w:eastAsia="en-GB"/>
    </w:rPr>
  </w:style>
  <w:style w:type="paragraph" w:styleId="ListBullet2">
    <w:name w:val="List Bullet 2"/>
    <w:basedOn w:val="Normal"/>
    <w:uiPriority w:val="99"/>
    <w:rsid w:val="002410E5"/>
    <w:pPr>
      <w:numPr>
        <w:numId w:val="17"/>
      </w:numPr>
      <w:spacing w:after="0" w:line="240" w:lineRule="auto"/>
      <w:contextualSpacing/>
    </w:pPr>
    <w:rPr>
      <w:rFonts w:ascii="Times New Roman" w:eastAsia="Times New Roman" w:hAnsi="Times New Roman" w:cs="Times New Roman"/>
      <w:sz w:val="22"/>
      <w:szCs w:val="20"/>
      <w:lang w:eastAsia="en-GB"/>
    </w:rPr>
  </w:style>
  <w:style w:type="paragraph" w:styleId="ListBullet3">
    <w:name w:val="List Bullet 3"/>
    <w:basedOn w:val="Normal"/>
    <w:uiPriority w:val="99"/>
    <w:rsid w:val="002410E5"/>
    <w:pPr>
      <w:numPr>
        <w:numId w:val="18"/>
      </w:numPr>
      <w:spacing w:after="0" w:line="240" w:lineRule="auto"/>
      <w:contextualSpacing/>
    </w:pPr>
    <w:rPr>
      <w:rFonts w:ascii="Times New Roman" w:eastAsia="Times New Roman" w:hAnsi="Times New Roman" w:cs="Times New Roman"/>
      <w:sz w:val="22"/>
      <w:szCs w:val="20"/>
      <w:lang w:eastAsia="en-GB"/>
    </w:rPr>
  </w:style>
  <w:style w:type="paragraph" w:styleId="ListBullet4">
    <w:name w:val="List Bullet 4"/>
    <w:basedOn w:val="Normal"/>
    <w:uiPriority w:val="99"/>
    <w:rsid w:val="002410E5"/>
    <w:pPr>
      <w:numPr>
        <w:numId w:val="19"/>
      </w:numPr>
      <w:spacing w:after="0" w:line="240" w:lineRule="auto"/>
      <w:contextualSpacing/>
    </w:pPr>
    <w:rPr>
      <w:rFonts w:ascii="Times New Roman" w:eastAsia="Times New Roman" w:hAnsi="Times New Roman" w:cs="Times New Roman"/>
      <w:sz w:val="22"/>
      <w:szCs w:val="20"/>
      <w:lang w:eastAsia="en-GB"/>
    </w:rPr>
  </w:style>
  <w:style w:type="paragraph" w:styleId="ListBullet5">
    <w:name w:val="List Bullet 5"/>
    <w:basedOn w:val="Normal"/>
    <w:uiPriority w:val="99"/>
    <w:rsid w:val="002410E5"/>
    <w:pPr>
      <w:numPr>
        <w:numId w:val="20"/>
      </w:numPr>
      <w:spacing w:after="0" w:line="240" w:lineRule="auto"/>
      <w:contextualSpacing/>
    </w:pPr>
    <w:rPr>
      <w:rFonts w:ascii="Times New Roman" w:eastAsia="Times New Roman" w:hAnsi="Times New Roman" w:cs="Times New Roman"/>
      <w:sz w:val="22"/>
      <w:szCs w:val="20"/>
      <w:lang w:eastAsia="en-GB"/>
    </w:rPr>
  </w:style>
  <w:style w:type="paragraph" w:styleId="ListContinue">
    <w:name w:val="List Continue"/>
    <w:basedOn w:val="Normal"/>
    <w:uiPriority w:val="99"/>
    <w:rsid w:val="002410E5"/>
    <w:pPr>
      <w:spacing w:after="120" w:line="240" w:lineRule="auto"/>
      <w:ind w:left="283"/>
      <w:contextualSpacing/>
    </w:pPr>
    <w:rPr>
      <w:rFonts w:ascii="Times New Roman" w:eastAsia="Times New Roman" w:hAnsi="Times New Roman" w:cs="Times New Roman"/>
      <w:sz w:val="22"/>
      <w:szCs w:val="20"/>
      <w:lang w:eastAsia="en-GB"/>
    </w:rPr>
  </w:style>
  <w:style w:type="paragraph" w:styleId="ListContinue2">
    <w:name w:val="List Continue 2"/>
    <w:basedOn w:val="Normal"/>
    <w:uiPriority w:val="99"/>
    <w:rsid w:val="002410E5"/>
    <w:pPr>
      <w:spacing w:after="120" w:line="240" w:lineRule="auto"/>
      <w:ind w:left="566"/>
      <w:contextualSpacing/>
    </w:pPr>
    <w:rPr>
      <w:rFonts w:ascii="Times New Roman" w:eastAsia="Times New Roman" w:hAnsi="Times New Roman" w:cs="Times New Roman"/>
      <w:sz w:val="22"/>
      <w:szCs w:val="20"/>
      <w:lang w:eastAsia="en-GB"/>
    </w:rPr>
  </w:style>
  <w:style w:type="paragraph" w:styleId="ListContinue3">
    <w:name w:val="List Continue 3"/>
    <w:basedOn w:val="Normal"/>
    <w:uiPriority w:val="99"/>
    <w:rsid w:val="002410E5"/>
    <w:pPr>
      <w:spacing w:after="120" w:line="240" w:lineRule="auto"/>
      <w:ind w:left="849"/>
      <w:contextualSpacing/>
    </w:pPr>
    <w:rPr>
      <w:rFonts w:ascii="Times New Roman" w:eastAsia="Times New Roman" w:hAnsi="Times New Roman" w:cs="Times New Roman"/>
      <w:sz w:val="22"/>
      <w:szCs w:val="20"/>
      <w:lang w:eastAsia="en-GB"/>
    </w:rPr>
  </w:style>
  <w:style w:type="paragraph" w:styleId="ListContinue4">
    <w:name w:val="List Continue 4"/>
    <w:basedOn w:val="Normal"/>
    <w:uiPriority w:val="99"/>
    <w:rsid w:val="002410E5"/>
    <w:pPr>
      <w:spacing w:after="120" w:line="240" w:lineRule="auto"/>
      <w:ind w:left="1132"/>
      <w:contextualSpacing/>
    </w:pPr>
    <w:rPr>
      <w:rFonts w:ascii="Times New Roman" w:eastAsia="Times New Roman" w:hAnsi="Times New Roman" w:cs="Times New Roman"/>
      <w:sz w:val="22"/>
      <w:szCs w:val="20"/>
      <w:lang w:eastAsia="en-GB"/>
    </w:rPr>
  </w:style>
  <w:style w:type="paragraph" w:styleId="ListContinue5">
    <w:name w:val="List Continue 5"/>
    <w:basedOn w:val="Normal"/>
    <w:uiPriority w:val="99"/>
    <w:rsid w:val="002410E5"/>
    <w:pPr>
      <w:spacing w:after="120" w:line="240" w:lineRule="auto"/>
      <w:ind w:left="1415"/>
      <w:contextualSpacing/>
    </w:pPr>
    <w:rPr>
      <w:rFonts w:ascii="Times New Roman" w:eastAsia="Times New Roman" w:hAnsi="Times New Roman" w:cs="Times New Roman"/>
      <w:sz w:val="22"/>
      <w:szCs w:val="20"/>
      <w:lang w:eastAsia="en-GB"/>
    </w:rPr>
  </w:style>
  <w:style w:type="paragraph" w:styleId="ListNumber">
    <w:name w:val="List Number"/>
    <w:basedOn w:val="Normal"/>
    <w:uiPriority w:val="99"/>
    <w:rsid w:val="002410E5"/>
    <w:pPr>
      <w:numPr>
        <w:numId w:val="21"/>
      </w:numPr>
      <w:spacing w:after="0" w:line="240" w:lineRule="auto"/>
      <w:contextualSpacing/>
    </w:pPr>
    <w:rPr>
      <w:rFonts w:ascii="Times New Roman" w:eastAsia="Times New Roman" w:hAnsi="Times New Roman" w:cs="Times New Roman"/>
      <w:sz w:val="22"/>
      <w:szCs w:val="20"/>
      <w:lang w:eastAsia="en-GB"/>
    </w:rPr>
  </w:style>
  <w:style w:type="paragraph" w:styleId="ListNumber2">
    <w:name w:val="List Number 2"/>
    <w:basedOn w:val="Normal"/>
    <w:uiPriority w:val="99"/>
    <w:rsid w:val="002410E5"/>
    <w:pPr>
      <w:numPr>
        <w:numId w:val="22"/>
      </w:numPr>
      <w:spacing w:after="0" w:line="240" w:lineRule="auto"/>
      <w:contextualSpacing/>
    </w:pPr>
    <w:rPr>
      <w:rFonts w:ascii="Times New Roman" w:eastAsia="Times New Roman" w:hAnsi="Times New Roman" w:cs="Times New Roman"/>
      <w:sz w:val="22"/>
      <w:szCs w:val="20"/>
      <w:lang w:eastAsia="en-GB"/>
    </w:rPr>
  </w:style>
  <w:style w:type="paragraph" w:styleId="ListNumber3">
    <w:name w:val="List Number 3"/>
    <w:basedOn w:val="Normal"/>
    <w:uiPriority w:val="99"/>
    <w:rsid w:val="002410E5"/>
    <w:pPr>
      <w:numPr>
        <w:numId w:val="23"/>
      </w:numPr>
      <w:spacing w:after="0" w:line="240" w:lineRule="auto"/>
      <w:contextualSpacing/>
    </w:pPr>
    <w:rPr>
      <w:rFonts w:ascii="Times New Roman" w:eastAsia="Times New Roman" w:hAnsi="Times New Roman" w:cs="Times New Roman"/>
      <w:sz w:val="22"/>
      <w:szCs w:val="20"/>
      <w:lang w:eastAsia="en-GB"/>
    </w:rPr>
  </w:style>
  <w:style w:type="paragraph" w:styleId="ListNumber4">
    <w:name w:val="List Number 4"/>
    <w:basedOn w:val="Normal"/>
    <w:uiPriority w:val="99"/>
    <w:rsid w:val="002410E5"/>
    <w:pPr>
      <w:numPr>
        <w:numId w:val="24"/>
      </w:numPr>
      <w:spacing w:after="0" w:line="240" w:lineRule="auto"/>
      <w:contextualSpacing/>
    </w:pPr>
    <w:rPr>
      <w:rFonts w:ascii="Times New Roman" w:eastAsia="Times New Roman" w:hAnsi="Times New Roman" w:cs="Times New Roman"/>
      <w:sz w:val="22"/>
      <w:szCs w:val="20"/>
      <w:lang w:eastAsia="en-GB"/>
    </w:rPr>
  </w:style>
  <w:style w:type="paragraph" w:styleId="ListNumber5">
    <w:name w:val="List Number 5"/>
    <w:basedOn w:val="Normal"/>
    <w:uiPriority w:val="99"/>
    <w:rsid w:val="002410E5"/>
    <w:pPr>
      <w:numPr>
        <w:numId w:val="25"/>
      </w:numPr>
      <w:spacing w:after="0" w:line="240" w:lineRule="auto"/>
      <w:contextualSpacing/>
    </w:pPr>
    <w:rPr>
      <w:rFonts w:ascii="Times New Roman" w:eastAsia="Times New Roman" w:hAnsi="Times New Roman" w:cs="Times New Roman"/>
      <w:sz w:val="22"/>
      <w:szCs w:val="20"/>
      <w:lang w:eastAsia="en-GB"/>
    </w:rPr>
  </w:style>
  <w:style w:type="paragraph" w:styleId="MacroText">
    <w:name w:val="macro"/>
    <w:link w:val="MacroTextChar"/>
    <w:uiPriority w:val="99"/>
    <w:rsid w:val="002410E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rebuchet MS" w:eastAsia="Times New Roman" w:hAnsi="Trebuchet MS" w:cs="Arial"/>
      <w:sz w:val="20"/>
      <w:szCs w:val="20"/>
      <w:lang w:eastAsia="en-GB"/>
    </w:rPr>
  </w:style>
  <w:style w:type="character" w:customStyle="1" w:styleId="MacroTextChar">
    <w:name w:val="Macro Text Char"/>
    <w:basedOn w:val="DefaultParagraphFont"/>
    <w:link w:val="MacroText"/>
    <w:uiPriority w:val="99"/>
    <w:rsid w:val="002410E5"/>
    <w:rPr>
      <w:rFonts w:ascii="Trebuchet MS" w:eastAsia="Times New Roman" w:hAnsi="Trebuchet MS" w:cs="Arial"/>
      <w:sz w:val="20"/>
      <w:szCs w:val="20"/>
      <w:lang w:eastAsia="en-GB"/>
    </w:rPr>
  </w:style>
  <w:style w:type="table" w:customStyle="1" w:styleId="MediumGrid11">
    <w:name w:val="Medium Grid 11"/>
    <w:basedOn w:val="TableNormal"/>
    <w:uiPriority w:val="67"/>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MediumGrid21">
    <w:name w:val="Medium Grid 21"/>
    <w:basedOn w:val="TableNormal"/>
    <w:uiPriority w:val="68"/>
    <w:rsid w:val="002410E5"/>
    <w:pPr>
      <w:spacing w:after="0" w:line="240" w:lineRule="auto"/>
    </w:pPr>
    <w:rPr>
      <w:rFonts w:ascii="Times New Roman" w:eastAsiaTheme="majorEastAsia" w:hAnsi="Times New Roman"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410E5"/>
    <w:pPr>
      <w:spacing w:after="0" w:line="240" w:lineRule="auto"/>
    </w:pPr>
    <w:rPr>
      <w:rFonts w:ascii="Times New Roman" w:eastAsiaTheme="majorEastAsia" w:hAnsi="Times New Roman" w:cstheme="majorBidi"/>
      <w:color w:val="000000" w:themeColor="text1"/>
      <w:sz w:val="20"/>
      <w:szCs w:val="20"/>
      <w:lang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410E5"/>
    <w:pPr>
      <w:spacing w:after="0" w:line="240" w:lineRule="auto"/>
    </w:pPr>
    <w:rPr>
      <w:rFonts w:ascii="Times New Roman" w:eastAsiaTheme="majorEastAsia" w:hAnsi="Times New Roman" w:cstheme="majorBidi"/>
      <w:color w:val="000000" w:themeColor="text1"/>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410E5"/>
    <w:pPr>
      <w:spacing w:after="0" w:line="240" w:lineRule="auto"/>
    </w:pPr>
    <w:rPr>
      <w:rFonts w:ascii="Times New Roman" w:eastAsiaTheme="majorEastAsia" w:hAnsi="Times New Roman" w:cstheme="majorBidi"/>
      <w:color w:val="000000" w:themeColor="text1"/>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410E5"/>
    <w:pPr>
      <w:spacing w:after="0" w:line="240" w:lineRule="auto"/>
    </w:pPr>
    <w:rPr>
      <w:rFonts w:ascii="Times New Roman" w:eastAsiaTheme="majorEastAsia" w:hAnsi="Times New Roman" w:cstheme="majorBidi"/>
      <w:color w:val="000000" w:themeColor="text1"/>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410E5"/>
    <w:pPr>
      <w:spacing w:after="0" w:line="240" w:lineRule="auto"/>
    </w:pPr>
    <w:rPr>
      <w:rFonts w:ascii="Times New Roman" w:eastAsiaTheme="majorEastAsia" w:hAnsi="Times New Roman" w:cstheme="majorBidi"/>
      <w:color w:val="000000" w:themeColor="text1"/>
      <w:sz w:val="20"/>
      <w:szCs w:val="20"/>
      <w:lang w:eastAsia="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410E5"/>
    <w:pPr>
      <w:spacing w:after="0" w:line="240" w:lineRule="auto"/>
    </w:pPr>
    <w:rPr>
      <w:rFonts w:ascii="Times New Roman" w:eastAsiaTheme="majorEastAsia" w:hAnsi="Times New Roman" w:cstheme="majorBidi"/>
      <w:color w:val="000000" w:themeColor="text1"/>
      <w:sz w:val="20"/>
      <w:szCs w:val="20"/>
      <w:lang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MediumList11">
    <w:name w:val="Medium List 11"/>
    <w:basedOn w:val="TableNormal"/>
    <w:uiPriority w:val="65"/>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410E5"/>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21">
    <w:name w:val="Medium List 21"/>
    <w:basedOn w:val="TableNormal"/>
    <w:uiPriority w:val="66"/>
    <w:rsid w:val="002410E5"/>
    <w:pPr>
      <w:spacing w:after="0" w:line="240" w:lineRule="auto"/>
    </w:pPr>
    <w:rPr>
      <w:rFonts w:ascii="Times New Roman" w:eastAsiaTheme="majorEastAsia" w:hAnsi="Times New Roman"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410E5"/>
    <w:pPr>
      <w:spacing w:after="0" w:line="240" w:lineRule="auto"/>
    </w:pPr>
    <w:rPr>
      <w:rFonts w:ascii="Times New Roman" w:eastAsiaTheme="majorEastAsia" w:hAnsi="Times New Roman" w:cstheme="majorBidi"/>
      <w:color w:val="000000" w:themeColor="text1"/>
      <w:sz w:val="20"/>
      <w:szCs w:val="20"/>
      <w:lang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410E5"/>
    <w:pPr>
      <w:spacing w:after="0" w:line="240" w:lineRule="auto"/>
    </w:pPr>
    <w:rPr>
      <w:rFonts w:ascii="Times New Roman" w:eastAsiaTheme="majorEastAsia" w:hAnsi="Times New Roman" w:cstheme="majorBidi"/>
      <w:color w:val="000000" w:themeColor="text1"/>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410E5"/>
    <w:pPr>
      <w:spacing w:after="0" w:line="240" w:lineRule="auto"/>
    </w:pPr>
    <w:rPr>
      <w:rFonts w:ascii="Times New Roman" w:eastAsiaTheme="majorEastAsia" w:hAnsi="Times New Roman" w:cstheme="majorBidi"/>
      <w:color w:val="000000" w:themeColor="text1"/>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410E5"/>
    <w:pPr>
      <w:spacing w:after="0" w:line="240" w:lineRule="auto"/>
    </w:pPr>
    <w:rPr>
      <w:rFonts w:ascii="Times New Roman" w:eastAsiaTheme="majorEastAsia" w:hAnsi="Times New Roman" w:cstheme="majorBidi"/>
      <w:color w:val="000000" w:themeColor="text1"/>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410E5"/>
    <w:pPr>
      <w:spacing w:after="0" w:line="240" w:lineRule="auto"/>
    </w:pPr>
    <w:rPr>
      <w:rFonts w:ascii="Times New Roman" w:eastAsiaTheme="majorEastAsia" w:hAnsi="Times New Roman" w:cstheme="majorBidi"/>
      <w:color w:val="000000" w:themeColor="text1"/>
      <w:sz w:val="20"/>
      <w:szCs w:val="20"/>
      <w:lang w:eastAsia="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410E5"/>
    <w:pPr>
      <w:spacing w:after="0" w:line="240" w:lineRule="auto"/>
    </w:pPr>
    <w:rPr>
      <w:rFonts w:ascii="Times New Roman" w:eastAsiaTheme="majorEastAsia" w:hAnsi="Times New Roman" w:cstheme="majorBidi"/>
      <w:color w:val="000000" w:themeColor="text1"/>
      <w:sz w:val="20"/>
      <w:szCs w:val="20"/>
      <w:lang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rsid w:val="002410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imes New Roman" w:eastAsiaTheme="majorEastAsia" w:hAnsi="Times New Roman" w:cstheme="majorBidi"/>
      <w:sz w:val="24"/>
      <w:szCs w:val="20"/>
      <w:lang w:eastAsia="en-GB"/>
    </w:rPr>
  </w:style>
  <w:style w:type="character" w:customStyle="1" w:styleId="MessageHeaderChar">
    <w:name w:val="Message Header Char"/>
    <w:basedOn w:val="DefaultParagraphFont"/>
    <w:link w:val="MessageHeader"/>
    <w:uiPriority w:val="99"/>
    <w:rsid w:val="002410E5"/>
    <w:rPr>
      <w:rFonts w:ascii="Times New Roman" w:eastAsiaTheme="majorEastAsia" w:hAnsi="Times New Roman" w:cstheme="majorBidi"/>
      <w:sz w:val="24"/>
      <w:szCs w:val="20"/>
      <w:shd w:val="pct20" w:color="auto" w:fill="auto"/>
      <w:lang w:eastAsia="en-GB"/>
    </w:rPr>
  </w:style>
  <w:style w:type="paragraph" w:styleId="NormalIndent">
    <w:name w:val="Normal Indent"/>
    <w:basedOn w:val="Normal"/>
    <w:uiPriority w:val="99"/>
    <w:rsid w:val="002410E5"/>
    <w:pPr>
      <w:spacing w:after="0" w:line="240" w:lineRule="auto"/>
      <w:ind w:left="720"/>
    </w:pPr>
    <w:rPr>
      <w:rFonts w:ascii="Times New Roman" w:eastAsia="Times New Roman" w:hAnsi="Times New Roman" w:cs="Times New Roman"/>
      <w:sz w:val="22"/>
      <w:szCs w:val="20"/>
      <w:lang w:eastAsia="en-GB"/>
    </w:rPr>
  </w:style>
  <w:style w:type="paragraph" w:styleId="NoteHeading">
    <w:name w:val="Note Heading"/>
    <w:basedOn w:val="Normal"/>
    <w:next w:val="Normal"/>
    <w:link w:val="NoteHeadingChar"/>
    <w:uiPriority w:val="99"/>
    <w:rsid w:val="002410E5"/>
    <w:pPr>
      <w:spacing w:after="0" w:line="240" w:lineRule="auto"/>
    </w:pPr>
    <w:rPr>
      <w:rFonts w:ascii="Times New Roman" w:eastAsia="Times New Roman" w:hAnsi="Times New Roman" w:cs="Times New Roman"/>
      <w:sz w:val="22"/>
      <w:szCs w:val="20"/>
      <w:lang w:eastAsia="en-GB"/>
    </w:rPr>
  </w:style>
  <w:style w:type="character" w:customStyle="1" w:styleId="NoteHeadingChar">
    <w:name w:val="Note Heading Char"/>
    <w:basedOn w:val="DefaultParagraphFont"/>
    <w:link w:val="NoteHeading"/>
    <w:uiPriority w:val="99"/>
    <w:rsid w:val="002410E5"/>
    <w:rPr>
      <w:rFonts w:ascii="Times New Roman" w:eastAsia="Times New Roman" w:hAnsi="Times New Roman" w:cs="Times New Roman"/>
      <w:szCs w:val="20"/>
      <w:lang w:eastAsia="en-GB"/>
    </w:rPr>
  </w:style>
  <w:style w:type="character" w:styleId="PageNumber">
    <w:name w:val="page number"/>
    <w:basedOn w:val="DefaultParagraphFont"/>
    <w:rsid w:val="002410E5"/>
    <w:rPr>
      <w:rFonts w:ascii="Trebuchet MS" w:hAnsi="Trebuchet MS"/>
    </w:rPr>
  </w:style>
  <w:style w:type="character" w:styleId="PlaceholderText">
    <w:name w:val="Placeholder Text"/>
    <w:basedOn w:val="DefaultParagraphFont"/>
    <w:uiPriority w:val="99"/>
    <w:semiHidden/>
    <w:rsid w:val="002410E5"/>
    <w:rPr>
      <w:rFonts w:ascii="Trebuchet MS" w:hAnsi="Trebuchet MS"/>
      <w:color w:val="808080"/>
    </w:rPr>
  </w:style>
  <w:style w:type="paragraph" w:styleId="PlainText">
    <w:name w:val="Plain Text"/>
    <w:aliases w:val="Char"/>
    <w:basedOn w:val="Normal"/>
    <w:link w:val="PlainTextChar"/>
    <w:rsid w:val="002410E5"/>
    <w:pPr>
      <w:spacing w:after="0" w:line="240" w:lineRule="auto"/>
    </w:pPr>
    <w:rPr>
      <w:rFonts w:ascii="Times New Roman" w:eastAsia="Times New Roman" w:hAnsi="Times New Roman" w:cs="Times New Roman"/>
      <w:sz w:val="21"/>
      <w:szCs w:val="21"/>
      <w:lang w:eastAsia="en-GB"/>
    </w:rPr>
  </w:style>
  <w:style w:type="character" w:customStyle="1" w:styleId="PlainTextChar">
    <w:name w:val="Plain Text Char"/>
    <w:aliases w:val="Char Char"/>
    <w:basedOn w:val="DefaultParagraphFont"/>
    <w:link w:val="PlainText"/>
    <w:rsid w:val="002410E5"/>
    <w:rPr>
      <w:rFonts w:ascii="Times New Roman" w:eastAsia="Times New Roman" w:hAnsi="Times New Roman" w:cs="Times New Roman"/>
      <w:sz w:val="21"/>
      <w:szCs w:val="21"/>
      <w:lang w:eastAsia="en-GB"/>
    </w:rPr>
  </w:style>
  <w:style w:type="paragraph" w:styleId="Quote">
    <w:name w:val="Quote"/>
    <w:basedOn w:val="Normal"/>
    <w:next w:val="Normal"/>
    <w:link w:val="QuoteChar"/>
    <w:uiPriority w:val="29"/>
    <w:qFormat/>
    <w:rsid w:val="002410E5"/>
    <w:pPr>
      <w:spacing w:after="0" w:line="240" w:lineRule="auto"/>
    </w:pPr>
    <w:rPr>
      <w:rFonts w:ascii="Times New Roman" w:eastAsia="Times New Roman" w:hAnsi="Times New Roman" w:cs="Times New Roman"/>
      <w:i/>
      <w:iCs/>
      <w:color w:val="000000" w:themeColor="text1"/>
      <w:sz w:val="22"/>
      <w:szCs w:val="20"/>
      <w:lang w:eastAsia="en-GB"/>
    </w:rPr>
  </w:style>
  <w:style w:type="character" w:customStyle="1" w:styleId="QuoteChar">
    <w:name w:val="Quote Char"/>
    <w:basedOn w:val="DefaultParagraphFont"/>
    <w:link w:val="Quote"/>
    <w:uiPriority w:val="29"/>
    <w:rsid w:val="002410E5"/>
    <w:rPr>
      <w:rFonts w:ascii="Times New Roman" w:eastAsia="Times New Roman" w:hAnsi="Times New Roman" w:cs="Times New Roman"/>
      <w:i/>
      <w:iCs/>
      <w:color w:val="000000" w:themeColor="text1"/>
      <w:szCs w:val="20"/>
      <w:lang w:eastAsia="en-GB"/>
    </w:rPr>
  </w:style>
  <w:style w:type="paragraph" w:styleId="Salutation">
    <w:name w:val="Salutation"/>
    <w:basedOn w:val="Normal"/>
    <w:next w:val="Normal"/>
    <w:link w:val="SalutationChar"/>
    <w:uiPriority w:val="99"/>
    <w:rsid w:val="002410E5"/>
    <w:pPr>
      <w:spacing w:after="0" w:line="240" w:lineRule="auto"/>
    </w:pPr>
    <w:rPr>
      <w:rFonts w:ascii="Times New Roman" w:eastAsia="Times New Roman" w:hAnsi="Times New Roman" w:cs="Times New Roman"/>
      <w:sz w:val="22"/>
      <w:szCs w:val="20"/>
      <w:lang w:eastAsia="en-GB"/>
    </w:rPr>
  </w:style>
  <w:style w:type="character" w:customStyle="1" w:styleId="SalutationChar">
    <w:name w:val="Salutation Char"/>
    <w:basedOn w:val="DefaultParagraphFont"/>
    <w:link w:val="Salutation"/>
    <w:uiPriority w:val="99"/>
    <w:rsid w:val="002410E5"/>
    <w:rPr>
      <w:rFonts w:ascii="Times New Roman" w:eastAsia="Times New Roman" w:hAnsi="Times New Roman" w:cs="Times New Roman"/>
      <w:szCs w:val="20"/>
      <w:lang w:eastAsia="en-GB"/>
    </w:rPr>
  </w:style>
  <w:style w:type="paragraph" w:styleId="Signature">
    <w:name w:val="Signature"/>
    <w:basedOn w:val="Normal"/>
    <w:link w:val="SignatureChar"/>
    <w:uiPriority w:val="99"/>
    <w:rsid w:val="002410E5"/>
    <w:pPr>
      <w:spacing w:after="0" w:line="240" w:lineRule="auto"/>
      <w:ind w:left="4252"/>
    </w:pPr>
    <w:rPr>
      <w:rFonts w:ascii="Times New Roman" w:eastAsia="Times New Roman" w:hAnsi="Times New Roman" w:cs="Times New Roman"/>
      <w:sz w:val="22"/>
      <w:szCs w:val="20"/>
      <w:lang w:eastAsia="en-GB"/>
    </w:rPr>
  </w:style>
  <w:style w:type="character" w:customStyle="1" w:styleId="SignatureChar">
    <w:name w:val="Signature Char"/>
    <w:basedOn w:val="DefaultParagraphFont"/>
    <w:link w:val="Signature"/>
    <w:uiPriority w:val="99"/>
    <w:rsid w:val="002410E5"/>
    <w:rPr>
      <w:rFonts w:ascii="Times New Roman" w:eastAsia="Times New Roman" w:hAnsi="Times New Roman" w:cs="Times New Roman"/>
      <w:szCs w:val="20"/>
      <w:lang w:eastAsia="en-GB"/>
    </w:rPr>
  </w:style>
  <w:style w:type="character" w:styleId="Strong">
    <w:name w:val="Strong"/>
    <w:basedOn w:val="DefaultParagraphFont"/>
    <w:uiPriority w:val="22"/>
    <w:qFormat/>
    <w:rsid w:val="002410E5"/>
    <w:rPr>
      <w:rFonts w:ascii="Trebuchet MS" w:hAnsi="Trebuchet MS"/>
      <w:b/>
      <w:bCs/>
    </w:rPr>
  </w:style>
  <w:style w:type="paragraph" w:styleId="Subtitle">
    <w:name w:val="Subtitle"/>
    <w:basedOn w:val="Normal"/>
    <w:next w:val="Normal"/>
    <w:link w:val="SubtitleChar"/>
    <w:uiPriority w:val="99"/>
    <w:qFormat/>
    <w:rsid w:val="002410E5"/>
    <w:pPr>
      <w:numPr>
        <w:ilvl w:val="1"/>
      </w:numPr>
      <w:spacing w:after="0" w:line="240" w:lineRule="auto"/>
    </w:pPr>
    <w:rPr>
      <w:rFonts w:ascii="Times New Roman" w:eastAsiaTheme="majorEastAsia" w:hAnsi="Times New Roman" w:cstheme="majorBidi"/>
      <w:i/>
      <w:iCs/>
      <w:color w:val="4472C4" w:themeColor="accent1"/>
      <w:spacing w:val="15"/>
      <w:sz w:val="24"/>
      <w:szCs w:val="20"/>
      <w:lang w:eastAsia="en-GB"/>
    </w:rPr>
  </w:style>
  <w:style w:type="character" w:customStyle="1" w:styleId="SubtitleChar">
    <w:name w:val="Subtitle Char"/>
    <w:basedOn w:val="DefaultParagraphFont"/>
    <w:link w:val="Subtitle"/>
    <w:uiPriority w:val="99"/>
    <w:rsid w:val="002410E5"/>
    <w:rPr>
      <w:rFonts w:ascii="Times New Roman" w:eastAsiaTheme="majorEastAsia" w:hAnsi="Times New Roman" w:cstheme="majorBidi"/>
      <w:i/>
      <w:iCs/>
      <w:color w:val="4472C4" w:themeColor="accent1"/>
      <w:spacing w:val="15"/>
      <w:sz w:val="24"/>
      <w:szCs w:val="20"/>
      <w:lang w:eastAsia="en-GB"/>
    </w:rPr>
  </w:style>
  <w:style w:type="character" w:styleId="SubtleEmphasis">
    <w:name w:val="Subtle Emphasis"/>
    <w:basedOn w:val="DefaultParagraphFont"/>
    <w:uiPriority w:val="19"/>
    <w:qFormat/>
    <w:rsid w:val="002410E5"/>
    <w:rPr>
      <w:rFonts w:ascii="Trebuchet MS" w:hAnsi="Trebuchet MS"/>
      <w:i/>
      <w:iCs/>
      <w:color w:val="808080" w:themeColor="text1" w:themeTint="7F"/>
    </w:rPr>
  </w:style>
  <w:style w:type="character" w:styleId="SubtleReference">
    <w:name w:val="Subtle Reference"/>
    <w:basedOn w:val="DefaultParagraphFont"/>
    <w:uiPriority w:val="31"/>
    <w:qFormat/>
    <w:rsid w:val="002410E5"/>
    <w:rPr>
      <w:rFonts w:ascii="Trebuchet MS" w:hAnsi="Trebuchet MS"/>
      <w:smallCaps/>
      <w:color w:val="ED7D31" w:themeColor="accent2"/>
      <w:u w:val="single"/>
    </w:rPr>
  </w:style>
  <w:style w:type="table" w:styleId="Table3Deffects1">
    <w:name w:val="Table 3D effects 1"/>
    <w:basedOn w:val="TableNormal"/>
    <w:rsid w:val="002410E5"/>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410E5"/>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410E5"/>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410E5"/>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410E5"/>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410E5"/>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410E5"/>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410E5"/>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410E5"/>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410E5"/>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410E5"/>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410E5"/>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410E5"/>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410E5"/>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410E5"/>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410E5"/>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410E5"/>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410E5"/>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410E5"/>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410E5"/>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410E5"/>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410E5"/>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410E5"/>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410E5"/>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410E5"/>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410E5"/>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410E5"/>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410E5"/>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410E5"/>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410E5"/>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410E5"/>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410E5"/>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410E5"/>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2410E5"/>
    <w:pPr>
      <w:spacing w:after="0" w:line="240" w:lineRule="auto"/>
      <w:ind w:left="200" w:hanging="200"/>
    </w:pPr>
    <w:rPr>
      <w:rFonts w:ascii="Times New Roman" w:eastAsia="Times New Roman" w:hAnsi="Times New Roman" w:cs="Times New Roman"/>
      <w:sz w:val="22"/>
      <w:szCs w:val="20"/>
      <w:lang w:eastAsia="en-GB"/>
    </w:rPr>
  </w:style>
  <w:style w:type="paragraph" w:styleId="TableofFigures">
    <w:name w:val="table of figures"/>
    <w:basedOn w:val="Normal"/>
    <w:next w:val="Normal"/>
    <w:uiPriority w:val="99"/>
    <w:rsid w:val="002410E5"/>
    <w:pPr>
      <w:spacing w:after="0" w:line="240" w:lineRule="auto"/>
    </w:pPr>
    <w:rPr>
      <w:rFonts w:ascii="Times New Roman" w:eastAsia="Times New Roman" w:hAnsi="Times New Roman" w:cs="Times New Roman"/>
      <w:sz w:val="22"/>
      <w:szCs w:val="20"/>
      <w:lang w:eastAsia="en-GB"/>
    </w:rPr>
  </w:style>
  <w:style w:type="table" w:styleId="TableProfessional">
    <w:name w:val="Table Professional"/>
    <w:basedOn w:val="TableNormal"/>
    <w:rsid w:val="002410E5"/>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410E5"/>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410E5"/>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410E5"/>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410E5"/>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410E5"/>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410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410E5"/>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410E5"/>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410E5"/>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2410E5"/>
    <w:pPr>
      <w:pBdr>
        <w:bottom w:val="single" w:sz="8" w:space="4" w:color="4472C4" w:themeColor="accent1"/>
      </w:pBdr>
      <w:spacing w:after="300" w:line="240" w:lineRule="auto"/>
      <w:contextualSpacing/>
    </w:pPr>
    <w:rPr>
      <w:rFonts w:ascii="Times New Roman" w:eastAsiaTheme="majorEastAsia" w:hAnsi="Times New Roman" w:cstheme="majorBidi"/>
      <w:color w:val="323E4F" w:themeColor="text2" w:themeShade="BF"/>
      <w:spacing w:val="5"/>
      <w:kern w:val="28"/>
      <w:sz w:val="52"/>
      <w:szCs w:val="52"/>
      <w:lang w:eastAsia="en-GB"/>
    </w:rPr>
  </w:style>
  <w:style w:type="character" w:customStyle="1" w:styleId="TitleChar">
    <w:name w:val="Title Char"/>
    <w:basedOn w:val="DefaultParagraphFont"/>
    <w:link w:val="Title"/>
    <w:uiPriority w:val="99"/>
    <w:rsid w:val="002410E5"/>
    <w:rPr>
      <w:rFonts w:ascii="Times New Roman" w:eastAsiaTheme="majorEastAsia" w:hAnsi="Times New Roman" w:cstheme="majorBidi"/>
      <w:color w:val="323E4F" w:themeColor="text2" w:themeShade="BF"/>
      <w:spacing w:val="5"/>
      <w:kern w:val="28"/>
      <w:sz w:val="52"/>
      <w:szCs w:val="52"/>
      <w:lang w:eastAsia="en-GB"/>
    </w:rPr>
  </w:style>
  <w:style w:type="paragraph" w:styleId="TOAHeading">
    <w:name w:val="toa heading"/>
    <w:basedOn w:val="Normal"/>
    <w:next w:val="Normal"/>
    <w:uiPriority w:val="99"/>
    <w:rsid w:val="002410E5"/>
    <w:pPr>
      <w:spacing w:before="120" w:after="0" w:line="240" w:lineRule="auto"/>
    </w:pPr>
    <w:rPr>
      <w:rFonts w:ascii="Times New Roman" w:eastAsiaTheme="majorEastAsia" w:hAnsi="Times New Roman" w:cstheme="majorBidi"/>
      <w:b/>
      <w:bCs/>
      <w:sz w:val="24"/>
      <w:szCs w:val="20"/>
      <w:lang w:eastAsia="en-GB"/>
    </w:rPr>
  </w:style>
  <w:style w:type="paragraph" w:customStyle="1" w:styleId="ReportTitle">
    <w:name w:val="Report Title"/>
    <w:basedOn w:val="Normal"/>
    <w:uiPriority w:val="99"/>
    <w:rsid w:val="002410E5"/>
    <w:pPr>
      <w:spacing w:after="0" w:line="240" w:lineRule="auto"/>
    </w:pPr>
    <w:rPr>
      <w:rFonts w:ascii="Times New Roman" w:eastAsia="Times New Roman" w:hAnsi="Times New Roman" w:cs="Times New Roman"/>
      <w:snapToGrid w:val="0"/>
      <w:sz w:val="28"/>
      <w:szCs w:val="20"/>
    </w:rPr>
  </w:style>
  <w:style w:type="paragraph" w:customStyle="1" w:styleId="Pa9">
    <w:name w:val="Pa9"/>
    <w:basedOn w:val="Normal"/>
    <w:next w:val="Normal"/>
    <w:uiPriority w:val="99"/>
    <w:rsid w:val="002410E5"/>
    <w:pPr>
      <w:autoSpaceDE w:val="0"/>
      <w:autoSpaceDN w:val="0"/>
      <w:adjustRightInd w:val="0"/>
      <w:spacing w:after="0" w:line="156" w:lineRule="atLeast"/>
      <w:jc w:val="left"/>
    </w:pPr>
    <w:rPr>
      <w:rFonts w:ascii="Helvetica Neue LT Std" w:eastAsia="Times New Roman" w:hAnsi="Helvetica Neue LT Std" w:cs="Times New Roman"/>
      <w:sz w:val="24"/>
      <w:szCs w:val="24"/>
      <w:lang w:eastAsia="en-GB"/>
    </w:rPr>
  </w:style>
  <w:style w:type="character" w:customStyle="1" w:styleId="simpara">
    <w:name w:val="simpara"/>
    <w:basedOn w:val="DefaultParagraphFont"/>
    <w:rsid w:val="002410E5"/>
  </w:style>
  <w:style w:type="paragraph" w:styleId="Revision">
    <w:name w:val="Revision"/>
    <w:hidden/>
    <w:uiPriority w:val="99"/>
    <w:semiHidden/>
    <w:rsid w:val="002410E5"/>
    <w:pPr>
      <w:spacing w:after="0" w:line="240" w:lineRule="auto"/>
    </w:pPr>
    <w:rPr>
      <w:rFonts w:ascii="Times New Roman" w:eastAsia="Times New Roman" w:hAnsi="Times New Roman" w:cs="Times New Roman"/>
      <w:szCs w:val="20"/>
      <w:lang w:eastAsia="en-GB"/>
    </w:rPr>
  </w:style>
  <w:style w:type="paragraph" w:customStyle="1" w:styleId="Style10">
    <w:name w:val="Style 10"/>
    <w:basedOn w:val="Normal"/>
    <w:uiPriority w:val="99"/>
    <w:rsid w:val="002410E5"/>
    <w:pPr>
      <w:widowControl w:val="0"/>
      <w:autoSpaceDE w:val="0"/>
      <w:autoSpaceDN w:val="0"/>
      <w:spacing w:before="108" w:after="0" w:line="240" w:lineRule="auto"/>
      <w:ind w:left="576" w:right="72" w:hanging="576"/>
    </w:pPr>
    <w:rPr>
      <w:rFonts w:ascii="Times New Roman" w:eastAsia="Times New Roman" w:hAnsi="Times New Roman" w:cs="Times New Roman"/>
      <w:sz w:val="24"/>
      <w:szCs w:val="24"/>
      <w:lang w:val="en-US"/>
    </w:rPr>
  </w:style>
  <w:style w:type="character" w:customStyle="1" w:styleId="PlainTextChar1">
    <w:name w:val="Plain Text Char1"/>
    <w:aliases w:val="Char Char1"/>
    <w:rsid w:val="002410E5"/>
    <w:rPr>
      <w:rFonts w:ascii="Courier New" w:hAnsi="Courier New" w:cs="Courier New"/>
    </w:rPr>
  </w:style>
  <w:style w:type="paragraph" w:customStyle="1" w:styleId="BDOMainHeading2">
    <w:name w:val="BDOMainHeading2"/>
    <w:next w:val="Normal"/>
    <w:link w:val="BDOMainHeading2Char"/>
    <w:rsid w:val="002410E5"/>
    <w:pPr>
      <w:spacing w:before="240" w:after="240" w:line="240" w:lineRule="auto"/>
    </w:pPr>
    <w:rPr>
      <w:rFonts w:ascii="Trebuchet MS" w:eastAsia="Times New Roman" w:hAnsi="Trebuchet MS" w:cs="Times New Roman"/>
      <w:b/>
      <w:kern w:val="16"/>
      <w:sz w:val="20"/>
      <w:szCs w:val="20"/>
      <w:lang w:eastAsia="en-GB"/>
    </w:rPr>
  </w:style>
  <w:style w:type="character" w:customStyle="1" w:styleId="BDOMainHeading2Char">
    <w:name w:val="BDOMainHeading2 Char"/>
    <w:basedOn w:val="DefaultParagraphFont"/>
    <w:link w:val="BDOMainHeading2"/>
    <w:rsid w:val="002410E5"/>
    <w:rPr>
      <w:rFonts w:ascii="Trebuchet MS" w:eastAsia="Times New Roman" w:hAnsi="Trebuchet MS" w:cs="Times New Roman"/>
      <w:b/>
      <w:kern w:val="16"/>
      <w:sz w:val="20"/>
      <w:szCs w:val="20"/>
      <w:lang w:eastAsia="en-GB"/>
    </w:rPr>
  </w:style>
  <w:style w:type="paragraph" w:customStyle="1" w:styleId="AODocTxt">
    <w:name w:val="AODocTxt"/>
    <w:basedOn w:val="Normal"/>
    <w:rsid w:val="00F779FC"/>
    <w:pPr>
      <w:numPr>
        <w:numId w:val="57"/>
      </w:numPr>
      <w:spacing w:before="240" w:after="0" w:line="260" w:lineRule="atLeast"/>
    </w:pPr>
    <w:rPr>
      <w:rFonts w:ascii="Times New Roman" w:eastAsia="SimSun" w:hAnsi="Times New Roman" w:cs="Times New Roman"/>
      <w:sz w:val="22"/>
    </w:rPr>
  </w:style>
  <w:style w:type="paragraph" w:customStyle="1" w:styleId="AODocTxtL1">
    <w:name w:val="AODocTxtL1"/>
    <w:basedOn w:val="AODocTxt"/>
    <w:rsid w:val="00F779FC"/>
    <w:pPr>
      <w:numPr>
        <w:ilvl w:val="1"/>
      </w:numPr>
    </w:pPr>
  </w:style>
  <w:style w:type="paragraph" w:customStyle="1" w:styleId="AODocTxtL2">
    <w:name w:val="AODocTxtL2"/>
    <w:basedOn w:val="AODocTxt"/>
    <w:rsid w:val="00F779FC"/>
    <w:pPr>
      <w:numPr>
        <w:ilvl w:val="2"/>
      </w:numPr>
    </w:pPr>
  </w:style>
  <w:style w:type="paragraph" w:customStyle="1" w:styleId="AODocTxtL3">
    <w:name w:val="AODocTxtL3"/>
    <w:basedOn w:val="AODocTxt"/>
    <w:rsid w:val="00F779FC"/>
    <w:pPr>
      <w:numPr>
        <w:ilvl w:val="3"/>
      </w:numPr>
    </w:pPr>
  </w:style>
  <w:style w:type="paragraph" w:customStyle="1" w:styleId="AODocTxtL4">
    <w:name w:val="AODocTxtL4"/>
    <w:basedOn w:val="AODocTxt"/>
    <w:rsid w:val="00F779FC"/>
    <w:pPr>
      <w:numPr>
        <w:ilvl w:val="4"/>
      </w:numPr>
    </w:pPr>
  </w:style>
  <w:style w:type="paragraph" w:customStyle="1" w:styleId="AODocTxtL5">
    <w:name w:val="AODocTxtL5"/>
    <w:basedOn w:val="AODocTxt"/>
    <w:rsid w:val="00F779FC"/>
    <w:pPr>
      <w:numPr>
        <w:ilvl w:val="5"/>
      </w:numPr>
    </w:pPr>
  </w:style>
  <w:style w:type="paragraph" w:customStyle="1" w:styleId="AODocTxtL6">
    <w:name w:val="AODocTxtL6"/>
    <w:basedOn w:val="AODocTxt"/>
    <w:rsid w:val="00F779FC"/>
    <w:pPr>
      <w:numPr>
        <w:ilvl w:val="6"/>
      </w:numPr>
    </w:pPr>
  </w:style>
  <w:style w:type="paragraph" w:customStyle="1" w:styleId="AODocTxtL7">
    <w:name w:val="AODocTxtL7"/>
    <w:basedOn w:val="AODocTxt"/>
    <w:rsid w:val="00F779FC"/>
    <w:pPr>
      <w:numPr>
        <w:ilvl w:val="7"/>
      </w:numPr>
    </w:pPr>
  </w:style>
  <w:style w:type="paragraph" w:customStyle="1" w:styleId="AODocTxtL8">
    <w:name w:val="AODocTxtL8"/>
    <w:basedOn w:val="AODocTxt"/>
    <w:rsid w:val="00F779FC"/>
    <w:pPr>
      <w:numPr>
        <w:ilvl w:val="8"/>
      </w:numPr>
    </w:pPr>
  </w:style>
  <w:style w:type="paragraph" w:customStyle="1" w:styleId="Doctext">
    <w:name w:val="Doctext"/>
    <w:link w:val="DoctextChar"/>
    <w:rsid w:val="00F779FC"/>
    <w:pPr>
      <w:spacing w:before="240" w:after="0" w:line="260" w:lineRule="atLeast"/>
    </w:pPr>
    <w:rPr>
      <w:rFonts w:ascii="Helvetica" w:eastAsia="SimSun" w:hAnsi="Helvetica" w:cs="Times New Roman"/>
      <w:sz w:val="20"/>
      <w:szCs w:val="20"/>
      <w:lang w:val="en-US"/>
    </w:rPr>
  </w:style>
  <w:style w:type="paragraph" w:customStyle="1" w:styleId="Docnormal">
    <w:name w:val="Docnormal"/>
    <w:basedOn w:val="Doctext"/>
    <w:rsid w:val="00F779FC"/>
    <w:pPr>
      <w:spacing w:before="0"/>
    </w:pPr>
  </w:style>
  <w:style w:type="paragraph" w:customStyle="1" w:styleId="DocTitle">
    <w:name w:val="DocTitle"/>
    <w:rsid w:val="00F779FC"/>
    <w:pPr>
      <w:pageBreakBefore/>
      <w:spacing w:before="240" w:after="0" w:line="260" w:lineRule="atLeast"/>
      <w:jc w:val="center"/>
    </w:pPr>
    <w:rPr>
      <w:rFonts w:ascii="Helvetica" w:eastAsia="SimSun" w:hAnsi="Helvetica" w:cs="Times New Roman"/>
      <w:b/>
      <w:caps/>
      <w:sz w:val="20"/>
      <w:szCs w:val="20"/>
      <w:lang w:val="en-US"/>
    </w:rPr>
  </w:style>
  <w:style w:type="character" w:customStyle="1" w:styleId="DoctextChar">
    <w:name w:val="Doctext Char"/>
    <w:basedOn w:val="DefaultParagraphFont"/>
    <w:link w:val="Doctext"/>
    <w:rsid w:val="00F779FC"/>
    <w:rPr>
      <w:rFonts w:ascii="Helvetica" w:eastAsia="SimSun" w:hAnsi="Helvetica" w:cs="Times New Roman"/>
      <w:sz w:val="20"/>
      <w:szCs w:val="20"/>
      <w:lang w:val="en-US"/>
    </w:rPr>
  </w:style>
  <w:style w:type="paragraph" w:customStyle="1" w:styleId="OurRef">
    <w:name w:val="OurRef"/>
    <w:basedOn w:val="Normal"/>
    <w:rsid w:val="005C5A58"/>
    <w:pPr>
      <w:spacing w:after="180" w:line="240" w:lineRule="auto"/>
      <w:jc w:val="left"/>
    </w:pPr>
    <w:rPr>
      <w:rFonts w:ascii="Trebuchet MS" w:eastAsia="Times New Roman" w:hAnsi="Trebuchet MS" w:cs="Times New Roman"/>
      <w:b/>
      <w:szCs w:val="20"/>
      <w:lang w:eastAsia="en-GB"/>
    </w:rPr>
  </w:style>
  <w:style w:type="paragraph" w:customStyle="1" w:styleId="Company">
    <w:name w:val="Company"/>
    <w:basedOn w:val="Normal"/>
    <w:rsid w:val="005C5A58"/>
    <w:pPr>
      <w:spacing w:after="0" w:line="240" w:lineRule="auto"/>
      <w:jc w:val="left"/>
    </w:pPr>
    <w:rPr>
      <w:rFonts w:ascii="Trebuchet MS" w:eastAsia="Times New Roman" w:hAnsi="Trebuchet MS" w:cs="Times New Roman"/>
      <w:szCs w:val="20"/>
      <w:lang w:eastAsia="en-GB"/>
    </w:rPr>
  </w:style>
  <w:style w:type="paragraph" w:customStyle="1" w:styleId="TableNormal1">
    <w:name w:val="Table Normal1"/>
    <w:basedOn w:val="Normal"/>
    <w:rsid w:val="00912FDD"/>
    <w:pPr>
      <w:keepNext/>
      <w:keepLines/>
      <w:spacing w:after="0" w:line="240" w:lineRule="auto"/>
      <w:jc w:val="left"/>
    </w:pPr>
    <w:rPr>
      <w:rFonts w:ascii="Trebuchet MS" w:eastAsia="Times New Roman" w:hAnsi="Trebuchet MS" w:cs="Times New Roman"/>
      <w:kern w:val="16"/>
      <w:sz w:val="19"/>
      <w:szCs w:val="20"/>
      <w:lang w:eastAsia="en-GB"/>
    </w:rPr>
  </w:style>
  <w:style w:type="paragraph" w:customStyle="1" w:styleId="BDO4table">
    <w:name w:val="BDO 4 table"/>
    <w:basedOn w:val="Normal"/>
    <w:rsid w:val="00912FDD"/>
    <w:pPr>
      <w:keepNext/>
      <w:keepLines/>
      <w:spacing w:after="0" w:line="264" w:lineRule="auto"/>
      <w:ind w:left="142" w:hanging="142"/>
      <w:jc w:val="left"/>
    </w:pPr>
    <w:rPr>
      <w:rFonts w:ascii="Times New Roman" w:eastAsia="Times New Roman" w:hAnsi="Times New Roman" w:cs="Times New Roman"/>
      <w:szCs w:val="20"/>
      <w:lang w:eastAsia="en-GB"/>
    </w:rPr>
  </w:style>
  <w:style w:type="table" w:customStyle="1" w:styleId="TableGrid10">
    <w:name w:val="Table Grid1"/>
    <w:basedOn w:val="TableNormal"/>
    <w:next w:val="TableGrid"/>
    <w:uiPriority w:val="59"/>
    <w:rsid w:val="006B26DC"/>
    <w:pPr>
      <w:spacing w:after="0" w:line="240" w:lineRule="auto"/>
      <w:jc w:val="both"/>
    </w:pPr>
    <w:rPr>
      <w:rFonts w:ascii="Trebuchet MS" w:eastAsia="Times New Roman" w:hAnsi="Trebuchet M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2381D"/>
    <w:pPr>
      <w:spacing w:after="0" w:line="240" w:lineRule="auto"/>
    </w:pPr>
    <w:rPr>
      <w:rFonts w:ascii="Times New Roman" w:eastAsia="Times New Roman" w:hAnsi="Times New Roman" w:cs="Times New Roman"/>
      <w:sz w:val="24"/>
      <w:szCs w:val="20"/>
      <w:lang w:eastAsia="en-GB"/>
    </w:rPr>
  </w:style>
  <w:style w:type="table" w:customStyle="1" w:styleId="TableGrid13">
    <w:name w:val="Table Grid13"/>
    <w:basedOn w:val="TableNormal"/>
    <w:uiPriority w:val="59"/>
    <w:rsid w:val="0002381D"/>
    <w:pPr>
      <w:spacing w:after="0" w:line="240" w:lineRule="auto"/>
    </w:pPr>
    <w:rPr>
      <w:rFonts w:ascii="Times New Roman" w:eastAsia="SimSu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4714">
      <w:bodyDiv w:val="1"/>
      <w:marLeft w:val="0"/>
      <w:marRight w:val="0"/>
      <w:marTop w:val="0"/>
      <w:marBottom w:val="0"/>
      <w:divBdr>
        <w:top w:val="none" w:sz="0" w:space="0" w:color="auto"/>
        <w:left w:val="none" w:sz="0" w:space="0" w:color="auto"/>
        <w:bottom w:val="none" w:sz="0" w:space="0" w:color="auto"/>
        <w:right w:val="none" w:sz="0" w:space="0" w:color="auto"/>
      </w:divBdr>
    </w:div>
    <w:div w:id="201022553">
      <w:bodyDiv w:val="1"/>
      <w:marLeft w:val="0"/>
      <w:marRight w:val="0"/>
      <w:marTop w:val="0"/>
      <w:marBottom w:val="0"/>
      <w:divBdr>
        <w:top w:val="none" w:sz="0" w:space="0" w:color="auto"/>
        <w:left w:val="none" w:sz="0" w:space="0" w:color="auto"/>
        <w:bottom w:val="none" w:sz="0" w:space="0" w:color="auto"/>
        <w:right w:val="none" w:sz="0" w:space="0" w:color="auto"/>
      </w:divBdr>
    </w:div>
    <w:div w:id="213129390">
      <w:bodyDiv w:val="1"/>
      <w:marLeft w:val="0"/>
      <w:marRight w:val="0"/>
      <w:marTop w:val="0"/>
      <w:marBottom w:val="0"/>
      <w:divBdr>
        <w:top w:val="none" w:sz="0" w:space="0" w:color="auto"/>
        <w:left w:val="none" w:sz="0" w:space="0" w:color="auto"/>
        <w:bottom w:val="none" w:sz="0" w:space="0" w:color="auto"/>
        <w:right w:val="none" w:sz="0" w:space="0" w:color="auto"/>
      </w:divBdr>
    </w:div>
    <w:div w:id="213395283">
      <w:bodyDiv w:val="1"/>
      <w:marLeft w:val="0"/>
      <w:marRight w:val="0"/>
      <w:marTop w:val="0"/>
      <w:marBottom w:val="0"/>
      <w:divBdr>
        <w:top w:val="none" w:sz="0" w:space="0" w:color="auto"/>
        <w:left w:val="none" w:sz="0" w:space="0" w:color="auto"/>
        <w:bottom w:val="none" w:sz="0" w:space="0" w:color="auto"/>
        <w:right w:val="none" w:sz="0" w:space="0" w:color="auto"/>
      </w:divBdr>
    </w:div>
    <w:div w:id="219052916">
      <w:bodyDiv w:val="1"/>
      <w:marLeft w:val="0"/>
      <w:marRight w:val="0"/>
      <w:marTop w:val="0"/>
      <w:marBottom w:val="0"/>
      <w:divBdr>
        <w:top w:val="none" w:sz="0" w:space="0" w:color="auto"/>
        <w:left w:val="none" w:sz="0" w:space="0" w:color="auto"/>
        <w:bottom w:val="none" w:sz="0" w:space="0" w:color="auto"/>
        <w:right w:val="none" w:sz="0" w:space="0" w:color="auto"/>
      </w:divBdr>
    </w:div>
    <w:div w:id="219291438">
      <w:bodyDiv w:val="1"/>
      <w:marLeft w:val="0"/>
      <w:marRight w:val="0"/>
      <w:marTop w:val="0"/>
      <w:marBottom w:val="0"/>
      <w:divBdr>
        <w:top w:val="none" w:sz="0" w:space="0" w:color="auto"/>
        <w:left w:val="none" w:sz="0" w:space="0" w:color="auto"/>
        <w:bottom w:val="none" w:sz="0" w:space="0" w:color="auto"/>
        <w:right w:val="none" w:sz="0" w:space="0" w:color="auto"/>
      </w:divBdr>
      <w:divsChild>
        <w:div w:id="731543571">
          <w:marLeft w:val="0"/>
          <w:marRight w:val="0"/>
          <w:marTop w:val="0"/>
          <w:marBottom w:val="0"/>
          <w:divBdr>
            <w:top w:val="none" w:sz="0" w:space="0" w:color="auto"/>
            <w:left w:val="none" w:sz="0" w:space="0" w:color="auto"/>
            <w:bottom w:val="none" w:sz="0" w:space="0" w:color="auto"/>
            <w:right w:val="none" w:sz="0" w:space="0" w:color="auto"/>
          </w:divBdr>
        </w:div>
      </w:divsChild>
    </w:div>
    <w:div w:id="247926380">
      <w:bodyDiv w:val="1"/>
      <w:marLeft w:val="0"/>
      <w:marRight w:val="0"/>
      <w:marTop w:val="0"/>
      <w:marBottom w:val="0"/>
      <w:divBdr>
        <w:top w:val="none" w:sz="0" w:space="0" w:color="auto"/>
        <w:left w:val="none" w:sz="0" w:space="0" w:color="auto"/>
        <w:bottom w:val="none" w:sz="0" w:space="0" w:color="auto"/>
        <w:right w:val="none" w:sz="0" w:space="0" w:color="auto"/>
      </w:divBdr>
    </w:div>
    <w:div w:id="249702812">
      <w:bodyDiv w:val="1"/>
      <w:marLeft w:val="0"/>
      <w:marRight w:val="0"/>
      <w:marTop w:val="0"/>
      <w:marBottom w:val="0"/>
      <w:divBdr>
        <w:top w:val="none" w:sz="0" w:space="0" w:color="auto"/>
        <w:left w:val="none" w:sz="0" w:space="0" w:color="auto"/>
        <w:bottom w:val="none" w:sz="0" w:space="0" w:color="auto"/>
        <w:right w:val="none" w:sz="0" w:space="0" w:color="auto"/>
      </w:divBdr>
    </w:div>
    <w:div w:id="251745957">
      <w:bodyDiv w:val="1"/>
      <w:marLeft w:val="0"/>
      <w:marRight w:val="0"/>
      <w:marTop w:val="0"/>
      <w:marBottom w:val="0"/>
      <w:divBdr>
        <w:top w:val="none" w:sz="0" w:space="0" w:color="auto"/>
        <w:left w:val="none" w:sz="0" w:space="0" w:color="auto"/>
        <w:bottom w:val="none" w:sz="0" w:space="0" w:color="auto"/>
        <w:right w:val="none" w:sz="0" w:space="0" w:color="auto"/>
      </w:divBdr>
    </w:div>
    <w:div w:id="283654292">
      <w:bodyDiv w:val="1"/>
      <w:marLeft w:val="0"/>
      <w:marRight w:val="0"/>
      <w:marTop w:val="0"/>
      <w:marBottom w:val="0"/>
      <w:divBdr>
        <w:top w:val="none" w:sz="0" w:space="0" w:color="auto"/>
        <w:left w:val="none" w:sz="0" w:space="0" w:color="auto"/>
        <w:bottom w:val="none" w:sz="0" w:space="0" w:color="auto"/>
        <w:right w:val="none" w:sz="0" w:space="0" w:color="auto"/>
      </w:divBdr>
    </w:div>
    <w:div w:id="295379450">
      <w:bodyDiv w:val="1"/>
      <w:marLeft w:val="0"/>
      <w:marRight w:val="0"/>
      <w:marTop w:val="0"/>
      <w:marBottom w:val="0"/>
      <w:divBdr>
        <w:top w:val="none" w:sz="0" w:space="0" w:color="auto"/>
        <w:left w:val="none" w:sz="0" w:space="0" w:color="auto"/>
        <w:bottom w:val="none" w:sz="0" w:space="0" w:color="auto"/>
        <w:right w:val="none" w:sz="0" w:space="0" w:color="auto"/>
      </w:divBdr>
    </w:div>
    <w:div w:id="382214126">
      <w:bodyDiv w:val="1"/>
      <w:marLeft w:val="0"/>
      <w:marRight w:val="0"/>
      <w:marTop w:val="0"/>
      <w:marBottom w:val="0"/>
      <w:divBdr>
        <w:top w:val="none" w:sz="0" w:space="0" w:color="auto"/>
        <w:left w:val="none" w:sz="0" w:space="0" w:color="auto"/>
        <w:bottom w:val="none" w:sz="0" w:space="0" w:color="auto"/>
        <w:right w:val="none" w:sz="0" w:space="0" w:color="auto"/>
      </w:divBdr>
    </w:div>
    <w:div w:id="389377773">
      <w:bodyDiv w:val="1"/>
      <w:marLeft w:val="0"/>
      <w:marRight w:val="0"/>
      <w:marTop w:val="0"/>
      <w:marBottom w:val="0"/>
      <w:divBdr>
        <w:top w:val="none" w:sz="0" w:space="0" w:color="auto"/>
        <w:left w:val="none" w:sz="0" w:space="0" w:color="auto"/>
        <w:bottom w:val="none" w:sz="0" w:space="0" w:color="auto"/>
        <w:right w:val="none" w:sz="0" w:space="0" w:color="auto"/>
      </w:divBdr>
    </w:div>
    <w:div w:id="390156544">
      <w:bodyDiv w:val="1"/>
      <w:marLeft w:val="0"/>
      <w:marRight w:val="0"/>
      <w:marTop w:val="0"/>
      <w:marBottom w:val="0"/>
      <w:divBdr>
        <w:top w:val="none" w:sz="0" w:space="0" w:color="auto"/>
        <w:left w:val="none" w:sz="0" w:space="0" w:color="auto"/>
        <w:bottom w:val="none" w:sz="0" w:space="0" w:color="auto"/>
        <w:right w:val="none" w:sz="0" w:space="0" w:color="auto"/>
      </w:divBdr>
    </w:div>
    <w:div w:id="418603571">
      <w:bodyDiv w:val="1"/>
      <w:marLeft w:val="0"/>
      <w:marRight w:val="0"/>
      <w:marTop w:val="0"/>
      <w:marBottom w:val="0"/>
      <w:divBdr>
        <w:top w:val="none" w:sz="0" w:space="0" w:color="auto"/>
        <w:left w:val="none" w:sz="0" w:space="0" w:color="auto"/>
        <w:bottom w:val="none" w:sz="0" w:space="0" w:color="auto"/>
        <w:right w:val="none" w:sz="0" w:space="0" w:color="auto"/>
      </w:divBdr>
    </w:div>
    <w:div w:id="579994990">
      <w:bodyDiv w:val="1"/>
      <w:marLeft w:val="0"/>
      <w:marRight w:val="0"/>
      <w:marTop w:val="0"/>
      <w:marBottom w:val="0"/>
      <w:divBdr>
        <w:top w:val="none" w:sz="0" w:space="0" w:color="auto"/>
        <w:left w:val="none" w:sz="0" w:space="0" w:color="auto"/>
        <w:bottom w:val="none" w:sz="0" w:space="0" w:color="auto"/>
        <w:right w:val="none" w:sz="0" w:space="0" w:color="auto"/>
      </w:divBdr>
    </w:div>
    <w:div w:id="582763704">
      <w:bodyDiv w:val="1"/>
      <w:marLeft w:val="0"/>
      <w:marRight w:val="0"/>
      <w:marTop w:val="0"/>
      <w:marBottom w:val="0"/>
      <w:divBdr>
        <w:top w:val="none" w:sz="0" w:space="0" w:color="auto"/>
        <w:left w:val="none" w:sz="0" w:space="0" w:color="auto"/>
        <w:bottom w:val="none" w:sz="0" w:space="0" w:color="auto"/>
        <w:right w:val="none" w:sz="0" w:space="0" w:color="auto"/>
      </w:divBdr>
    </w:div>
    <w:div w:id="610623854">
      <w:bodyDiv w:val="1"/>
      <w:marLeft w:val="0"/>
      <w:marRight w:val="0"/>
      <w:marTop w:val="0"/>
      <w:marBottom w:val="0"/>
      <w:divBdr>
        <w:top w:val="none" w:sz="0" w:space="0" w:color="auto"/>
        <w:left w:val="none" w:sz="0" w:space="0" w:color="auto"/>
        <w:bottom w:val="none" w:sz="0" w:space="0" w:color="auto"/>
        <w:right w:val="none" w:sz="0" w:space="0" w:color="auto"/>
      </w:divBdr>
    </w:div>
    <w:div w:id="612245497">
      <w:bodyDiv w:val="1"/>
      <w:marLeft w:val="0"/>
      <w:marRight w:val="0"/>
      <w:marTop w:val="0"/>
      <w:marBottom w:val="0"/>
      <w:divBdr>
        <w:top w:val="none" w:sz="0" w:space="0" w:color="auto"/>
        <w:left w:val="none" w:sz="0" w:space="0" w:color="auto"/>
        <w:bottom w:val="none" w:sz="0" w:space="0" w:color="auto"/>
        <w:right w:val="none" w:sz="0" w:space="0" w:color="auto"/>
      </w:divBdr>
    </w:div>
    <w:div w:id="632952908">
      <w:bodyDiv w:val="1"/>
      <w:marLeft w:val="0"/>
      <w:marRight w:val="0"/>
      <w:marTop w:val="0"/>
      <w:marBottom w:val="0"/>
      <w:divBdr>
        <w:top w:val="none" w:sz="0" w:space="0" w:color="auto"/>
        <w:left w:val="none" w:sz="0" w:space="0" w:color="auto"/>
        <w:bottom w:val="none" w:sz="0" w:space="0" w:color="auto"/>
        <w:right w:val="none" w:sz="0" w:space="0" w:color="auto"/>
      </w:divBdr>
    </w:div>
    <w:div w:id="682440989">
      <w:bodyDiv w:val="1"/>
      <w:marLeft w:val="0"/>
      <w:marRight w:val="0"/>
      <w:marTop w:val="0"/>
      <w:marBottom w:val="0"/>
      <w:divBdr>
        <w:top w:val="none" w:sz="0" w:space="0" w:color="auto"/>
        <w:left w:val="none" w:sz="0" w:space="0" w:color="auto"/>
        <w:bottom w:val="none" w:sz="0" w:space="0" w:color="auto"/>
        <w:right w:val="none" w:sz="0" w:space="0" w:color="auto"/>
      </w:divBdr>
    </w:div>
    <w:div w:id="693962036">
      <w:bodyDiv w:val="1"/>
      <w:marLeft w:val="0"/>
      <w:marRight w:val="0"/>
      <w:marTop w:val="0"/>
      <w:marBottom w:val="0"/>
      <w:divBdr>
        <w:top w:val="none" w:sz="0" w:space="0" w:color="auto"/>
        <w:left w:val="none" w:sz="0" w:space="0" w:color="auto"/>
        <w:bottom w:val="none" w:sz="0" w:space="0" w:color="auto"/>
        <w:right w:val="none" w:sz="0" w:space="0" w:color="auto"/>
      </w:divBdr>
    </w:div>
    <w:div w:id="845630950">
      <w:bodyDiv w:val="1"/>
      <w:marLeft w:val="0"/>
      <w:marRight w:val="0"/>
      <w:marTop w:val="0"/>
      <w:marBottom w:val="0"/>
      <w:divBdr>
        <w:top w:val="none" w:sz="0" w:space="0" w:color="auto"/>
        <w:left w:val="none" w:sz="0" w:space="0" w:color="auto"/>
        <w:bottom w:val="none" w:sz="0" w:space="0" w:color="auto"/>
        <w:right w:val="none" w:sz="0" w:space="0" w:color="auto"/>
      </w:divBdr>
    </w:div>
    <w:div w:id="847410560">
      <w:bodyDiv w:val="1"/>
      <w:marLeft w:val="0"/>
      <w:marRight w:val="0"/>
      <w:marTop w:val="0"/>
      <w:marBottom w:val="0"/>
      <w:divBdr>
        <w:top w:val="none" w:sz="0" w:space="0" w:color="auto"/>
        <w:left w:val="none" w:sz="0" w:space="0" w:color="auto"/>
        <w:bottom w:val="none" w:sz="0" w:space="0" w:color="auto"/>
        <w:right w:val="none" w:sz="0" w:space="0" w:color="auto"/>
      </w:divBdr>
    </w:div>
    <w:div w:id="848563684">
      <w:bodyDiv w:val="1"/>
      <w:marLeft w:val="0"/>
      <w:marRight w:val="0"/>
      <w:marTop w:val="0"/>
      <w:marBottom w:val="0"/>
      <w:divBdr>
        <w:top w:val="none" w:sz="0" w:space="0" w:color="auto"/>
        <w:left w:val="none" w:sz="0" w:space="0" w:color="auto"/>
        <w:bottom w:val="none" w:sz="0" w:space="0" w:color="auto"/>
        <w:right w:val="none" w:sz="0" w:space="0" w:color="auto"/>
      </w:divBdr>
    </w:div>
    <w:div w:id="851920940">
      <w:bodyDiv w:val="1"/>
      <w:marLeft w:val="0"/>
      <w:marRight w:val="0"/>
      <w:marTop w:val="0"/>
      <w:marBottom w:val="0"/>
      <w:divBdr>
        <w:top w:val="none" w:sz="0" w:space="0" w:color="auto"/>
        <w:left w:val="none" w:sz="0" w:space="0" w:color="auto"/>
        <w:bottom w:val="none" w:sz="0" w:space="0" w:color="auto"/>
        <w:right w:val="none" w:sz="0" w:space="0" w:color="auto"/>
      </w:divBdr>
    </w:div>
    <w:div w:id="861087954">
      <w:bodyDiv w:val="1"/>
      <w:marLeft w:val="0"/>
      <w:marRight w:val="0"/>
      <w:marTop w:val="0"/>
      <w:marBottom w:val="0"/>
      <w:divBdr>
        <w:top w:val="none" w:sz="0" w:space="0" w:color="auto"/>
        <w:left w:val="none" w:sz="0" w:space="0" w:color="auto"/>
        <w:bottom w:val="none" w:sz="0" w:space="0" w:color="auto"/>
        <w:right w:val="none" w:sz="0" w:space="0" w:color="auto"/>
      </w:divBdr>
    </w:div>
    <w:div w:id="862017625">
      <w:bodyDiv w:val="1"/>
      <w:marLeft w:val="0"/>
      <w:marRight w:val="0"/>
      <w:marTop w:val="0"/>
      <w:marBottom w:val="0"/>
      <w:divBdr>
        <w:top w:val="none" w:sz="0" w:space="0" w:color="auto"/>
        <w:left w:val="none" w:sz="0" w:space="0" w:color="auto"/>
        <w:bottom w:val="none" w:sz="0" w:space="0" w:color="auto"/>
        <w:right w:val="none" w:sz="0" w:space="0" w:color="auto"/>
      </w:divBdr>
    </w:div>
    <w:div w:id="866258748">
      <w:bodyDiv w:val="1"/>
      <w:marLeft w:val="0"/>
      <w:marRight w:val="0"/>
      <w:marTop w:val="0"/>
      <w:marBottom w:val="0"/>
      <w:divBdr>
        <w:top w:val="none" w:sz="0" w:space="0" w:color="auto"/>
        <w:left w:val="none" w:sz="0" w:space="0" w:color="auto"/>
        <w:bottom w:val="none" w:sz="0" w:space="0" w:color="auto"/>
        <w:right w:val="none" w:sz="0" w:space="0" w:color="auto"/>
      </w:divBdr>
    </w:div>
    <w:div w:id="900218435">
      <w:bodyDiv w:val="1"/>
      <w:marLeft w:val="0"/>
      <w:marRight w:val="0"/>
      <w:marTop w:val="0"/>
      <w:marBottom w:val="0"/>
      <w:divBdr>
        <w:top w:val="none" w:sz="0" w:space="0" w:color="auto"/>
        <w:left w:val="none" w:sz="0" w:space="0" w:color="auto"/>
        <w:bottom w:val="none" w:sz="0" w:space="0" w:color="auto"/>
        <w:right w:val="none" w:sz="0" w:space="0" w:color="auto"/>
      </w:divBdr>
    </w:div>
    <w:div w:id="942104796">
      <w:bodyDiv w:val="1"/>
      <w:marLeft w:val="0"/>
      <w:marRight w:val="0"/>
      <w:marTop w:val="0"/>
      <w:marBottom w:val="0"/>
      <w:divBdr>
        <w:top w:val="none" w:sz="0" w:space="0" w:color="auto"/>
        <w:left w:val="none" w:sz="0" w:space="0" w:color="auto"/>
        <w:bottom w:val="none" w:sz="0" w:space="0" w:color="auto"/>
        <w:right w:val="none" w:sz="0" w:space="0" w:color="auto"/>
      </w:divBdr>
    </w:div>
    <w:div w:id="1027176168">
      <w:bodyDiv w:val="1"/>
      <w:marLeft w:val="0"/>
      <w:marRight w:val="0"/>
      <w:marTop w:val="0"/>
      <w:marBottom w:val="0"/>
      <w:divBdr>
        <w:top w:val="none" w:sz="0" w:space="0" w:color="auto"/>
        <w:left w:val="none" w:sz="0" w:space="0" w:color="auto"/>
        <w:bottom w:val="none" w:sz="0" w:space="0" w:color="auto"/>
        <w:right w:val="none" w:sz="0" w:space="0" w:color="auto"/>
      </w:divBdr>
    </w:div>
    <w:div w:id="1093739424">
      <w:bodyDiv w:val="1"/>
      <w:marLeft w:val="0"/>
      <w:marRight w:val="0"/>
      <w:marTop w:val="0"/>
      <w:marBottom w:val="0"/>
      <w:divBdr>
        <w:top w:val="none" w:sz="0" w:space="0" w:color="auto"/>
        <w:left w:val="none" w:sz="0" w:space="0" w:color="auto"/>
        <w:bottom w:val="none" w:sz="0" w:space="0" w:color="auto"/>
        <w:right w:val="none" w:sz="0" w:space="0" w:color="auto"/>
      </w:divBdr>
    </w:div>
    <w:div w:id="1097942071">
      <w:bodyDiv w:val="1"/>
      <w:marLeft w:val="0"/>
      <w:marRight w:val="0"/>
      <w:marTop w:val="0"/>
      <w:marBottom w:val="0"/>
      <w:divBdr>
        <w:top w:val="none" w:sz="0" w:space="0" w:color="auto"/>
        <w:left w:val="none" w:sz="0" w:space="0" w:color="auto"/>
        <w:bottom w:val="none" w:sz="0" w:space="0" w:color="auto"/>
        <w:right w:val="none" w:sz="0" w:space="0" w:color="auto"/>
      </w:divBdr>
    </w:div>
    <w:div w:id="1189103440">
      <w:bodyDiv w:val="1"/>
      <w:marLeft w:val="0"/>
      <w:marRight w:val="0"/>
      <w:marTop w:val="0"/>
      <w:marBottom w:val="0"/>
      <w:divBdr>
        <w:top w:val="none" w:sz="0" w:space="0" w:color="auto"/>
        <w:left w:val="none" w:sz="0" w:space="0" w:color="auto"/>
        <w:bottom w:val="none" w:sz="0" w:space="0" w:color="auto"/>
        <w:right w:val="none" w:sz="0" w:space="0" w:color="auto"/>
      </w:divBdr>
    </w:div>
    <w:div w:id="1190530208">
      <w:bodyDiv w:val="1"/>
      <w:marLeft w:val="0"/>
      <w:marRight w:val="0"/>
      <w:marTop w:val="0"/>
      <w:marBottom w:val="0"/>
      <w:divBdr>
        <w:top w:val="none" w:sz="0" w:space="0" w:color="auto"/>
        <w:left w:val="none" w:sz="0" w:space="0" w:color="auto"/>
        <w:bottom w:val="none" w:sz="0" w:space="0" w:color="auto"/>
        <w:right w:val="none" w:sz="0" w:space="0" w:color="auto"/>
      </w:divBdr>
      <w:divsChild>
        <w:div w:id="1628975006">
          <w:marLeft w:val="0"/>
          <w:marRight w:val="0"/>
          <w:marTop w:val="0"/>
          <w:marBottom w:val="0"/>
          <w:divBdr>
            <w:top w:val="none" w:sz="0" w:space="0" w:color="auto"/>
            <w:left w:val="none" w:sz="0" w:space="0" w:color="auto"/>
            <w:bottom w:val="none" w:sz="0" w:space="0" w:color="auto"/>
            <w:right w:val="none" w:sz="0" w:space="0" w:color="auto"/>
          </w:divBdr>
        </w:div>
      </w:divsChild>
    </w:div>
    <w:div w:id="1196114966">
      <w:bodyDiv w:val="1"/>
      <w:marLeft w:val="0"/>
      <w:marRight w:val="0"/>
      <w:marTop w:val="0"/>
      <w:marBottom w:val="0"/>
      <w:divBdr>
        <w:top w:val="none" w:sz="0" w:space="0" w:color="auto"/>
        <w:left w:val="none" w:sz="0" w:space="0" w:color="auto"/>
        <w:bottom w:val="none" w:sz="0" w:space="0" w:color="auto"/>
        <w:right w:val="none" w:sz="0" w:space="0" w:color="auto"/>
      </w:divBdr>
    </w:div>
    <w:div w:id="1253006522">
      <w:bodyDiv w:val="1"/>
      <w:marLeft w:val="0"/>
      <w:marRight w:val="0"/>
      <w:marTop w:val="0"/>
      <w:marBottom w:val="0"/>
      <w:divBdr>
        <w:top w:val="none" w:sz="0" w:space="0" w:color="auto"/>
        <w:left w:val="none" w:sz="0" w:space="0" w:color="auto"/>
        <w:bottom w:val="none" w:sz="0" w:space="0" w:color="auto"/>
        <w:right w:val="none" w:sz="0" w:space="0" w:color="auto"/>
      </w:divBdr>
    </w:div>
    <w:div w:id="1304970711">
      <w:bodyDiv w:val="1"/>
      <w:marLeft w:val="0"/>
      <w:marRight w:val="0"/>
      <w:marTop w:val="0"/>
      <w:marBottom w:val="0"/>
      <w:divBdr>
        <w:top w:val="none" w:sz="0" w:space="0" w:color="auto"/>
        <w:left w:val="none" w:sz="0" w:space="0" w:color="auto"/>
        <w:bottom w:val="none" w:sz="0" w:space="0" w:color="auto"/>
        <w:right w:val="none" w:sz="0" w:space="0" w:color="auto"/>
      </w:divBdr>
    </w:div>
    <w:div w:id="1373457804">
      <w:bodyDiv w:val="1"/>
      <w:marLeft w:val="0"/>
      <w:marRight w:val="0"/>
      <w:marTop w:val="0"/>
      <w:marBottom w:val="0"/>
      <w:divBdr>
        <w:top w:val="none" w:sz="0" w:space="0" w:color="auto"/>
        <w:left w:val="none" w:sz="0" w:space="0" w:color="auto"/>
        <w:bottom w:val="none" w:sz="0" w:space="0" w:color="auto"/>
        <w:right w:val="none" w:sz="0" w:space="0" w:color="auto"/>
      </w:divBdr>
    </w:div>
    <w:div w:id="1405450173">
      <w:bodyDiv w:val="1"/>
      <w:marLeft w:val="0"/>
      <w:marRight w:val="0"/>
      <w:marTop w:val="0"/>
      <w:marBottom w:val="0"/>
      <w:divBdr>
        <w:top w:val="none" w:sz="0" w:space="0" w:color="auto"/>
        <w:left w:val="none" w:sz="0" w:space="0" w:color="auto"/>
        <w:bottom w:val="none" w:sz="0" w:space="0" w:color="auto"/>
        <w:right w:val="none" w:sz="0" w:space="0" w:color="auto"/>
      </w:divBdr>
    </w:div>
    <w:div w:id="1435898834">
      <w:bodyDiv w:val="1"/>
      <w:marLeft w:val="0"/>
      <w:marRight w:val="0"/>
      <w:marTop w:val="0"/>
      <w:marBottom w:val="0"/>
      <w:divBdr>
        <w:top w:val="none" w:sz="0" w:space="0" w:color="auto"/>
        <w:left w:val="none" w:sz="0" w:space="0" w:color="auto"/>
        <w:bottom w:val="none" w:sz="0" w:space="0" w:color="auto"/>
        <w:right w:val="none" w:sz="0" w:space="0" w:color="auto"/>
      </w:divBdr>
    </w:div>
    <w:div w:id="1509830338">
      <w:bodyDiv w:val="1"/>
      <w:marLeft w:val="0"/>
      <w:marRight w:val="0"/>
      <w:marTop w:val="0"/>
      <w:marBottom w:val="0"/>
      <w:divBdr>
        <w:top w:val="none" w:sz="0" w:space="0" w:color="auto"/>
        <w:left w:val="none" w:sz="0" w:space="0" w:color="auto"/>
        <w:bottom w:val="none" w:sz="0" w:space="0" w:color="auto"/>
        <w:right w:val="none" w:sz="0" w:space="0" w:color="auto"/>
      </w:divBdr>
    </w:div>
    <w:div w:id="1525169033">
      <w:bodyDiv w:val="1"/>
      <w:marLeft w:val="0"/>
      <w:marRight w:val="0"/>
      <w:marTop w:val="0"/>
      <w:marBottom w:val="0"/>
      <w:divBdr>
        <w:top w:val="none" w:sz="0" w:space="0" w:color="auto"/>
        <w:left w:val="none" w:sz="0" w:space="0" w:color="auto"/>
        <w:bottom w:val="none" w:sz="0" w:space="0" w:color="auto"/>
        <w:right w:val="none" w:sz="0" w:space="0" w:color="auto"/>
      </w:divBdr>
    </w:div>
    <w:div w:id="1536650838">
      <w:bodyDiv w:val="1"/>
      <w:marLeft w:val="0"/>
      <w:marRight w:val="0"/>
      <w:marTop w:val="0"/>
      <w:marBottom w:val="0"/>
      <w:divBdr>
        <w:top w:val="none" w:sz="0" w:space="0" w:color="auto"/>
        <w:left w:val="none" w:sz="0" w:space="0" w:color="auto"/>
        <w:bottom w:val="none" w:sz="0" w:space="0" w:color="auto"/>
        <w:right w:val="none" w:sz="0" w:space="0" w:color="auto"/>
      </w:divBdr>
    </w:div>
    <w:div w:id="1555849582">
      <w:bodyDiv w:val="1"/>
      <w:marLeft w:val="0"/>
      <w:marRight w:val="0"/>
      <w:marTop w:val="0"/>
      <w:marBottom w:val="0"/>
      <w:divBdr>
        <w:top w:val="none" w:sz="0" w:space="0" w:color="auto"/>
        <w:left w:val="none" w:sz="0" w:space="0" w:color="auto"/>
        <w:bottom w:val="none" w:sz="0" w:space="0" w:color="auto"/>
        <w:right w:val="none" w:sz="0" w:space="0" w:color="auto"/>
      </w:divBdr>
    </w:div>
    <w:div w:id="1701973249">
      <w:bodyDiv w:val="1"/>
      <w:marLeft w:val="0"/>
      <w:marRight w:val="0"/>
      <w:marTop w:val="0"/>
      <w:marBottom w:val="0"/>
      <w:divBdr>
        <w:top w:val="none" w:sz="0" w:space="0" w:color="auto"/>
        <w:left w:val="none" w:sz="0" w:space="0" w:color="auto"/>
        <w:bottom w:val="none" w:sz="0" w:space="0" w:color="auto"/>
        <w:right w:val="none" w:sz="0" w:space="0" w:color="auto"/>
      </w:divBdr>
    </w:div>
    <w:div w:id="1746876679">
      <w:bodyDiv w:val="1"/>
      <w:marLeft w:val="0"/>
      <w:marRight w:val="0"/>
      <w:marTop w:val="0"/>
      <w:marBottom w:val="0"/>
      <w:divBdr>
        <w:top w:val="none" w:sz="0" w:space="0" w:color="auto"/>
        <w:left w:val="none" w:sz="0" w:space="0" w:color="auto"/>
        <w:bottom w:val="none" w:sz="0" w:space="0" w:color="auto"/>
        <w:right w:val="none" w:sz="0" w:space="0" w:color="auto"/>
      </w:divBdr>
    </w:div>
    <w:div w:id="1794245323">
      <w:bodyDiv w:val="1"/>
      <w:marLeft w:val="0"/>
      <w:marRight w:val="0"/>
      <w:marTop w:val="0"/>
      <w:marBottom w:val="0"/>
      <w:divBdr>
        <w:top w:val="none" w:sz="0" w:space="0" w:color="auto"/>
        <w:left w:val="none" w:sz="0" w:space="0" w:color="auto"/>
        <w:bottom w:val="none" w:sz="0" w:space="0" w:color="auto"/>
        <w:right w:val="none" w:sz="0" w:space="0" w:color="auto"/>
      </w:divBdr>
    </w:div>
    <w:div w:id="1798833668">
      <w:bodyDiv w:val="1"/>
      <w:marLeft w:val="0"/>
      <w:marRight w:val="0"/>
      <w:marTop w:val="0"/>
      <w:marBottom w:val="0"/>
      <w:divBdr>
        <w:top w:val="none" w:sz="0" w:space="0" w:color="auto"/>
        <w:left w:val="none" w:sz="0" w:space="0" w:color="auto"/>
        <w:bottom w:val="none" w:sz="0" w:space="0" w:color="auto"/>
        <w:right w:val="none" w:sz="0" w:space="0" w:color="auto"/>
      </w:divBdr>
    </w:div>
    <w:div w:id="1828814775">
      <w:bodyDiv w:val="1"/>
      <w:marLeft w:val="0"/>
      <w:marRight w:val="0"/>
      <w:marTop w:val="0"/>
      <w:marBottom w:val="0"/>
      <w:divBdr>
        <w:top w:val="none" w:sz="0" w:space="0" w:color="auto"/>
        <w:left w:val="none" w:sz="0" w:space="0" w:color="auto"/>
        <w:bottom w:val="none" w:sz="0" w:space="0" w:color="auto"/>
        <w:right w:val="none" w:sz="0" w:space="0" w:color="auto"/>
      </w:divBdr>
    </w:div>
    <w:div w:id="1921986454">
      <w:bodyDiv w:val="1"/>
      <w:marLeft w:val="0"/>
      <w:marRight w:val="0"/>
      <w:marTop w:val="0"/>
      <w:marBottom w:val="0"/>
      <w:divBdr>
        <w:top w:val="none" w:sz="0" w:space="0" w:color="auto"/>
        <w:left w:val="none" w:sz="0" w:space="0" w:color="auto"/>
        <w:bottom w:val="none" w:sz="0" w:space="0" w:color="auto"/>
        <w:right w:val="none" w:sz="0" w:space="0" w:color="auto"/>
      </w:divBdr>
    </w:div>
    <w:div w:id="1942689167">
      <w:bodyDiv w:val="1"/>
      <w:marLeft w:val="0"/>
      <w:marRight w:val="0"/>
      <w:marTop w:val="0"/>
      <w:marBottom w:val="0"/>
      <w:divBdr>
        <w:top w:val="none" w:sz="0" w:space="0" w:color="auto"/>
        <w:left w:val="none" w:sz="0" w:space="0" w:color="auto"/>
        <w:bottom w:val="none" w:sz="0" w:space="0" w:color="auto"/>
        <w:right w:val="none" w:sz="0" w:space="0" w:color="auto"/>
      </w:divBdr>
    </w:div>
    <w:div w:id="2053118165">
      <w:bodyDiv w:val="1"/>
      <w:marLeft w:val="0"/>
      <w:marRight w:val="0"/>
      <w:marTop w:val="0"/>
      <w:marBottom w:val="0"/>
      <w:divBdr>
        <w:top w:val="none" w:sz="0" w:space="0" w:color="auto"/>
        <w:left w:val="none" w:sz="0" w:space="0" w:color="auto"/>
        <w:bottom w:val="none" w:sz="0" w:space="0" w:color="auto"/>
        <w:right w:val="none" w:sz="0" w:space="0" w:color="auto"/>
      </w:divBdr>
    </w:div>
    <w:div w:id="2073849173">
      <w:bodyDiv w:val="1"/>
      <w:marLeft w:val="0"/>
      <w:marRight w:val="0"/>
      <w:marTop w:val="0"/>
      <w:marBottom w:val="0"/>
      <w:divBdr>
        <w:top w:val="none" w:sz="0" w:space="0" w:color="auto"/>
        <w:left w:val="none" w:sz="0" w:space="0" w:color="auto"/>
        <w:bottom w:val="none" w:sz="0" w:space="0" w:color="auto"/>
        <w:right w:val="none" w:sz="0" w:space="0" w:color="auto"/>
      </w:divBdr>
    </w:div>
    <w:div w:id="2085368722">
      <w:bodyDiv w:val="1"/>
      <w:marLeft w:val="0"/>
      <w:marRight w:val="0"/>
      <w:marTop w:val="0"/>
      <w:marBottom w:val="0"/>
      <w:divBdr>
        <w:top w:val="none" w:sz="0" w:space="0" w:color="auto"/>
        <w:left w:val="none" w:sz="0" w:space="0" w:color="auto"/>
        <w:bottom w:val="none" w:sz="0" w:space="0" w:color="auto"/>
        <w:right w:val="none" w:sz="0" w:space="0" w:color="auto"/>
      </w:divBdr>
    </w:div>
    <w:div w:id="2102486419">
      <w:bodyDiv w:val="1"/>
      <w:marLeft w:val="0"/>
      <w:marRight w:val="0"/>
      <w:marTop w:val="0"/>
      <w:marBottom w:val="0"/>
      <w:divBdr>
        <w:top w:val="none" w:sz="0" w:space="0" w:color="auto"/>
        <w:left w:val="none" w:sz="0" w:space="0" w:color="auto"/>
        <w:bottom w:val="none" w:sz="0" w:space="0" w:color="auto"/>
        <w:right w:val="none" w:sz="0" w:space="0" w:color="auto"/>
      </w:divBdr>
    </w:div>
    <w:div w:id="213464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aiqhub.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iqhub.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qhub.com"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902789B5150544B9D3430E3AB56A54" ma:contentTypeVersion="12" ma:contentTypeDescription="Create a new document." ma:contentTypeScope="" ma:versionID="7e0d006146607c5b01c0148eadb79dc7">
  <xsd:schema xmlns:xsd="http://www.w3.org/2001/XMLSchema" xmlns:xs="http://www.w3.org/2001/XMLSchema" xmlns:p="http://schemas.microsoft.com/office/2006/metadata/properties" xmlns:ns2="9eaf5c2d-4127-48ef-b34b-d204a0b13635" xmlns:ns3="cde02c00-95f3-43a1-a8e3-c976a5c03504" targetNamespace="http://schemas.microsoft.com/office/2006/metadata/properties" ma:root="true" ma:fieldsID="ea6b14b2ff9fa2b3967650f5e3d8c65c" ns2:_="" ns3:_="">
    <xsd:import namespace="9eaf5c2d-4127-48ef-b34b-d204a0b13635"/>
    <xsd:import namespace="cde02c00-95f3-43a1-a8e3-c976a5c035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f5c2d-4127-48ef-b34b-d204a0b13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02c00-95f3-43a1-a8e3-c976a5c035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C3379-CC16-4E24-9654-BEBDFE7C4F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3F7623-62C3-4CF8-B172-CD9A98A97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f5c2d-4127-48ef-b34b-d204a0b13635"/>
    <ds:schemaRef ds:uri="cde02c00-95f3-43a1-a8e3-c976a5c03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4DDB2-D292-4204-8733-46AB0E97E568}">
  <ds:schemaRefs>
    <ds:schemaRef ds:uri="http://schemas.microsoft.com/sharepoint/v3/contenttype/forms"/>
  </ds:schemaRefs>
</ds:datastoreItem>
</file>

<file path=customXml/itemProps4.xml><?xml version="1.0" encoding="utf-8"?>
<ds:datastoreItem xmlns:ds="http://schemas.openxmlformats.org/officeDocument/2006/customXml" ds:itemID="{57566A66-B8F8-4315-AA4F-F70B01C8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116</Pages>
  <Words>46603</Words>
  <Characters>265640</Characters>
  <Application>Microsoft Office Word</Application>
  <DocSecurity>0</DocSecurity>
  <Lines>2213</Lines>
  <Paragraphs>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311620</CharactersWithSpaces>
  <SharedDoc>false</SharedDoc>
  <HLinks>
    <vt:vector size="138" baseType="variant">
      <vt:variant>
        <vt:i4>2097213</vt:i4>
      </vt:variant>
      <vt:variant>
        <vt:i4>216</vt:i4>
      </vt:variant>
      <vt:variant>
        <vt:i4>0</vt:i4>
      </vt:variant>
      <vt:variant>
        <vt:i4>5</vt:i4>
      </vt:variant>
      <vt:variant>
        <vt:lpwstr>http://www.aiqhub.com/</vt:lpwstr>
      </vt:variant>
      <vt:variant>
        <vt:lpwstr/>
      </vt:variant>
      <vt:variant>
        <vt:i4>2097213</vt:i4>
      </vt:variant>
      <vt:variant>
        <vt:i4>183</vt:i4>
      </vt:variant>
      <vt:variant>
        <vt:i4>0</vt:i4>
      </vt:variant>
      <vt:variant>
        <vt:i4>5</vt:i4>
      </vt:variant>
      <vt:variant>
        <vt:lpwstr>http://www.aiqhub.com/</vt:lpwstr>
      </vt:variant>
      <vt:variant>
        <vt:lpwstr/>
      </vt:variant>
      <vt:variant>
        <vt:i4>1179696</vt:i4>
      </vt:variant>
      <vt:variant>
        <vt:i4>119</vt:i4>
      </vt:variant>
      <vt:variant>
        <vt:i4>0</vt:i4>
      </vt:variant>
      <vt:variant>
        <vt:i4>5</vt:i4>
      </vt:variant>
      <vt:variant>
        <vt:lpwstr/>
      </vt:variant>
      <vt:variant>
        <vt:lpwstr>_Toc30454838</vt:lpwstr>
      </vt:variant>
      <vt:variant>
        <vt:i4>1900592</vt:i4>
      </vt:variant>
      <vt:variant>
        <vt:i4>113</vt:i4>
      </vt:variant>
      <vt:variant>
        <vt:i4>0</vt:i4>
      </vt:variant>
      <vt:variant>
        <vt:i4>5</vt:i4>
      </vt:variant>
      <vt:variant>
        <vt:lpwstr/>
      </vt:variant>
      <vt:variant>
        <vt:lpwstr>_Toc30454837</vt:lpwstr>
      </vt:variant>
      <vt:variant>
        <vt:i4>1835056</vt:i4>
      </vt:variant>
      <vt:variant>
        <vt:i4>107</vt:i4>
      </vt:variant>
      <vt:variant>
        <vt:i4>0</vt:i4>
      </vt:variant>
      <vt:variant>
        <vt:i4>5</vt:i4>
      </vt:variant>
      <vt:variant>
        <vt:lpwstr/>
      </vt:variant>
      <vt:variant>
        <vt:lpwstr>_Toc30454836</vt:lpwstr>
      </vt:variant>
      <vt:variant>
        <vt:i4>2031664</vt:i4>
      </vt:variant>
      <vt:variant>
        <vt:i4>101</vt:i4>
      </vt:variant>
      <vt:variant>
        <vt:i4>0</vt:i4>
      </vt:variant>
      <vt:variant>
        <vt:i4>5</vt:i4>
      </vt:variant>
      <vt:variant>
        <vt:lpwstr/>
      </vt:variant>
      <vt:variant>
        <vt:lpwstr>_Toc30454835</vt:lpwstr>
      </vt:variant>
      <vt:variant>
        <vt:i4>1966128</vt:i4>
      </vt:variant>
      <vt:variant>
        <vt:i4>95</vt:i4>
      </vt:variant>
      <vt:variant>
        <vt:i4>0</vt:i4>
      </vt:variant>
      <vt:variant>
        <vt:i4>5</vt:i4>
      </vt:variant>
      <vt:variant>
        <vt:lpwstr/>
      </vt:variant>
      <vt:variant>
        <vt:lpwstr>_Toc30454834</vt:lpwstr>
      </vt:variant>
      <vt:variant>
        <vt:i4>1638448</vt:i4>
      </vt:variant>
      <vt:variant>
        <vt:i4>89</vt:i4>
      </vt:variant>
      <vt:variant>
        <vt:i4>0</vt:i4>
      </vt:variant>
      <vt:variant>
        <vt:i4>5</vt:i4>
      </vt:variant>
      <vt:variant>
        <vt:lpwstr/>
      </vt:variant>
      <vt:variant>
        <vt:lpwstr>_Toc30454833</vt:lpwstr>
      </vt:variant>
      <vt:variant>
        <vt:i4>1572912</vt:i4>
      </vt:variant>
      <vt:variant>
        <vt:i4>83</vt:i4>
      </vt:variant>
      <vt:variant>
        <vt:i4>0</vt:i4>
      </vt:variant>
      <vt:variant>
        <vt:i4>5</vt:i4>
      </vt:variant>
      <vt:variant>
        <vt:lpwstr/>
      </vt:variant>
      <vt:variant>
        <vt:lpwstr>_Toc30454832</vt:lpwstr>
      </vt:variant>
      <vt:variant>
        <vt:i4>1769520</vt:i4>
      </vt:variant>
      <vt:variant>
        <vt:i4>77</vt:i4>
      </vt:variant>
      <vt:variant>
        <vt:i4>0</vt:i4>
      </vt:variant>
      <vt:variant>
        <vt:i4>5</vt:i4>
      </vt:variant>
      <vt:variant>
        <vt:lpwstr/>
      </vt:variant>
      <vt:variant>
        <vt:lpwstr>_Toc30454831</vt:lpwstr>
      </vt:variant>
      <vt:variant>
        <vt:i4>1703984</vt:i4>
      </vt:variant>
      <vt:variant>
        <vt:i4>71</vt:i4>
      </vt:variant>
      <vt:variant>
        <vt:i4>0</vt:i4>
      </vt:variant>
      <vt:variant>
        <vt:i4>5</vt:i4>
      </vt:variant>
      <vt:variant>
        <vt:lpwstr/>
      </vt:variant>
      <vt:variant>
        <vt:lpwstr>_Toc30454830</vt:lpwstr>
      </vt:variant>
      <vt:variant>
        <vt:i4>1245233</vt:i4>
      </vt:variant>
      <vt:variant>
        <vt:i4>65</vt:i4>
      </vt:variant>
      <vt:variant>
        <vt:i4>0</vt:i4>
      </vt:variant>
      <vt:variant>
        <vt:i4>5</vt:i4>
      </vt:variant>
      <vt:variant>
        <vt:lpwstr/>
      </vt:variant>
      <vt:variant>
        <vt:lpwstr>_Toc30454829</vt:lpwstr>
      </vt:variant>
      <vt:variant>
        <vt:i4>1179697</vt:i4>
      </vt:variant>
      <vt:variant>
        <vt:i4>59</vt:i4>
      </vt:variant>
      <vt:variant>
        <vt:i4>0</vt:i4>
      </vt:variant>
      <vt:variant>
        <vt:i4>5</vt:i4>
      </vt:variant>
      <vt:variant>
        <vt:lpwstr/>
      </vt:variant>
      <vt:variant>
        <vt:lpwstr>_Toc30454828</vt:lpwstr>
      </vt:variant>
      <vt:variant>
        <vt:i4>1900593</vt:i4>
      </vt:variant>
      <vt:variant>
        <vt:i4>53</vt:i4>
      </vt:variant>
      <vt:variant>
        <vt:i4>0</vt:i4>
      </vt:variant>
      <vt:variant>
        <vt:i4>5</vt:i4>
      </vt:variant>
      <vt:variant>
        <vt:lpwstr/>
      </vt:variant>
      <vt:variant>
        <vt:lpwstr>_Toc30454827</vt:lpwstr>
      </vt:variant>
      <vt:variant>
        <vt:i4>1835057</vt:i4>
      </vt:variant>
      <vt:variant>
        <vt:i4>47</vt:i4>
      </vt:variant>
      <vt:variant>
        <vt:i4>0</vt:i4>
      </vt:variant>
      <vt:variant>
        <vt:i4>5</vt:i4>
      </vt:variant>
      <vt:variant>
        <vt:lpwstr/>
      </vt:variant>
      <vt:variant>
        <vt:lpwstr>_Toc30454826</vt:lpwstr>
      </vt:variant>
      <vt:variant>
        <vt:i4>1703985</vt:i4>
      </vt:variant>
      <vt:variant>
        <vt:i4>41</vt:i4>
      </vt:variant>
      <vt:variant>
        <vt:i4>0</vt:i4>
      </vt:variant>
      <vt:variant>
        <vt:i4>5</vt:i4>
      </vt:variant>
      <vt:variant>
        <vt:lpwstr/>
      </vt:variant>
      <vt:variant>
        <vt:lpwstr>_Toc30454820</vt:lpwstr>
      </vt:variant>
      <vt:variant>
        <vt:i4>1245234</vt:i4>
      </vt:variant>
      <vt:variant>
        <vt:i4>35</vt:i4>
      </vt:variant>
      <vt:variant>
        <vt:i4>0</vt:i4>
      </vt:variant>
      <vt:variant>
        <vt:i4>5</vt:i4>
      </vt:variant>
      <vt:variant>
        <vt:lpwstr/>
      </vt:variant>
      <vt:variant>
        <vt:lpwstr>_Toc30454819</vt:lpwstr>
      </vt:variant>
      <vt:variant>
        <vt:i4>1179698</vt:i4>
      </vt:variant>
      <vt:variant>
        <vt:i4>29</vt:i4>
      </vt:variant>
      <vt:variant>
        <vt:i4>0</vt:i4>
      </vt:variant>
      <vt:variant>
        <vt:i4>5</vt:i4>
      </vt:variant>
      <vt:variant>
        <vt:lpwstr/>
      </vt:variant>
      <vt:variant>
        <vt:lpwstr>_Toc30454818</vt:lpwstr>
      </vt:variant>
      <vt:variant>
        <vt:i4>1900594</vt:i4>
      </vt:variant>
      <vt:variant>
        <vt:i4>23</vt:i4>
      </vt:variant>
      <vt:variant>
        <vt:i4>0</vt:i4>
      </vt:variant>
      <vt:variant>
        <vt:i4>5</vt:i4>
      </vt:variant>
      <vt:variant>
        <vt:lpwstr/>
      </vt:variant>
      <vt:variant>
        <vt:lpwstr>_Toc30454817</vt:lpwstr>
      </vt:variant>
      <vt:variant>
        <vt:i4>1835058</vt:i4>
      </vt:variant>
      <vt:variant>
        <vt:i4>17</vt:i4>
      </vt:variant>
      <vt:variant>
        <vt:i4>0</vt:i4>
      </vt:variant>
      <vt:variant>
        <vt:i4>5</vt:i4>
      </vt:variant>
      <vt:variant>
        <vt:lpwstr/>
      </vt:variant>
      <vt:variant>
        <vt:lpwstr>_Toc30454816</vt:lpwstr>
      </vt:variant>
      <vt:variant>
        <vt:i4>2031666</vt:i4>
      </vt:variant>
      <vt:variant>
        <vt:i4>11</vt:i4>
      </vt:variant>
      <vt:variant>
        <vt:i4>0</vt:i4>
      </vt:variant>
      <vt:variant>
        <vt:i4>5</vt:i4>
      </vt:variant>
      <vt:variant>
        <vt:lpwstr/>
      </vt:variant>
      <vt:variant>
        <vt:lpwstr>_Toc30454815</vt:lpwstr>
      </vt:variant>
      <vt:variant>
        <vt:i4>1966130</vt:i4>
      </vt:variant>
      <vt:variant>
        <vt:i4>5</vt:i4>
      </vt:variant>
      <vt:variant>
        <vt:i4>0</vt:i4>
      </vt:variant>
      <vt:variant>
        <vt:i4>5</vt:i4>
      </vt:variant>
      <vt:variant>
        <vt:lpwstr/>
      </vt:variant>
      <vt:variant>
        <vt:lpwstr>_Toc30454814</vt:lpwstr>
      </vt:variant>
      <vt:variant>
        <vt:i4>2097213</vt:i4>
      </vt:variant>
      <vt:variant>
        <vt:i4>0</vt:i4>
      </vt:variant>
      <vt:variant>
        <vt:i4>0</vt:i4>
      </vt:variant>
      <vt:variant>
        <vt:i4>5</vt:i4>
      </vt:variant>
      <vt:variant>
        <vt:lpwstr>http://www.aiqhub.com/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Hut Lim</dc:creator>
  <cp:keywords/>
  <dc:description/>
  <cp:lastModifiedBy>Sean Urquhart</cp:lastModifiedBy>
  <cp:revision>147</cp:revision>
  <cp:lastPrinted>2019-12-03T18:06:00Z</cp:lastPrinted>
  <dcterms:created xsi:type="dcterms:W3CDTF">2020-03-18T15:57:00Z</dcterms:created>
  <dcterms:modified xsi:type="dcterms:W3CDTF">2020-03-19T17:59:00Z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0x0101004F902789B5150544B9D3430E3AB56A54</vt:lpwstr>
  </property>
  <property fmtid="{D5CDD505-2E9C-101B-9397-08002B2CF9AE}" pid="3" name="Order">
    <vt:r8>6408800</vt:r8>
  </property>
</Properties>
</file>