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640B25" w14:textId="6C9F03B4" w:rsidR="00F93CC3" w:rsidRDefault="00F93CC3"/>
    <w:sdt>
      <w:sdtPr>
        <w:id w:val="1614021725"/>
        <w:docPartObj>
          <w:docPartGallery w:val="Cover Pages"/>
          <w:docPartUnique/>
        </w:docPartObj>
      </w:sdtPr>
      <w:sdtEndPr/>
      <w:sdtContent>
        <w:bookmarkStart w:id="0" w:name="_Hlk100599055" w:displacedByCustomXml="next"/>
        <w:sdt>
          <w:sdtPr>
            <w:rPr>
              <w:rFonts w:asciiTheme="minorHAnsi" w:hAnsiTheme="minorHAnsi" w:cstheme="minorHAnsi"/>
            </w:rPr>
            <w:id w:val="973715889"/>
            <w:docPartObj>
              <w:docPartGallery w:val="Cover Pages"/>
              <w:docPartUnique/>
            </w:docPartObj>
          </w:sdtPr>
          <w:sdtEndPr/>
          <w:sdtContent>
            <w:p w14:paraId="6BE32488" w14:textId="6E1D357A" w:rsidR="0041512C" w:rsidRPr="00B264D1" w:rsidRDefault="0041512C" w:rsidP="0041512C">
              <w:pPr>
                <w:rPr>
                  <w:rFonts w:asciiTheme="minorHAnsi" w:hAnsiTheme="minorHAnsi" w:cstheme="minorHAnsi"/>
                </w:rPr>
              </w:pPr>
              <w:r w:rsidRPr="00B264D1">
                <w:rPr>
                  <w:rFonts w:asciiTheme="minorHAnsi" w:hAnsiTheme="minorHAnsi" w:cstheme="minorHAnsi"/>
                  <w:noProof/>
                </w:rPr>
                <w:drawing>
                  <wp:anchor distT="0" distB="0" distL="114300" distR="114300" simplePos="0" relativeHeight="251658244" behindDoc="0" locked="0" layoutInCell="1" allowOverlap="1" wp14:anchorId="4E2491DD" wp14:editId="6BFCA80B">
                    <wp:simplePos x="0" y="0"/>
                    <wp:positionH relativeFrom="margin">
                      <wp:align>center</wp:align>
                    </wp:positionH>
                    <wp:positionV relativeFrom="paragraph">
                      <wp:posOffset>46355</wp:posOffset>
                    </wp:positionV>
                    <wp:extent cx="2678448" cy="507575"/>
                    <wp:effectExtent l="0" t="0" r="7620" b="698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78448" cy="507575"/>
                            </a:xfrm>
                            <a:prstGeom prst="rect">
                              <a:avLst/>
                            </a:prstGeom>
                          </pic:spPr>
                        </pic:pic>
                      </a:graphicData>
                    </a:graphic>
                    <wp14:sizeRelH relativeFrom="margin">
                      <wp14:pctWidth>0</wp14:pctWidth>
                    </wp14:sizeRelH>
                    <wp14:sizeRelV relativeFrom="margin">
                      <wp14:pctHeight>0</wp14:pctHeight>
                    </wp14:sizeRelV>
                  </wp:anchor>
                </w:drawing>
              </w:r>
            </w:p>
            <w:p w14:paraId="03FD5CD0" w14:textId="77777777" w:rsidR="0041512C" w:rsidRPr="00B264D1" w:rsidRDefault="0041512C" w:rsidP="0041512C">
              <w:pPr>
                <w:spacing w:after="0" w:line="240" w:lineRule="auto"/>
                <w:rPr>
                  <w:rFonts w:asciiTheme="minorHAnsi" w:hAnsiTheme="minorHAnsi" w:cstheme="minorHAnsi"/>
                </w:rPr>
              </w:pPr>
            </w:p>
            <w:p w14:paraId="29DE3E27" w14:textId="77777777" w:rsidR="0041512C" w:rsidRPr="00B264D1" w:rsidRDefault="0041512C" w:rsidP="0041512C">
              <w:pPr>
                <w:rPr>
                  <w:rFonts w:asciiTheme="minorHAnsi" w:hAnsiTheme="minorHAnsi" w:cstheme="minorHAnsi"/>
                </w:rPr>
              </w:pPr>
            </w:p>
            <w:sdt>
              <w:sdtPr>
                <w:rPr>
                  <w:rFonts w:asciiTheme="minorHAnsi" w:hAnsiTheme="minorHAnsi" w:cstheme="minorHAnsi"/>
                </w:rPr>
                <w:id w:val="716160810"/>
                <w:docPartObj>
                  <w:docPartGallery w:val="Cover Pages"/>
                  <w:docPartUnique/>
                </w:docPartObj>
              </w:sdtPr>
              <w:sdtEndPr/>
              <w:sdtContent>
                <w:p w14:paraId="4E03268C" w14:textId="77777777" w:rsidR="0041512C" w:rsidRPr="00B264D1" w:rsidRDefault="0041512C" w:rsidP="0041512C">
                  <w:pPr>
                    <w:rPr>
                      <w:rFonts w:asciiTheme="minorHAnsi" w:hAnsiTheme="minorHAnsi" w:cstheme="minorHAnsi"/>
                    </w:rPr>
                  </w:pPr>
                </w:p>
                <w:p w14:paraId="69EAB487" w14:textId="77777777" w:rsidR="0041512C" w:rsidRPr="00B264D1" w:rsidRDefault="009C6A47" w:rsidP="0041512C">
                  <w:pPr>
                    <w:spacing w:after="0" w:line="240" w:lineRule="auto"/>
                    <w:rPr>
                      <w:rFonts w:asciiTheme="minorHAnsi" w:hAnsiTheme="minorHAnsi" w:cstheme="minorHAnsi"/>
                    </w:rPr>
                  </w:pPr>
                </w:p>
              </w:sdtContent>
            </w:sdt>
            <w:p w14:paraId="6C1C9FEB" w14:textId="77777777" w:rsidR="0041512C" w:rsidRPr="00B264D1" w:rsidRDefault="0041512C" w:rsidP="0041512C">
              <w:pPr>
                <w:spacing w:after="0" w:line="240" w:lineRule="auto"/>
                <w:rPr>
                  <w:rFonts w:asciiTheme="minorHAnsi" w:hAnsiTheme="minorHAnsi" w:cstheme="minorHAnsi"/>
                </w:rPr>
              </w:pPr>
            </w:p>
            <w:p w14:paraId="212FE466" w14:textId="77777777" w:rsidR="0041512C" w:rsidRPr="00B264D1" w:rsidRDefault="0041512C" w:rsidP="0041512C">
              <w:pPr>
                <w:spacing w:after="0" w:line="240" w:lineRule="auto"/>
                <w:rPr>
                  <w:rFonts w:asciiTheme="minorHAnsi" w:hAnsiTheme="minorHAnsi" w:cstheme="minorHAnsi"/>
                </w:rPr>
              </w:pPr>
            </w:p>
            <w:p w14:paraId="4559D16E" w14:textId="77777777" w:rsidR="0041512C" w:rsidRPr="00B264D1" w:rsidRDefault="0041512C" w:rsidP="0041512C">
              <w:pPr>
                <w:spacing w:after="0" w:line="240" w:lineRule="auto"/>
                <w:rPr>
                  <w:rFonts w:asciiTheme="minorHAnsi" w:hAnsiTheme="minorHAnsi" w:cstheme="minorHAnsi"/>
                </w:rPr>
              </w:pPr>
            </w:p>
            <w:p w14:paraId="21C44187" w14:textId="77777777" w:rsidR="0041512C" w:rsidRPr="00B264D1" w:rsidRDefault="0041512C" w:rsidP="0041512C">
              <w:pPr>
                <w:spacing w:after="0" w:line="240" w:lineRule="auto"/>
                <w:rPr>
                  <w:rFonts w:asciiTheme="minorHAnsi" w:hAnsiTheme="minorHAnsi" w:cstheme="minorHAnsi"/>
                </w:rPr>
              </w:pPr>
            </w:p>
            <w:p w14:paraId="438450B1" w14:textId="77777777" w:rsidR="0041512C" w:rsidRPr="00B264D1" w:rsidRDefault="0041512C" w:rsidP="0041512C">
              <w:pPr>
                <w:spacing w:after="0" w:line="240" w:lineRule="auto"/>
                <w:rPr>
                  <w:rFonts w:asciiTheme="minorHAnsi" w:hAnsiTheme="minorHAnsi" w:cstheme="minorHAnsi"/>
                </w:rPr>
              </w:pPr>
            </w:p>
            <w:p w14:paraId="46185E28" w14:textId="77777777" w:rsidR="0041512C" w:rsidRPr="00B264D1" w:rsidRDefault="0041512C" w:rsidP="0041512C">
              <w:pPr>
                <w:spacing w:after="0" w:line="240" w:lineRule="auto"/>
                <w:rPr>
                  <w:rFonts w:asciiTheme="minorHAnsi" w:hAnsiTheme="minorHAnsi" w:cstheme="minorHAnsi"/>
                </w:rPr>
              </w:pPr>
            </w:p>
            <w:p w14:paraId="2FE11141" w14:textId="77777777" w:rsidR="0041512C" w:rsidRPr="00B264D1" w:rsidRDefault="0041512C" w:rsidP="0041512C">
              <w:pPr>
                <w:spacing w:after="0" w:line="240" w:lineRule="auto"/>
                <w:rPr>
                  <w:rFonts w:asciiTheme="minorHAnsi" w:hAnsiTheme="minorHAnsi" w:cstheme="minorHAnsi"/>
                </w:rPr>
              </w:pPr>
            </w:p>
            <w:p w14:paraId="685FB397" w14:textId="77777777" w:rsidR="0041512C" w:rsidRPr="00B264D1" w:rsidRDefault="0041512C" w:rsidP="0041512C">
              <w:pPr>
                <w:spacing w:after="0" w:line="240" w:lineRule="auto"/>
                <w:rPr>
                  <w:rFonts w:asciiTheme="minorHAnsi" w:hAnsiTheme="minorHAnsi" w:cstheme="minorHAnsi"/>
                </w:rPr>
              </w:pPr>
            </w:p>
            <w:p w14:paraId="3A79A4E9" w14:textId="77777777" w:rsidR="0041512C" w:rsidRPr="00B264D1" w:rsidRDefault="0041512C" w:rsidP="0041512C">
              <w:pPr>
                <w:spacing w:after="0" w:line="240" w:lineRule="auto"/>
                <w:rPr>
                  <w:rFonts w:asciiTheme="minorHAnsi" w:hAnsiTheme="minorHAnsi" w:cstheme="minorHAnsi"/>
                </w:rPr>
              </w:pPr>
            </w:p>
            <w:p w14:paraId="67B85E8D" w14:textId="77777777" w:rsidR="0041512C" w:rsidRPr="00B264D1" w:rsidRDefault="0041512C" w:rsidP="0041512C">
              <w:pPr>
                <w:spacing w:after="0" w:line="240" w:lineRule="auto"/>
                <w:rPr>
                  <w:rFonts w:asciiTheme="minorHAnsi" w:hAnsiTheme="minorHAnsi" w:cstheme="minorHAnsi"/>
                </w:rPr>
              </w:pPr>
            </w:p>
            <w:p w14:paraId="2710343F" w14:textId="77777777" w:rsidR="0041512C" w:rsidRPr="00B264D1" w:rsidRDefault="0041512C" w:rsidP="0041512C">
              <w:pPr>
                <w:spacing w:after="0" w:line="240" w:lineRule="auto"/>
                <w:rPr>
                  <w:rFonts w:asciiTheme="minorHAnsi" w:hAnsiTheme="minorHAnsi" w:cstheme="minorHAnsi"/>
                </w:rPr>
              </w:pPr>
            </w:p>
            <w:p w14:paraId="33B11361" w14:textId="77777777" w:rsidR="0041512C" w:rsidRPr="00B264D1" w:rsidRDefault="0041512C" w:rsidP="0041512C">
              <w:pPr>
                <w:spacing w:after="0" w:line="240" w:lineRule="auto"/>
                <w:rPr>
                  <w:rFonts w:asciiTheme="minorHAnsi" w:hAnsiTheme="minorHAnsi" w:cstheme="minorHAnsi"/>
                </w:rPr>
              </w:pPr>
              <w:r w:rsidRPr="00B264D1">
                <w:rPr>
                  <w:rFonts w:asciiTheme="minorHAnsi" w:hAnsiTheme="minorHAnsi" w:cstheme="minorHAnsi"/>
                  <w:noProof/>
                </w:rPr>
                <mc:AlternateContent>
                  <mc:Choice Requires="wps">
                    <w:drawing>
                      <wp:anchor distT="0" distB="0" distL="114300" distR="114300" simplePos="0" relativeHeight="251658243" behindDoc="0" locked="0" layoutInCell="1" allowOverlap="1" wp14:anchorId="56C7A941" wp14:editId="09229CEF">
                        <wp:simplePos x="0" y="0"/>
                        <wp:positionH relativeFrom="page">
                          <wp:align>left</wp:align>
                        </wp:positionH>
                        <wp:positionV relativeFrom="paragraph">
                          <wp:posOffset>279581</wp:posOffset>
                        </wp:positionV>
                        <wp:extent cx="7560310" cy="1881052"/>
                        <wp:effectExtent l="0" t="0" r="2540" b="5080"/>
                        <wp:wrapNone/>
                        <wp:docPr id="17" name="Text Box 196"/>
                        <wp:cNvGraphicFramePr/>
                        <a:graphic xmlns:a="http://schemas.openxmlformats.org/drawingml/2006/main">
                          <a:graphicData uri="http://schemas.microsoft.com/office/word/2010/wordprocessingShape">
                            <wps:wsp>
                              <wps:cNvSpPr txBox="1"/>
                              <wps:spPr>
                                <a:xfrm>
                                  <a:off x="0" y="0"/>
                                  <a:ext cx="7560310" cy="1881052"/>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olor w:val="000E9C"/>
                                        <w:sz w:val="72"/>
                                        <w:szCs w:val="72"/>
                                      </w:rPr>
                                      <w:alias w:val="Title"/>
                                      <w:tag w:val=""/>
                                      <w:id w:val="581105178"/>
                                      <w:dataBinding w:prefixMappings="xmlns:ns0='http://purl.org/dc/elements/1.1/' xmlns:ns1='http://schemas.openxmlformats.org/package/2006/metadata/core-properties' " w:xpath="/ns1:coreProperties[1]/ns0:title[1]" w:storeItemID="{6C3C8BC8-F283-45AE-878A-BAB7291924A1}"/>
                                      <w:text/>
                                    </w:sdtPr>
                                    <w:sdtEndPr/>
                                    <w:sdtContent>
                                      <w:p w14:paraId="59AD24EB" w14:textId="32777D01" w:rsidR="0041512C" w:rsidRPr="0001318F" w:rsidRDefault="0041512C" w:rsidP="0041512C">
                                        <w:pPr>
                                          <w:pStyle w:val="Sansinterligne"/>
                                          <w:shd w:val="clear" w:color="auto" w:fill="FFFFFF" w:themeFill="background1"/>
                                          <w:jc w:val="center"/>
                                          <w:rPr>
                                            <w:rFonts w:asciiTheme="majorHAnsi" w:eastAsiaTheme="majorEastAsia" w:hAnsiTheme="majorHAnsi" w:cstheme="majorBidi"/>
                                            <w:caps/>
                                            <w:color w:val="000E9C"/>
                                            <w:sz w:val="72"/>
                                            <w:szCs w:val="72"/>
                                          </w:rPr>
                                        </w:pPr>
                                        <w:r>
                                          <w:rPr>
                                            <w:rFonts w:asciiTheme="majorHAnsi" w:eastAsiaTheme="majorEastAsia" w:hAnsiTheme="majorHAnsi" w:cstheme="majorBidi"/>
                                            <w:color w:val="000E9C"/>
                                            <w:sz w:val="72"/>
                                            <w:szCs w:val="72"/>
                                          </w:rPr>
                                          <w:t>Comptes Consolidés Semestriels Résumés</w:t>
                                        </w:r>
                                      </w:p>
                                    </w:sdtContent>
                                  </w:sdt>
                                  <w:p w14:paraId="626E3997" w14:textId="77777777" w:rsidR="0041512C" w:rsidRPr="0001318F" w:rsidRDefault="0041512C" w:rsidP="0041512C">
                                    <w:pPr>
                                      <w:pStyle w:val="Sansinterligne"/>
                                      <w:shd w:val="clear" w:color="auto" w:fill="FFFFFF" w:themeFill="background1"/>
                                      <w:jc w:val="center"/>
                                      <w:rPr>
                                        <w:rFonts w:asciiTheme="majorHAnsi" w:eastAsiaTheme="majorEastAsia" w:hAnsiTheme="majorHAnsi" w:cstheme="majorBidi"/>
                                        <w:color w:val="000E9C"/>
                                        <w:sz w:val="72"/>
                                        <w:szCs w:val="72"/>
                                      </w:rPr>
                                    </w:pPr>
                                    <w:r>
                                      <w:rPr>
                                        <w:rFonts w:asciiTheme="majorHAnsi" w:eastAsiaTheme="majorEastAsia" w:hAnsiTheme="majorHAnsi" w:cstheme="majorBidi"/>
                                        <w:color w:val="000E9C"/>
                                        <w:sz w:val="72"/>
                                        <w:szCs w:val="72"/>
                                      </w:rPr>
                                      <w:t>1</w:t>
                                    </w:r>
                                    <w:r w:rsidRPr="001F66C4">
                                      <w:rPr>
                                        <w:rFonts w:asciiTheme="majorHAnsi" w:eastAsiaTheme="majorEastAsia" w:hAnsiTheme="majorHAnsi" w:cstheme="majorBidi"/>
                                        <w:color w:val="000E9C"/>
                                        <w:sz w:val="72"/>
                                        <w:szCs w:val="72"/>
                                        <w:vertAlign w:val="superscript"/>
                                      </w:rPr>
                                      <w:t>er</w:t>
                                    </w:r>
                                    <w:r>
                                      <w:rPr>
                                        <w:rFonts w:asciiTheme="majorHAnsi" w:eastAsiaTheme="majorEastAsia" w:hAnsiTheme="majorHAnsi" w:cstheme="majorBidi"/>
                                        <w:color w:val="000E9C"/>
                                        <w:sz w:val="72"/>
                                        <w:szCs w:val="72"/>
                                      </w:rPr>
                                      <w:t xml:space="preserve"> semestre</w:t>
                                    </w:r>
                                    <w:r w:rsidRPr="0001318F">
                                      <w:rPr>
                                        <w:rFonts w:asciiTheme="majorHAnsi" w:eastAsiaTheme="majorEastAsia" w:hAnsiTheme="majorHAnsi" w:cstheme="majorBidi"/>
                                        <w:color w:val="000E9C"/>
                                        <w:sz w:val="72"/>
                                        <w:szCs w:val="72"/>
                                      </w:rPr>
                                      <w:t xml:space="preserve"> 202</w:t>
                                    </w:r>
                                    <w:r>
                                      <w:rPr>
                                        <w:rFonts w:asciiTheme="majorHAnsi" w:eastAsiaTheme="majorEastAsia" w:hAnsiTheme="majorHAnsi" w:cstheme="majorBidi"/>
                                        <w:color w:val="000E9C"/>
                                        <w:sz w:val="72"/>
                                        <w:szCs w:val="72"/>
                                      </w:rPr>
                                      <w:t>2</w:t>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C7A941" id="_x0000_t202" coordsize="21600,21600" o:spt="202" path="m,l,21600r21600,l21600,xe">
                        <v:stroke joinstyle="miter"/>
                        <v:path gradientshapeok="t" o:connecttype="rect"/>
                      </v:shapetype>
                      <v:shape id="Text Box 196" o:spid="_x0000_s1026" type="#_x0000_t202" style="position:absolute;margin-left:0;margin-top:22pt;width:595.3pt;height:148.1pt;z-index:251658243;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" fillcolor="white [3212]" stroked="f" strokeweight=".5pt">
                        <v:textbox inset="36pt,7.2pt,36pt,7.2pt">
                          <w:txbxContent>
                            <w:sdt>
                              <w:sdtPr>
                                <w:rPr>
                                  <w:rFonts w:asciiTheme="majorHAnsi" w:eastAsiaTheme="majorEastAsia" w:hAnsiTheme="majorHAnsi" w:cstheme="majorBidi"/>
                                  <w:color w:val="000E9C"/>
                                  <w:sz w:val="72"/>
                                  <w:szCs w:val="72"/>
                                </w:rPr>
                                <w:alias w:val="Title"/>
                                <w:tag w:val=""/>
                                <w:id w:val="581105178"/>
                                <w:dataBinding w:prefixMappings="xmlns:ns0='http://purl.org/dc/elements/1.1/' xmlns:ns1='http://schemas.openxmlformats.org/package/2006/metadata/core-properties' " w:xpath="/ns1:coreProperties[1]/ns0:title[1]" w:storeItemID="{6C3C8BC8-F283-45AE-878A-BAB7291924A1}"/>
                                <w:text/>
                              </w:sdtPr>
                              <w:sdtEndPr/>
                              <w:sdtContent>
                                <w:p w14:paraId="59AD24EB" w14:textId="32777D01" w:rsidR="0041512C" w:rsidRPr="0001318F" w:rsidRDefault="0041512C" w:rsidP="0041512C">
                                  <w:pPr>
                                    <w:pStyle w:val="Sansinterligne"/>
                                    <w:shd w:val="clear" w:color="auto" w:fill="FFFFFF" w:themeFill="background1"/>
                                    <w:jc w:val="center"/>
                                    <w:rPr>
                                      <w:rFonts w:asciiTheme="majorHAnsi" w:eastAsiaTheme="majorEastAsia" w:hAnsiTheme="majorHAnsi" w:cstheme="majorBidi"/>
                                      <w:caps/>
                                      <w:color w:val="000E9C"/>
                                      <w:sz w:val="72"/>
                                      <w:szCs w:val="72"/>
                                    </w:rPr>
                                  </w:pPr>
                                  <w:r>
                                    <w:rPr>
                                      <w:rFonts w:asciiTheme="majorHAnsi" w:eastAsiaTheme="majorEastAsia" w:hAnsiTheme="majorHAnsi" w:cstheme="majorBidi"/>
                                      <w:color w:val="000E9C"/>
                                      <w:sz w:val="72"/>
                                      <w:szCs w:val="72"/>
                                    </w:rPr>
                                    <w:t>Comptes Consolidés Semestriels Résumés</w:t>
                                  </w:r>
                                </w:p>
                              </w:sdtContent>
                            </w:sdt>
                            <w:p w14:paraId="626E3997" w14:textId="77777777" w:rsidR="0041512C" w:rsidRPr="0001318F" w:rsidRDefault="0041512C" w:rsidP="0041512C">
                              <w:pPr>
                                <w:pStyle w:val="Sansinterligne"/>
                                <w:shd w:val="clear" w:color="auto" w:fill="FFFFFF" w:themeFill="background1"/>
                                <w:jc w:val="center"/>
                                <w:rPr>
                                  <w:rFonts w:asciiTheme="majorHAnsi" w:eastAsiaTheme="majorEastAsia" w:hAnsiTheme="majorHAnsi" w:cstheme="majorBidi"/>
                                  <w:color w:val="000E9C"/>
                                  <w:sz w:val="72"/>
                                  <w:szCs w:val="72"/>
                                </w:rPr>
                              </w:pPr>
                              <w:r>
                                <w:rPr>
                                  <w:rFonts w:asciiTheme="majorHAnsi" w:eastAsiaTheme="majorEastAsia" w:hAnsiTheme="majorHAnsi" w:cstheme="majorBidi"/>
                                  <w:color w:val="000E9C"/>
                                  <w:sz w:val="72"/>
                                  <w:szCs w:val="72"/>
                                </w:rPr>
                                <w:t>1</w:t>
                              </w:r>
                              <w:r w:rsidRPr="001F66C4">
                                <w:rPr>
                                  <w:rFonts w:asciiTheme="majorHAnsi" w:eastAsiaTheme="majorEastAsia" w:hAnsiTheme="majorHAnsi" w:cstheme="majorBidi"/>
                                  <w:color w:val="000E9C"/>
                                  <w:sz w:val="72"/>
                                  <w:szCs w:val="72"/>
                                  <w:vertAlign w:val="superscript"/>
                                </w:rPr>
                                <w:t>er</w:t>
                              </w:r>
                              <w:r>
                                <w:rPr>
                                  <w:rFonts w:asciiTheme="majorHAnsi" w:eastAsiaTheme="majorEastAsia" w:hAnsiTheme="majorHAnsi" w:cstheme="majorBidi"/>
                                  <w:color w:val="000E9C"/>
                                  <w:sz w:val="72"/>
                                  <w:szCs w:val="72"/>
                                </w:rPr>
                                <w:t xml:space="preserve"> semestre</w:t>
                              </w:r>
                              <w:r w:rsidRPr="0001318F">
                                <w:rPr>
                                  <w:rFonts w:asciiTheme="majorHAnsi" w:eastAsiaTheme="majorEastAsia" w:hAnsiTheme="majorHAnsi" w:cstheme="majorBidi"/>
                                  <w:color w:val="000E9C"/>
                                  <w:sz w:val="72"/>
                                  <w:szCs w:val="72"/>
                                </w:rPr>
                                <w:t xml:space="preserve"> 202</w:t>
                              </w:r>
                              <w:r>
                                <w:rPr>
                                  <w:rFonts w:asciiTheme="majorHAnsi" w:eastAsiaTheme="majorEastAsia" w:hAnsiTheme="majorHAnsi" w:cstheme="majorBidi"/>
                                  <w:color w:val="000E9C"/>
                                  <w:sz w:val="72"/>
                                  <w:szCs w:val="72"/>
                                </w:rPr>
                                <w:t>2</w:t>
                              </w:r>
                            </w:p>
                          </w:txbxContent>
                        </v:textbox>
                        <w10:wrap anchorx="page"/>
                      </v:shape>
                    </w:pict>
                  </mc:Fallback>
                </mc:AlternateContent>
              </w:r>
            </w:p>
            <w:p w14:paraId="2B413673" w14:textId="77777777" w:rsidR="0041512C" w:rsidRPr="00B264D1" w:rsidRDefault="0041512C" w:rsidP="0041512C">
              <w:pPr>
                <w:spacing w:after="0" w:line="240" w:lineRule="auto"/>
                <w:rPr>
                  <w:rFonts w:asciiTheme="minorHAnsi" w:hAnsiTheme="minorHAnsi" w:cstheme="minorHAnsi"/>
                </w:rPr>
              </w:pPr>
            </w:p>
            <w:p w14:paraId="7FD294D1" w14:textId="77777777" w:rsidR="0041512C" w:rsidRPr="00B264D1" w:rsidRDefault="0041512C" w:rsidP="0041512C">
              <w:pPr>
                <w:spacing w:after="0" w:line="240" w:lineRule="auto"/>
                <w:rPr>
                  <w:rFonts w:asciiTheme="minorHAnsi" w:hAnsiTheme="minorHAnsi" w:cstheme="minorHAnsi"/>
                </w:rPr>
              </w:pPr>
            </w:p>
            <w:p w14:paraId="4CA41B39" w14:textId="77777777" w:rsidR="0041512C" w:rsidRPr="00B264D1" w:rsidRDefault="0041512C" w:rsidP="0041512C">
              <w:pPr>
                <w:spacing w:after="0" w:line="240" w:lineRule="auto"/>
                <w:rPr>
                  <w:rFonts w:asciiTheme="minorHAnsi" w:hAnsiTheme="minorHAnsi" w:cstheme="minorHAnsi"/>
                </w:rPr>
              </w:pPr>
            </w:p>
            <w:p w14:paraId="4EB538F1" w14:textId="77777777" w:rsidR="0041512C" w:rsidRPr="00B264D1" w:rsidRDefault="0041512C" w:rsidP="0041512C">
              <w:pPr>
                <w:spacing w:after="0" w:line="240" w:lineRule="auto"/>
                <w:rPr>
                  <w:rFonts w:asciiTheme="minorHAnsi" w:hAnsiTheme="minorHAnsi" w:cstheme="minorHAnsi"/>
                </w:rPr>
              </w:pPr>
            </w:p>
            <w:p w14:paraId="19564A39" w14:textId="77777777" w:rsidR="0041512C" w:rsidRPr="00B264D1" w:rsidRDefault="0041512C" w:rsidP="0041512C">
              <w:pPr>
                <w:spacing w:after="0" w:line="240" w:lineRule="auto"/>
                <w:rPr>
                  <w:rFonts w:asciiTheme="minorHAnsi" w:hAnsiTheme="minorHAnsi" w:cstheme="minorHAnsi"/>
                </w:rPr>
              </w:pPr>
            </w:p>
            <w:p w14:paraId="1E6A29ED" w14:textId="77777777" w:rsidR="0041512C" w:rsidRPr="00B264D1" w:rsidRDefault="0041512C" w:rsidP="0041512C">
              <w:pPr>
                <w:spacing w:after="0" w:line="240" w:lineRule="auto"/>
                <w:rPr>
                  <w:rFonts w:asciiTheme="minorHAnsi" w:hAnsiTheme="minorHAnsi" w:cstheme="minorHAnsi"/>
                </w:rPr>
              </w:pPr>
            </w:p>
            <w:p w14:paraId="69D72BEE" w14:textId="77777777" w:rsidR="0041512C" w:rsidRPr="00B264D1" w:rsidRDefault="0041512C" w:rsidP="0041512C">
              <w:pPr>
                <w:spacing w:after="0" w:line="240" w:lineRule="auto"/>
                <w:rPr>
                  <w:rFonts w:asciiTheme="minorHAnsi" w:hAnsiTheme="minorHAnsi" w:cstheme="minorHAnsi"/>
                </w:rPr>
              </w:pPr>
            </w:p>
            <w:p w14:paraId="7EBD4A8F" w14:textId="77777777" w:rsidR="0041512C" w:rsidRPr="00B264D1" w:rsidRDefault="0041512C" w:rsidP="0041512C">
              <w:pPr>
                <w:spacing w:after="0" w:line="240" w:lineRule="auto"/>
                <w:rPr>
                  <w:rFonts w:asciiTheme="minorHAnsi" w:hAnsiTheme="minorHAnsi" w:cstheme="minorHAnsi"/>
                </w:rPr>
              </w:pPr>
            </w:p>
            <w:p w14:paraId="3EE24EE1" w14:textId="77777777" w:rsidR="0041512C" w:rsidRPr="00B264D1" w:rsidRDefault="0041512C" w:rsidP="0041512C">
              <w:pPr>
                <w:spacing w:after="0" w:line="240" w:lineRule="auto"/>
                <w:rPr>
                  <w:rFonts w:asciiTheme="minorHAnsi" w:hAnsiTheme="minorHAnsi" w:cstheme="minorHAnsi"/>
                </w:rPr>
              </w:pPr>
            </w:p>
            <w:p w14:paraId="0AF8DC31" w14:textId="77777777" w:rsidR="0041512C" w:rsidRPr="00B264D1" w:rsidRDefault="0041512C" w:rsidP="0041512C">
              <w:pPr>
                <w:spacing w:after="0" w:line="240" w:lineRule="auto"/>
                <w:rPr>
                  <w:rFonts w:asciiTheme="minorHAnsi" w:hAnsiTheme="minorHAnsi" w:cstheme="minorHAnsi"/>
                </w:rPr>
              </w:pPr>
            </w:p>
            <w:p w14:paraId="0823FE19" w14:textId="77777777" w:rsidR="0041512C" w:rsidRPr="00B264D1" w:rsidRDefault="0041512C" w:rsidP="0041512C">
              <w:pPr>
                <w:spacing w:after="0" w:line="240" w:lineRule="auto"/>
                <w:rPr>
                  <w:rFonts w:asciiTheme="minorHAnsi" w:hAnsiTheme="minorHAnsi" w:cstheme="minorHAnsi"/>
                </w:rPr>
              </w:pPr>
            </w:p>
            <w:p w14:paraId="67D7C4B2" w14:textId="5D2D4B32" w:rsidR="0041512C" w:rsidRPr="00B264D1" w:rsidRDefault="0041512C" w:rsidP="0041512C">
              <w:pPr>
                <w:spacing w:after="0" w:line="240" w:lineRule="auto"/>
                <w:rPr>
                  <w:rFonts w:asciiTheme="minorHAnsi" w:hAnsiTheme="minorHAnsi" w:cstheme="minorHAnsi"/>
                </w:rPr>
              </w:pPr>
            </w:p>
            <w:p w14:paraId="5BA1C2AB" w14:textId="5D36855D" w:rsidR="0041512C" w:rsidRPr="00B264D1" w:rsidRDefault="0041512C" w:rsidP="0041512C">
              <w:pPr>
                <w:spacing w:after="0" w:line="240" w:lineRule="auto"/>
                <w:rPr>
                  <w:rFonts w:asciiTheme="minorHAnsi" w:hAnsiTheme="minorHAnsi" w:cstheme="minorHAnsi"/>
                </w:rPr>
              </w:pPr>
            </w:p>
            <w:p w14:paraId="67B60A70" w14:textId="0FA73933" w:rsidR="0041512C" w:rsidRPr="00B264D1" w:rsidRDefault="00A45CD0" w:rsidP="0041512C">
              <w:pPr>
                <w:spacing w:after="0" w:line="240" w:lineRule="auto"/>
                <w:rPr>
                  <w:rFonts w:asciiTheme="minorHAnsi" w:hAnsiTheme="minorHAnsi" w:cstheme="minorHAnsi"/>
                </w:rPr>
              </w:pPr>
              <w:r w:rsidRPr="00B264D1">
                <w:rPr>
                  <w:rFonts w:asciiTheme="minorHAnsi" w:hAnsiTheme="minorHAnsi" w:cstheme="minorHAnsi"/>
                  <w:noProof/>
                </w:rPr>
                <w:drawing>
                  <wp:anchor distT="0" distB="0" distL="114300" distR="114300" simplePos="0" relativeHeight="251658246" behindDoc="1" locked="0" layoutInCell="1" allowOverlap="1" wp14:anchorId="6D208D00" wp14:editId="33DB297C">
                    <wp:simplePos x="0" y="0"/>
                    <wp:positionH relativeFrom="page">
                      <wp:posOffset>-135890</wp:posOffset>
                    </wp:positionH>
                    <wp:positionV relativeFrom="paragraph">
                      <wp:posOffset>404495</wp:posOffset>
                    </wp:positionV>
                    <wp:extent cx="7696200" cy="4271010"/>
                    <wp:effectExtent l="0" t="0" r="0" b="0"/>
                    <wp:wrapNone/>
                    <wp:docPr id="1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696200" cy="4271010"/>
                            </a:xfrm>
                            <a:prstGeom prst="rect">
                              <a:avLst/>
                            </a:prstGeom>
                            <a:noFill/>
                            <a:ln>
                              <a:noFill/>
                            </a:ln>
                          </pic:spPr>
                        </pic:pic>
                      </a:graphicData>
                    </a:graphic>
                    <wp14:sizeRelH relativeFrom="page">
                      <wp14:pctWidth>0</wp14:pctWidth>
                    </wp14:sizeRelH>
                    <wp14:sizeRelV relativeFrom="page">
                      <wp14:pctHeight>0</wp14:pctHeight>
                    </wp14:sizeRelV>
                  </wp:anchor>
                </w:drawing>
              </w:r>
              <w:r w:rsidR="0041512C" w:rsidRPr="00B264D1">
                <w:rPr>
                  <w:rFonts w:asciiTheme="minorHAnsi" w:hAnsiTheme="minorHAnsi" w:cstheme="minorHAnsi"/>
                </w:rPr>
                <w:br w:type="page"/>
              </w:r>
            </w:p>
          </w:sdtContent>
        </w:sdt>
        <w:p w14:paraId="4DBB4F3E" w14:textId="77777777" w:rsidR="0041512C" w:rsidRPr="00B264D1" w:rsidRDefault="0041512C" w:rsidP="0041512C">
          <w:pPr>
            <w:rPr>
              <w:rFonts w:asciiTheme="minorHAnsi" w:hAnsiTheme="minorHAnsi" w:cstheme="minorHAnsi"/>
              <w:color w:val="000E9A"/>
              <w:sz w:val="32"/>
              <w:szCs w:val="32"/>
            </w:rPr>
          </w:pPr>
          <w:r w:rsidRPr="00B264D1">
            <w:rPr>
              <w:rFonts w:asciiTheme="minorHAnsi" w:hAnsiTheme="minorHAnsi" w:cstheme="minorHAnsi"/>
              <w:color w:val="000E9A"/>
              <w:sz w:val="32"/>
              <w:szCs w:val="32"/>
            </w:rPr>
            <w:lastRenderedPageBreak/>
            <w:t xml:space="preserve">Sommaire </w:t>
          </w:r>
        </w:p>
        <w:p w14:paraId="25DBCE39" w14:textId="77777777" w:rsidR="0041512C" w:rsidRPr="00B264D1" w:rsidRDefault="0041512C" w:rsidP="0041512C">
          <w:pPr>
            <w:rPr>
              <w:rFonts w:asciiTheme="minorHAnsi" w:hAnsiTheme="minorHAnsi" w:cstheme="minorHAnsi"/>
              <w:color w:val="000E9A"/>
              <w:sz w:val="36"/>
              <w:szCs w:val="36"/>
            </w:rPr>
          </w:pPr>
        </w:p>
        <w:p w14:paraId="04BA79F4" w14:textId="52E289AB" w:rsidR="00DE46E7" w:rsidRDefault="0041512C">
          <w:pPr>
            <w:pStyle w:val="TM1"/>
            <w:rPr>
              <w:rFonts w:asciiTheme="minorHAnsi" w:eastAsiaTheme="minorEastAsia" w:hAnsiTheme="minorHAnsi" w:cstheme="minorBidi"/>
              <w:color w:val="auto"/>
              <w:szCs w:val="22"/>
              <w:lang w:eastAsia="fr-FR"/>
            </w:rPr>
          </w:pPr>
          <w:r w:rsidRPr="00B264D1">
            <w:rPr>
              <w:rFonts w:asciiTheme="minorHAnsi" w:hAnsiTheme="minorHAnsi"/>
              <w:b/>
              <w:color w:val="000000" w:themeColor="text1"/>
              <w:sz w:val="24"/>
              <w:szCs w:val="24"/>
            </w:rPr>
            <w:fldChar w:fldCharType="begin"/>
          </w:r>
          <w:r w:rsidRPr="00B264D1">
            <w:rPr>
              <w:rFonts w:asciiTheme="minorHAnsi" w:hAnsiTheme="minorHAnsi"/>
              <w:b/>
              <w:color w:val="000000" w:themeColor="text1"/>
              <w:sz w:val="24"/>
              <w:szCs w:val="24"/>
            </w:rPr>
            <w:instrText xml:space="preserve"> TOC \o "1-2" \h \z \u </w:instrText>
          </w:r>
          <w:r w:rsidRPr="00B264D1">
            <w:rPr>
              <w:rFonts w:asciiTheme="minorHAnsi" w:hAnsiTheme="minorHAnsi"/>
              <w:b/>
              <w:color w:val="000000" w:themeColor="text1"/>
              <w:sz w:val="24"/>
              <w:szCs w:val="24"/>
            </w:rPr>
            <w:fldChar w:fldCharType="separate"/>
          </w:r>
          <w:hyperlink w:anchor="_Toc100689199" w:history="1">
            <w:r w:rsidR="00DE46E7" w:rsidRPr="00901899">
              <w:rPr>
                <w:rStyle w:val="Lienhypertexte"/>
                <w:rFonts w:cstheme="minorHAnsi"/>
                <w:b/>
                <w:bCs/>
              </w:rPr>
              <w:t>Rapport d’activité du premier semestre 2022</w:t>
            </w:r>
            <w:r w:rsidR="00DE46E7">
              <w:rPr>
                <w:webHidden/>
              </w:rPr>
              <w:tab/>
            </w:r>
            <w:r w:rsidR="00DE46E7">
              <w:rPr>
                <w:webHidden/>
              </w:rPr>
              <w:fldChar w:fldCharType="begin"/>
            </w:r>
            <w:r w:rsidR="00DE46E7">
              <w:rPr>
                <w:webHidden/>
              </w:rPr>
              <w:instrText xml:space="preserve"> PAGEREF _Toc100689199 \h </w:instrText>
            </w:r>
            <w:r w:rsidR="00DE46E7">
              <w:rPr>
                <w:webHidden/>
              </w:rPr>
            </w:r>
            <w:r w:rsidR="00DE46E7">
              <w:rPr>
                <w:webHidden/>
              </w:rPr>
              <w:fldChar w:fldCharType="separate"/>
            </w:r>
            <w:r w:rsidR="009C6A47">
              <w:rPr>
                <w:webHidden/>
              </w:rPr>
              <w:t>2</w:t>
            </w:r>
            <w:r w:rsidR="00DE46E7">
              <w:rPr>
                <w:webHidden/>
              </w:rPr>
              <w:fldChar w:fldCharType="end"/>
            </w:r>
          </w:hyperlink>
        </w:p>
        <w:p w14:paraId="00E539F2" w14:textId="374C9EBD" w:rsidR="00DE46E7" w:rsidRDefault="009C6A47">
          <w:pPr>
            <w:pStyle w:val="TM1"/>
            <w:rPr>
              <w:rFonts w:asciiTheme="minorHAnsi" w:eastAsiaTheme="minorEastAsia" w:hAnsiTheme="minorHAnsi" w:cstheme="minorBidi"/>
              <w:color w:val="auto"/>
              <w:szCs w:val="22"/>
              <w:lang w:eastAsia="fr-FR"/>
            </w:rPr>
          </w:pPr>
          <w:hyperlink w:anchor="_Toc100689200" w:history="1">
            <w:r w:rsidR="00DE46E7" w:rsidRPr="00901899">
              <w:rPr>
                <w:rStyle w:val="Lienhypertexte"/>
                <w:rFonts w:cstheme="minorHAnsi"/>
              </w:rPr>
              <w:t>1.</w:t>
            </w:r>
            <w:r w:rsidR="00DE46E7">
              <w:rPr>
                <w:rFonts w:asciiTheme="minorHAnsi" w:eastAsiaTheme="minorEastAsia" w:hAnsiTheme="minorHAnsi" w:cstheme="minorBidi"/>
                <w:color w:val="auto"/>
                <w:szCs w:val="22"/>
                <w:lang w:eastAsia="fr-FR"/>
              </w:rPr>
              <w:tab/>
            </w:r>
            <w:r w:rsidR="00DE46E7" w:rsidRPr="00901899">
              <w:rPr>
                <w:rStyle w:val="Lienhypertexte"/>
                <w:rFonts w:cstheme="minorHAnsi"/>
              </w:rPr>
              <w:t>Vue d’ensemble</w:t>
            </w:r>
            <w:r w:rsidR="00DE46E7">
              <w:rPr>
                <w:webHidden/>
              </w:rPr>
              <w:tab/>
            </w:r>
            <w:r w:rsidR="00DE46E7">
              <w:rPr>
                <w:webHidden/>
              </w:rPr>
              <w:fldChar w:fldCharType="begin"/>
            </w:r>
            <w:r w:rsidR="00DE46E7">
              <w:rPr>
                <w:webHidden/>
              </w:rPr>
              <w:instrText xml:space="preserve"> PAGEREF _Toc100689200 \h </w:instrText>
            </w:r>
            <w:r w:rsidR="00DE46E7">
              <w:rPr>
                <w:webHidden/>
              </w:rPr>
            </w:r>
            <w:r w:rsidR="00DE46E7">
              <w:rPr>
                <w:webHidden/>
              </w:rPr>
              <w:fldChar w:fldCharType="separate"/>
            </w:r>
            <w:r>
              <w:rPr>
                <w:webHidden/>
              </w:rPr>
              <w:t>2</w:t>
            </w:r>
            <w:r w:rsidR="00DE46E7">
              <w:rPr>
                <w:webHidden/>
              </w:rPr>
              <w:fldChar w:fldCharType="end"/>
            </w:r>
          </w:hyperlink>
        </w:p>
        <w:p w14:paraId="74ECA425" w14:textId="73AD2732" w:rsidR="00DE46E7" w:rsidRDefault="009C6A47">
          <w:pPr>
            <w:pStyle w:val="TM2"/>
            <w:rPr>
              <w:rFonts w:asciiTheme="minorHAnsi" w:eastAsiaTheme="minorEastAsia" w:hAnsiTheme="minorHAnsi" w:cstheme="minorBidi"/>
              <w:bCs w:val="0"/>
              <w:sz w:val="22"/>
              <w:szCs w:val="22"/>
              <w:lang w:eastAsia="fr-FR"/>
            </w:rPr>
          </w:pPr>
          <w:hyperlink w:anchor="_Toc100689201" w:history="1">
            <w:r w:rsidR="00DE46E7" w:rsidRPr="00901899">
              <w:rPr>
                <w:rStyle w:val="Lienhypertexte"/>
                <w:rFonts w:cstheme="minorHAnsi"/>
              </w:rPr>
              <w:t>1.1</w:t>
            </w:r>
            <w:r w:rsidR="00DE46E7">
              <w:rPr>
                <w:rFonts w:asciiTheme="minorHAnsi" w:eastAsiaTheme="minorEastAsia" w:hAnsiTheme="minorHAnsi" w:cstheme="minorBidi"/>
                <w:bCs w:val="0"/>
                <w:sz w:val="22"/>
                <w:szCs w:val="22"/>
                <w:lang w:eastAsia="fr-FR"/>
              </w:rPr>
              <w:tab/>
            </w:r>
            <w:r w:rsidR="00DE46E7" w:rsidRPr="00901899">
              <w:rPr>
                <w:rStyle w:val="Lienhypertexte"/>
                <w:rFonts w:cstheme="minorHAnsi"/>
              </w:rPr>
              <w:t>Chiffres clés</w:t>
            </w:r>
            <w:r w:rsidR="00DE46E7">
              <w:rPr>
                <w:webHidden/>
              </w:rPr>
              <w:tab/>
            </w:r>
            <w:r w:rsidR="00DE46E7">
              <w:rPr>
                <w:webHidden/>
              </w:rPr>
              <w:fldChar w:fldCharType="begin"/>
            </w:r>
            <w:r w:rsidR="00DE46E7">
              <w:rPr>
                <w:webHidden/>
              </w:rPr>
              <w:instrText xml:space="preserve"> PAGEREF _Toc100689201 \h </w:instrText>
            </w:r>
            <w:r w:rsidR="00DE46E7">
              <w:rPr>
                <w:webHidden/>
              </w:rPr>
            </w:r>
            <w:r w:rsidR="00DE46E7">
              <w:rPr>
                <w:webHidden/>
              </w:rPr>
              <w:fldChar w:fldCharType="separate"/>
            </w:r>
            <w:r>
              <w:rPr>
                <w:webHidden/>
              </w:rPr>
              <w:t>2</w:t>
            </w:r>
            <w:r w:rsidR="00DE46E7">
              <w:rPr>
                <w:webHidden/>
              </w:rPr>
              <w:fldChar w:fldCharType="end"/>
            </w:r>
          </w:hyperlink>
        </w:p>
        <w:p w14:paraId="3562183A" w14:textId="3B394CC4" w:rsidR="00DE46E7" w:rsidRDefault="009C6A47">
          <w:pPr>
            <w:pStyle w:val="TM2"/>
            <w:rPr>
              <w:rFonts w:asciiTheme="minorHAnsi" w:eastAsiaTheme="minorEastAsia" w:hAnsiTheme="minorHAnsi" w:cstheme="minorBidi"/>
              <w:bCs w:val="0"/>
              <w:sz w:val="22"/>
              <w:szCs w:val="22"/>
              <w:lang w:eastAsia="fr-FR"/>
            </w:rPr>
          </w:pPr>
          <w:hyperlink w:anchor="_Toc100689202" w:history="1">
            <w:r w:rsidR="00DE46E7" w:rsidRPr="00901899">
              <w:rPr>
                <w:rStyle w:val="Lienhypertexte"/>
                <w:rFonts w:cstheme="minorHAnsi"/>
              </w:rPr>
              <w:t>1.2</w:t>
            </w:r>
            <w:r w:rsidR="00DE46E7">
              <w:rPr>
                <w:rFonts w:asciiTheme="minorHAnsi" w:eastAsiaTheme="minorEastAsia" w:hAnsiTheme="minorHAnsi" w:cstheme="minorBidi"/>
                <w:bCs w:val="0"/>
                <w:sz w:val="22"/>
                <w:szCs w:val="22"/>
                <w:lang w:eastAsia="fr-FR"/>
              </w:rPr>
              <w:tab/>
            </w:r>
            <w:r w:rsidR="00DE46E7" w:rsidRPr="00901899">
              <w:rPr>
                <w:rStyle w:val="Lienhypertexte"/>
                <w:rFonts w:cstheme="minorHAnsi"/>
              </w:rPr>
              <w:t>Synthèse des résultats du premier semestre</w:t>
            </w:r>
            <w:r w:rsidR="00DE46E7">
              <w:rPr>
                <w:webHidden/>
              </w:rPr>
              <w:tab/>
            </w:r>
            <w:r w:rsidR="00DE46E7">
              <w:rPr>
                <w:webHidden/>
              </w:rPr>
              <w:fldChar w:fldCharType="begin"/>
            </w:r>
            <w:r w:rsidR="00DE46E7">
              <w:rPr>
                <w:webHidden/>
              </w:rPr>
              <w:instrText xml:space="preserve"> PAGEREF _Toc100689202 \h </w:instrText>
            </w:r>
            <w:r w:rsidR="00DE46E7">
              <w:rPr>
                <w:webHidden/>
              </w:rPr>
            </w:r>
            <w:r w:rsidR="00DE46E7">
              <w:rPr>
                <w:webHidden/>
              </w:rPr>
              <w:fldChar w:fldCharType="separate"/>
            </w:r>
            <w:r>
              <w:rPr>
                <w:webHidden/>
              </w:rPr>
              <w:t>3</w:t>
            </w:r>
            <w:r w:rsidR="00DE46E7">
              <w:rPr>
                <w:webHidden/>
              </w:rPr>
              <w:fldChar w:fldCharType="end"/>
            </w:r>
          </w:hyperlink>
        </w:p>
        <w:p w14:paraId="0F4846F5" w14:textId="3C33985A" w:rsidR="00DE46E7" w:rsidRDefault="009C6A47">
          <w:pPr>
            <w:pStyle w:val="TM2"/>
            <w:rPr>
              <w:rFonts w:asciiTheme="minorHAnsi" w:eastAsiaTheme="minorEastAsia" w:hAnsiTheme="minorHAnsi" w:cstheme="minorBidi"/>
              <w:bCs w:val="0"/>
              <w:sz w:val="22"/>
              <w:szCs w:val="22"/>
              <w:lang w:eastAsia="fr-FR"/>
            </w:rPr>
          </w:pPr>
          <w:hyperlink w:anchor="_Toc100689203" w:history="1">
            <w:r w:rsidR="00DE46E7" w:rsidRPr="00901899">
              <w:rPr>
                <w:rStyle w:val="Lienhypertexte"/>
                <w:rFonts w:cstheme="minorHAnsi"/>
              </w:rPr>
              <w:t>1.3</w:t>
            </w:r>
            <w:r w:rsidR="00DE46E7">
              <w:rPr>
                <w:rFonts w:asciiTheme="minorHAnsi" w:eastAsiaTheme="minorEastAsia" w:hAnsiTheme="minorHAnsi" w:cstheme="minorBidi"/>
                <w:bCs w:val="0"/>
                <w:sz w:val="22"/>
                <w:szCs w:val="22"/>
                <w:lang w:eastAsia="fr-FR"/>
              </w:rPr>
              <w:tab/>
            </w:r>
            <w:r w:rsidR="00DE46E7" w:rsidRPr="00901899">
              <w:rPr>
                <w:rStyle w:val="Lienhypertexte"/>
                <w:rFonts w:cstheme="minorHAnsi"/>
              </w:rPr>
              <w:t>Faits marquants</w:t>
            </w:r>
            <w:r w:rsidR="00DE46E7">
              <w:rPr>
                <w:webHidden/>
              </w:rPr>
              <w:tab/>
            </w:r>
            <w:r w:rsidR="00DE46E7">
              <w:rPr>
                <w:webHidden/>
              </w:rPr>
              <w:fldChar w:fldCharType="begin"/>
            </w:r>
            <w:r w:rsidR="00DE46E7">
              <w:rPr>
                <w:webHidden/>
              </w:rPr>
              <w:instrText xml:space="preserve"> PAGEREF _Toc100689203 \h </w:instrText>
            </w:r>
            <w:r w:rsidR="00DE46E7">
              <w:rPr>
                <w:webHidden/>
              </w:rPr>
            </w:r>
            <w:r w:rsidR="00DE46E7">
              <w:rPr>
                <w:webHidden/>
              </w:rPr>
              <w:fldChar w:fldCharType="separate"/>
            </w:r>
            <w:r>
              <w:rPr>
                <w:webHidden/>
              </w:rPr>
              <w:t>3</w:t>
            </w:r>
            <w:r w:rsidR="00DE46E7">
              <w:rPr>
                <w:webHidden/>
              </w:rPr>
              <w:fldChar w:fldCharType="end"/>
            </w:r>
          </w:hyperlink>
        </w:p>
        <w:p w14:paraId="62D6EF55" w14:textId="21F43B24" w:rsidR="00DE46E7" w:rsidRDefault="009C6A47">
          <w:pPr>
            <w:pStyle w:val="TM2"/>
            <w:rPr>
              <w:rFonts w:asciiTheme="minorHAnsi" w:eastAsiaTheme="minorEastAsia" w:hAnsiTheme="minorHAnsi" w:cstheme="minorBidi"/>
              <w:bCs w:val="0"/>
              <w:sz w:val="22"/>
              <w:szCs w:val="22"/>
              <w:lang w:eastAsia="fr-FR"/>
            </w:rPr>
          </w:pPr>
          <w:hyperlink w:anchor="_Toc100689204" w:history="1">
            <w:r w:rsidR="00DE46E7" w:rsidRPr="00901899">
              <w:rPr>
                <w:rStyle w:val="Lienhypertexte"/>
                <w:rFonts w:cstheme="minorHAnsi"/>
              </w:rPr>
              <w:t>1.4</w:t>
            </w:r>
            <w:r w:rsidR="00DE46E7">
              <w:rPr>
                <w:rFonts w:asciiTheme="minorHAnsi" w:eastAsiaTheme="minorEastAsia" w:hAnsiTheme="minorHAnsi" w:cstheme="minorBidi"/>
                <w:bCs w:val="0"/>
                <w:sz w:val="22"/>
                <w:szCs w:val="22"/>
                <w:lang w:eastAsia="fr-FR"/>
              </w:rPr>
              <w:tab/>
            </w:r>
            <w:r w:rsidR="00DE46E7" w:rsidRPr="00901899">
              <w:rPr>
                <w:rStyle w:val="Lienhypertexte"/>
                <w:rFonts w:cstheme="minorHAnsi"/>
              </w:rPr>
              <w:t>Perspectives</w:t>
            </w:r>
            <w:r w:rsidR="00DE46E7">
              <w:rPr>
                <w:webHidden/>
              </w:rPr>
              <w:tab/>
            </w:r>
            <w:r w:rsidR="00DE46E7">
              <w:rPr>
                <w:webHidden/>
              </w:rPr>
              <w:fldChar w:fldCharType="begin"/>
            </w:r>
            <w:r w:rsidR="00DE46E7">
              <w:rPr>
                <w:webHidden/>
              </w:rPr>
              <w:instrText xml:space="preserve"> PAGEREF _Toc100689204 \h </w:instrText>
            </w:r>
            <w:r w:rsidR="00DE46E7">
              <w:rPr>
                <w:webHidden/>
              </w:rPr>
            </w:r>
            <w:r w:rsidR="00DE46E7">
              <w:rPr>
                <w:webHidden/>
              </w:rPr>
              <w:fldChar w:fldCharType="separate"/>
            </w:r>
            <w:r>
              <w:rPr>
                <w:webHidden/>
              </w:rPr>
              <w:t>4</w:t>
            </w:r>
            <w:r w:rsidR="00DE46E7">
              <w:rPr>
                <w:webHidden/>
              </w:rPr>
              <w:fldChar w:fldCharType="end"/>
            </w:r>
          </w:hyperlink>
        </w:p>
        <w:p w14:paraId="6AA870E9" w14:textId="1E4B3C1D" w:rsidR="00DE46E7" w:rsidRDefault="009C6A47">
          <w:pPr>
            <w:pStyle w:val="TM2"/>
            <w:rPr>
              <w:rFonts w:asciiTheme="minorHAnsi" w:eastAsiaTheme="minorEastAsia" w:hAnsiTheme="minorHAnsi" w:cstheme="minorBidi"/>
              <w:bCs w:val="0"/>
              <w:sz w:val="22"/>
              <w:szCs w:val="22"/>
              <w:lang w:eastAsia="fr-FR"/>
            </w:rPr>
          </w:pPr>
          <w:hyperlink w:anchor="_Toc100689205" w:history="1">
            <w:r w:rsidR="00DE46E7" w:rsidRPr="00901899">
              <w:rPr>
                <w:rStyle w:val="Lienhypertexte"/>
                <w:rFonts w:cstheme="minorHAnsi"/>
              </w:rPr>
              <w:t>1.5</w:t>
            </w:r>
            <w:r w:rsidR="00DE46E7">
              <w:rPr>
                <w:rFonts w:asciiTheme="minorHAnsi" w:eastAsiaTheme="minorEastAsia" w:hAnsiTheme="minorHAnsi" w:cstheme="minorBidi"/>
                <w:bCs w:val="0"/>
                <w:sz w:val="22"/>
                <w:szCs w:val="22"/>
                <w:lang w:eastAsia="fr-FR"/>
              </w:rPr>
              <w:tab/>
            </w:r>
            <w:r w:rsidR="00DE46E7" w:rsidRPr="00901899">
              <w:rPr>
                <w:rStyle w:val="Lienhypertexte"/>
                <w:rFonts w:cstheme="minorHAnsi"/>
              </w:rPr>
              <w:t>Principaux risques et incertitudes</w:t>
            </w:r>
            <w:r w:rsidR="00DE46E7">
              <w:rPr>
                <w:webHidden/>
              </w:rPr>
              <w:tab/>
            </w:r>
            <w:r w:rsidR="00DE46E7">
              <w:rPr>
                <w:webHidden/>
              </w:rPr>
              <w:fldChar w:fldCharType="begin"/>
            </w:r>
            <w:r w:rsidR="00DE46E7">
              <w:rPr>
                <w:webHidden/>
              </w:rPr>
              <w:instrText xml:space="preserve"> PAGEREF _Toc100689205 \h </w:instrText>
            </w:r>
            <w:r w:rsidR="00DE46E7">
              <w:rPr>
                <w:webHidden/>
              </w:rPr>
            </w:r>
            <w:r w:rsidR="00DE46E7">
              <w:rPr>
                <w:webHidden/>
              </w:rPr>
              <w:fldChar w:fldCharType="separate"/>
            </w:r>
            <w:r>
              <w:rPr>
                <w:webHidden/>
              </w:rPr>
              <w:t>4</w:t>
            </w:r>
            <w:r w:rsidR="00DE46E7">
              <w:rPr>
                <w:webHidden/>
              </w:rPr>
              <w:fldChar w:fldCharType="end"/>
            </w:r>
          </w:hyperlink>
        </w:p>
        <w:p w14:paraId="5B007D19" w14:textId="11A98E27" w:rsidR="00DE46E7" w:rsidRDefault="009C6A47">
          <w:pPr>
            <w:pStyle w:val="TM1"/>
            <w:rPr>
              <w:rFonts w:asciiTheme="minorHAnsi" w:eastAsiaTheme="minorEastAsia" w:hAnsiTheme="minorHAnsi" w:cstheme="minorBidi"/>
              <w:color w:val="auto"/>
              <w:szCs w:val="22"/>
              <w:lang w:eastAsia="fr-FR"/>
            </w:rPr>
          </w:pPr>
          <w:hyperlink w:anchor="_Toc100689206" w:history="1">
            <w:r w:rsidR="00DE46E7" w:rsidRPr="00901899">
              <w:rPr>
                <w:rStyle w:val="Lienhypertexte"/>
                <w:rFonts w:cstheme="minorHAnsi"/>
              </w:rPr>
              <w:t>2.</w:t>
            </w:r>
            <w:r w:rsidR="00DE46E7">
              <w:rPr>
                <w:rFonts w:asciiTheme="minorHAnsi" w:eastAsiaTheme="minorEastAsia" w:hAnsiTheme="minorHAnsi" w:cstheme="minorBidi"/>
                <w:color w:val="auto"/>
                <w:szCs w:val="22"/>
                <w:lang w:eastAsia="fr-FR"/>
              </w:rPr>
              <w:tab/>
            </w:r>
            <w:r w:rsidR="00DE46E7" w:rsidRPr="00901899">
              <w:rPr>
                <w:rStyle w:val="Lienhypertexte"/>
                <w:rFonts w:cstheme="minorHAnsi"/>
              </w:rPr>
              <w:t>Analyse des résultats et des investissements du Groupe</w:t>
            </w:r>
            <w:r w:rsidR="00DE46E7">
              <w:rPr>
                <w:webHidden/>
              </w:rPr>
              <w:tab/>
            </w:r>
            <w:r w:rsidR="00DE46E7">
              <w:rPr>
                <w:webHidden/>
              </w:rPr>
              <w:fldChar w:fldCharType="begin"/>
            </w:r>
            <w:r w:rsidR="00DE46E7">
              <w:rPr>
                <w:webHidden/>
              </w:rPr>
              <w:instrText xml:space="preserve"> PAGEREF _Toc100689206 \h </w:instrText>
            </w:r>
            <w:r w:rsidR="00DE46E7">
              <w:rPr>
                <w:webHidden/>
              </w:rPr>
            </w:r>
            <w:r w:rsidR="00DE46E7">
              <w:rPr>
                <w:webHidden/>
              </w:rPr>
              <w:fldChar w:fldCharType="separate"/>
            </w:r>
            <w:r>
              <w:rPr>
                <w:webHidden/>
              </w:rPr>
              <w:t>5</w:t>
            </w:r>
            <w:r w:rsidR="00DE46E7">
              <w:rPr>
                <w:webHidden/>
              </w:rPr>
              <w:fldChar w:fldCharType="end"/>
            </w:r>
          </w:hyperlink>
        </w:p>
        <w:p w14:paraId="3CCC1BD9" w14:textId="2E9D3293" w:rsidR="00DE46E7" w:rsidRDefault="009C6A47">
          <w:pPr>
            <w:pStyle w:val="TM2"/>
            <w:rPr>
              <w:rFonts w:asciiTheme="minorHAnsi" w:eastAsiaTheme="minorEastAsia" w:hAnsiTheme="minorHAnsi" w:cstheme="minorBidi"/>
              <w:bCs w:val="0"/>
              <w:sz w:val="22"/>
              <w:szCs w:val="22"/>
              <w:lang w:eastAsia="fr-FR"/>
            </w:rPr>
          </w:pPr>
          <w:hyperlink w:anchor="_Toc100689207" w:history="1">
            <w:r w:rsidR="00DE46E7" w:rsidRPr="00901899">
              <w:rPr>
                <w:rStyle w:val="Lienhypertexte"/>
                <w:rFonts w:cstheme="minorHAnsi"/>
              </w:rPr>
              <w:t>2.1</w:t>
            </w:r>
            <w:r w:rsidR="00DE46E7">
              <w:rPr>
                <w:rFonts w:asciiTheme="minorHAnsi" w:eastAsiaTheme="minorEastAsia" w:hAnsiTheme="minorHAnsi" w:cstheme="minorBidi"/>
                <w:bCs w:val="0"/>
                <w:sz w:val="22"/>
                <w:szCs w:val="22"/>
                <w:lang w:eastAsia="fr-FR"/>
              </w:rPr>
              <w:tab/>
            </w:r>
            <w:r w:rsidR="00DE46E7" w:rsidRPr="00901899">
              <w:rPr>
                <w:rStyle w:val="Lienhypertexte"/>
                <w:rFonts w:cstheme="minorHAnsi"/>
              </w:rPr>
              <w:t>Chiffre d’affaires</w:t>
            </w:r>
            <w:r w:rsidR="00DE46E7">
              <w:rPr>
                <w:webHidden/>
              </w:rPr>
              <w:tab/>
            </w:r>
            <w:r w:rsidR="00DE46E7">
              <w:rPr>
                <w:webHidden/>
              </w:rPr>
              <w:fldChar w:fldCharType="begin"/>
            </w:r>
            <w:r w:rsidR="00DE46E7">
              <w:rPr>
                <w:webHidden/>
              </w:rPr>
              <w:instrText xml:space="preserve"> PAGEREF _Toc100689207 \h </w:instrText>
            </w:r>
            <w:r w:rsidR="00DE46E7">
              <w:rPr>
                <w:webHidden/>
              </w:rPr>
            </w:r>
            <w:r w:rsidR="00DE46E7">
              <w:rPr>
                <w:webHidden/>
              </w:rPr>
              <w:fldChar w:fldCharType="separate"/>
            </w:r>
            <w:r>
              <w:rPr>
                <w:webHidden/>
              </w:rPr>
              <w:t>5</w:t>
            </w:r>
            <w:r w:rsidR="00DE46E7">
              <w:rPr>
                <w:webHidden/>
              </w:rPr>
              <w:fldChar w:fldCharType="end"/>
            </w:r>
          </w:hyperlink>
        </w:p>
        <w:p w14:paraId="7D551FA8" w14:textId="153CAC36" w:rsidR="00DE46E7" w:rsidRDefault="009C6A47">
          <w:pPr>
            <w:pStyle w:val="TM2"/>
            <w:rPr>
              <w:rFonts w:asciiTheme="minorHAnsi" w:eastAsiaTheme="minorEastAsia" w:hAnsiTheme="minorHAnsi" w:cstheme="minorBidi"/>
              <w:bCs w:val="0"/>
              <w:sz w:val="22"/>
              <w:szCs w:val="22"/>
              <w:lang w:eastAsia="fr-FR"/>
            </w:rPr>
          </w:pPr>
          <w:hyperlink w:anchor="_Toc100689208" w:history="1">
            <w:r w:rsidR="00DE46E7" w:rsidRPr="00901899">
              <w:rPr>
                <w:rStyle w:val="Lienhypertexte"/>
                <w:rFonts w:cstheme="minorHAnsi"/>
              </w:rPr>
              <w:t>2.2</w:t>
            </w:r>
            <w:r w:rsidR="00DE46E7">
              <w:rPr>
                <w:rFonts w:asciiTheme="minorHAnsi" w:eastAsiaTheme="minorEastAsia" w:hAnsiTheme="minorHAnsi" w:cstheme="minorBidi"/>
                <w:bCs w:val="0"/>
                <w:sz w:val="22"/>
                <w:szCs w:val="22"/>
                <w:lang w:eastAsia="fr-FR"/>
              </w:rPr>
              <w:tab/>
            </w:r>
            <w:r w:rsidR="00DE46E7" w:rsidRPr="00901899">
              <w:rPr>
                <w:rStyle w:val="Lienhypertexte"/>
                <w:rFonts w:cstheme="minorHAnsi"/>
              </w:rPr>
              <w:t>Evolution de l’activité</w:t>
            </w:r>
            <w:r w:rsidR="00DE46E7">
              <w:rPr>
                <w:webHidden/>
              </w:rPr>
              <w:tab/>
            </w:r>
            <w:r w:rsidR="00DE46E7">
              <w:rPr>
                <w:webHidden/>
              </w:rPr>
              <w:fldChar w:fldCharType="begin"/>
            </w:r>
            <w:r w:rsidR="00DE46E7">
              <w:rPr>
                <w:webHidden/>
              </w:rPr>
              <w:instrText xml:space="preserve"> PAGEREF _Toc100689208 \h </w:instrText>
            </w:r>
            <w:r w:rsidR="00DE46E7">
              <w:rPr>
                <w:webHidden/>
              </w:rPr>
            </w:r>
            <w:r w:rsidR="00DE46E7">
              <w:rPr>
                <w:webHidden/>
              </w:rPr>
              <w:fldChar w:fldCharType="separate"/>
            </w:r>
            <w:r>
              <w:rPr>
                <w:webHidden/>
              </w:rPr>
              <w:t>5</w:t>
            </w:r>
            <w:r w:rsidR="00DE46E7">
              <w:rPr>
                <w:webHidden/>
              </w:rPr>
              <w:fldChar w:fldCharType="end"/>
            </w:r>
          </w:hyperlink>
        </w:p>
        <w:p w14:paraId="45AC6957" w14:textId="576726F6" w:rsidR="00DE46E7" w:rsidRDefault="009C6A47">
          <w:pPr>
            <w:pStyle w:val="TM2"/>
            <w:rPr>
              <w:rFonts w:asciiTheme="minorHAnsi" w:eastAsiaTheme="minorEastAsia" w:hAnsiTheme="minorHAnsi" w:cstheme="minorBidi"/>
              <w:bCs w:val="0"/>
              <w:sz w:val="22"/>
              <w:szCs w:val="22"/>
              <w:lang w:eastAsia="fr-FR"/>
            </w:rPr>
          </w:pPr>
          <w:hyperlink w:anchor="_Toc100689209" w:history="1">
            <w:r w:rsidR="00DE46E7" w:rsidRPr="00901899">
              <w:rPr>
                <w:rStyle w:val="Lienhypertexte"/>
                <w:rFonts w:cstheme="minorHAnsi"/>
              </w:rPr>
              <w:t>2.2.1</w:t>
            </w:r>
            <w:r w:rsidR="00DE46E7">
              <w:rPr>
                <w:rFonts w:asciiTheme="minorHAnsi" w:eastAsiaTheme="minorEastAsia" w:hAnsiTheme="minorHAnsi" w:cstheme="minorBidi"/>
                <w:bCs w:val="0"/>
                <w:sz w:val="22"/>
                <w:szCs w:val="22"/>
                <w:lang w:eastAsia="fr-FR"/>
              </w:rPr>
              <w:tab/>
            </w:r>
            <w:r w:rsidR="00DE46E7" w:rsidRPr="00901899">
              <w:rPr>
                <w:rStyle w:val="Lienhypertexte"/>
                <w:rFonts w:cstheme="minorHAnsi"/>
              </w:rPr>
              <w:t>Chiffre d’affaires par segment de produits</w:t>
            </w:r>
            <w:r w:rsidR="00DE46E7">
              <w:rPr>
                <w:webHidden/>
              </w:rPr>
              <w:tab/>
            </w:r>
            <w:r w:rsidR="00DE46E7">
              <w:rPr>
                <w:webHidden/>
              </w:rPr>
              <w:fldChar w:fldCharType="begin"/>
            </w:r>
            <w:r w:rsidR="00DE46E7">
              <w:rPr>
                <w:webHidden/>
              </w:rPr>
              <w:instrText xml:space="preserve"> PAGEREF _Toc100689209 \h </w:instrText>
            </w:r>
            <w:r w:rsidR="00DE46E7">
              <w:rPr>
                <w:webHidden/>
              </w:rPr>
            </w:r>
            <w:r w:rsidR="00DE46E7">
              <w:rPr>
                <w:webHidden/>
              </w:rPr>
              <w:fldChar w:fldCharType="separate"/>
            </w:r>
            <w:r>
              <w:rPr>
                <w:webHidden/>
              </w:rPr>
              <w:t>5</w:t>
            </w:r>
            <w:r w:rsidR="00DE46E7">
              <w:rPr>
                <w:webHidden/>
              </w:rPr>
              <w:fldChar w:fldCharType="end"/>
            </w:r>
          </w:hyperlink>
        </w:p>
        <w:p w14:paraId="02520B72" w14:textId="00C8D7DE" w:rsidR="00DE46E7" w:rsidRDefault="009C6A47">
          <w:pPr>
            <w:pStyle w:val="TM2"/>
            <w:rPr>
              <w:rFonts w:asciiTheme="minorHAnsi" w:eastAsiaTheme="minorEastAsia" w:hAnsiTheme="minorHAnsi" w:cstheme="minorBidi"/>
              <w:bCs w:val="0"/>
              <w:sz w:val="22"/>
              <w:szCs w:val="22"/>
              <w:lang w:eastAsia="fr-FR"/>
            </w:rPr>
          </w:pPr>
          <w:hyperlink w:anchor="_Toc100689210" w:history="1">
            <w:r w:rsidR="00DE46E7" w:rsidRPr="00901899">
              <w:rPr>
                <w:rStyle w:val="Lienhypertexte"/>
                <w:rFonts w:cstheme="minorHAnsi"/>
              </w:rPr>
              <w:t>2.2.2</w:t>
            </w:r>
            <w:r w:rsidR="00DE46E7">
              <w:rPr>
                <w:rFonts w:asciiTheme="minorHAnsi" w:eastAsiaTheme="minorEastAsia" w:hAnsiTheme="minorHAnsi" w:cstheme="minorBidi"/>
                <w:bCs w:val="0"/>
                <w:sz w:val="22"/>
                <w:szCs w:val="22"/>
                <w:lang w:eastAsia="fr-FR"/>
              </w:rPr>
              <w:tab/>
            </w:r>
            <w:r w:rsidR="00DE46E7" w:rsidRPr="00901899">
              <w:rPr>
                <w:rStyle w:val="Lienhypertexte"/>
                <w:rFonts w:cstheme="minorHAnsi"/>
              </w:rPr>
              <w:t>Chiffre d’affaires par marché géographique</w:t>
            </w:r>
            <w:r w:rsidR="00DE46E7">
              <w:rPr>
                <w:webHidden/>
              </w:rPr>
              <w:tab/>
            </w:r>
            <w:r w:rsidR="00DE46E7">
              <w:rPr>
                <w:webHidden/>
              </w:rPr>
              <w:fldChar w:fldCharType="begin"/>
            </w:r>
            <w:r w:rsidR="00DE46E7">
              <w:rPr>
                <w:webHidden/>
              </w:rPr>
              <w:instrText xml:space="preserve"> PAGEREF _Toc100689210 \h </w:instrText>
            </w:r>
            <w:r w:rsidR="00DE46E7">
              <w:rPr>
                <w:webHidden/>
              </w:rPr>
            </w:r>
            <w:r w:rsidR="00DE46E7">
              <w:rPr>
                <w:webHidden/>
              </w:rPr>
              <w:fldChar w:fldCharType="separate"/>
            </w:r>
            <w:r>
              <w:rPr>
                <w:webHidden/>
              </w:rPr>
              <w:t>6</w:t>
            </w:r>
            <w:r w:rsidR="00DE46E7">
              <w:rPr>
                <w:webHidden/>
              </w:rPr>
              <w:fldChar w:fldCharType="end"/>
            </w:r>
          </w:hyperlink>
        </w:p>
        <w:p w14:paraId="208DC9EA" w14:textId="192639A4" w:rsidR="00DE46E7" w:rsidRDefault="009C6A47">
          <w:pPr>
            <w:pStyle w:val="TM2"/>
            <w:rPr>
              <w:rFonts w:asciiTheme="minorHAnsi" w:eastAsiaTheme="minorEastAsia" w:hAnsiTheme="minorHAnsi" w:cstheme="minorBidi"/>
              <w:bCs w:val="0"/>
              <w:sz w:val="22"/>
              <w:szCs w:val="22"/>
              <w:lang w:eastAsia="fr-FR"/>
            </w:rPr>
          </w:pPr>
          <w:hyperlink w:anchor="_Toc100689211" w:history="1">
            <w:r w:rsidR="00DE46E7" w:rsidRPr="00901899">
              <w:rPr>
                <w:rStyle w:val="Lienhypertexte"/>
                <w:rFonts w:cstheme="minorHAnsi"/>
              </w:rPr>
              <w:t>2.2.3</w:t>
            </w:r>
            <w:r w:rsidR="00DE46E7">
              <w:rPr>
                <w:rFonts w:asciiTheme="minorHAnsi" w:eastAsiaTheme="minorEastAsia" w:hAnsiTheme="minorHAnsi" w:cstheme="minorBidi"/>
                <w:bCs w:val="0"/>
                <w:sz w:val="22"/>
                <w:szCs w:val="22"/>
                <w:lang w:eastAsia="fr-FR"/>
              </w:rPr>
              <w:tab/>
            </w:r>
            <w:r w:rsidR="00DE46E7" w:rsidRPr="00901899">
              <w:rPr>
                <w:rStyle w:val="Lienhypertexte"/>
                <w:rFonts w:cstheme="minorHAnsi"/>
              </w:rPr>
              <w:t>EBITDA courant et EBITDA ajusté</w:t>
            </w:r>
            <w:r w:rsidR="00DE46E7">
              <w:rPr>
                <w:webHidden/>
              </w:rPr>
              <w:tab/>
            </w:r>
            <w:r w:rsidR="00DE46E7">
              <w:rPr>
                <w:webHidden/>
              </w:rPr>
              <w:fldChar w:fldCharType="begin"/>
            </w:r>
            <w:r w:rsidR="00DE46E7">
              <w:rPr>
                <w:webHidden/>
              </w:rPr>
              <w:instrText xml:space="preserve"> PAGEREF _Toc100689211 \h </w:instrText>
            </w:r>
            <w:r w:rsidR="00DE46E7">
              <w:rPr>
                <w:webHidden/>
              </w:rPr>
            </w:r>
            <w:r w:rsidR="00DE46E7">
              <w:rPr>
                <w:webHidden/>
              </w:rPr>
              <w:fldChar w:fldCharType="separate"/>
            </w:r>
            <w:r>
              <w:rPr>
                <w:webHidden/>
              </w:rPr>
              <w:t>7</w:t>
            </w:r>
            <w:r w:rsidR="00DE46E7">
              <w:rPr>
                <w:webHidden/>
              </w:rPr>
              <w:fldChar w:fldCharType="end"/>
            </w:r>
          </w:hyperlink>
        </w:p>
        <w:p w14:paraId="7A87E402" w14:textId="7E4E25EA" w:rsidR="00DE46E7" w:rsidRDefault="009C6A47">
          <w:pPr>
            <w:pStyle w:val="TM2"/>
            <w:rPr>
              <w:rFonts w:asciiTheme="minorHAnsi" w:eastAsiaTheme="minorEastAsia" w:hAnsiTheme="minorHAnsi" w:cstheme="minorBidi"/>
              <w:bCs w:val="0"/>
              <w:sz w:val="22"/>
              <w:szCs w:val="22"/>
              <w:lang w:eastAsia="fr-FR"/>
            </w:rPr>
          </w:pPr>
          <w:hyperlink w:anchor="_Toc100689212" w:history="1">
            <w:r w:rsidR="00DE46E7" w:rsidRPr="00901899">
              <w:rPr>
                <w:rStyle w:val="Lienhypertexte"/>
                <w:rFonts w:cstheme="minorHAnsi"/>
              </w:rPr>
              <w:t>2.2.4</w:t>
            </w:r>
            <w:r w:rsidR="00DE46E7">
              <w:rPr>
                <w:rFonts w:asciiTheme="minorHAnsi" w:eastAsiaTheme="minorEastAsia" w:hAnsiTheme="minorHAnsi" w:cstheme="minorBidi"/>
                <w:bCs w:val="0"/>
                <w:sz w:val="22"/>
                <w:szCs w:val="22"/>
                <w:lang w:eastAsia="fr-FR"/>
              </w:rPr>
              <w:tab/>
            </w:r>
            <w:r w:rsidR="00DE46E7" w:rsidRPr="00901899">
              <w:rPr>
                <w:rStyle w:val="Lienhypertexte"/>
                <w:rFonts w:cstheme="minorHAnsi"/>
              </w:rPr>
              <w:t>Résultat net du Groupe</w:t>
            </w:r>
            <w:r w:rsidR="00DE46E7">
              <w:rPr>
                <w:webHidden/>
              </w:rPr>
              <w:tab/>
            </w:r>
            <w:r w:rsidR="00DE46E7">
              <w:rPr>
                <w:webHidden/>
              </w:rPr>
              <w:fldChar w:fldCharType="begin"/>
            </w:r>
            <w:r w:rsidR="00DE46E7">
              <w:rPr>
                <w:webHidden/>
              </w:rPr>
              <w:instrText xml:space="preserve"> PAGEREF _Toc100689212 \h </w:instrText>
            </w:r>
            <w:r w:rsidR="00DE46E7">
              <w:rPr>
                <w:webHidden/>
              </w:rPr>
            </w:r>
            <w:r w:rsidR="00DE46E7">
              <w:rPr>
                <w:webHidden/>
              </w:rPr>
              <w:fldChar w:fldCharType="separate"/>
            </w:r>
            <w:r>
              <w:rPr>
                <w:webHidden/>
              </w:rPr>
              <w:t>7</w:t>
            </w:r>
            <w:r w:rsidR="00DE46E7">
              <w:rPr>
                <w:webHidden/>
              </w:rPr>
              <w:fldChar w:fldCharType="end"/>
            </w:r>
          </w:hyperlink>
        </w:p>
        <w:p w14:paraId="4A4314F1" w14:textId="14899121" w:rsidR="00DE46E7" w:rsidRDefault="009C6A47">
          <w:pPr>
            <w:pStyle w:val="TM2"/>
            <w:rPr>
              <w:rFonts w:asciiTheme="minorHAnsi" w:eastAsiaTheme="minorEastAsia" w:hAnsiTheme="minorHAnsi" w:cstheme="minorBidi"/>
              <w:bCs w:val="0"/>
              <w:sz w:val="22"/>
              <w:szCs w:val="22"/>
              <w:lang w:eastAsia="fr-FR"/>
            </w:rPr>
          </w:pPr>
          <w:hyperlink w:anchor="_Toc100689213" w:history="1">
            <w:r w:rsidR="00DE46E7" w:rsidRPr="00901899">
              <w:rPr>
                <w:rStyle w:val="Lienhypertexte"/>
                <w:rFonts w:cstheme="minorHAnsi"/>
              </w:rPr>
              <w:t>2.3</w:t>
            </w:r>
            <w:r w:rsidR="00DE46E7">
              <w:rPr>
                <w:rFonts w:asciiTheme="minorHAnsi" w:eastAsiaTheme="minorEastAsia" w:hAnsiTheme="minorHAnsi" w:cstheme="minorBidi"/>
                <w:bCs w:val="0"/>
                <w:sz w:val="22"/>
                <w:szCs w:val="22"/>
                <w:lang w:eastAsia="fr-FR"/>
              </w:rPr>
              <w:tab/>
            </w:r>
            <w:r w:rsidR="00DE46E7" w:rsidRPr="00901899">
              <w:rPr>
                <w:rStyle w:val="Lienhypertexte"/>
                <w:rFonts w:cstheme="minorHAnsi"/>
              </w:rPr>
              <w:t>Investissements</w:t>
            </w:r>
            <w:r w:rsidR="00DE46E7">
              <w:rPr>
                <w:webHidden/>
              </w:rPr>
              <w:tab/>
            </w:r>
            <w:r w:rsidR="00DE46E7">
              <w:rPr>
                <w:webHidden/>
              </w:rPr>
              <w:fldChar w:fldCharType="begin"/>
            </w:r>
            <w:r w:rsidR="00DE46E7">
              <w:rPr>
                <w:webHidden/>
              </w:rPr>
              <w:instrText xml:space="preserve"> PAGEREF _Toc100689213 \h </w:instrText>
            </w:r>
            <w:r w:rsidR="00DE46E7">
              <w:rPr>
                <w:webHidden/>
              </w:rPr>
            </w:r>
            <w:r w:rsidR="00DE46E7">
              <w:rPr>
                <w:webHidden/>
              </w:rPr>
              <w:fldChar w:fldCharType="separate"/>
            </w:r>
            <w:r>
              <w:rPr>
                <w:webHidden/>
              </w:rPr>
              <w:t>8</w:t>
            </w:r>
            <w:r w:rsidR="00DE46E7">
              <w:rPr>
                <w:webHidden/>
              </w:rPr>
              <w:fldChar w:fldCharType="end"/>
            </w:r>
          </w:hyperlink>
        </w:p>
        <w:p w14:paraId="0A8730E7" w14:textId="70DB70F5" w:rsidR="00DE46E7" w:rsidRDefault="009C6A47">
          <w:pPr>
            <w:pStyle w:val="TM1"/>
            <w:rPr>
              <w:rFonts w:asciiTheme="minorHAnsi" w:eastAsiaTheme="minorEastAsia" w:hAnsiTheme="minorHAnsi" w:cstheme="minorBidi"/>
              <w:color w:val="auto"/>
              <w:szCs w:val="22"/>
              <w:lang w:eastAsia="fr-FR"/>
            </w:rPr>
          </w:pPr>
          <w:hyperlink w:anchor="_Toc100689214" w:history="1">
            <w:r w:rsidR="00DE46E7" w:rsidRPr="00901899">
              <w:rPr>
                <w:rStyle w:val="Lienhypertexte"/>
                <w:rFonts w:cstheme="minorHAnsi"/>
              </w:rPr>
              <w:t>3.</w:t>
            </w:r>
            <w:r w:rsidR="00DE46E7">
              <w:rPr>
                <w:rFonts w:asciiTheme="minorHAnsi" w:eastAsiaTheme="minorEastAsia" w:hAnsiTheme="minorHAnsi" w:cstheme="minorBidi"/>
                <w:color w:val="auto"/>
                <w:szCs w:val="22"/>
                <w:lang w:eastAsia="fr-FR"/>
              </w:rPr>
              <w:tab/>
            </w:r>
            <w:r w:rsidR="00DE46E7" w:rsidRPr="00901899">
              <w:rPr>
                <w:rStyle w:val="Lienhypertexte"/>
                <w:rFonts w:cstheme="minorHAnsi"/>
              </w:rPr>
              <w:t>Trésorerie et capitaux propres</w:t>
            </w:r>
            <w:r w:rsidR="00DE46E7">
              <w:rPr>
                <w:webHidden/>
              </w:rPr>
              <w:tab/>
            </w:r>
            <w:r w:rsidR="00DE46E7">
              <w:rPr>
                <w:webHidden/>
              </w:rPr>
              <w:fldChar w:fldCharType="begin"/>
            </w:r>
            <w:r w:rsidR="00DE46E7">
              <w:rPr>
                <w:webHidden/>
              </w:rPr>
              <w:instrText xml:space="preserve"> PAGEREF _Toc100689214 \h </w:instrText>
            </w:r>
            <w:r w:rsidR="00DE46E7">
              <w:rPr>
                <w:webHidden/>
              </w:rPr>
            </w:r>
            <w:r w:rsidR="00DE46E7">
              <w:rPr>
                <w:webHidden/>
              </w:rPr>
              <w:fldChar w:fldCharType="separate"/>
            </w:r>
            <w:r>
              <w:rPr>
                <w:webHidden/>
              </w:rPr>
              <w:t>8</w:t>
            </w:r>
            <w:r w:rsidR="00DE46E7">
              <w:rPr>
                <w:webHidden/>
              </w:rPr>
              <w:fldChar w:fldCharType="end"/>
            </w:r>
          </w:hyperlink>
        </w:p>
        <w:p w14:paraId="7F6BCF1A" w14:textId="082A11F5" w:rsidR="00DE46E7" w:rsidRDefault="009C6A47">
          <w:pPr>
            <w:pStyle w:val="TM2"/>
            <w:rPr>
              <w:rFonts w:asciiTheme="minorHAnsi" w:eastAsiaTheme="minorEastAsia" w:hAnsiTheme="minorHAnsi" w:cstheme="minorBidi"/>
              <w:bCs w:val="0"/>
              <w:sz w:val="22"/>
              <w:szCs w:val="22"/>
              <w:lang w:eastAsia="fr-FR"/>
            </w:rPr>
          </w:pPr>
          <w:hyperlink w:anchor="_Toc100689215" w:history="1">
            <w:r w:rsidR="00DE46E7" w:rsidRPr="00901899">
              <w:rPr>
                <w:rStyle w:val="Lienhypertexte"/>
                <w:rFonts w:cstheme="minorHAnsi"/>
              </w:rPr>
              <w:t>3.1</w:t>
            </w:r>
            <w:r w:rsidR="00DE46E7">
              <w:rPr>
                <w:rFonts w:asciiTheme="minorHAnsi" w:eastAsiaTheme="minorEastAsia" w:hAnsiTheme="minorHAnsi" w:cstheme="minorBidi"/>
                <w:bCs w:val="0"/>
                <w:sz w:val="22"/>
                <w:szCs w:val="22"/>
                <w:lang w:eastAsia="fr-FR"/>
              </w:rPr>
              <w:tab/>
            </w:r>
            <w:r w:rsidR="00DE46E7" w:rsidRPr="00901899">
              <w:rPr>
                <w:rStyle w:val="Lienhypertexte"/>
                <w:rFonts w:cstheme="minorHAnsi"/>
              </w:rPr>
              <w:t>Principaux flux de trésorerie</w:t>
            </w:r>
            <w:r w:rsidR="00DE46E7">
              <w:rPr>
                <w:webHidden/>
              </w:rPr>
              <w:tab/>
            </w:r>
            <w:r w:rsidR="00DE46E7">
              <w:rPr>
                <w:webHidden/>
              </w:rPr>
              <w:fldChar w:fldCharType="begin"/>
            </w:r>
            <w:r w:rsidR="00DE46E7">
              <w:rPr>
                <w:webHidden/>
              </w:rPr>
              <w:instrText xml:space="preserve"> PAGEREF _Toc100689215 \h </w:instrText>
            </w:r>
            <w:r w:rsidR="00DE46E7">
              <w:rPr>
                <w:webHidden/>
              </w:rPr>
            </w:r>
            <w:r w:rsidR="00DE46E7">
              <w:rPr>
                <w:webHidden/>
              </w:rPr>
              <w:fldChar w:fldCharType="separate"/>
            </w:r>
            <w:r>
              <w:rPr>
                <w:webHidden/>
              </w:rPr>
              <w:t>8</w:t>
            </w:r>
            <w:r w:rsidR="00DE46E7">
              <w:rPr>
                <w:webHidden/>
              </w:rPr>
              <w:fldChar w:fldCharType="end"/>
            </w:r>
          </w:hyperlink>
        </w:p>
        <w:p w14:paraId="65F519B2" w14:textId="7893F927" w:rsidR="00DE46E7" w:rsidRDefault="009C6A47">
          <w:pPr>
            <w:pStyle w:val="TM2"/>
            <w:rPr>
              <w:rFonts w:asciiTheme="minorHAnsi" w:eastAsiaTheme="minorEastAsia" w:hAnsiTheme="minorHAnsi" w:cstheme="minorBidi"/>
              <w:bCs w:val="0"/>
              <w:sz w:val="22"/>
              <w:szCs w:val="22"/>
              <w:lang w:eastAsia="fr-FR"/>
            </w:rPr>
          </w:pPr>
          <w:hyperlink w:anchor="_Toc100689216" w:history="1">
            <w:r w:rsidR="00DE46E7" w:rsidRPr="00901899">
              <w:rPr>
                <w:rStyle w:val="Lienhypertexte"/>
                <w:rFonts w:cstheme="minorHAnsi"/>
              </w:rPr>
              <w:t>3.2</w:t>
            </w:r>
            <w:r w:rsidR="00DE46E7">
              <w:rPr>
                <w:rFonts w:asciiTheme="minorHAnsi" w:eastAsiaTheme="minorEastAsia" w:hAnsiTheme="minorHAnsi" w:cstheme="minorBidi"/>
                <w:bCs w:val="0"/>
                <w:sz w:val="22"/>
                <w:szCs w:val="22"/>
                <w:lang w:eastAsia="fr-FR"/>
              </w:rPr>
              <w:tab/>
            </w:r>
            <w:r w:rsidR="00DE46E7" w:rsidRPr="00901899">
              <w:rPr>
                <w:rStyle w:val="Lienhypertexte"/>
                <w:rFonts w:cstheme="minorHAnsi"/>
              </w:rPr>
              <w:t>Endettement financier</w:t>
            </w:r>
            <w:r w:rsidR="00DE46E7">
              <w:rPr>
                <w:webHidden/>
              </w:rPr>
              <w:tab/>
            </w:r>
            <w:r w:rsidR="00DE46E7">
              <w:rPr>
                <w:webHidden/>
              </w:rPr>
              <w:fldChar w:fldCharType="begin"/>
            </w:r>
            <w:r w:rsidR="00DE46E7">
              <w:rPr>
                <w:webHidden/>
              </w:rPr>
              <w:instrText xml:space="preserve"> PAGEREF _Toc100689216 \h </w:instrText>
            </w:r>
            <w:r w:rsidR="00DE46E7">
              <w:rPr>
                <w:webHidden/>
              </w:rPr>
            </w:r>
            <w:r w:rsidR="00DE46E7">
              <w:rPr>
                <w:webHidden/>
              </w:rPr>
              <w:fldChar w:fldCharType="separate"/>
            </w:r>
            <w:r>
              <w:rPr>
                <w:webHidden/>
              </w:rPr>
              <w:t>10</w:t>
            </w:r>
            <w:r w:rsidR="00DE46E7">
              <w:rPr>
                <w:webHidden/>
              </w:rPr>
              <w:fldChar w:fldCharType="end"/>
            </w:r>
          </w:hyperlink>
        </w:p>
        <w:p w14:paraId="06E7A83F" w14:textId="6FF59C99" w:rsidR="00DE46E7" w:rsidRDefault="009C6A47">
          <w:pPr>
            <w:pStyle w:val="TM2"/>
            <w:rPr>
              <w:rFonts w:asciiTheme="minorHAnsi" w:eastAsiaTheme="minorEastAsia" w:hAnsiTheme="minorHAnsi" w:cstheme="minorBidi"/>
              <w:bCs w:val="0"/>
              <w:sz w:val="22"/>
              <w:szCs w:val="22"/>
              <w:lang w:eastAsia="fr-FR"/>
            </w:rPr>
          </w:pPr>
          <w:hyperlink w:anchor="_Toc100689217" w:history="1">
            <w:r w:rsidR="00DE46E7" w:rsidRPr="00901899">
              <w:rPr>
                <w:rStyle w:val="Lienhypertexte"/>
                <w:rFonts w:cstheme="minorHAnsi"/>
              </w:rPr>
              <w:t>3.3</w:t>
            </w:r>
            <w:r w:rsidR="00DE46E7">
              <w:rPr>
                <w:rFonts w:asciiTheme="minorHAnsi" w:eastAsiaTheme="minorEastAsia" w:hAnsiTheme="minorHAnsi" w:cstheme="minorBidi"/>
                <w:bCs w:val="0"/>
                <w:sz w:val="22"/>
                <w:szCs w:val="22"/>
                <w:lang w:eastAsia="fr-FR"/>
              </w:rPr>
              <w:tab/>
            </w:r>
            <w:r w:rsidR="00DE46E7" w:rsidRPr="00901899">
              <w:rPr>
                <w:rStyle w:val="Lienhypertexte"/>
                <w:rFonts w:cstheme="minorHAnsi"/>
              </w:rPr>
              <w:t>Capitaux propres</w:t>
            </w:r>
            <w:r w:rsidR="00DE46E7">
              <w:rPr>
                <w:webHidden/>
              </w:rPr>
              <w:tab/>
            </w:r>
            <w:r w:rsidR="00DE46E7">
              <w:rPr>
                <w:webHidden/>
              </w:rPr>
              <w:fldChar w:fldCharType="begin"/>
            </w:r>
            <w:r w:rsidR="00DE46E7">
              <w:rPr>
                <w:webHidden/>
              </w:rPr>
              <w:instrText xml:space="preserve"> PAGEREF _Toc100689217 \h </w:instrText>
            </w:r>
            <w:r w:rsidR="00DE46E7">
              <w:rPr>
                <w:webHidden/>
              </w:rPr>
            </w:r>
            <w:r w:rsidR="00DE46E7">
              <w:rPr>
                <w:webHidden/>
              </w:rPr>
              <w:fldChar w:fldCharType="separate"/>
            </w:r>
            <w:r>
              <w:rPr>
                <w:webHidden/>
              </w:rPr>
              <w:t>10</w:t>
            </w:r>
            <w:r w:rsidR="00DE46E7">
              <w:rPr>
                <w:webHidden/>
              </w:rPr>
              <w:fldChar w:fldCharType="end"/>
            </w:r>
          </w:hyperlink>
        </w:p>
        <w:p w14:paraId="002E1F8E" w14:textId="692ACB37" w:rsidR="00DE46E7" w:rsidRDefault="009C6A47">
          <w:pPr>
            <w:pStyle w:val="TM1"/>
            <w:rPr>
              <w:rFonts w:asciiTheme="minorHAnsi" w:eastAsiaTheme="minorEastAsia" w:hAnsiTheme="minorHAnsi" w:cstheme="minorBidi"/>
              <w:color w:val="auto"/>
              <w:szCs w:val="22"/>
              <w:lang w:eastAsia="fr-FR"/>
            </w:rPr>
          </w:pPr>
          <w:hyperlink w:anchor="_Toc100689218" w:history="1">
            <w:r w:rsidR="00DE46E7" w:rsidRPr="00901899">
              <w:rPr>
                <w:rStyle w:val="Lienhypertexte"/>
                <w:rFonts w:cstheme="minorHAnsi"/>
              </w:rPr>
              <w:t>4.</w:t>
            </w:r>
            <w:r w:rsidR="00DE46E7">
              <w:rPr>
                <w:rFonts w:asciiTheme="minorHAnsi" w:eastAsiaTheme="minorEastAsia" w:hAnsiTheme="minorHAnsi" w:cstheme="minorBidi"/>
                <w:color w:val="auto"/>
                <w:szCs w:val="22"/>
                <w:lang w:eastAsia="fr-FR"/>
              </w:rPr>
              <w:tab/>
            </w:r>
            <w:r w:rsidR="00DE46E7" w:rsidRPr="00901899">
              <w:rPr>
                <w:rStyle w:val="Lienhypertexte"/>
                <w:rFonts w:cstheme="minorHAnsi"/>
              </w:rPr>
              <w:t>Informations complémentaires</w:t>
            </w:r>
            <w:r w:rsidR="00DE46E7">
              <w:rPr>
                <w:webHidden/>
              </w:rPr>
              <w:tab/>
            </w:r>
            <w:r w:rsidR="00DE46E7">
              <w:rPr>
                <w:webHidden/>
              </w:rPr>
              <w:fldChar w:fldCharType="begin"/>
            </w:r>
            <w:r w:rsidR="00DE46E7">
              <w:rPr>
                <w:webHidden/>
              </w:rPr>
              <w:instrText xml:space="preserve"> PAGEREF _Toc100689218 \h </w:instrText>
            </w:r>
            <w:r w:rsidR="00DE46E7">
              <w:rPr>
                <w:webHidden/>
              </w:rPr>
            </w:r>
            <w:r w:rsidR="00DE46E7">
              <w:rPr>
                <w:webHidden/>
              </w:rPr>
              <w:fldChar w:fldCharType="separate"/>
            </w:r>
            <w:r>
              <w:rPr>
                <w:webHidden/>
              </w:rPr>
              <w:t>11</w:t>
            </w:r>
            <w:r w:rsidR="00DE46E7">
              <w:rPr>
                <w:webHidden/>
              </w:rPr>
              <w:fldChar w:fldCharType="end"/>
            </w:r>
          </w:hyperlink>
        </w:p>
        <w:p w14:paraId="52304F97" w14:textId="34FF8DB5" w:rsidR="00DE46E7" w:rsidRDefault="009C6A47">
          <w:pPr>
            <w:pStyle w:val="TM1"/>
            <w:rPr>
              <w:rFonts w:asciiTheme="minorHAnsi" w:eastAsiaTheme="minorEastAsia" w:hAnsiTheme="minorHAnsi" w:cstheme="minorBidi"/>
              <w:color w:val="auto"/>
              <w:szCs w:val="22"/>
              <w:lang w:eastAsia="fr-FR"/>
            </w:rPr>
          </w:pPr>
          <w:hyperlink w:anchor="_Toc100689220" w:history="1">
            <w:r w:rsidR="00DE46E7" w:rsidRPr="00901899">
              <w:rPr>
                <w:rStyle w:val="Lienhypertexte"/>
                <w:rFonts w:cstheme="minorHAnsi"/>
                <w:b/>
                <w:bCs/>
              </w:rPr>
              <w:t>Comptes consolidés semestriels résumés au 28 février 2022</w:t>
            </w:r>
            <w:r w:rsidR="00DE46E7">
              <w:rPr>
                <w:webHidden/>
              </w:rPr>
              <w:tab/>
            </w:r>
            <w:r w:rsidR="00DE46E7">
              <w:rPr>
                <w:webHidden/>
              </w:rPr>
              <w:fldChar w:fldCharType="begin"/>
            </w:r>
            <w:r w:rsidR="00DE46E7">
              <w:rPr>
                <w:webHidden/>
              </w:rPr>
              <w:instrText xml:space="preserve"> PAGEREF _Toc100689220 \h </w:instrText>
            </w:r>
            <w:r w:rsidR="00DE46E7">
              <w:rPr>
                <w:webHidden/>
              </w:rPr>
            </w:r>
            <w:r w:rsidR="00DE46E7">
              <w:rPr>
                <w:webHidden/>
              </w:rPr>
              <w:fldChar w:fldCharType="separate"/>
            </w:r>
            <w:r>
              <w:rPr>
                <w:webHidden/>
              </w:rPr>
              <w:t>13</w:t>
            </w:r>
            <w:r w:rsidR="00DE46E7">
              <w:rPr>
                <w:webHidden/>
              </w:rPr>
              <w:fldChar w:fldCharType="end"/>
            </w:r>
          </w:hyperlink>
        </w:p>
        <w:p w14:paraId="31752BF6" w14:textId="636916DD" w:rsidR="00DE46E7" w:rsidRDefault="009C6A47">
          <w:pPr>
            <w:pStyle w:val="TM1"/>
            <w:rPr>
              <w:rFonts w:asciiTheme="minorHAnsi" w:eastAsiaTheme="minorEastAsia" w:hAnsiTheme="minorHAnsi" w:cstheme="minorBidi"/>
              <w:color w:val="auto"/>
              <w:szCs w:val="22"/>
              <w:lang w:eastAsia="fr-FR"/>
            </w:rPr>
          </w:pPr>
          <w:hyperlink w:anchor="_Toc100689246" w:history="1">
            <w:r w:rsidR="00DE46E7" w:rsidRPr="00901899">
              <w:rPr>
                <w:rStyle w:val="Lienhypertexte"/>
                <w:rFonts w:cstheme="minorHAnsi"/>
                <w:b/>
                <w:bCs/>
              </w:rPr>
              <w:t>Rapport des commissaires aux comptes</w:t>
            </w:r>
            <w:r w:rsidR="00DE46E7">
              <w:rPr>
                <w:webHidden/>
              </w:rPr>
              <w:tab/>
            </w:r>
            <w:r w:rsidR="00DE46E7">
              <w:rPr>
                <w:webHidden/>
              </w:rPr>
              <w:fldChar w:fldCharType="begin"/>
            </w:r>
            <w:r w:rsidR="00DE46E7">
              <w:rPr>
                <w:webHidden/>
              </w:rPr>
              <w:instrText xml:space="preserve"> PAGEREF _Toc100689246 \h </w:instrText>
            </w:r>
            <w:r w:rsidR="00DE46E7">
              <w:rPr>
                <w:webHidden/>
              </w:rPr>
            </w:r>
            <w:r w:rsidR="00DE46E7">
              <w:rPr>
                <w:webHidden/>
              </w:rPr>
              <w:fldChar w:fldCharType="separate"/>
            </w:r>
            <w:r>
              <w:rPr>
                <w:webHidden/>
              </w:rPr>
              <w:t>40</w:t>
            </w:r>
            <w:r w:rsidR="00DE46E7">
              <w:rPr>
                <w:webHidden/>
              </w:rPr>
              <w:fldChar w:fldCharType="end"/>
            </w:r>
          </w:hyperlink>
        </w:p>
        <w:p w14:paraId="77243948" w14:textId="5A521B6D" w:rsidR="00DE46E7" w:rsidRDefault="009C6A47">
          <w:pPr>
            <w:pStyle w:val="TM1"/>
            <w:rPr>
              <w:rFonts w:asciiTheme="minorHAnsi" w:eastAsiaTheme="minorEastAsia" w:hAnsiTheme="minorHAnsi" w:cstheme="minorBidi"/>
              <w:color w:val="auto"/>
              <w:szCs w:val="22"/>
              <w:lang w:eastAsia="fr-FR"/>
            </w:rPr>
          </w:pPr>
          <w:hyperlink w:anchor="_Toc100689247" w:history="1">
            <w:r w:rsidR="00DE46E7" w:rsidRPr="00901899">
              <w:rPr>
                <w:rStyle w:val="Lienhypertexte"/>
                <w:rFonts w:cstheme="minorHAnsi"/>
                <w:b/>
                <w:bCs/>
              </w:rPr>
              <w:t>Attestation du responsable du rapport financier semestriel</w:t>
            </w:r>
            <w:r w:rsidR="00DE46E7">
              <w:rPr>
                <w:webHidden/>
              </w:rPr>
              <w:tab/>
            </w:r>
            <w:r w:rsidR="00DE46E7">
              <w:rPr>
                <w:webHidden/>
              </w:rPr>
              <w:fldChar w:fldCharType="begin"/>
            </w:r>
            <w:r w:rsidR="00DE46E7">
              <w:rPr>
                <w:webHidden/>
              </w:rPr>
              <w:instrText xml:space="preserve"> PAGEREF _Toc100689247 \h </w:instrText>
            </w:r>
            <w:r w:rsidR="00DE46E7">
              <w:rPr>
                <w:webHidden/>
              </w:rPr>
            </w:r>
            <w:r w:rsidR="00DE46E7">
              <w:rPr>
                <w:webHidden/>
              </w:rPr>
              <w:fldChar w:fldCharType="separate"/>
            </w:r>
            <w:r>
              <w:rPr>
                <w:webHidden/>
              </w:rPr>
              <w:t>43</w:t>
            </w:r>
            <w:r w:rsidR="00DE46E7">
              <w:rPr>
                <w:webHidden/>
              </w:rPr>
              <w:fldChar w:fldCharType="end"/>
            </w:r>
          </w:hyperlink>
        </w:p>
        <w:p w14:paraId="66295D2D" w14:textId="43B672D8" w:rsidR="0041512C" w:rsidRPr="00B264D1" w:rsidRDefault="0041512C" w:rsidP="0041512C">
          <w:pPr>
            <w:rPr>
              <w:rFonts w:asciiTheme="minorHAnsi" w:hAnsiTheme="minorHAnsi" w:cstheme="minorHAnsi"/>
              <w:color w:val="000E9A"/>
              <w:sz w:val="36"/>
              <w:szCs w:val="36"/>
            </w:rPr>
            <w:sectPr w:rsidR="0041512C" w:rsidRPr="00B264D1" w:rsidSect="005B62C1">
              <w:headerReference w:type="default" r:id="rId18"/>
              <w:footerReference w:type="default" r:id="rId19"/>
              <w:pgSz w:w="11906" w:h="16838"/>
              <w:pgMar w:top="851" w:right="1133" w:bottom="1418" w:left="1418" w:header="850" w:footer="0" w:gutter="0"/>
              <w:pgNumType w:start="0"/>
              <w:cols w:space="566"/>
              <w:titlePg/>
              <w:docGrid w:linePitch="360"/>
            </w:sectPr>
          </w:pPr>
          <w:r w:rsidRPr="00B264D1">
            <w:rPr>
              <w:rFonts w:asciiTheme="minorHAnsi" w:hAnsiTheme="minorHAnsi" w:cstheme="minorHAnsi"/>
              <w:b/>
              <w:noProof/>
              <w:color w:val="000000" w:themeColor="text1"/>
              <w:sz w:val="24"/>
              <w:szCs w:val="24"/>
            </w:rPr>
            <w:fldChar w:fldCharType="end"/>
          </w:r>
        </w:p>
        <w:p w14:paraId="5BE870EC" w14:textId="77777777" w:rsidR="0041512C" w:rsidRPr="00B264D1" w:rsidRDefault="0041512C" w:rsidP="005B62C1">
          <w:pPr>
            <w:pStyle w:val="Titre1"/>
            <w:rPr>
              <w:rFonts w:asciiTheme="minorHAnsi" w:hAnsiTheme="minorHAnsi" w:cstheme="minorHAnsi"/>
              <w:b/>
              <w:bCs/>
              <w:color w:val="000E9C"/>
              <w:sz w:val="32"/>
              <w:szCs w:val="32"/>
            </w:rPr>
          </w:pPr>
          <w:bookmarkStart w:id="1" w:name="_Toc100684255"/>
          <w:bookmarkStart w:id="2" w:name="_Toc100689199"/>
          <w:bookmarkStart w:id="3" w:name="_Toc100689248"/>
          <w:r w:rsidRPr="00B264D1">
            <w:rPr>
              <w:rFonts w:asciiTheme="minorHAnsi" w:hAnsiTheme="minorHAnsi" w:cstheme="minorHAnsi"/>
              <w:b/>
              <w:bCs/>
              <w:color w:val="000E9C"/>
              <w:sz w:val="32"/>
              <w:szCs w:val="32"/>
            </w:rPr>
            <w:lastRenderedPageBreak/>
            <w:t>Rapport d’activité du premier semestre</w:t>
          </w:r>
          <w:r>
            <w:rPr>
              <w:rFonts w:asciiTheme="minorHAnsi" w:hAnsiTheme="minorHAnsi" w:cstheme="minorHAnsi"/>
              <w:b/>
              <w:bCs/>
              <w:color w:val="000E9C"/>
              <w:sz w:val="32"/>
              <w:szCs w:val="32"/>
            </w:rPr>
            <w:t xml:space="preserve"> 2022</w:t>
          </w:r>
          <w:bookmarkEnd w:id="1"/>
          <w:bookmarkEnd w:id="2"/>
          <w:bookmarkEnd w:id="3"/>
        </w:p>
        <w:p w14:paraId="7F40E4F3" w14:textId="77777777" w:rsidR="0041512C" w:rsidRPr="00B264D1" w:rsidRDefault="0041512C" w:rsidP="0041512C">
          <w:pPr>
            <w:rPr>
              <w:rFonts w:asciiTheme="minorHAnsi" w:hAnsiTheme="minorHAnsi" w:cstheme="minorHAnsi"/>
            </w:rPr>
          </w:pPr>
        </w:p>
        <w:p w14:paraId="779C2899" w14:textId="77777777" w:rsidR="0041512C" w:rsidRPr="00B264D1" w:rsidRDefault="0041512C" w:rsidP="0041512C">
          <w:pPr>
            <w:pStyle w:val="Titre1"/>
            <w:numPr>
              <w:ilvl w:val="0"/>
              <w:numId w:val="11"/>
            </w:numPr>
            <w:spacing w:before="240" w:after="0"/>
            <w:ind w:left="426" w:right="-74" w:hanging="568"/>
            <w:rPr>
              <w:rFonts w:asciiTheme="minorHAnsi" w:hAnsiTheme="minorHAnsi" w:cstheme="minorHAnsi"/>
              <w:color w:val="000E9A"/>
              <w:sz w:val="28"/>
              <w:szCs w:val="28"/>
            </w:rPr>
          </w:pPr>
          <w:bookmarkStart w:id="4" w:name="_Toc100684256"/>
          <w:bookmarkStart w:id="5" w:name="_Toc100689200"/>
          <w:bookmarkStart w:id="6" w:name="_Toc100689249"/>
          <w:r w:rsidRPr="00B264D1">
            <w:rPr>
              <w:rFonts w:asciiTheme="minorHAnsi" w:hAnsiTheme="minorHAnsi" w:cstheme="minorHAnsi"/>
              <w:color w:val="000E9A"/>
              <w:sz w:val="28"/>
              <w:szCs w:val="28"/>
            </w:rPr>
            <w:t>Vue d’ensemble</w:t>
          </w:r>
          <w:bookmarkEnd w:id="4"/>
          <w:bookmarkEnd w:id="5"/>
          <w:bookmarkEnd w:id="6"/>
        </w:p>
        <w:p w14:paraId="3CCE6C32" w14:textId="77777777" w:rsidR="0041512C" w:rsidRPr="00B264D1" w:rsidRDefault="0041512C" w:rsidP="005B62C1">
          <w:pPr>
            <w:tabs>
              <w:tab w:val="left" w:pos="426"/>
            </w:tabs>
            <w:rPr>
              <w:rFonts w:asciiTheme="minorHAnsi" w:hAnsiTheme="minorHAnsi" w:cstheme="minorHAnsi"/>
            </w:rPr>
          </w:pPr>
        </w:p>
        <w:p w14:paraId="56198252" w14:textId="77777777" w:rsidR="0041512C" w:rsidRPr="00B264D1" w:rsidRDefault="0041512C" w:rsidP="0041512C">
          <w:pPr>
            <w:pStyle w:val="Titre2"/>
            <w:numPr>
              <w:ilvl w:val="1"/>
              <w:numId w:val="19"/>
            </w:numPr>
            <w:spacing w:before="0"/>
            <w:ind w:left="567" w:hanging="567"/>
            <w:rPr>
              <w:rFonts w:asciiTheme="minorHAnsi" w:hAnsiTheme="minorHAnsi" w:cstheme="minorHAnsi"/>
              <w:color w:val="auto"/>
              <w:sz w:val="28"/>
              <w:szCs w:val="28"/>
            </w:rPr>
          </w:pPr>
          <w:bookmarkStart w:id="7" w:name="_Toc100684257"/>
          <w:bookmarkStart w:id="8" w:name="_Toc100689201"/>
          <w:bookmarkStart w:id="9" w:name="_Toc100689250"/>
          <w:r>
            <w:rPr>
              <w:rFonts w:asciiTheme="minorHAnsi" w:hAnsiTheme="minorHAnsi" w:cstheme="minorHAnsi"/>
              <w:color w:val="auto"/>
              <w:sz w:val="28"/>
              <w:szCs w:val="28"/>
            </w:rPr>
            <w:t>Chiffres clés</w:t>
          </w:r>
          <w:bookmarkEnd w:id="7"/>
          <w:bookmarkEnd w:id="8"/>
          <w:bookmarkEnd w:id="9"/>
        </w:p>
        <w:p w14:paraId="2BA95A8F" w14:textId="77777777" w:rsidR="0041512C" w:rsidRPr="00B264D1" w:rsidRDefault="0041512C" w:rsidP="0041512C">
          <w:pPr>
            <w:rPr>
              <w:rFonts w:asciiTheme="minorHAnsi" w:hAnsiTheme="minorHAnsi" w:cstheme="minorHAnsi"/>
            </w:rPr>
          </w:pPr>
        </w:p>
        <w:p w14:paraId="1B03E077" w14:textId="77777777" w:rsidR="0041512C" w:rsidRDefault="0041512C" w:rsidP="0041512C">
          <w:pPr>
            <w:rPr>
              <w:rFonts w:asciiTheme="minorHAnsi" w:hAnsiTheme="minorHAnsi" w:cstheme="minorHAnsi"/>
              <w:sz w:val="20"/>
              <w:szCs w:val="20"/>
            </w:rPr>
          </w:pPr>
          <w:r w:rsidRPr="00B264D1">
            <w:rPr>
              <w:rFonts w:asciiTheme="minorHAnsi" w:hAnsiTheme="minorHAnsi" w:cstheme="minorHAnsi"/>
              <w:sz w:val="20"/>
              <w:szCs w:val="20"/>
            </w:rPr>
            <w:t>Le tableau suivant présente les chiffres clés du premier semestre 2022.</w:t>
          </w:r>
        </w:p>
        <w:p w14:paraId="321BFF6F" w14:textId="77777777" w:rsidR="0041512C" w:rsidRDefault="0041512C" w:rsidP="0041512C">
          <w:pPr>
            <w:rPr>
              <w:rFonts w:asciiTheme="minorHAnsi" w:hAnsiTheme="minorHAnsi" w:cstheme="minorHAnsi"/>
              <w:sz w:val="20"/>
              <w:szCs w:val="20"/>
            </w:rPr>
          </w:pPr>
        </w:p>
        <w:tbl>
          <w:tblPr>
            <w:tblW w:w="8880" w:type="dxa"/>
            <w:tblCellMar>
              <w:left w:w="70" w:type="dxa"/>
              <w:right w:w="70" w:type="dxa"/>
            </w:tblCellMar>
            <w:tblLook w:val="04A0" w:firstRow="1" w:lastRow="0" w:firstColumn="1" w:lastColumn="0" w:noHBand="0" w:noVBand="1"/>
          </w:tblPr>
          <w:tblGrid>
            <w:gridCol w:w="3377"/>
            <w:gridCol w:w="1375"/>
            <w:gridCol w:w="1375"/>
            <w:gridCol w:w="1375"/>
            <w:gridCol w:w="1378"/>
          </w:tblGrid>
          <w:tr w:rsidR="0041512C" w:rsidRPr="00481E3E" w14:paraId="37DEC81C" w14:textId="77777777" w:rsidTr="00D14D81">
            <w:trPr>
              <w:trHeight w:val="810"/>
            </w:trPr>
            <w:tc>
              <w:tcPr>
                <w:tcW w:w="3377" w:type="dxa"/>
                <w:tcBorders>
                  <w:top w:val="nil"/>
                  <w:left w:val="nil"/>
                  <w:bottom w:val="single" w:sz="4" w:space="0" w:color="000E9C"/>
                  <w:right w:val="nil"/>
                </w:tcBorders>
                <w:shd w:val="clear" w:color="auto" w:fill="auto"/>
                <w:noWrap/>
                <w:hideMark/>
              </w:tcPr>
              <w:p w14:paraId="77230815" w14:textId="77777777" w:rsidR="0041512C" w:rsidRPr="00481E3E" w:rsidRDefault="0041512C" w:rsidP="00D14D81">
                <w:pPr>
                  <w:spacing w:after="0" w:line="240" w:lineRule="auto"/>
                  <w:rPr>
                    <w:rFonts w:asciiTheme="minorHAnsi" w:eastAsia="Times New Roman" w:hAnsiTheme="minorHAnsi" w:cstheme="minorHAnsi"/>
                    <w:i/>
                    <w:iCs/>
                    <w:sz w:val="18"/>
                    <w:szCs w:val="18"/>
                    <w:lang w:eastAsia="fr-FR"/>
                  </w:rPr>
                </w:pPr>
                <w:r w:rsidRPr="00481E3E">
                  <w:rPr>
                    <w:rFonts w:asciiTheme="minorHAnsi" w:eastAsia="Times New Roman" w:hAnsiTheme="minorHAnsi" w:cstheme="minorHAnsi"/>
                    <w:i/>
                    <w:iCs/>
                    <w:sz w:val="18"/>
                    <w:szCs w:val="18"/>
                    <w:lang w:eastAsia="fr-FR"/>
                  </w:rPr>
                  <w:t>(</w:t>
                </w:r>
                <w:proofErr w:type="gramStart"/>
                <w:r w:rsidRPr="00481E3E">
                  <w:rPr>
                    <w:rFonts w:asciiTheme="minorHAnsi" w:eastAsia="Times New Roman" w:hAnsiTheme="minorHAnsi" w:cstheme="minorHAnsi"/>
                    <w:i/>
                    <w:iCs/>
                    <w:sz w:val="18"/>
                    <w:szCs w:val="18"/>
                    <w:lang w:eastAsia="fr-FR"/>
                  </w:rPr>
                  <w:t>en</w:t>
                </w:r>
                <w:proofErr w:type="gramEnd"/>
                <w:r w:rsidRPr="00481E3E">
                  <w:rPr>
                    <w:rFonts w:asciiTheme="minorHAnsi" w:eastAsia="Times New Roman" w:hAnsiTheme="minorHAnsi" w:cstheme="minorHAnsi"/>
                    <w:i/>
                    <w:iCs/>
                    <w:sz w:val="18"/>
                    <w:szCs w:val="18"/>
                    <w:lang w:eastAsia="fr-FR"/>
                  </w:rPr>
                  <w:t xml:space="preserve"> millions d'euros)</w:t>
                </w:r>
              </w:p>
            </w:tc>
            <w:tc>
              <w:tcPr>
                <w:tcW w:w="1375" w:type="dxa"/>
                <w:tcBorders>
                  <w:top w:val="nil"/>
                  <w:left w:val="nil"/>
                  <w:bottom w:val="single" w:sz="4" w:space="0" w:color="000E9C"/>
                  <w:right w:val="nil"/>
                </w:tcBorders>
                <w:shd w:val="clear" w:color="auto" w:fill="auto"/>
                <w:hideMark/>
              </w:tcPr>
              <w:p w14:paraId="15FA07C4" w14:textId="77777777" w:rsidR="0041512C" w:rsidRPr="00481E3E" w:rsidRDefault="0041512C" w:rsidP="00D14D81">
                <w:pPr>
                  <w:spacing w:after="0" w:line="240" w:lineRule="auto"/>
                  <w:jc w:val="right"/>
                  <w:rPr>
                    <w:rFonts w:asciiTheme="minorHAnsi" w:eastAsia="Times New Roman" w:hAnsiTheme="minorHAnsi" w:cstheme="minorHAnsi"/>
                    <w:sz w:val="18"/>
                    <w:szCs w:val="18"/>
                    <w:lang w:eastAsia="fr-FR"/>
                  </w:rPr>
                </w:pPr>
                <w:r w:rsidRPr="00481E3E">
                  <w:rPr>
                    <w:rFonts w:asciiTheme="minorHAnsi" w:eastAsia="Times New Roman" w:hAnsiTheme="minorHAnsi" w:cstheme="minorHAnsi"/>
                    <w:sz w:val="18"/>
                    <w:szCs w:val="18"/>
                    <w:lang w:eastAsia="fr-FR"/>
                  </w:rPr>
                  <w:t>1er semestre 2021</w:t>
                </w:r>
              </w:p>
            </w:tc>
            <w:tc>
              <w:tcPr>
                <w:tcW w:w="1375" w:type="dxa"/>
                <w:tcBorders>
                  <w:top w:val="nil"/>
                  <w:left w:val="nil"/>
                  <w:bottom w:val="single" w:sz="4" w:space="0" w:color="000E9C"/>
                  <w:right w:val="nil"/>
                </w:tcBorders>
                <w:shd w:val="clear" w:color="000000" w:fill="E7E6E6"/>
                <w:hideMark/>
              </w:tcPr>
              <w:p w14:paraId="3408A0AD" w14:textId="77777777" w:rsidR="0041512C" w:rsidRPr="00481E3E" w:rsidRDefault="0041512C" w:rsidP="00D14D81">
                <w:pPr>
                  <w:spacing w:after="0" w:line="240" w:lineRule="auto"/>
                  <w:jc w:val="right"/>
                  <w:rPr>
                    <w:rFonts w:asciiTheme="minorHAnsi" w:eastAsia="Times New Roman" w:hAnsiTheme="minorHAnsi" w:cstheme="minorHAnsi"/>
                    <w:color w:val="000E9C"/>
                    <w:sz w:val="18"/>
                    <w:szCs w:val="18"/>
                    <w:lang w:eastAsia="fr-FR"/>
                  </w:rPr>
                </w:pPr>
                <w:r w:rsidRPr="00481E3E">
                  <w:rPr>
                    <w:rFonts w:asciiTheme="minorHAnsi" w:eastAsia="Times New Roman" w:hAnsiTheme="minorHAnsi" w:cstheme="minorHAnsi"/>
                    <w:color w:val="000E9C"/>
                    <w:sz w:val="18"/>
                    <w:szCs w:val="18"/>
                    <w:lang w:eastAsia="fr-FR"/>
                  </w:rPr>
                  <w:t>1er semestre 2022</w:t>
                </w:r>
              </w:p>
            </w:tc>
            <w:tc>
              <w:tcPr>
                <w:tcW w:w="1375" w:type="dxa"/>
                <w:tcBorders>
                  <w:top w:val="nil"/>
                  <w:left w:val="nil"/>
                  <w:bottom w:val="single" w:sz="4" w:space="0" w:color="000E9C"/>
                  <w:right w:val="nil"/>
                </w:tcBorders>
                <w:shd w:val="clear" w:color="auto" w:fill="auto"/>
                <w:hideMark/>
              </w:tcPr>
              <w:p w14:paraId="4A08E8B6" w14:textId="77777777" w:rsidR="0041512C" w:rsidRPr="00481E3E" w:rsidRDefault="0041512C" w:rsidP="00D14D81">
                <w:pPr>
                  <w:spacing w:after="0" w:line="240" w:lineRule="auto"/>
                  <w:jc w:val="right"/>
                  <w:rPr>
                    <w:rFonts w:asciiTheme="minorHAnsi" w:eastAsia="Times New Roman" w:hAnsiTheme="minorHAnsi" w:cstheme="minorHAnsi"/>
                    <w:sz w:val="18"/>
                    <w:szCs w:val="18"/>
                    <w:lang w:eastAsia="fr-FR"/>
                  </w:rPr>
                </w:pPr>
                <w:r w:rsidRPr="00481E3E">
                  <w:rPr>
                    <w:rFonts w:asciiTheme="minorHAnsi" w:eastAsia="Times New Roman" w:hAnsiTheme="minorHAnsi" w:cstheme="minorHAnsi"/>
                    <w:sz w:val="18"/>
                    <w:szCs w:val="18"/>
                    <w:lang w:eastAsia="fr-FR"/>
                  </w:rPr>
                  <w:t>Variation %</w:t>
                </w:r>
              </w:p>
            </w:tc>
            <w:tc>
              <w:tcPr>
                <w:tcW w:w="1378" w:type="dxa"/>
                <w:tcBorders>
                  <w:top w:val="nil"/>
                  <w:left w:val="nil"/>
                  <w:bottom w:val="single" w:sz="4" w:space="0" w:color="000E9C"/>
                  <w:right w:val="nil"/>
                </w:tcBorders>
                <w:shd w:val="clear" w:color="auto" w:fill="auto"/>
                <w:hideMark/>
              </w:tcPr>
              <w:p w14:paraId="52D45C1E" w14:textId="77777777" w:rsidR="0041512C" w:rsidRPr="00481E3E" w:rsidRDefault="0041512C" w:rsidP="00D14D81">
                <w:pPr>
                  <w:spacing w:after="0" w:line="240" w:lineRule="auto"/>
                  <w:jc w:val="right"/>
                  <w:rPr>
                    <w:rFonts w:asciiTheme="minorHAnsi" w:eastAsia="Times New Roman" w:hAnsiTheme="minorHAnsi" w:cstheme="minorHAnsi"/>
                    <w:sz w:val="18"/>
                    <w:szCs w:val="18"/>
                    <w:lang w:eastAsia="fr-FR"/>
                  </w:rPr>
                </w:pPr>
                <w:r w:rsidRPr="00481E3E">
                  <w:rPr>
                    <w:rFonts w:asciiTheme="minorHAnsi" w:eastAsia="Times New Roman" w:hAnsiTheme="minorHAnsi" w:cstheme="minorHAnsi"/>
                    <w:sz w:val="18"/>
                    <w:szCs w:val="18"/>
                    <w:lang w:eastAsia="fr-FR"/>
                  </w:rPr>
                  <w:t>Variation % en données comparables</w:t>
                </w:r>
                <w:r w:rsidRPr="00481E3E">
                  <w:rPr>
                    <w:rFonts w:asciiTheme="minorHAnsi" w:eastAsia="Times New Roman" w:hAnsiTheme="minorHAnsi" w:cstheme="minorHAnsi"/>
                    <w:sz w:val="18"/>
                    <w:szCs w:val="18"/>
                    <w:vertAlign w:val="superscript"/>
                    <w:lang w:eastAsia="fr-FR"/>
                  </w:rPr>
                  <w:t xml:space="preserve"> (3)</w:t>
                </w:r>
              </w:p>
            </w:tc>
          </w:tr>
          <w:tr w:rsidR="0041512C" w:rsidRPr="00481E3E" w14:paraId="1BDD3610" w14:textId="77777777" w:rsidTr="00D14D81">
            <w:trPr>
              <w:trHeight w:val="290"/>
            </w:trPr>
            <w:tc>
              <w:tcPr>
                <w:tcW w:w="3377" w:type="dxa"/>
                <w:tcBorders>
                  <w:top w:val="nil"/>
                  <w:left w:val="nil"/>
                  <w:bottom w:val="nil"/>
                  <w:right w:val="nil"/>
                </w:tcBorders>
                <w:shd w:val="clear" w:color="auto" w:fill="auto"/>
                <w:noWrap/>
                <w:hideMark/>
              </w:tcPr>
              <w:p w14:paraId="78AFB282" w14:textId="77777777" w:rsidR="0041512C" w:rsidRPr="00481E3E" w:rsidRDefault="0041512C" w:rsidP="00D14D81">
                <w:pPr>
                  <w:spacing w:after="0" w:line="240" w:lineRule="auto"/>
                  <w:jc w:val="right"/>
                  <w:rPr>
                    <w:rFonts w:asciiTheme="minorHAnsi" w:eastAsia="Times New Roman" w:hAnsiTheme="minorHAnsi" w:cstheme="minorHAnsi"/>
                    <w:sz w:val="18"/>
                    <w:szCs w:val="18"/>
                    <w:lang w:eastAsia="fr-FR"/>
                  </w:rPr>
                </w:pPr>
              </w:p>
            </w:tc>
            <w:tc>
              <w:tcPr>
                <w:tcW w:w="1375" w:type="dxa"/>
                <w:tcBorders>
                  <w:top w:val="nil"/>
                  <w:left w:val="nil"/>
                  <w:bottom w:val="nil"/>
                  <w:right w:val="nil"/>
                </w:tcBorders>
                <w:shd w:val="clear" w:color="auto" w:fill="auto"/>
                <w:hideMark/>
              </w:tcPr>
              <w:p w14:paraId="07602B5A" w14:textId="77777777" w:rsidR="0041512C" w:rsidRPr="00481E3E" w:rsidRDefault="0041512C" w:rsidP="00D14D81">
                <w:pPr>
                  <w:spacing w:after="0" w:line="240" w:lineRule="auto"/>
                  <w:rPr>
                    <w:rFonts w:asciiTheme="minorHAnsi" w:eastAsia="Times New Roman" w:hAnsiTheme="minorHAnsi" w:cstheme="minorHAnsi"/>
                    <w:sz w:val="18"/>
                    <w:szCs w:val="18"/>
                    <w:lang w:eastAsia="fr-FR"/>
                  </w:rPr>
                </w:pPr>
              </w:p>
            </w:tc>
            <w:tc>
              <w:tcPr>
                <w:tcW w:w="1375" w:type="dxa"/>
                <w:tcBorders>
                  <w:top w:val="nil"/>
                  <w:left w:val="nil"/>
                  <w:bottom w:val="nil"/>
                  <w:right w:val="nil"/>
                </w:tcBorders>
                <w:shd w:val="clear" w:color="000000" w:fill="E7E6E6"/>
                <w:hideMark/>
              </w:tcPr>
              <w:p w14:paraId="0F6BD492" w14:textId="77777777" w:rsidR="0041512C" w:rsidRPr="00481E3E" w:rsidRDefault="0041512C" w:rsidP="00D14D81">
                <w:pPr>
                  <w:spacing w:after="0" w:line="240" w:lineRule="auto"/>
                  <w:jc w:val="right"/>
                  <w:rPr>
                    <w:rFonts w:asciiTheme="minorHAnsi" w:eastAsia="Times New Roman" w:hAnsiTheme="minorHAnsi" w:cstheme="minorHAnsi"/>
                    <w:color w:val="000E9C"/>
                    <w:sz w:val="18"/>
                    <w:szCs w:val="18"/>
                    <w:lang w:eastAsia="fr-FR"/>
                  </w:rPr>
                </w:pPr>
                <w:r w:rsidRPr="00481E3E">
                  <w:rPr>
                    <w:rFonts w:asciiTheme="minorHAnsi" w:eastAsia="Times New Roman" w:hAnsiTheme="minorHAnsi" w:cstheme="minorHAnsi"/>
                    <w:color w:val="000E9C"/>
                    <w:sz w:val="18"/>
                    <w:szCs w:val="18"/>
                    <w:lang w:eastAsia="fr-FR"/>
                  </w:rPr>
                  <w:t> </w:t>
                </w:r>
              </w:p>
            </w:tc>
            <w:tc>
              <w:tcPr>
                <w:tcW w:w="1375" w:type="dxa"/>
                <w:tcBorders>
                  <w:top w:val="nil"/>
                  <w:left w:val="nil"/>
                  <w:bottom w:val="nil"/>
                  <w:right w:val="nil"/>
                </w:tcBorders>
                <w:shd w:val="clear" w:color="auto" w:fill="auto"/>
                <w:hideMark/>
              </w:tcPr>
              <w:p w14:paraId="36C69358" w14:textId="77777777" w:rsidR="0041512C" w:rsidRPr="00481E3E" w:rsidRDefault="0041512C" w:rsidP="00D14D81">
                <w:pPr>
                  <w:spacing w:after="0" w:line="240" w:lineRule="auto"/>
                  <w:jc w:val="right"/>
                  <w:rPr>
                    <w:rFonts w:asciiTheme="minorHAnsi" w:eastAsia="Times New Roman" w:hAnsiTheme="minorHAnsi" w:cstheme="minorHAnsi"/>
                    <w:color w:val="000E9C"/>
                    <w:sz w:val="18"/>
                    <w:szCs w:val="18"/>
                    <w:lang w:eastAsia="fr-FR"/>
                  </w:rPr>
                </w:pPr>
              </w:p>
            </w:tc>
            <w:tc>
              <w:tcPr>
                <w:tcW w:w="1378" w:type="dxa"/>
                <w:tcBorders>
                  <w:top w:val="nil"/>
                  <w:left w:val="nil"/>
                  <w:bottom w:val="nil"/>
                  <w:right w:val="nil"/>
                </w:tcBorders>
                <w:shd w:val="clear" w:color="auto" w:fill="auto"/>
                <w:noWrap/>
                <w:vAlign w:val="bottom"/>
                <w:hideMark/>
              </w:tcPr>
              <w:p w14:paraId="7B0F7A8C" w14:textId="77777777" w:rsidR="0041512C" w:rsidRPr="00481E3E" w:rsidRDefault="0041512C" w:rsidP="00D14D81">
                <w:pPr>
                  <w:spacing w:after="0" w:line="240" w:lineRule="auto"/>
                  <w:jc w:val="right"/>
                  <w:rPr>
                    <w:rFonts w:asciiTheme="minorHAnsi" w:eastAsia="Times New Roman" w:hAnsiTheme="minorHAnsi" w:cstheme="minorHAnsi"/>
                    <w:sz w:val="18"/>
                    <w:szCs w:val="18"/>
                    <w:lang w:eastAsia="fr-FR"/>
                  </w:rPr>
                </w:pPr>
              </w:p>
            </w:tc>
          </w:tr>
          <w:tr w:rsidR="0041512C" w:rsidRPr="00481E3E" w14:paraId="627A1F63" w14:textId="77777777" w:rsidTr="00D14D81">
            <w:trPr>
              <w:trHeight w:val="290"/>
            </w:trPr>
            <w:tc>
              <w:tcPr>
                <w:tcW w:w="3377" w:type="dxa"/>
                <w:tcBorders>
                  <w:top w:val="nil"/>
                  <w:left w:val="nil"/>
                  <w:bottom w:val="nil"/>
                  <w:right w:val="nil"/>
                </w:tcBorders>
                <w:shd w:val="clear" w:color="auto" w:fill="auto"/>
                <w:noWrap/>
                <w:vAlign w:val="center"/>
                <w:hideMark/>
              </w:tcPr>
              <w:p w14:paraId="106FB831" w14:textId="77777777" w:rsidR="0041512C" w:rsidRPr="00481E3E" w:rsidRDefault="0041512C" w:rsidP="00D14D81">
                <w:pPr>
                  <w:spacing w:after="0" w:line="240" w:lineRule="auto"/>
                  <w:rPr>
                    <w:rFonts w:asciiTheme="minorHAnsi" w:eastAsia="Times New Roman" w:hAnsiTheme="minorHAnsi" w:cstheme="minorHAnsi"/>
                    <w:b/>
                    <w:bCs/>
                    <w:sz w:val="18"/>
                    <w:szCs w:val="18"/>
                    <w:lang w:eastAsia="fr-FR"/>
                  </w:rPr>
                </w:pPr>
                <w:r w:rsidRPr="00481E3E">
                  <w:rPr>
                    <w:rFonts w:asciiTheme="minorHAnsi" w:eastAsia="Times New Roman" w:hAnsiTheme="minorHAnsi" w:cstheme="minorHAnsi"/>
                    <w:b/>
                    <w:bCs/>
                    <w:sz w:val="18"/>
                    <w:szCs w:val="18"/>
                    <w:lang w:eastAsia="fr-FR"/>
                  </w:rPr>
                  <w:t>Chiffre d'affaires</w:t>
                </w:r>
              </w:p>
            </w:tc>
            <w:tc>
              <w:tcPr>
                <w:tcW w:w="1375" w:type="dxa"/>
                <w:tcBorders>
                  <w:top w:val="nil"/>
                  <w:left w:val="nil"/>
                  <w:bottom w:val="nil"/>
                  <w:right w:val="nil"/>
                </w:tcBorders>
                <w:shd w:val="clear" w:color="auto" w:fill="auto"/>
                <w:noWrap/>
                <w:hideMark/>
              </w:tcPr>
              <w:p w14:paraId="28F9E201" w14:textId="77777777" w:rsidR="0041512C" w:rsidRPr="00481E3E" w:rsidRDefault="0041512C" w:rsidP="00D14D81">
                <w:pPr>
                  <w:spacing w:after="0" w:line="240" w:lineRule="auto"/>
                  <w:jc w:val="right"/>
                  <w:rPr>
                    <w:rFonts w:asciiTheme="minorHAnsi" w:eastAsia="Times New Roman" w:hAnsiTheme="minorHAnsi" w:cstheme="minorHAnsi"/>
                    <w:b/>
                    <w:bCs/>
                    <w:sz w:val="18"/>
                    <w:szCs w:val="18"/>
                    <w:lang w:eastAsia="fr-FR"/>
                  </w:rPr>
                </w:pPr>
                <w:r w:rsidRPr="00481E3E">
                  <w:rPr>
                    <w:rFonts w:asciiTheme="minorHAnsi" w:eastAsia="Times New Roman" w:hAnsiTheme="minorHAnsi" w:cstheme="minorHAnsi"/>
                    <w:b/>
                    <w:bCs/>
                    <w:sz w:val="18"/>
                    <w:szCs w:val="18"/>
                    <w:lang w:eastAsia="fr-FR"/>
                  </w:rPr>
                  <w:t>334,3</w:t>
                </w:r>
              </w:p>
            </w:tc>
            <w:tc>
              <w:tcPr>
                <w:tcW w:w="1375" w:type="dxa"/>
                <w:tcBorders>
                  <w:top w:val="nil"/>
                  <w:left w:val="nil"/>
                  <w:bottom w:val="nil"/>
                  <w:right w:val="nil"/>
                </w:tcBorders>
                <w:shd w:val="clear" w:color="000000" w:fill="E7E6E6"/>
                <w:noWrap/>
                <w:hideMark/>
              </w:tcPr>
              <w:p w14:paraId="15600EAB" w14:textId="77777777" w:rsidR="0041512C" w:rsidRPr="00481E3E" w:rsidRDefault="0041512C" w:rsidP="00D14D81">
                <w:pPr>
                  <w:spacing w:after="0" w:line="240" w:lineRule="auto"/>
                  <w:jc w:val="right"/>
                  <w:rPr>
                    <w:rFonts w:asciiTheme="minorHAnsi" w:eastAsia="Times New Roman" w:hAnsiTheme="minorHAnsi" w:cstheme="minorHAnsi"/>
                    <w:b/>
                    <w:bCs/>
                    <w:color w:val="000E9C"/>
                    <w:sz w:val="18"/>
                    <w:szCs w:val="18"/>
                    <w:lang w:eastAsia="fr-FR"/>
                  </w:rPr>
                </w:pPr>
                <w:r w:rsidRPr="00481E3E">
                  <w:rPr>
                    <w:rFonts w:asciiTheme="minorHAnsi" w:eastAsia="Times New Roman" w:hAnsiTheme="minorHAnsi" w:cstheme="minorHAnsi"/>
                    <w:b/>
                    <w:bCs/>
                    <w:color w:val="000E9C"/>
                    <w:sz w:val="18"/>
                    <w:szCs w:val="18"/>
                    <w:lang w:eastAsia="fr-FR"/>
                  </w:rPr>
                  <w:t>382,0</w:t>
                </w:r>
              </w:p>
            </w:tc>
            <w:tc>
              <w:tcPr>
                <w:tcW w:w="1375" w:type="dxa"/>
                <w:tcBorders>
                  <w:top w:val="nil"/>
                  <w:left w:val="nil"/>
                  <w:bottom w:val="nil"/>
                  <w:right w:val="nil"/>
                </w:tcBorders>
                <w:shd w:val="clear" w:color="auto" w:fill="auto"/>
                <w:noWrap/>
                <w:hideMark/>
              </w:tcPr>
              <w:p w14:paraId="211F627B" w14:textId="77777777" w:rsidR="0041512C" w:rsidRPr="00481E3E" w:rsidRDefault="0041512C" w:rsidP="00D14D81">
                <w:pPr>
                  <w:spacing w:after="0" w:line="240" w:lineRule="auto"/>
                  <w:jc w:val="right"/>
                  <w:rPr>
                    <w:rFonts w:asciiTheme="minorHAnsi" w:eastAsia="Times New Roman" w:hAnsiTheme="minorHAnsi" w:cstheme="minorHAnsi"/>
                    <w:b/>
                    <w:bCs/>
                    <w:sz w:val="18"/>
                    <w:szCs w:val="18"/>
                    <w:lang w:eastAsia="fr-FR"/>
                  </w:rPr>
                </w:pPr>
                <w:r w:rsidRPr="00481E3E">
                  <w:rPr>
                    <w:rFonts w:asciiTheme="minorHAnsi" w:eastAsia="Times New Roman" w:hAnsiTheme="minorHAnsi" w:cstheme="minorHAnsi"/>
                    <w:b/>
                    <w:bCs/>
                    <w:sz w:val="18"/>
                    <w:szCs w:val="18"/>
                    <w:lang w:eastAsia="fr-FR"/>
                  </w:rPr>
                  <w:t>14,3%</w:t>
                </w:r>
              </w:p>
            </w:tc>
            <w:tc>
              <w:tcPr>
                <w:tcW w:w="1378" w:type="dxa"/>
                <w:tcBorders>
                  <w:top w:val="nil"/>
                  <w:left w:val="nil"/>
                  <w:bottom w:val="nil"/>
                  <w:right w:val="nil"/>
                </w:tcBorders>
                <w:shd w:val="clear" w:color="auto" w:fill="auto"/>
                <w:noWrap/>
                <w:hideMark/>
              </w:tcPr>
              <w:p w14:paraId="4C11D08A" w14:textId="77777777" w:rsidR="0041512C" w:rsidRPr="00481E3E" w:rsidRDefault="0041512C" w:rsidP="00D14D81">
                <w:pPr>
                  <w:spacing w:after="0" w:line="240" w:lineRule="auto"/>
                  <w:jc w:val="right"/>
                  <w:rPr>
                    <w:rFonts w:asciiTheme="minorHAnsi" w:eastAsia="Times New Roman" w:hAnsiTheme="minorHAnsi" w:cstheme="minorHAnsi"/>
                    <w:b/>
                    <w:bCs/>
                    <w:sz w:val="18"/>
                    <w:szCs w:val="18"/>
                    <w:lang w:eastAsia="fr-FR"/>
                  </w:rPr>
                </w:pPr>
                <w:r w:rsidRPr="00481E3E">
                  <w:rPr>
                    <w:rFonts w:asciiTheme="minorHAnsi" w:eastAsia="Times New Roman" w:hAnsiTheme="minorHAnsi" w:cstheme="minorHAnsi"/>
                    <w:b/>
                    <w:bCs/>
                    <w:sz w:val="18"/>
                    <w:szCs w:val="18"/>
                    <w:lang w:eastAsia="fr-FR"/>
                  </w:rPr>
                  <w:t>13,3%</w:t>
                </w:r>
              </w:p>
            </w:tc>
          </w:tr>
          <w:tr w:rsidR="0041512C" w:rsidRPr="00481E3E" w14:paraId="350DFB4A" w14:textId="77777777" w:rsidTr="00D14D81">
            <w:trPr>
              <w:trHeight w:val="290"/>
            </w:trPr>
            <w:tc>
              <w:tcPr>
                <w:tcW w:w="3377" w:type="dxa"/>
                <w:tcBorders>
                  <w:top w:val="nil"/>
                  <w:left w:val="nil"/>
                  <w:bottom w:val="nil"/>
                  <w:right w:val="nil"/>
                </w:tcBorders>
                <w:shd w:val="clear" w:color="auto" w:fill="auto"/>
                <w:noWrap/>
                <w:vAlign w:val="center"/>
                <w:hideMark/>
              </w:tcPr>
              <w:p w14:paraId="02131054" w14:textId="77777777" w:rsidR="0041512C" w:rsidRPr="00481E3E" w:rsidRDefault="0041512C" w:rsidP="00D14D81">
                <w:pPr>
                  <w:spacing w:after="0" w:line="240" w:lineRule="auto"/>
                  <w:rPr>
                    <w:rFonts w:asciiTheme="minorHAnsi" w:eastAsia="Times New Roman" w:hAnsiTheme="minorHAnsi" w:cstheme="minorHAnsi"/>
                    <w:sz w:val="18"/>
                    <w:szCs w:val="18"/>
                    <w:lang w:eastAsia="fr-FR"/>
                  </w:rPr>
                </w:pPr>
                <w:r w:rsidRPr="00481E3E">
                  <w:rPr>
                    <w:rFonts w:asciiTheme="minorHAnsi" w:eastAsia="Times New Roman" w:hAnsiTheme="minorHAnsi" w:cstheme="minorHAnsi"/>
                    <w:sz w:val="18"/>
                    <w:szCs w:val="18"/>
                    <w:lang w:eastAsia="fr-FR"/>
                  </w:rPr>
                  <w:t>EBITDA courant</w:t>
                </w:r>
                <w:r w:rsidRPr="00481E3E">
                  <w:rPr>
                    <w:rFonts w:asciiTheme="minorHAnsi" w:eastAsia="Times New Roman" w:hAnsiTheme="minorHAnsi" w:cstheme="minorHAnsi"/>
                    <w:sz w:val="18"/>
                    <w:szCs w:val="18"/>
                    <w:vertAlign w:val="superscript"/>
                    <w:lang w:eastAsia="fr-FR"/>
                  </w:rPr>
                  <w:t xml:space="preserve"> (1)</w:t>
                </w:r>
              </w:p>
            </w:tc>
            <w:tc>
              <w:tcPr>
                <w:tcW w:w="1375" w:type="dxa"/>
                <w:tcBorders>
                  <w:top w:val="nil"/>
                  <w:left w:val="nil"/>
                  <w:bottom w:val="nil"/>
                  <w:right w:val="nil"/>
                </w:tcBorders>
                <w:shd w:val="clear" w:color="auto" w:fill="auto"/>
                <w:noWrap/>
                <w:hideMark/>
              </w:tcPr>
              <w:p w14:paraId="3066278E" w14:textId="77777777" w:rsidR="0041512C" w:rsidRPr="00481E3E" w:rsidRDefault="0041512C" w:rsidP="00D14D81">
                <w:pPr>
                  <w:spacing w:after="0" w:line="240" w:lineRule="auto"/>
                  <w:jc w:val="right"/>
                  <w:rPr>
                    <w:rFonts w:asciiTheme="minorHAnsi" w:eastAsia="Times New Roman" w:hAnsiTheme="minorHAnsi" w:cstheme="minorHAnsi"/>
                    <w:sz w:val="18"/>
                    <w:szCs w:val="18"/>
                    <w:lang w:eastAsia="fr-FR"/>
                  </w:rPr>
                </w:pPr>
                <w:r w:rsidRPr="00481E3E">
                  <w:rPr>
                    <w:rFonts w:asciiTheme="minorHAnsi" w:eastAsia="Times New Roman" w:hAnsiTheme="minorHAnsi" w:cstheme="minorHAnsi"/>
                    <w:sz w:val="18"/>
                    <w:szCs w:val="18"/>
                    <w:lang w:eastAsia="fr-FR"/>
                  </w:rPr>
                  <w:t>135,3</w:t>
                </w:r>
              </w:p>
            </w:tc>
            <w:tc>
              <w:tcPr>
                <w:tcW w:w="1375" w:type="dxa"/>
                <w:tcBorders>
                  <w:top w:val="nil"/>
                  <w:left w:val="nil"/>
                  <w:bottom w:val="nil"/>
                  <w:right w:val="nil"/>
                </w:tcBorders>
                <w:shd w:val="clear" w:color="000000" w:fill="E7E6E6"/>
                <w:noWrap/>
                <w:hideMark/>
              </w:tcPr>
              <w:p w14:paraId="5A083F8A" w14:textId="77777777" w:rsidR="0041512C" w:rsidRPr="00481E3E" w:rsidRDefault="0041512C" w:rsidP="00D14D81">
                <w:pPr>
                  <w:spacing w:after="0" w:line="240" w:lineRule="auto"/>
                  <w:jc w:val="right"/>
                  <w:rPr>
                    <w:rFonts w:asciiTheme="minorHAnsi" w:eastAsia="Times New Roman" w:hAnsiTheme="minorHAnsi" w:cstheme="minorHAnsi"/>
                    <w:color w:val="000E9C"/>
                    <w:sz w:val="18"/>
                    <w:szCs w:val="18"/>
                    <w:lang w:eastAsia="fr-FR"/>
                  </w:rPr>
                </w:pPr>
                <w:r w:rsidRPr="00481E3E">
                  <w:rPr>
                    <w:rFonts w:asciiTheme="minorHAnsi" w:eastAsia="Times New Roman" w:hAnsiTheme="minorHAnsi" w:cstheme="minorHAnsi"/>
                    <w:color w:val="000E9C"/>
                    <w:sz w:val="18"/>
                    <w:szCs w:val="18"/>
                    <w:lang w:eastAsia="fr-FR"/>
                  </w:rPr>
                  <w:t>128,3</w:t>
                </w:r>
              </w:p>
            </w:tc>
            <w:tc>
              <w:tcPr>
                <w:tcW w:w="1375" w:type="dxa"/>
                <w:tcBorders>
                  <w:top w:val="nil"/>
                  <w:left w:val="nil"/>
                  <w:bottom w:val="nil"/>
                  <w:right w:val="nil"/>
                </w:tcBorders>
                <w:shd w:val="clear" w:color="auto" w:fill="auto"/>
                <w:noWrap/>
                <w:hideMark/>
              </w:tcPr>
              <w:p w14:paraId="097A7085" w14:textId="77777777" w:rsidR="0041512C" w:rsidRPr="00481E3E" w:rsidRDefault="0041512C" w:rsidP="00D14D81">
                <w:pPr>
                  <w:spacing w:after="0" w:line="240" w:lineRule="auto"/>
                  <w:jc w:val="right"/>
                  <w:rPr>
                    <w:rFonts w:asciiTheme="minorHAnsi" w:eastAsia="Times New Roman" w:hAnsiTheme="minorHAnsi" w:cstheme="minorHAnsi"/>
                    <w:sz w:val="18"/>
                    <w:szCs w:val="18"/>
                    <w:lang w:eastAsia="fr-FR"/>
                  </w:rPr>
                </w:pPr>
                <w:r w:rsidRPr="00481E3E">
                  <w:rPr>
                    <w:rFonts w:asciiTheme="minorHAnsi" w:eastAsia="Times New Roman" w:hAnsiTheme="minorHAnsi" w:cstheme="minorHAnsi"/>
                    <w:sz w:val="18"/>
                    <w:szCs w:val="18"/>
                    <w:lang w:eastAsia="fr-FR"/>
                  </w:rPr>
                  <w:t>(5,2%)</w:t>
                </w:r>
              </w:p>
            </w:tc>
            <w:tc>
              <w:tcPr>
                <w:tcW w:w="1378" w:type="dxa"/>
                <w:tcBorders>
                  <w:top w:val="nil"/>
                  <w:left w:val="nil"/>
                  <w:bottom w:val="nil"/>
                  <w:right w:val="nil"/>
                </w:tcBorders>
                <w:shd w:val="clear" w:color="auto" w:fill="auto"/>
                <w:noWrap/>
                <w:hideMark/>
              </w:tcPr>
              <w:p w14:paraId="393B5A8F" w14:textId="77777777" w:rsidR="0041512C" w:rsidRPr="00481E3E" w:rsidRDefault="0041512C" w:rsidP="00D14D81">
                <w:pPr>
                  <w:spacing w:after="0" w:line="240" w:lineRule="auto"/>
                  <w:jc w:val="right"/>
                  <w:rPr>
                    <w:rFonts w:asciiTheme="minorHAnsi" w:eastAsia="Times New Roman" w:hAnsiTheme="minorHAnsi" w:cstheme="minorHAnsi"/>
                    <w:sz w:val="18"/>
                    <w:szCs w:val="18"/>
                    <w:lang w:eastAsia="fr-FR"/>
                  </w:rPr>
                </w:pPr>
                <w:r w:rsidRPr="00481E3E">
                  <w:rPr>
                    <w:rFonts w:asciiTheme="minorHAnsi" w:eastAsia="Times New Roman" w:hAnsiTheme="minorHAnsi" w:cstheme="minorHAnsi"/>
                    <w:sz w:val="18"/>
                    <w:szCs w:val="18"/>
                    <w:lang w:eastAsia="fr-FR"/>
                  </w:rPr>
                  <w:t>(4,8%)</w:t>
                </w:r>
              </w:p>
            </w:tc>
          </w:tr>
          <w:tr w:rsidR="0041512C" w:rsidRPr="00481E3E" w14:paraId="1401E044" w14:textId="77777777" w:rsidTr="00D14D81">
            <w:trPr>
              <w:trHeight w:val="290"/>
            </w:trPr>
            <w:tc>
              <w:tcPr>
                <w:tcW w:w="3377" w:type="dxa"/>
                <w:tcBorders>
                  <w:top w:val="nil"/>
                  <w:left w:val="nil"/>
                  <w:bottom w:val="nil"/>
                  <w:right w:val="nil"/>
                </w:tcBorders>
                <w:shd w:val="clear" w:color="auto" w:fill="auto"/>
                <w:noWrap/>
                <w:vAlign w:val="center"/>
                <w:hideMark/>
              </w:tcPr>
              <w:p w14:paraId="746E0977" w14:textId="77777777" w:rsidR="0041512C" w:rsidRPr="00481E3E" w:rsidRDefault="0041512C" w:rsidP="00D14D81">
                <w:pPr>
                  <w:spacing w:after="0" w:line="240" w:lineRule="auto"/>
                  <w:ind w:firstLineChars="100" w:firstLine="180"/>
                  <w:rPr>
                    <w:rFonts w:asciiTheme="minorHAnsi" w:eastAsia="Times New Roman" w:hAnsiTheme="minorHAnsi" w:cstheme="minorHAnsi"/>
                    <w:i/>
                    <w:iCs/>
                    <w:sz w:val="18"/>
                    <w:szCs w:val="18"/>
                    <w:lang w:eastAsia="fr-FR"/>
                  </w:rPr>
                </w:pPr>
                <w:r w:rsidRPr="00481E3E">
                  <w:rPr>
                    <w:rFonts w:asciiTheme="minorHAnsi" w:eastAsia="Times New Roman" w:hAnsiTheme="minorHAnsi" w:cstheme="minorHAnsi"/>
                    <w:i/>
                    <w:iCs/>
                    <w:sz w:val="18"/>
                    <w:szCs w:val="18"/>
                    <w:lang w:eastAsia="fr-FR"/>
                  </w:rPr>
                  <w:t>Marge d'EBITDA courant</w:t>
                </w:r>
              </w:p>
            </w:tc>
            <w:tc>
              <w:tcPr>
                <w:tcW w:w="1375" w:type="dxa"/>
                <w:tcBorders>
                  <w:top w:val="nil"/>
                  <w:left w:val="nil"/>
                  <w:bottom w:val="nil"/>
                  <w:right w:val="nil"/>
                </w:tcBorders>
                <w:shd w:val="clear" w:color="auto" w:fill="auto"/>
                <w:noWrap/>
                <w:hideMark/>
              </w:tcPr>
              <w:p w14:paraId="3C6E144A" w14:textId="77777777" w:rsidR="0041512C" w:rsidRPr="00481E3E" w:rsidRDefault="0041512C" w:rsidP="00D14D81">
                <w:pPr>
                  <w:spacing w:after="0" w:line="240" w:lineRule="auto"/>
                  <w:jc w:val="right"/>
                  <w:rPr>
                    <w:rFonts w:asciiTheme="minorHAnsi" w:eastAsia="Times New Roman" w:hAnsiTheme="minorHAnsi" w:cstheme="minorHAnsi"/>
                    <w:i/>
                    <w:iCs/>
                    <w:sz w:val="18"/>
                    <w:szCs w:val="18"/>
                    <w:lang w:eastAsia="fr-FR"/>
                  </w:rPr>
                </w:pPr>
                <w:r w:rsidRPr="00481E3E">
                  <w:rPr>
                    <w:rFonts w:asciiTheme="minorHAnsi" w:eastAsia="Times New Roman" w:hAnsiTheme="minorHAnsi" w:cstheme="minorHAnsi"/>
                    <w:i/>
                    <w:iCs/>
                    <w:sz w:val="18"/>
                    <w:szCs w:val="18"/>
                    <w:lang w:eastAsia="fr-FR"/>
                  </w:rPr>
                  <w:t>40,5%</w:t>
                </w:r>
              </w:p>
            </w:tc>
            <w:tc>
              <w:tcPr>
                <w:tcW w:w="1375" w:type="dxa"/>
                <w:tcBorders>
                  <w:top w:val="nil"/>
                  <w:left w:val="nil"/>
                  <w:bottom w:val="nil"/>
                  <w:right w:val="nil"/>
                </w:tcBorders>
                <w:shd w:val="clear" w:color="000000" w:fill="E7E6E6"/>
                <w:noWrap/>
                <w:hideMark/>
              </w:tcPr>
              <w:p w14:paraId="660D30AC" w14:textId="77777777" w:rsidR="0041512C" w:rsidRPr="00481E3E" w:rsidRDefault="0041512C" w:rsidP="00D14D81">
                <w:pPr>
                  <w:spacing w:after="0" w:line="240" w:lineRule="auto"/>
                  <w:jc w:val="right"/>
                  <w:rPr>
                    <w:rFonts w:asciiTheme="minorHAnsi" w:eastAsia="Times New Roman" w:hAnsiTheme="minorHAnsi" w:cstheme="minorHAnsi"/>
                    <w:i/>
                    <w:iCs/>
                    <w:color w:val="000E9C"/>
                    <w:sz w:val="18"/>
                    <w:szCs w:val="18"/>
                    <w:lang w:eastAsia="fr-FR"/>
                  </w:rPr>
                </w:pPr>
                <w:r w:rsidRPr="00481E3E">
                  <w:rPr>
                    <w:rFonts w:asciiTheme="minorHAnsi" w:eastAsia="Times New Roman" w:hAnsiTheme="minorHAnsi" w:cstheme="minorHAnsi"/>
                    <w:i/>
                    <w:iCs/>
                    <w:color w:val="000E9C"/>
                    <w:sz w:val="18"/>
                    <w:szCs w:val="18"/>
                    <w:lang w:eastAsia="fr-FR"/>
                  </w:rPr>
                  <w:t>33,6%</w:t>
                </w:r>
              </w:p>
            </w:tc>
            <w:tc>
              <w:tcPr>
                <w:tcW w:w="1375" w:type="dxa"/>
                <w:tcBorders>
                  <w:top w:val="nil"/>
                  <w:left w:val="nil"/>
                  <w:bottom w:val="nil"/>
                  <w:right w:val="nil"/>
                </w:tcBorders>
                <w:shd w:val="clear" w:color="auto" w:fill="auto"/>
                <w:noWrap/>
                <w:hideMark/>
              </w:tcPr>
              <w:p w14:paraId="231135DD" w14:textId="77777777" w:rsidR="0041512C" w:rsidRPr="00481E3E" w:rsidRDefault="0041512C" w:rsidP="00D14D81">
                <w:pPr>
                  <w:spacing w:after="0" w:line="240" w:lineRule="auto"/>
                  <w:jc w:val="right"/>
                  <w:rPr>
                    <w:rFonts w:asciiTheme="minorHAnsi" w:eastAsia="Times New Roman" w:hAnsiTheme="minorHAnsi" w:cstheme="minorHAnsi"/>
                    <w:i/>
                    <w:iCs/>
                    <w:color w:val="000E9C"/>
                    <w:sz w:val="18"/>
                    <w:szCs w:val="18"/>
                    <w:lang w:eastAsia="fr-FR"/>
                  </w:rPr>
                </w:pPr>
              </w:p>
            </w:tc>
            <w:tc>
              <w:tcPr>
                <w:tcW w:w="1378" w:type="dxa"/>
                <w:tcBorders>
                  <w:top w:val="nil"/>
                  <w:left w:val="nil"/>
                  <w:bottom w:val="nil"/>
                  <w:right w:val="nil"/>
                </w:tcBorders>
                <w:shd w:val="clear" w:color="auto" w:fill="auto"/>
                <w:noWrap/>
                <w:hideMark/>
              </w:tcPr>
              <w:p w14:paraId="664C3108" w14:textId="77777777" w:rsidR="0041512C" w:rsidRPr="00481E3E" w:rsidRDefault="0041512C" w:rsidP="00D14D81">
                <w:pPr>
                  <w:spacing w:after="0" w:line="240" w:lineRule="auto"/>
                  <w:rPr>
                    <w:rFonts w:asciiTheme="minorHAnsi" w:eastAsia="Times New Roman" w:hAnsiTheme="minorHAnsi" w:cstheme="minorHAnsi"/>
                    <w:sz w:val="18"/>
                    <w:szCs w:val="18"/>
                    <w:lang w:eastAsia="fr-FR"/>
                  </w:rPr>
                </w:pPr>
              </w:p>
            </w:tc>
          </w:tr>
          <w:tr w:rsidR="0041512C" w:rsidRPr="00481E3E" w14:paraId="4934C969" w14:textId="77777777" w:rsidTr="00D14D81">
            <w:trPr>
              <w:trHeight w:val="290"/>
            </w:trPr>
            <w:tc>
              <w:tcPr>
                <w:tcW w:w="3377" w:type="dxa"/>
                <w:tcBorders>
                  <w:top w:val="nil"/>
                  <w:left w:val="nil"/>
                  <w:bottom w:val="nil"/>
                  <w:right w:val="nil"/>
                </w:tcBorders>
                <w:shd w:val="clear" w:color="auto" w:fill="auto"/>
                <w:noWrap/>
                <w:vAlign w:val="center"/>
                <w:hideMark/>
              </w:tcPr>
              <w:p w14:paraId="27055ACF" w14:textId="77777777" w:rsidR="0041512C" w:rsidRPr="00481E3E" w:rsidRDefault="0041512C" w:rsidP="00D14D81">
                <w:pPr>
                  <w:spacing w:after="0" w:line="240" w:lineRule="auto"/>
                  <w:rPr>
                    <w:rFonts w:asciiTheme="minorHAnsi" w:eastAsia="Times New Roman" w:hAnsiTheme="minorHAnsi" w:cstheme="minorHAnsi"/>
                    <w:b/>
                    <w:bCs/>
                    <w:sz w:val="18"/>
                    <w:szCs w:val="18"/>
                    <w:lang w:eastAsia="fr-FR"/>
                  </w:rPr>
                </w:pPr>
                <w:r w:rsidRPr="00481E3E">
                  <w:rPr>
                    <w:rFonts w:asciiTheme="minorHAnsi" w:eastAsia="Times New Roman" w:hAnsiTheme="minorHAnsi" w:cstheme="minorHAnsi"/>
                    <w:b/>
                    <w:bCs/>
                    <w:sz w:val="18"/>
                    <w:szCs w:val="18"/>
                    <w:lang w:eastAsia="fr-FR"/>
                  </w:rPr>
                  <w:t>EBITDA ajusté</w:t>
                </w:r>
                <w:r w:rsidRPr="00481E3E">
                  <w:rPr>
                    <w:rFonts w:asciiTheme="minorHAnsi" w:eastAsia="Times New Roman" w:hAnsiTheme="minorHAnsi" w:cstheme="minorHAnsi"/>
                    <w:b/>
                    <w:bCs/>
                    <w:sz w:val="18"/>
                    <w:szCs w:val="18"/>
                    <w:vertAlign w:val="superscript"/>
                    <w:lang w:eastAsia="fr-FR"/>
                  </w:rPr>
                  <w:t xml:space="preserve"> (2)</w:t>
                </w:r>
              </w:p>
            </w:tc>
            <w:tc>
              <w:tcPr>
                <w:tcW w:w="1375" w:type="dxa"/>
                <w:tcBorders>
                  <w:top w:val="nil"/>
                  <w:left w:val="nil"/>
                  <w:bottom w:val="nil"/>
                  <w:right w:val="nil"/>
                </w:tcBorders>
                <w:shd w:val="clear" w:color="auto" w:fill="auto"/>
                <w:noWrap/>
                <w:hideMark/>
              </w:tcPr>
              <w:p w14:paraId="13798354" w14:textId="77777777" w:rsidR="0041512C" w:rsidRPr="00481E3E" w:rsidRDefault="0041512C" w:rsidP="00D14D81">
                <w:pPr>
                  <w:spacing w:after="0" w:line="240" w:lineRule="auto"/>
                  <w:jc w:val="right"/>
                  <w:rPr>
                    <w:rFonts w:asciiTheme="minorHAnsi" w:eastAsia="Times New Roman" w:hAnsiTheme="minorHAnsi" w:cstheme="minorHAnsi"/>
                    <w:b/>
                    <w:bCs/>
                    <w:sz w:val="18"/>
                    <w:szCs w:val="18"/>
                    <w:lang w:eastAsia="fr-FR"/>
                  </w:rPr>
                </w:pPr>
                <w:r w:rsidRPr="00481E3E">
                  <w:rPr>
                    <w:rFonts w:asciiTheme="minorHAnsi" w:eastAsia="Times New Roman" w:hAnsiTheme="minorHAnsi" w:cstheme="minorHAnsi"/>
                    <w:b/>
                    <w:bCs/>
                    <w:sz w:val="18"/>
                    <w:szCs w:val="18"/>
                    <w:lang w:eastAsia="fr-FR"/>
                  </w:rPr>
                  <w:t>138,1</w:t>
                </w:r>
              </w:p>
            </w:tc>
            <w:tc>
              <w:tcPr>
                <w:tcW w:w="1375" w:type="dxa"/>
                <w:tcBorders>
                  <w:top w:val="nil"/>
                  <w:left w:val="nil"/>
                  <w:bottom w:val="nil"/>
                  <w:right w:val="nil"/>
                </w:tcBorders>
                <w:shd w:val="clear" w:color="000000" w:fill="E7E6E6"/>
                <w:noWrap/>
                <w:hideMark/>
              </w:tcPr>
              <w:p w14:paraId="37AFF5F9" w14:textId="77777777" w:rsidR="0041512C" w:rsidRPr="00481E3E" w:rsidRDefault="0041512C" w:rsidP="00D14D81">
                <w:pPr>
                  <w:spacing w:after="0" w:line="240" w:lineRule="auto"/>
                  <w:jc w:val="right"/>
                  <w:rPr>
                    <w:rFonts w:asciiTheme="minorHAnsi" w:eastAsia="Times New Roman" w:hAnsiTheme="minorHAnsi" w:cstheme="minorHAnsi"/>
                    <w:b/>
                    <w:bCs/>
                    <w:color w:val="000E9C"/>
                    <w:sz w:val="18"/>
                    <w:szCs w:val="18"/>
                    <w:lang w:eastAsia="fr-FR"/>
                  </w:rPr>
                </w:pPr>
                <w:r w:rsidRPr="00481E3E">
                  <w:rPr>
                    <w:rFonts w:asciiTheme="minorHAnsi" w:eastAsia="Times New Roman" w:hAnsiTheme="minorHAnsi" w:cstheme="minorHAnsi"/>
                    <w:b/>
                    <w:bCs/>
                    <w:color w:val="000E9C"/>
                    <w:sz w:val="18"/>
                    <w:szCs w:val="18"/>
                    <w:lang w:eastAsia="fr-FR"/>
                  </w:rPr>
                  <w:t>153,3</w:t>
                </w:r>
              </w:p>
            </w:tc>
            <w:tc>
              <w:tcPr>
                <w:tcW w:w="1375" w:type="dxa"/>
                <w:tcBorders>
                  <w:top w:val="nil"/>
                  <w:left w:val="nil"/>
                  <w:bottom w:val="nil"/>
                  <w:right w:val="nil"/>
                </w:tcBorders>
                <w:shd w:val="clear" w:color="auto" w:fill="auto"/>
                <w:noWrap/>
                <w:hideMark/>
              </w:tcPr>
              <w:p w14:paraId="747C1DBB" w14:textId="77777777" w:rsidR="0041512C" w:rsidRPr="00481E3E" w:rsidRDefault="0041512C" w:rsidP="00D14D81">
                <w:pPr>
                  <w:spacing w:after="0" w:line="240" w:lineRule="auto"/>
                  <w:jc w:val="right"/>
                  <w:rPr>
                    <w:rFonts w:asciiTheme="minorHAnsi" w:eastAsia="Times New Roman" w:hAnsiTheme="minorHAnsi" w:cstheme="minorHAnsi"/>
                    <w:b/>
                    <w:bCs/>
                    <w:sz w:val="18"/>
                    <w:szCs w:val="18"/>
                    <w:lang w:eastAsia="fr-FR"/>
                  </w:rPr>
                </w:pPr>
                <w:r w:rsidRPr="00481E3E">
                  <w:rPr>
                    <w:rFonts w:asciiTheme="minorHAnsi" w:eastAsia="Times New Roman" w:hAnsiTheme="minorHAnsi" w:cstheme="minorHAnsi"/>
                    <w:b/>
                    <w:bCs/>
                    <w:sz w:val="18"/>
                    <w:szCs w:val="18"/>
                    <w:lang w:eastAsia="fr-FR"/>
                  </w:rPr>
                  <w:t>11,0%</w:t>
                </w:r>
              </w:p>
            </w:tc>
            <w:tc>
              <w:tcPr>
                <w:tcW w:w="1378" w:type="dxa"/>
                <w:tcBorders>
                  <w:top w:val="nil"/>
                  <w:left w:val="nil"/>
                  <w:bottom w:val="nil"/>
                  <w:right w:val="nil"/>
                </w:tcBorders>
                <w:shd w:val="clear" w:color="auto" w:fill="auto"/>
                <w:noWrap/>
                <w:hideMark/>
              </w:tcPr>
              <w:p w14:paraId="588D8BB0" w14:textId="77777777" w:rsidR="0041512C" w:rsidRPr="00481E3E" w:rsidRDefault="0041512C" w:rsidP="00D14D81">
                <w:pPr>
                  <w:spacing w:after="0" w:line="240" w:lineRule="auto"/>
                  <w:jc w:val="right"/>
                  <w:rPr>
                    <w:rFonts w:asciiTheme="minorHAnsi" w:eastAsia="Times New Roman" w:hAnsiTheme="minorHAnsi" w:cstheme="minorHAnsi"/>
                    <w:b/>
                    <w:bCs/>
                    <w:sz w:val="18"/>
                    <w:szCs w:val="18"/>
                    <w:lang w:eastAsia="fr-FR"/>
                  </w:rPr>
                </w:pPr>
                <w:r w:rsidRPr="00481E3E">
                  <w:rPr>
                    <w:rFonts w:asciiTheme="minorHAnsi" w:eastAsia="Times New Roman" w:hAnsiTheme="minorHAnsi" w:cstheme="minorHAnsi"/>
                    <w:b/>
                    <w:bCs/>
                    <w:sz w:val="18"/>
                    <w:szCs w:val="18"/>
                    <w:lang w:eastAsia="fr-FR"/>
                  </w:rPr>
                  <w:t>11,1%</w:t>
                </w:r>
              </w:p>
            </w:tc>
          </w:tr>
          <w:tr w:rsidR="0041512C" w:rsidRPr="00481E3E" w14:paraId="777F45E9" w14:textId="77777777" w:rsidTr="00D14D81">
            <w:trPr>
              <w:trHeight w:val="290"/>
            </w:trPr>
            <w:tc>
              <w:tcPr>
                <w:tcW w:w="3377" w:type="dxa"/>
                <w:tcBorders>
                  <w:top w:val="nil"/>
                  <w:left w:val="nil"/>
                  <w:bottom w:val="single" w:sz="4" w:space="0" w:color="000E9C"/>
                  <w:right w:val="nil"/>
                </w:tcBorders>
                <w:shd w:val="clear" w:color="auto" w:fill="auto"/>
                <w:noWrap/>
                <w:vAlign w:val="center"/>
                <w:hideMark/>
              </w:tcPr>
              <w:p w14:paraId="091F9F42" w14:textId="77777777" w:rsidR="0041512C" w:rsidRPr="00481E3E" w:rsidRDefault="0041512C" w:rsidP="00D14D81">
                <w:pPr>
                  <w:spacing w:after="0" w:line="240" w:lineRule="auto"/>
                  <w:ind w:firstLineChars="100" w:firstLine="180"/>
                  <w:rPr>
                    <w:rFonts w:asciiTheme="minorHAnsi" w:eastAsia="Times New Roman" w:hAnsiTheme="minorHAnsi" w:cstheme="minorHAnsi"/>
                    <w:i/>
                    <w:iCs/>
                    <w:sz w:val="18"/>
                    <w:szCs w:val="18"/>
                    <w:lang w:eastAsia="fr-FR"/>
                  </w:rPr>
                </w:pPr>
                <w:r w:rsidRPr="00481E3E">
                  <w:rPr>
                    <w:rFonts w:asciiTheme="minorHAnsi" w:eastAsia="Times New Roman" w:hAnsiTheme="minorHAnsi" w:cstheme="minorHAnsi"/>
                    <w:i/>
                    <w:iCs/>
                    <w:sz w:val="18"/>
                    <w:szCs w:val="18"/>
                    <w:lang w:eastAsia="fr-FR"/>
                  </w:rPr>
                  <w:t>Marge d'EBITDA ajusté</w:t>
                </w:r>
              </w:p>
            </w:tc>
            <w:tc>
              <w:tcPr>
                <w:tcW w:w="1375" w:type="dxa"/>
                <w:tcBorders>
                  <w:top w:val="nil"/>
                  <w:left w:val="nil"/>
                  <w:bottom w:val="single" w:sz="4" w:space="0" w:color="000E9C"/>
                  <w:right w:val="nil"/>
                </w:tcBorders>
                <w:shd w:val="clear" w:color="auto" w:fill="auto"/>
                <w:noWrap/>
                <w:hideMark/>
              </w:tcPr>
              <w:p w14:paraId="1D2D5FD9" w14:textId="77777777" w:rsidR="0041512C" w:rsidRPr="00481E3E" w:rsidRDefault="0041512C" w:rsidP="00D14D81">
                <w:pPr>
                  <w:spacing w:after="0" w:line="240" w:lineRule="auto"/>
                  <w:jc w:val="right"/>
                  <w:rPr>
                    <w:rFonts w:asciiTheme="minorHAnsi" w:eastAsia="Times New Roman" w:hAnsiTheme="minorHAnsi" w:cstheme="minorHAnsi"/>
                    <w:i/>
                    <w:iCs/>
                    <w:sz w:val="18"/>
                    <w:szCs w:val="18"/>
                    <w:lang w:eastAsia="fr-FR"/>
                  </w:rPr>
                </w:pPr>
                <w:r w:rsidRPr="00481E3E">
                  <w:rPr>
                    <w:rFonts w:asciiTheme="minorHAnsi" w:eastAsia="Times New Roman" w:hAnsiTheme="minorHAnsi" w:cstheme="minorHAnsi"/>
                    <w:i/>
                    <w:iCs/>
                    <w:sz w:val="18"/>
                    <w:szCs w:val="18"/>
                    <w:lang w:eastAsia="fr-FR"/>
                  </w:rPr>
                  <w:t>41,3%</w:t>
                </w:r>
              </w:p>
            </w:tc>
            <w:tc>
              <w:tcPr>
                <w:tcW w:w="1375" w:type="dxa"/>
                <w:tcBorders>
                  <w:top w:val="nil"/>
                  <w:left w:val="nil"/>
                  <w:bottom w:val="single" w:sz="4" w:space="0" w:color="000E9C"/>
                  <w:right w:val="nil"/>
                </w:tcBorders>
                <w:shd w:val="clear" w:color="000000" w:fill="E7E6E6"/>
                <w:noWrap/>
                <w:hideMark/>
              </w:tcPr>
              <w:p w14:paraId="70C2DC80" w14:textId="77777777" w:rsidR="0041512C" w:rsidRPr="00481E3E" w:rsidRDefault="0041512C" w:rsidP="00D14D81">
                <w:pPr>
                  <w:spacing w:after="0" w:line="240" w:lineRule="auto"/>
                  <w:jc w:val="right"/>
                  <w:rPr>
                    <w:rFonts w:asciiTheme="minorHAnsi" w:eastAsia="Times New Roman" w:hAnsiTheme="minorHAnsi" w:cstheme="minorHAnsi"/>
                    <w:i/>
                    <w:iCs/>
                    <w:color w:val="000E9C"/>
                    <w:sz w:val="18"/>
                    <w:szCs w:val="18"/>
                    <w:lang w:eastAsia="fr-FR"/>
                  </w:rPr>
                </w:pPr>
                <w:r w:rsidRPr="00481E3E">
                  <w:rPr>
                    <w:rFonts w:asciiTheme="minorHAnsi" w:eastAsia="Times New Roman" w:hAnsiTheme="minorHAnsi" w:cstheme="minorHAnsi"/>
                    <w:i/>
                    <w:iCs/>
                    <w:color w:val="000E9C"/>
                    <w:sz w:val="18"/>
                    <w:szCs w:val="18"/>
                    <w:lang w:eastAsia="fr-FR"/>
                  </w:rPr>
                  <w:t>40,1%</w:t>
                </w:r>
              </w:p>
            </w:tc>
            <w:tc>
              <w:tcPr>
                <w:tcW w:w="1375" w:type="dxa"/>
                <w:tcBorders>
                  <w:top w:val="nil"/>
                  <w:left w:val="nil"/>
                  <w:bottom w:val="single" w:sz="4" w:space="0" w:color="000E9C"/>
                  <w:right w:val="nil"/>
                </w:tcBorders>
                <w:shd w:val="clear" w:color="auto" w:fill="auto"/>
                <w:noWrap/>
                <w:hideMark/>
              </w:tcPr>
              <w:p w14:paraId="7E91FE14" w14:textId="77777777" w:rsidR="0041512C" w:rsidRPr="00481E3E" w:rsidRDefault="0041512C" w:rsidP="00D14D81">
                <w:pPr>
                  <w:spacing w:after="0" w:line="240" w:lineRule="auto"/>
                  <w:rPr>
                    <w:rFonts w:asciiTheme="minorHAnsi" w:eastAsia="Times New Roman" w:hAnsiTheme="minorHAnsi" w:cstheme="minorHAnsi"/>
                    <w:i/>
                    <w:iCs/>
                    <w:sz w:val="18"/>
                    <w:szCs w:val="18"/>
                    <w:lang w:eastAsia="fr-FR"/>
                  </w:rPr>
                </w:pPr>
                <w:r w:rsidRPr="00481E3E">
                  <w:rPr>
                    <w:rFonts w:asciiTheme="minorHAnsi" w:eastAsia="Times New Roman" w:hAnsiTheme="minorHAnsi" w:cstheme="minorHAnsi"/>
                    <w:i/>
                    <w:iCs/>
                    <w:sz w:val="18"/>
                    <w:szCs w:val="18"/>
                    <w:lang w:eastAsia="fr-FR"/>
                  </w:rPr>
                  <w:t> </w:t>
                </w:r>
              </w:p>
            </w:tc>
            <w:tc>
              <w:tcPr>
                <w:tcW w:w="1378" w:type="dxa"/>
                <w:tcBorders>
                  <w:top w:val="nil"/>
                  <w:left w:val="nil"/>
                  <w:bottom w:val="single" w:sz="4" w:space="0" w:color="000E9C"/>
                  <w:right w:val="nil"/>
                </w:tcBorders>
                <w:shd w:val="clear" w:color="auto" w:fill="auto"/>
                <w:noWrap/>
                <w:hideMark/>
              </w:tcPr>
              <w:p w14:paraId="41CD2E8A" w14:textId="77777777" w:rsidR="0041512C" w:rsidRPr="00481E3E" w:rsidRDefault="0041512C" w:rsidP="00D14D81">
                <w:pPr>
                  <w:spacing w:after="0" w:line="240" w:lineRule="auto"/>
                  <w:rPr>
                    <w:rFonts w:asciiTheme="minorHAnsi" w:eastAsia="Times New Roman" w:hAnsiTheme="minorHAnsi" w:cstheme="minorHAnsi"/>
                    <w:i/>
                    <w:iCs/>
                    <w:sz w:val="18"/>
                    <w:szCs w:val="18"/>
                    <w:lang w:eastAsia="fr-FR"/>
                  </w:rPr>
                </w:pPr>
                <w:r w:rsidRPr="00481E3E">
                  <w:rPr>
                    <w:rFonts w:asciiTheme="minorHAnsi" w:eastAsia="Times New Roman" w:hAnsiTheme="minorHAnsi" w:cstheme="minorHAnsi"/>
                    <w:i/>
                    <w:iCs/>
                    <w:sz w:val="18"/>
                    <w:szCs w:val="18"/>
                    <w:lang w:eastAsia="fr-FR"/>
                  </w:rPr>
                  <w:t> </w:t>
                </w:r>
              </w:p>
            </w:tc>
          </w:tr>
          <w:tr w:rsidR="0041512C" w:rsidRPr="00481E3E" w14:paraId="4E8EF5EF" w14:textId="77777777" w:rsidTr="00D14D81">
            <w:trPr>
              <w:trHeight w:val="290"/>
            </w:trPr>
            <w:tc>
              <w:tcPr>
                <w:tcW w:w="3377" w:type="dxa"/>
                <w:tcBorders>
                  <w:top w:val="nil"/>
                  <w:left w:val="nil"/>
                  <w:bottom w:val="nil"/>
                  <w:right w:val="nil"/>
                </w:tcBorders>
                <w:shd w:val="clear" w:color="auto" w:fill="auto"/>
                <w:hideMark/>
              </w:tcPr>
              <w:p w14:paraId="68A9FD6B" w14:textId="77777777" w:rsidR="0041512C" w:rsidRPr="00481E3E" w:rsidRDefault="0041512C" w:rsidP="00D14D81">
                <w:pPr>
                  <w:spacing w:after="0" w:line="240" w:lineRule="auto"/>
                  <w:rPr>
                    <w:rFonts w:asciiTheme="minorHAnsi" w:eastAsia="Times New Roman" w:hAnsiTheme="minorHAnsi" w:cstheme="minorHAnsi"/>
                    <w:b/>
                    <w:bCs/>
                    <w:sz w:val="18"/>
                    <w:szCs w:val="18"/>
                    <w:lang w:eastAsia="fr-FR"/>
                  </w:rPr>
                </w:pPr>
                <w:r w:rsidRPr="00481E3E">
                  <w:rPr>
                    <w:rFonts w:asciiTheme="minorHAnsi" w:eastAsia="Times New Roman" w:hAnsiTheme="minorHAnsi" w:cstheme="minorHAnsi"/>
                    <w:b/>
                    <w:bCs/>
                    <w:sz w:val="18"/>
                    <w:szCs w:val="18"/>
                    <w:lang w:eastAsia="fr-FR"/>
                  </w:rPr>
                  <w:t>Capacité d'autofinancement</w:t>
                </w:r>
              </w:p>
            </w:tc>
            <w:tc>
              <w:tcPr>
                <w:tcW w:w="1375" w:type="dxa"/>
                <w:tcBorders>
                  <w:top w:val="nil"/>
                  <w:left w:val="nil"/>
                  <w:bottom w:val="nil"/>
                  <w:right w:val="nil"/>
                </w:tcBorders>
                <w:shd w:val="clear" w:color="auto" w:fill="auto"/>
                <w:noWrap/>
                <w:hideMark/>
              </w:tcPr>
              <w:p w14:paraId="5C6BE2C9" w14:textId="77777777" w:rsidR="0041512C" w:rsidRPr="00481E3E" w:rsidRDefault="0041512C" w:rsidP="00D14D81">
                <w:pPr>
                  <w:spacing w:after="0" w:line="240" w:lineRule="auto"/>
                  <w:jc w:val="right"/>
                  <w:rPr>
                    <w:rFonts w:asciiTheme="minorHAnsi" w:eastAsia="Times New Roman" w:hAnsiTheme="minorHAnsi" w:cstheme="minorHAnsi"/>
                    <w:b/>
                    <w:bCs/>
                    <w:sz w:val="18"/>
                    <w:szCs w:val="18"/>
                    <w:lang w:eastAsia="fr-FR"/>
                  </w:rPr>
                </w:pPr>
                <w:r w:rsidRPr="00481E3E">
                  <w:rPr>
                    <w:rFonts w:asciiTheme="minorHAnsi" w:eastAsia="Times New Roman" w:hAnsiTheme="minorHAnsi" w:cstheme="minorHAnsi"/>
                    <w:b/>
                    <w:bCs/>
                    <w:sz w:val="18"/>
                    <w:szCs w:val="18"/>
                    <w:lang w:eastAsia="fr-FR"/>
                  </w:rPr>
                  <w:t>136,7</w:t>
                </w:r>
              </w:p>
            </w:tc>
            <w:tc>
              <w:tcPr>
                <w:tcW w:w="1375" w:type="dxa"/>
                <w:tcBorders>
                  <w:top w:val="nil"/>
                  <w:left w:val="nil"/>
                  <w:bottom w:val="nil"/>
                  <w:right w:val="nil"/>
                </w:tcBorders>
                <w:shd w:val="clear" w:color="000000" w:fill="E7E6E6"/>
                <w:noWrap/>
                <w:hideMark/>
              </w:tcPr>
              <w:p w14:paraId="31E82EF5" w14:textId="77777777" w:rsidR="0041512C" w:rsidRPr="00481E3E" w:rsidRDefault="0041512C" w:rsidP="00D14D81">
                <w:pPr>
                  <w:spacing w:after="0" w:line="240" w:lineRule="auto"/>
                  <w:jc w:val="right"/>
                  <w:rPr>
                    <w:rFonts w:asciiTheme="minorHAnsi" w:eastAsia="Times New Roman" w:hAnsiTheme="minorHAnsi" w:cstheme="minorHAnsi"/>
                    <w:b/>
                    <w:bCs/>
                    <w:color w:val="000E9C"/>
                    <w:sz w:val="18"/>
                    <w:szCs w:val="18"/>
                    <w:lang w:eastAsia="fr-FR"/>
                  </w:rPr>
                </w:pPr>
                <w:r w:rsidRPr="00481E3E">
                  <w:rPr>
                    <w:rFonts w:asciiTheme="minorHAnsi" w:eastAsia="Times New Roman" w:hAnsiTheme="minorHAnsi" w:cstheme="minorHAnsi"/>
                    <w:b/>
                    <w:bCs/>
                    <w:color w:val="000E9C"/>
                    <w:sz w:val="18"/>
                    <w:szCs w:val="18"/>
                    <w:lang w:eastAsia="fr-FR"/>
                  </w:rPr>
                  <w:t>126,9</w:t>
                </w:r>
              </w:p>
            </w:tc>
            <w:tc>
              <w:tcPr>
                <w:tcW w:w="1375" w:type="dxa"/>
                <w:tcBorders>
                  <w:top w:val="nil"/>
                  <w:left w:val="nil"/>
                  <w:bottom w:val="nil"/>
                  <w:right w:val="nil"/>
                </w:tcBorders>
                <w:shd w:val="clear" w:color="auto" w:fill="auto"/>
                <w:noWrap/>
                <w:hideMark/>
              </w:tcPr>
              <w:p w14:paraId="335E4319" w14:textId="77777777" w:rsidR="0041512C" w:rsidRPr="00481E3E" w:rsidRDefault="0041512C" w:rsidP="00D14D81">
                <w:pPr>
                  <w:spacing w:after="0" w:line="240" w:lineRule="auto"/>
                  <w:jc w:val="right"/>
                  <w:rPr>
                    <w:rFonts w:asciiTheme="minorHAnsi" w:eastAsia="Times New Roman" w:hAnsiTheme="minorHAnsi" w:cstheme="minorHAnsi"/>
                    <w:b/>
                    <w:bCs/>
                    <w:color w:val="000E9C"/>
                    <w:sz w:val="18"/>
                    <w:szCs w:val="18"/>
                    <w:lang w:eastAsia="fr-FR"/>
                  </w:rPr>
                </w:pPr>
              </w:p>
            </w:tc>
            <w:tc>
              <w:tcPr>
                <w:tcW w:w="1378" w:type="dxa"/>
                <w:tcBorders>
                  <w:top w:val="nil"/>
                  <w:left w:val="nil"/>
                  <w:bottom w:val="nil"/>
                  <w:right w:val="nil"/>
                </w:tcBorders>
                <w:shd w:val="clear" w:color="auto" w:fill="auto"/>
                <w:noWrap/>
                <w:hideMark/>
              </w:tcPr>
              <w:p w14:paraId="4240E49B" w14:textId="77777777" w:rsidR="0041512C" w:rsidRPr="00481E3E" w:rsidRDefault="0041512C" w:rsidP="00D14D81">
                <w:pPr>
                  <w:spacing w:after="0" w:line="240" w:lineRule="auto"/>
                  <w:rPr>
                    <w:rFonts w:asciiTheme="minorHAnsi" w:eastAsia="Times New Roman" w:hAnsiTheme="minorHAnsi" w:cstheme="minorHAnsi"/>
                    <w:sz w:val="18"/>
                    <w:szCs w:val="18"/>
                    <w:lang w:eastAsia="fr-FR"/>
                  </w:rPr>
                </w:pPr>
              </w:p>
            </w:tc>
          </w:tr>
          <w:tr w:rsidR="0041512C" w:rsidRPr="00481E3E" w14:paraId="4F0EC761" w14:textId="77777777" w:rsidTr="00D14D81">
            <w:trPr>
              <w:trHeight w:val="290"/>
            </w:trPr>
            <w:tc>
              <w:tcPr>
                <w:tcW w:w="3377" w:type="dxa"/>
                <w:tcBorders>
                  <w:top w:val="nil"/>
                  <w:left w:val="nil"/>
                  <w:bottom w:val="nil"/>
                  <w:right w:val="nil"/>
                </w:tcBorders>
                <w:shd w:val="clear" w:color="auto" w:fill="auto"/>
                <w:hideMark/>
              </w:tcPr>
              <w:p w14:paraId="5D7DB3AE" w14:textId="77777777" w:rsidR="0041512C" w:rsidRPr="00481E3E" w:rsidRDefault="0041512C" w:rsidP="00D14D81">
                <w:pPr>
                  <w:spacing w:after="0" w:line="240" w:lineRule="auto"/>
                  <w:rPr>
                    <w:rFonts w:asciiTheme="minorHAnsi" w:eastAsia="Times New Roman" w:hAnsiTheme="minorHAnsi" w:cstheme="minorHAnsi"/>
                    <w:sz w:val="18"/>
                    <w:szCs w:val="18"/>
                    <w:lang w:eastAsia="fr-FR"/>
                  </w:rPr>
                </w:pPr>
                <w:r w:rsidRPr="00481E3E">
                  <w:rPr>
                    <w:rFonts w:asciiTheme="minorHAnsi" w:eastAsia="Times New Roman" w:hAnsiTheme="minorHAnsi" w:cstheme="minorHAnsi"/>
                    <w:sz w:val="18"/>
                    <w:szCs w:val="18"/>
                    <w:lang w:eastAsia="fr-FR"/>
                  </w:rPr>
                  <w:t>Capex récurrent</w:t>
                </w:r>
                <w:r>
                  <w:rPr>
                    <w:rFonts w:asciiTheme="minorHAnsi" w:eastAsia="Times New Roman" w:hAnsiTheme="minorHAnsi" w:cstheme="minorHAnsi"/>
                    <w:sz w:val="18"/>
                    <w:szCs w:val="18"/>
                    <w:lang w:eastAsia="fr-FR"/>
                  </w:rPr>
                  <w:t xml:space="preserve"> </w:t>
                </w:r>
                <w:r w:rsidRPr="00481E3E">
                  <w:rPr>
                    <w:rFonts w:asciiTheme="minorHAnsi" w:eastAsia="Times New Roman" w:hAnsiTheme="minorHAnsi" w:cstheme="minorHAnsi"/>
                    <w:sz w:val="18"/>
                    <w:szCs w:val="18"/>
                    <w:vertAlign w:val="superscript"/>
                    <w:lang w:eastAsia="fr-FR"/>
                  </w:rPr>
                  <w:t>(</w:t>
                </w:r>
                <w:r>
                  <w:rPr>
                    <w:rFonts w:asciiTheme="minorHAnsi" w:eastAsia="Times New Roman" w:hAnsiTheme="minorHAnsi" w:cstheme="minorHAnsi"/>
                    <w:sz w:val="18"/>
                    <w:szCs w:val="18"/>
                    <w:vertAlign w:val="superscript"/>
                    <w:lang w:eastAsia="fr-FR"/>
                  </w:rPr>
                  <w:t>4</w:t>
                </w:r>
                <w:r w:rsidRPr="00481E3E">
                  <w:rPr>
                    <w:rFonts w:asciiTheme="minorHAnsi" w:eastAsia="Times New Roman" w:hAnsiTheme="minorHAnsi" w:cstheme="minorHAnsi"/>
                    <w:sz w:val="18"/>
                    <w:szCs w:val="18"/>
                    <w:vertAlign w:val="superscript"/>
                    <w:lang w:eastAsia="fr-FR"/>
                  </w:rPr>
                  <w:t>)</w:t>
                </w:r>
              </w:p>
            </w:tc>
            <w:tc>
              <w:tcPr>
                <w:tcW w:w="1375" w:type="dxa"/>
                <w:tcBorders>
                  <w:top w:val="nil"/>
                  <w:left w:val="nil"/>
                  <w:bottom w:val="nil"/>
                  <w:right w:val="nil"/>
                </w:tcBorders>
                <w:shd w:val="clear" w:color="auto" w:fill="auto"/>
                <w:noWrap/>
                <w:hideMark/>
              </w:tcPr>
              <w:p w14:paraId="3A62FC98" w14:textId="2F568E17" w:rsidR="0041512C" w:rsidRPr="00481E3E" w:rsidRDefault="00601443" w:rsidP="00D14D81">
                <w:pPr>
                  <w:spacing w:after="0" w:line="240" w:lineRule="auto"/>
                  <w:jc w:val="right"/>
                  <w:rPr>
                    <w:rFonts w:asciiTheme="minorHAnsi" w:eastAsia="Times New Roman" w:hAnsiTheme="minorHAnsi" w:cstheme="minorHAnsi"/>
                    <w:sz w:val="18"/>
                    <w:szCs w:val="18"/>
                    <w:lang w:eastAsia="fr-FR"/>
                  </w:rPr>
                </w:pPr>
                <w:r>
                  <w:rPr>
                    <w:rFonts w:asciiTheme="minorHAnsi" w:eastAsia="Times New Roman" w:hAnsiTheme="minorHAnsi" w:cstheme="minorHAnsi"/>
                    <w:sz w:val="18"/>
                    <w:szCs w:val="18"/>
                    <w:lang w:eastAsia="fr-FR"/>
                  </w:rPr>
                  <w:t>(</w:t>
                </w:r>
                <w:r w:rsidR="0041512C" w:rsidRPr="00481E3E">
                  <w:rPr>
                    <w:rFonts w:asciiTheme="minorHAnsi" w:eastAsia="Times New Roman" w:hAnsiTheme="minorHAnsi" w:cstheme="minorHAnsi"/>
                    <w:sz w:val="18"/>
                    <w:szCs w:val="18"/>
                    <w:lang w:eastAsia="fr-FR"/>
                  </w:rPr>
                  <w:t>70</w:t>
                </w:r>
                <w:r>
                  <w:rPr>
                    <w:rFonts w:asciiTheme="minorHAnsi" w:eastAsia="Times New Roman" w:hAnsiTheme="minorHAnsi" w:cstheme="minorHAnsi"/>
                    <w:sz w:val="18"/>
                    <w:szCs w:val="18"/>
                    <w:lang w:eastAsia="fr-FR"/>
                  </w:rPr>
                  <w:t>)</w:t>
                </w:r>
              </w:p>
            </w:tc>
            <w:tc>
              <w:tcPr>
                <w:tcW w:w="1375" w:type="dxa"/>
                <w:tcBorders>
                  <w:top w:val="nil"/>
                  <w:left w:val="nil"/>
                  <w:bottom w:val="nil"/>
                  <w:right w:val="nil"/>
                </w:tcBorders>
                <w:shd w:val="clear" w:color="000000" w:fill="E7E6E6"/>
                <w:noWrap/>
                <w:hideMark/>
              </w:tcPr>
              <w:p w14:paraId="028119A8" w14:textId="6E50D599" w:rsidR="0041512C" w:rsidRPr="00481E3E" w:rsidRDefault="00601443" w:rsidP="00D14D81">
                <w:pPr>
                  <w:spacing w:after="0" w:line="240" w:lineRule="auto"/>
                  <w:jc w:val="right"/>
                  <w:rPr>
                    <w:rFonts w:asciiTheme="minorHAnsi" w:eastAsia="Times New Roman" w:hAnsiTheme="minorHAnsi" w:cstheme="minorHAnsi"/>
                    <w:color w:val="000E9C"/>
                    <w:sz w:val="18"/>
                    <w:szCs w:val="18"/>
                    <w:lang w:eastAsia="fr-FR"/>
                  </w:rPr>
                </w:pPr>
                <w:r>
                  <w:rPr>
                    <w:rFonts w:asciiTheme="minorHAnsi" w:eastAsia="Times New Roman" w:hAnsiTheme="minorHAnsi" w:cstheme="minorHAnsi"/>
                    <w:color w:val="000E9C"/>
                    <w:sz w:val="18"/>
                    <w:szCs w:val="18"/>
                    <w:lang w:eastAsia="fr-FR"/>
                  </w:rPr>
                  <w:t>(</w:t>
                </w:r>
                <w:r w:rsidR="0041512C" w:rsidRPr="00481E3E">
                  <w:rPr>
                    <w:rFonts w:asciiTheme="minorHAnsi" w:eastAsia="Times New Roman" w:hAnsiTheme="minorHAnsi" w:cstheme="minorHAnsi"/>
                    <w:color w:val="000E9C"/>
                    <w:sz w:val="18"/>
                    <w:szCs w:val="18"/>
                    <w:lang w:eastAsia="fr-FR"/>
                  </w:rPr>
                  <w:t>69</w:t>
                </w:r>
                <w:r>
                  <w:rPr>
                    <w:rFonts w:asciiTheme="minorHAnsi" w:eastAsia="Times New Roman" w:hAnsiTheme="minorHAnsi" w:cstheme="minorHAnsi"/>
                    <w:color w:val="000E9C"/>
                    <w:sz w:val="18"/>
                    <w:szCs w:val="18"/>
                    <w:lang w:eastAsia="fr-FR"/>
                  </w:rPr>
                  <w:t>)</w:t>
                </w:r>
              </w:p>
            </w:tc>
            <w:tc>
              <w:tcPr>
                <w:tcW w:w="1375" w:type="dxa"/>
                <w:tcBorders>
                  <w:top w:val="nil"/>
                  <w:left w:val="nil"/>
                  <w:bottom w:val="nil"/>
                  <w:right w:val="nil"/>
                </w:tcBorders>
                <w:shd w:val="clear" w:color="auto" w:fill="auto"/>
                <w:noWrap/>
                <w:hideMark/>
              </w:tcPr>
              <w:p w14:paraId="2DC1EB9E" w14:textId="77777777" w:rsidR="0041512C" w:rsidRPr="00481E3E" w:rsidRDefault="0041512C" w:rsidP="00D14D81">
                <w:pPr>
                  <w:spacing w:after="0" w:line="240" w:lineRule="auto"/>
                  <w:jc w:val="right"/>
                  <w:rPr>
                    <w:rFonts w:asciiTheme="minorHAnsi" w:eastAsia="Times New Roman" w:hAnsiTheme="minorHAnsi" w:cstheme="minorHAnsi"/>
                    <w:color w:val="000E9C"/>
                    <w:sz w:val="18"/>
                    <w:szCs w:val="18"/>
                    <w:lang w:eastAsia="fr-FR"/>
                  </w:rPr>
                </w:pPr>
              </w:p>
            </w:tc>
            <w:tc>
              <w:tcPr>
                <w:tcW w:w="1378" w:type="dxa"/>
                <w:tcBorders>
                  <w:top w:val="nil"/>
                  <w:left w:val="nil"/>
                  <w:bottom w:val="nil"/>
                  <w:right w:val="nil"/>
                </w:tcBorders>
                <w:shd w:val="clear" w:color="auto" w:fill="auto"/>
                <w:noWrap/>
                <w:hideMark/>
              </w:tcPr>
              <w:p w14:paraId="0378DEFA" w14:textId="77777777" w:rsidR="0041512C" w:rsidRPr="00481E3E" w:rsidRDefault="0041512C" w:rsidP="00D14D81">
                <w:pPr>
                  <w:spacing w:after="0" w:line="240" w:lineRule="auto"/>
                  <w:rPr>
                    <w:rFonts w:asciiTheme="minorHAnsi" w:eastAsia="Times New Roman" w:hAnsiTheme="minorHAnsi" w:cstheme="minorHAnsi"/>
                    <w:sz w:val="18"/>
                    <w:szCs w:val="18"/>
                    <w:lang w:eastAsia="fr-FR"/>
                  </w:rPr>
                </w:pPr>
              </w:p>
            </w:tc>
          </w:tr>
          <w:tr w:rsidR="0041512C" w:rsidRPr="00481E3E" w14:paraId="6CA0372D" w14:textId="77777777" w:rsidTr="00D14D81">
            <w:trPr>
              <w:trHeight w:val="290"/>
            </w:trPr>
            <w:tc>
              <w:tcPr>
                <w:tcW w:w="3377" w:type="dxa"/>
                <w:tcBorders>
                  <w:top w:val="nil"/>
                  <w:left w:val="nil"/>
                  <w:bottom w:val="single" w:sz="4" w:space="0" w:color="000E9C"/>
                  <w:right w:val="nil"/>
                </w:tcBorders>
                <w:shd w:val="clear" w:color="auto" w:fill="auto"/>
                <w:noWrap/>
                <w:hideMark/>
              </w:tcPr>
              <w:p w14:paraId="0503B4AD" w14:textId="77777777" w:rsidR="0041512C" w:rsidRPr="00481E3E" w:rsidRDefault="0041512C" w:rsidP="00D14D81">
                <w:pPr>
                  <w:spacing w:after="0" w:line="240" w:lineRule="auto"/>
                  <w:rPr>
                    <w:rFonts w:asciiTheme="minorHAnsi" w:eastAsia="Times New Roman" w:hAnsiTheme="minorHAnsi" w:cstheme="minorHAnsi"/>
                    <w:sz w:val="18"/>
                    <w:szCs w:val="18"/>
                    <w:lang w:eastAsia="fr-FR"/>
                  </w:rPr>
                </w:pPr>
                <w:r w:rsidRPr="00481E3E">
                  <w:rPr>
                    <w:rFonts w:asciiTheme="minorHAnsi" w:eastAsia="Times New Roman" w:hAnsiTheme="minorHAnsi" w:cstheme="minorHAnsi"/>
                    <w:sz w:val="18"/>
                    <w:szCs w:val="18"/>
                    <w:lang w:eastAsia="fr-FR"/>
                  </w:rPr>
                  <w:t>Capex de croissance</w:t>
                </w:r>
                <w:r>
                  <w:rPr>
                    <w:rFonts w:asciiTheme="minorHAnsi" w:eastAsia="Times New Roman" w:hAnsiTheme="minorHAnsi" w:cstheme="minorHAnsi"/>
                    <w:sz w:val="18"/>
                    <w:szCs w:val="18"/>
                    <w:lang w:eastAsia="fr-FR"/>
                  </w:rPr>
                  <w:t xml:space="preserve"> </w:t>
                </w:r>
                <w:r w:rsidRPr="00481E3E">
                  <w:rPr>
                    <w:rFonts w:asciiTheme="minorHAnsi" w:eastAsia="Times New Roman" w:hAnsiTheme="minorHAnsi" w:cstheme="minorHAnsi"/>
                    <w:sz w:val="18"/>
                    <w:szCs w:val="18"/>
                    <w:vertAlign w:val="superscript"/>
                    <w:lang w:eastAsia="fr-FR"/>
                  </w:rPr>
                  <w:t>(</w:t>
                </w:r>
                <w:r>
                  <w:rPr>
                    <w:rFonts w:asciiTheme="minorHAnsi" w:eastAsia="Times New Roman" w:hAnsiTheme="minorHAnsi" w:cstheme="minorHAnsi"/>
                    <w:sz w:val="18"/>
                    <w:szCs w:val="18"/>
                    <w:vertAlign w:val="superscript"/>
                    <w:lang w:eastAsia="fr-FR"/>
                  </w:rPr>
                  <w:t>4</w:t>
                </w:r>
                <w:r w:rsidRPr="00481E3E">
                  <w:rPr>
                    <w:rFonts w:asciiTheme="minorHAnsi" w:eastAsia="Times New Roman" w:hAnsiTheme="minorHAnsi" w:cstheme="minorHAnsi"/>
                    <w:sz w:val="18"/>
                    <w:szCs w:val="18"/>
                    <w:vertAlign w:val="superscript"/>
                    <w:lang w:eastAsia="fr-FR"/>
                  </w:rPr>
                  <w:t>)</w:t>
                </w:r>
              </w:p>
            </w:tc>
            <w:tc>
              <w:tcPr>
                <w:tcW w:w="1375" w:type="dxa"/>
                <w:tcBorders>
                  <w:top w:val="nil"/>
                  <w:left w:val="nil"/>
                  <w:bottom w:val="single" w:sz="4" w:space="0" w:color="000E9C"/>
                  <w:right w:val="nil"/>
                </w:tcBorders>
                <w:shd w:val="clear" w:color="auto" w:fill="auto"/>
                <w:noWrap/>
                <w:hideMark/>
              </w:tcPr>
              <w:p w14:paraId="7A36FB8E" w14:textId="5D391F2C" w:rsidR="0041512C" w:rsidRPr="00481E3E" w:rsidRDefault="00601443" w:rsidP="00D14D81">
                <w:pPr>
                  <w:spacing w:after="0" w:line="240" w:lineRule="auto"/>
                  <w:jc w:val="right"/>
                  <w:rPr>
                    <w:rFonts w:asciiTheme="minorHAnsi" w:eastAsia="Times New Roman" w:hAnsiTheme="minorHAnsi" w:cstheme="minorHAnsi"/>
                    <w:sz w:val="18"/>
                    <w:szCs w:val="18"/>
                    <w:lang w:eastAsia="fr-FR"/>
                  </w:rPr>
                </w:pPr>
                <w:r>
                  <w:rPr>
                    <w:rFonts w:asciiTheme="minorHAnsi" w:eastAsia="Times New Roman" w:hAnsiTheme="minorHAnsi" w:cstheme="minorHAnsi"/>
                    <w:sz w:val="18"/>
                    <w:szCs w:val="18"/>
                    <w:lang w:eastAsia="fr-FR"/>
                  </w:rPr>
                  <w:t>(</w:t>
                </w:r>
                <w:r w:rsidR="0041512C" w:rsidRPr="00481E3E">
                  <w:rPr>
                    <w:rFonts w:asciiTheme="minorHAnsi" w:eastAsia="Times New Roman" w:hAnsiTheme="minorHAnsi" w:cstheme="minorHAnsi"/>
                    <w:sz w:val="18"/>
                    <w:szCs w:val="18"/>
                    <w:lang w:eastAsia="fr-FR"/>
                  </w:rPr>
                  <w:t>86</w:t>
                </w:r>
                <w:r>
                  <w:rPr>
                    <w:rFonts w:asciiTheme="minorHAnsi" w:eastAsia="Times New Roman" w:hAnsiTheme="minorHAnsi" w:cstheme="minorHAnsi"/>
                    <w:sz w:val="18"/>
                    <w:szCs w:val="18"/>
                    <w:lang w:eastAsia="fr-FR"/>
                  </w:rPr>
                  <w:t>)</w:t>
                </w:r>
              </w:p>
            </w:tc>
            <w:tc>
              <w:tcPr>
                <w:tcW w:w="1375" w:type="dxa"/>
                <w:tcBorders>
                  <w:top w:val="nil"/>
                  <w:left w:val="nil"/>
                  <w:bottom w:val="single" w:sz="4" w:space="0" w:color="000E9C"/>
                  <w:right w:val="nil"/>
                </w:tcBorders>
                <w:shd w:val="clear" w:color="000000" w:fill="E7E6E6"/>
                <w:noWrap/>
                <w:hideMark/>
              </w:tcPr>
              <w:p w14:paraId="2A5D64F5" w14:textId="56D8051F" w:rsidR="0041512C" w:rsidRPr="00481E3E" w:rsidRDefault="00601443" w:rsidP="00D14D81">
                <w:pPr>
                  <w:spacing w:after="0" w:line="240" w:lineRule="auto"/>
                  <w:jc w:val="right"/>
                  <w:rPr>
                    <w:rFonts w:asciiTheme="minorHAnsi" w:eastAsia="Times New Roman" w:hAnsiTheme="minorHAnsi" w:cstheme="minorHAnsi"/>
                    <w:color w:val="000E9C"/>
                    <w:sz w:val="18"/>
                    <w:szCs w:val="18"/>
                    <w:lang w:eastAsia="fr-FR"/>
                  </w:rPr>
                </w:pPr>
                <w:r>
                  <w:rPr>
                    <w:rFonts w:asciiTheme="minorHAnsi" w:eastAsia="Times New Roman" w:hAnsiTheme="minorHAnsi" w:cstheme="minorHAnsi"/>
                    <w:color w:val="000E9C"/>
                    <w:sz w:val="18"/>
                    <w:szCs w:val="18"/>
                    <w:lang w:eastAsia="fr-FR"/>
                  </w:rPr>
                  <w:t>(</w:t>
                </w:r>
                <w:r w:rsidR="0041512C" w:rsidRPr="00481E3E">
                  <w:rPr>
                    <w:rFonts w:asciiTheme="minorHAnsi" w:eastAsia="Times New Roman" w:hAnsiTheme="minorHAnsi" w:cstheme="minorHAnsi"/>
                    <w:color w:val="000E9C"/>
                    <w:sz w:val="18"/>
                    <w:szCs w:val="18"/>
                    <w:lang w:eastAsia="fr-FR"/>
                  </w:rPr>
                  <w:t>156</w:t>
                </w:r>
                <w:r>
                  <w:rPr>
                    <w:rFonts w:asciiTheme="minorHAnsi" w:eastAsia="Times New Roman" w:hAnsiTheme="minorHAnsi" w:cstheme="minorHAnsi"/>
                    <w:color w:val="000E9C"/>
                    <w:sz w:val="18"/>
                    <w:szCs w:val="18"/>
                    <w:lang w:eastAsia="fr-FR"/>
                  </w:rPr>
                  <w:t>)</w:t>
                </w:r>
              </w:p>
            </w:tc>
            <w:tc>
              <w:tcPr>
                <w:tcW w:w="1375" w:type="dxa"/>
                <w:tcBorders>
                  <w:top w:val="nil"/>
                  <w:left w:val="nil"/>
                  <w:bottom w:val="single" w:sz="4" w:space="0" w:color="000E9C"/>
                  <w:right w:val="nil"/>
                </w:tcBorders>
                <w:shd w:val="clear" w:color="auto" w:fill="auto"/>
                <w:noWrap/>
                <w:hideMark/>
              </w:tcPr>
              <w:p w14:paraId="5BF6D3E8" w14:textId="77777777" w:rsidR="0041512C" w:rsidRPr="00481E3E" w:rsidRDefault="0041512C" w:rsidP="00D14D81">
                <w:pPr>
                  <w:spacing w:after="0" w:line="240" w:lineRule="auto"/>
                  <w:jc w:val="right"/>
                  <w:rPr>
                    <w:rFonts w:asciiTheme="minorHAnsi" w:eastAsia="Times New Roman" w:hAnsiTheme="minorHAnsi" w:cstheme="minorHAnsi"/>
                    <w:sz w:val="18"/>
                    <w:szCs w:val="18"/>
                    <w:lang w:eastAsia="fr-FR"/>
                  </w:rPr>
                </w:pPr>
                <w:r w:rsidRPr="00481E3E">
                  <w:rPr>
                    <w:rFonts w:asciiTheme="minorHAnsi" w:eastAsia="Times New Roman" w:hAnsiTheme="minorHAnsi" w:cstheme="minorHAnsi"/>
                    <w:sz w:val="18"/>
                    <w:szCs w:val="18"/>
                    <w:lang w:eastAsia="fr-FR"/>
                  </w:rPr>
                  <w:t> </w:t>
                </w:r>
              </w:p>
            </w:tc>
            <w:tc>
              <w:tcPr>
                <w:tcW w:w="1378" w:type="dxa"/>
                <w:tcBorders>
                  <w:top w:val="nil"/>
                  <w:left w:val="nil"/>
                  <w:bottom w:val="single" w:sz="4" w:space="0" w:color="000E9C"/>
                  <w:right w:val="nil"/>
                </w:tcBorders>
                <w:shd w:val="clear" w:color="auto" w:fill="auto"/>
                <w:noWrap/>
                <w:hideMark/>
              </w:tcPr>
              <w:p w14:paraId="272C615F" w14:textId="77777777" w:rsidR="0041512C" w:rsidRPr="00481E3E" w:rsidRDefault="0041512C" w:rsidP="00D14D81">
                <w:pPr>
                  <w:spacing w:after="0" w:line="240" w:lineRule="auto"/>
                  <w:jc w:val="right"/>
                  <w:rPr>
                    <w:rFonts w:asciiTheme="minorHAnsi" w:eastAsia="Times New Roman" w:hAnsiTheme="minorHAnsi" w:cstheme="minorHAnsi"/>
                    <w:sz w:val="18"/>
                    <w:szCs w:val="18"/>
                    <w:lang w:eastAsia="fr-FR"/>
                  </w:rPr>
                </w:pPr>
                <w:r w:rsidRPr="00481E3E">
                  <w:rPr>
                    <w:rFonts w:asciiTheme="minorHAnsi" w:eastAsia="Times New Roman" w:hAnsiTheme="minorHAnsi" w:cstheme="minorHAnsi"/>
                    <w:sz w:val="18"/>
                    <w:szCs w:val="18"/>
                    <w:lang w:eastAsia="fr-FR"/>
                  </w:rPr>
                  <w:t> </w:t>
                </w:r>
              </w:p>
            </w:tc>
          </w:tr>
        </w:tbl>
        <w:p w14:paraId="5971A5FE" w14:textId="77777777" w:rsidR="0041512C" w:rsidRPr="00B264D1" w:rsidRDefault="0041512C" w:rsidP="0041512C">
          <w:pPr>
            <w:rPr>
              <w:rFonts w:asciiTheme="minorHAnsi" w:hAnsiTheme="minorHAnsi" w:cstheme="minorHAnsi"/>
              <w:sz w:val="20"/>
              <w:szCs w:val="20"/>
            </w:rPr>
          </w:pPr>
        </w:p>
        <w:p w14:paraId="77F9E9CC" w14:textId="77777777" w:rsidR="0041512C" w:rsidRPr="00C83B07" w:rsidRDefault="0041512C" w:rsidP="0041512C">
          <w:pPr>
            <w:jc w:val="both"/>
            <w:rPr>
              <w:rFonts w:asciiTheme="minorHAnsi" w:hAnsiTheme="minorHAnsi" w:cstheme="minorHAnsi"/>
              <w:sz w:val="18"/>
              <w:szCs w:val="18"/>
            </w:rPr>
          </w:pPr>
          <w:r w:rsidRPr="00C83B07">
            <w:rPr>
              <w:rFonts w:asciiTheme="minorHAnsi" w:hAnsiTheme="minorHAnsi" w:cstheme="minorHAnsi"/>
              <w:vertAlign w:val="superscript"/>
            </w:rPr>
            <w:t>(1)</w:t>
          </w:r>
          <w:r w:rsidRPr="00C83B07">
            <w:rPr>
              <w:rFonts w:asciiTheme="minorHAnsi" w:hAnsiTheme="minorHAnsi" w:cstheme="minorHAnsi"/>
              <w:i/>
              <w:iCs/>
            </w:rPr>
            <w:t xml:space="preserve"> </w:t>
          </w:r>
          <w:r w:rsidRPr="00C83B07">
            <w:rPr>
              <w:rFonts w:asciiTheme="minorHAnsi" w:hAnsiTheme="minorHAnsi" w:cstheme="minorHAnsi"/>
              <w:sz w:val="18"/>
              <w:szCs w:val="18"/>
            </w:rPr>
            <w:t>L’indicateur d’EBITDA courant correspond au résultat opérationnel avant dotations aux amortissements,</w:t>
          </w:r>
          <w:r>
            <w:rPr>
              <w:rFonts w:asciiTheme="minorHAnsi" w:hAnsiTheme="minorHAnsi" w:cstheme="minorHAnsi"/>
              <w:sz w:val="18"/>
              <w:szCs w:val="18"/>
            </w:rPr>
            <w:t xml:space="preserve"> dépréciations</w:t>
          </w:r>
          <w:r w:rsidRPr="00C83B07">
            <w:rPr>
              <w:rFonts w:asciiTheme="minorHAnsi" w:hAnsiTheme="minorHAnsi" w:cstheme="minorHAnsi"/>
              <w:sz w:val="18"/>
              <w:szCs w:val="18"/>
            </w:rPr>
            <w:t xml:space="preserve"> et autres produits et charges opérationnels non courants.</w:t>
          </w:r>
        </w:p>
        <w:p w14:paraId="498B1FDC" w14:textId="77777777" w:rsidR="0041512C" w:rsidRPr="00C83B07" w:rsidRDefault="0041512C" w:rsidP="0041512C">
          <w:pPr>
            <w:jc w:val="both"/>
            <w:rPr>
              <w:rFonts w:asciiTheme="minorHAnsi" w:hAnsiTheme="minorHAnsi" w:cstheme="minorHAnsi"/>
              <w:sz w:val="18"/>
              <w:szCs w:val="18"/>
            </w:rPr>
          </w:pPr>
          <w:r w:rsidRPr="00C83B07">
            <w:rPr>
              <w:rFonts w:asciiTheme="minorHAnsi" w:hAnsiTheme="minorHAnsi" w:cstheme="minorHAnsi"/>
              <w:vertAlign w:val="superscript"/>
            </w:rPr>
            <w:t>(2)</w:t>
          </w:r>
          <w:r w:rsidRPr="00C83B07">
            <w:rPr>
              <w:rFonts w:asciiTheme="minorHAnsi" w:hAnsiTheme="minorHAnsi" w:cstheme="minorHAnsi"/>
              <w:i/>
              <w:iCs/>
            </w:rPr>
            <w:t xml:space="preserve"> </w:t>
          </w:r>
          <w:r w:rsidRPr="00C83B07">
            <w:rPr>
              <w:rFonts w:asciiTheme="minorHAnsi" w:hAnsiTheme="minorHAnsi" w:cstheme="minorHAnsi"/>
              <w:sz w:val="18"/>
              <w:szCs w:val="18"/>
            </w:rPr>
            <w:t xml:space="preserve">En complément de l'EBITDA courant, le Groupe suit un EBITDA ajusté. Cet indicateur alternatif de performance correspond à l'EBITDA courant retraité, d’une part, des charges liées aux rémunérations fondées sur des actions et, d’autre part, des compléments de prix d'acquisition. </w:t>
          </w:r>
        </w:p>
        <w:p w14:paraId="7952125C" w14:textId="77777777" w:rsidR="0041512C" w:rsidRDefault="0041512C" w:rsidP="0041512C">
          <w:pPr>
            <w:jc w:val="both"/>
            <w:rPr>
              <w:rFonts w:asciiTheme="minorHAnsi" w:hAnsiTheme="minorHAnsi" w:cstheme="minorHAnsi"/>
              <w:sz w:val="18"/>
              <w:szCs w:val="18"/>
            </w:rPr>
          </w:pPr>
          <w:r w:rsidRPr="00C83B07">
            <w:rPr>
              <w:rFonts w:asciiTheme="minorHAnsi" w:hAnsiTheme="minorHAnsi" w:cstheme="minorHAnsi"/>
              <w:vertAlign w:val="superscript"/>
            </w:rPr>
            <w:t>(3)</w:t>
          </w:r>
          <w:r w:rsidRPr="00C83B07">
            <w:rPr>
              <w:rFonts w:asciiTheme="minorHAnsi" w:hAnsiTheme="minorHAnsi" w:cstheme="minorHAnsi"/>
              <w:i/>
              <w:iCs/>
            </w:rPr>
            <w:t xml:space="preserve"> </w:t>
          </w:r>
          <w:r w:rsidRPr="00C83B07">
            <w:rPr>
              <w:rFonts w:asciiTheme="minorHAnsi" w:hAnsiTheme="minorHAnsi" w:cstheme="minorHAnsi"/>
              <w:sz w:val="18"/>
              <w:szCs w:val="18"/>
            </w:rPr>
            <w:t xml:space="preserve">Base comparable : </w:t>
          </w:r>
          <w:r w:rsidRPr="00B264D1">
            <w:rPr>
              <w:rFonts w:asciiTheme="minorHAnsi" w:hAnsiTheme="minorHAnsi" w:cstheme="minorHAnsi"/>
              <w:sz w:val="18"/>
              <w:szCs w:val="18"/>
            </w:rPr>
            <w:t>à taux de change et périmètre constants comparés à 2021 et excluant les impacts directs liés à l’incident de Strasbourg.</w:t>
          </w:r>
        </w:p>
        <w:p w14:paraId="5C9752A6" w14:textId="77777777" w:rsidR="0041512C" w:rsidRPr="00030470" w:rsidRDefault="0041512C" w:rsidP="0041512C">
          <w:pPr>
            <w:spacing w:after="0" w:line="240" w:lineRule="auto"/>
            <w:jc w:val="both"/>
            <w:rPr>
              <w:rFonts w:asciiTheme="minorHAnsi" w:eastAsia="MS Mincho" w:hAnsiTheme="minorHAnsi" w:cstheme="minorHAnsi"/>
              <w:sz w:val="18"/>
              <w:szCs w:val="18"/>
              <w:lang w:eastAsia="en-GB" w:bidi="en-GB"/>
            </w:rPr>
          </w:pPr>
          <w:r w:rsidRPr="00C83B07">
            <w:rPr>
              <w:rFonts w:asciiTheme="minorHAnsi" w:hAnsiTheme="minorHAnsi" w:cstheme="minorHAnsi"/>
              <w:vertAlign w:val="superscript"/>
            </w:rPr>
            <w:t>(</w:t>
          </w:r>
          <w:r>
            <w:rPr>
              <w:rFonts w:asciiTheme="minorHAnsi" w:hAnsiTheme="minorHAnsi" w:cstheme="minorHAnsi"/>
              <w:vertAlign w:val="superscript"/>
            </w:rPr>
            <w:t>4</w:t>
          </w:r>
          <w:r w:rsidRPr="00C83B07">
            <w:rPr>
              <w:rFonts w:asciiTheme="minorHAnsi" w:hAnsiTheme="minorHAnsi" w:cstheme="minorHAnsi"/>
              <w:vertAlign w:val="superscript"/>
            </w:rPr>
            <w:t>)</w:t>
          </w:r>
          <w:r w:rsidRPr="00C83B07">
            <w:rPr>
              <w:rFonts w:asciiTheme="minorHAnsi" w:hAnsiTheme="minorHAnsi" w:cstheme="minorHAnsi"/>
              <w:i/>
              <w:iCs/>
            </w:rPr>
            <w:t xml:space="preserve"> </w:t>
          </w:r>
          <w:r w:rsidRPr="00030470">
            <w:rPr>
              <w:rFonts w:asciiTheme="minorHAnsi" w:eastAsia="MS Mincho" w:hAnsiTheme="minorHAnsi" w:cstheme="minorHAnsi"/>
              <w:sz w:val="18"/>
              <w:szCs w:val="18"/>
              <w:lang w:eastAsia="en-GB" w:bidi="en-GB"/>
            </w:rPr>
            <w:t xml:space="preserve">Aux fins de l’analyse de ses capex, OVHcloud les divise en deux catégories : </w:t>
          </w:r>
        </w:p>
        <w:p w14:paraId="344A94A1" w14:textId="77777777" w:rsidR="0041512C" w:rsidRPr="00030470" w:rsidRDefault="0041512C" w:rsidP="0041512C">
          <w:pPr>
            <w:spacing w:after="0" w:line="240" w:lineRule="auto"/>
            <w:jc w:val="both"/>
            <w:rPr>
              <w:rFonts w:asciiTheme="minorHAnsi" w:eastAsia="MS Mincho" w:hAnsiTheme="minorHAnsi" w:cstheme="minorHAnsi"/>
              <w:sz w:val="18"/>
              <w:szCs w:val="18"/>
              <w:highlight w:val="yellow"/>
              <w:lang w:eastAsia="en-GB" w:bidi="en-GB"/>
            </w:rPr>
          </w:pPr>
        </w:p>
        <w:p w14:paraId="2C34B4AA" w14:textId="77777777" w:rsidR="0041512C" w:rsidRPr="00030470" w:rsidRDefault="0041512C" w:rsidP="0041512C">
          <w:pPr>
            <w:numPr>
              <w:ilvl w:val="0"/>
              <w:numId w:val="30"/>
            </w:numPr>
            <w:tabs>
              <w:tab w:val="left" w:pos="8222"/>
            </w:tabs>
            <w:spacing w:after="0" w:line="240" w:lineRule="auto"/>
            <w:ind w:left="284" w:hanging="284"/>
            <w:contextualSpacing/>
            <w:jc w:val="both"/>
            <w:rPr>
              <w:rFonts w:asciiTheme="minorHAnsi" w:eastAsiaTheme="minorEastAsia" w:hAnsiTheme="minorHAnsi" w:cstheme="minorHAnsi"/>
              <w:sz w:val="18"/>
              <w:szCs w:val="18"/>
              <w:lang w:eastAsia="en-GB" w:bidi="en-GB"/>
            </w:rPr>
          </w:pPr>
          <w:r w:rsidRPr="00030470">
            <w:rPr>
              <w:rFonts w:asciiTheme="minorHAnsi" w:eastAsiaTheme="minorEastAsia" w:hAnsiTheme="minorHAnsi" w:cstheme="minorHAnsi"/>
              <w:sz w:val="18"/>
              <w:szCs w:val="18"/>
              <w:lang w:eastAsia="en-GB" w:bidi="en-GB"/>
            </w:rPr>
            <w:t>La première catégorie est appelée « capex récurrent » et représente les dépenses d’investissement en serveurs (et infrastructures et réseaux liées) nécessaires pour maintenir les revenus au même niveau d’une période à l’autre. Elle reflète les dépenses d’investissement nécessaires à la production de nouveaux serveurs pour remplacer les revenus des serveurs déclassés ou mis hors ligne au cours de la période (soit définitivement, soit pour remise à neuf), déterminées sur la base des revenus moyens par serveur mis hors ligne et des revenus moyens des nouveaux serveurs assemblés au cours de la période.</w:t>
          </w:r>
        </w:p>
        <w:p w14:paraId="0EF2A4EF" w14:textId="09B982E4" w:rsidR="0041512C" w:rsidRPr="005B62C1" w:rsidRDefault="0041512C" w:rsidP="0041512C">
          <w:pPr>
            <w:numPr>
              <w:ilvl w:val="0"/>
              <w:numId w:val="30"/>
            </w:numPr>
            <w:tabs>
              <w:tab w:val="left" w:pos="8222"/>
            </w:tabs>
            <w:spacing w:after="0" w:line="240" w:lineRule="auto"/>
            <w:ind w:left="284" w:hanging="284"/>
            <w:contextualSpacing/>
            <w:jc w:val="both"/>
            <w:rPr>
              <w:rFonts w:asciiTheme="minorHAnsi" w:hAnsiTheme="minorHAnsi" w:cstheme="minorHAnsi"/>
              <w:sz w:val="18"/>
              <w:szCs w:val="18"/>
            </w:rPr>
          </w:pPr>
          <w:r w:rsidRPr="00030470">
            <w:rPr>
              <w:rFonts w:asciiTheme="minorHAnsi" w:eastAsiaTheme="minorEastAsia" w:hAnsiTheme="minorHAnsi" w:cstheme="minorHAnsi"/>
              <w:sz w:val="18"/>
              <w:szCs w:val="18"/>
              <w:lang w:eastAsia="en-GB" w:bidi="en-GB"/>
            </w:rPr>
            <w:t xml:space="preserve">La deuxième catégorie est appelée « capex de croissance » et représente toutes les dépenses d’investissement en capex autres que le capex récurrent, nécessaires pour assurer la croissance des revenus. </w:t>
          </w:r>
        </w:p>
        <w:p w14:paraId="2CDF09EB" w14:textId="77777777" w:rsidR="00EC0A1F" w:rsidRPr="006162F5" w:rsidRDefault="00EC0A1F" w:rsidP="005B62C1">
          <w:pPr>
            <w:tabs>
              <w:tab w:val="left" w:pos="8222"/>
            </w:tabs>
            <w:spacing w:after="0" w:line="240" w:lineRule="auto"/>
            <w:ind w:left="284"/>
            <w:contextualSpacing/>
            <w:jc w:val="both"/>
            <w:rPr>
              <w:rFonts w:asciiTheme="minorHAnsi" w:hAnsiTheme="minorHAnsi" w:cstheme="minorHAnsi"/>
              <w:sz w:val="18"/>
              <w:szCs w:val="18"/>
            </w:rPr>
          </w:pPr>
        </w:p>
        <w:p w14:paraId="157C5ED6" w14:textId="77777777" w:rsidR="00A85998" w:rsidRDefault="00A85998">
          <w:pPr>
            <w:spacing w:after="0" w:line="240" w:lineRule="auto"/>
            <w:rPr>
              <w:rFonts w:asciiTheme="minorHAnsi" w:eastAsia="DengXian Light" w:hAnsiTheme="minorHAnsi" w:cstheme="minorHAnsi"/>
              <w:sz w:val="28"/>
              <w:szCs w:val="28"/>
            </w:rPr>
          </w:pPr>
          <w:r>
            <w:rPr>
              <w:rFonts w:asciiTheme="minorHAnsi" w:hAnsiTheme="minorHAnsi" w:cstheme="minorHAnsi"/>
              <w:sz w:val="28"/>
              <w:szCs w:val="28"/>
            </w:rPr>
            <w:br w:type="page"/>
          </w:r>
        </w:p>
        <w:p w14:paraId="3B8621D7" w14:textId="1220F5A4" w:rsidR="0041512C" w:rsidRPr="00B264D1" w:rsidRDefault="0041512C" w:rsidP="0041512C">
          <w:pPr>
            <w:pStyle w:val="Titre2"/>
            <w:numPr>
              <w:ilvl w:val="1"/>
              <w:numId w:val="19"/>
            </w:numPr>
            <w:spacing w:before="0"/>
            <w:ind w:left="567" w:hanging="567"/>
            <w:rPr>
              <w:rFonts w:asciiTheme="minorHAnsi" w:hAnsiTheme="minorHAnsi" w:cstheme="minorHAnsi"/>
              <w:color w:val="auto"/>
              <w:sz w:val="28"/>
              <w:szCs w:val="28"/>
            </w:rPr>
          </w:pPr>
          <w:bookmarkStart w:id="10" w:name="_Toc100684258"/>
          <w:bookmarkStart w:id="11" w:name="_Toc100689202"/>
          <w:bookmarkStart w:id="12" w:name="_Toc100689251"/>
          <w:r w:rsidRPr="00B264D1">
            <w:rPr>
              <w:rFonts w:asciiTheme="minorHAnsi" w:hAnsiTheme="minorHAnsi" w:cstheme="minorHAnsi"/>
              <w:color w:val="auto"/>
              <w:sz w:val="28"/>
              <w:szCs w:val="28"/>
            </w:rPr>
            <w:lastRenderedPageBreak/>
            <w:t>Synthèse des résultats du premier semestre</w:t>
          </w:r>
          <w:bookmarkEnd w:id="10"/>
          <w:bookmarkEnd w:id="11"/>
          <w:bookmarkEnd w:id="12"/>
        </w:p>
        <w:p w14:paraId="23CD0A9A" w14:textId="77777777" w:rsidR="0041512C" w:rsidRPr="00B264D1" w:rsidRDefault="0041512C" w:rsidP="0041512C">
          <w:pPr>
            <w:rPr>
              <w:rFonts w:asciiTheme="minorHAnsi" w:hAnsiTheme="minorHAnsi" w:cstheme="minorHAnsi"/>
            </w:rPr>
          </w:pPr>
        </w:p>
        <w:p w14:paraId="0C1C7317" w14:textId="77777777" w:rsidR="0041512C" w:rsidRPr="00AD1287" w:rsidRDefault="0041512C" w:rsidP="009F036B">
          <w:pPr>
            <w:pStyle w:val="Paragraphedeliste"/>
            <w:numPr>
              <w:ilvl w:val="0"/>
              <w:numId w:val="27"/>
            </w:numPr>
            <w:spacing w:after="120" w:line="240" w:lineRule="auto"/>
            <w:ind w:left="426" w:hanging="426"/>
            <w:jc w:val="both"/>
            <w:rPr>
              <w:rFonts w:asciiTheme="minorHAnsi" w:hAnsiTheme="minorHAnsi" w:cstheme="minorHAnsi"/>
              <w:sz w:val="20"/>
              <w:szCs w:val="20"/>
            </w:rPr>
          </w:pPr>
          <w:r w:rsidRPr="00AD1287">
            <w:rPr>
              <w:rFonts w:asciiTheme="minorHAnsi" w:hAnsiTheme="minorHAnsi" w:cstheme="minorHAnsi"/>
              <w:sz w:val="20"/>
              <w:szCs w:val="20"/>
            </w:rPr>
            <w:t xml:space="preserve">Accélération confirmée au premier semestre avec un chiffre d’affaires de 382 millions d’euros, +14,3% en données publiées et +13,3% sur une base comparable. </w:t>
          </w:r>
        </w:p>
        <w:p w14:paraId="27076A91" w14:textId="77777777" w:rsidR="0041512C" w:rsidRPr="00AC0C92" w:rsidRDefault="0041512C" w:rsidP="0041512C">
          <w:pPr>
            <w:pStyle w:val="Paragraphedeliste"/>
            <w:numPr>
              <w:ilvl w:val="0"/>
              <w:numId w:val="27"/>
            </w:numPr>
            <w:spacing w:after="120" w:line="240" w:lineRule="auto"/>
            <w:ind w:left="426" w:hanging="426"/>
            <w:jc w:val="both"/>
            <w:rPr>
              <w:rFonts w:asciiTheme="minorHAnsi" w:hAnsiTheme="minorHAnsi" w:cstheme="minorHAnsi"/>
              <w:sz w:val="20"/>
              <w:szCs w:val="20"/>
            </w:rPr>
          </w:pPr>
          <w:r w:rsidRPr="00AC0C92">
            <w:rPr>
              <w:rFonts w:asciiTheme="minorHAnsi" w:hAnsiTheme="minorHAnsi" w:cstheme="minorHAnsi"/>
              <w:sz w:val="20"/>
              <w:szCs w:val="20"/>
            </w:rPr>
            <w:t xml:space="preserve">Forte croissance confirmée tout au long du semestre du Cloud public, à +24,4%, et du Cloud privé, à </w:t>
          </w:r>
          <w:r>
            <w:rPr>
              <w:rFonts w:asciiTheme="minorHAnsi" w:hAnsiTheme="minorHAnsi" w:cstheme="minorHAnsi"/>
              <w:sz w:val="20"/>
              <w:szCs w:val="20"/>
            </w:rPr>
            <w:br/>
          </w:r>
          <w:r w:rsidRPr="00AC0C92">
            <w:rPr>
              <w:rFonts w:asciiTheme="minorHAnsi" w:hAnsiTheme="minorHAnsi" w:cstheme="minorHAnsi"/>
              <w:sz w:val="20"/>
              <w:szCs w:val="20"/>
            </w:rPr>
            <w:t>+15,8 %, en données publiées.</w:t>
          </w:r>
        </w:p>
        <w:p w14:paraId="629014DD" w14:textId="2578C6BB" w:rsidR="0041512C" w:rsidRPr="00AC0C92" w:rsidRDefault="0041512C" w:rsidP="0041512C">
          <w:pPr>
            <w:pStyle w:val="Paragraphedeliste"/>
            <w:numPr>
              <w:ilvl w:val="0"/>
              <w:numId w:val="27"/>
            </w:numPr>
            <w:spacing w:after="120" w:line="240" w:lineRule="auto"/>
            <w:ind w:left="426" w:hanging="426"/>
            <w:jc w:val="both"/>
            <w:rPr>
              <w:rFonts w:asciiTheme="minorHAnsi" w:hAnsiTheme="minorHAnsi" w:cstheme="minorHAnsi"/>
              <w:sz w:val="20"/>
              <w:szCs w:val="20"/>
            </w:rPr>
          </w:pPr>
          <w:r w:rsidRPr="00AC0C92">
            <w:rPr>
              <w:rFonts w:asciiTheme="minorHAnsi" w:hAnsiTheme="minorHAnsi" w:cstheme="minorHAnsi"/>
              <w:sz w:val="20"/>
              <w:szCs w:val="20"/>
            </w:rPr>
            <w:t>Dynamique toujours aussi soutenue à l’international, notamment dans le canal digital aux Etats-Unis et en Asie à respectivement +106</w:t>
          </w:r>
          <w:r w:rsidR="00782574">
            <w:rPr>
              <w:rFonts w:asciiTheme="minorHAnsi" w:hAnsiTheme="minorHAnsi" w:cstheme="minorHAnsi"/>
              <w:sz w:val="20"/>
              <w:szCs w:val="20"/>
            </w:rPr>
            <w:t>,2</w:t>
          </w:r>
          <w:r w:rsidRPr="00AC0C92">
            <w:rPr>
              <w:rFonts w:asciiTheme="minorHAnsi" w:hAnsiTheme="minorHAnsi" w:cstheme="minorHAnsi"/>
              <w:sz w:val="20"/>
              <w:szCs w:val="20"/>
            </w:rPr>
            <w:t>% et +6</w:t>
          </w:r>
          <w:r w:rsidR="00782574">
            <w:rPr>
              <w:rFonts w:asciiTheme="minorHAnsi" w:hAnsiTheme="minorHAnsi" w:cstheme="minorHAnsi"/>
              <w:sz w:val="20"/>
              <w:szCs w:val="20"/>
            </w:rPr>
            <w:t>3,7</w:t>
          </w:r>
          <w:r w:rsidRPr="00AC0C92">
            <w:rPr>
              <w:rFonts w:asciiTheme="minorHAnsi" w:hAnsiTheme="minorHAnsi" w:cstheme="minorHAnsi"/>
              <w:sz w:val="20"/>
              <w:szCs w:val="20"/>
            </w:rPr>
            <w:t>%, en données publiées</w:t>
          </w:r>
        </w:p>
        <w:p w14:paraId="4C7D5A78" w14:textId="67C22E55" w:rsidR="0041512C" w:rsidRDefault="0041512C" w:rsidP="0041512C">
          <w:pPr>
            <w:pStyle w:val="Paragraphedeliste"/>
            <w:numPr>
              <w:ilvl w:val="0"/>
              <w:numId w:val="27"/>
            </w:numPr>
            <w:spacing w:after="120" w:line="240" w:lineRule="auto"/>
            <w:ind w:left="426" w:hanging="426"/>
            <w:jc w:val="both"/>
            <w:rPr>
              <w:rFonts w:asciiTheme="minorHAnsi" w:hAnsiTheme="minorHAnsi" w:cstheme="minorHAnsi"/>
              <w:sz w:val="20"/>
              <w:szCs w:val="20"/>
            </w:rPr>
          </w:pPr>
          <w:r w:rsidRPr="00AC0C92">
            <w:rPr>
              <w:rFonts w:asciiTheme="minorHAnsi" w:hAnsiTheme="minorHAnsi" w:cstheme="minorHAnsi"/>
              <w:sz w:val="20"/>
              <w:szCs w:val="20"/>
            </w:rPr>
            <w:t>EBITDA ajusté de 153 millions d’euros, soit une marge de 40,1%, +11,</w:t>
          </w:r>
          <w:r w:rsidR="00782574">
            <w:rPr>
              <w:rFonts w:asciiTheme="minorHAnsi" w:hAnsiTheme="minorHAnsi" w:cstheme="minorHAnsi"/>
              <w:sz w:val="20"/>
              <w:szCs w:val="20"/>
            </w:rPr>
            <w:t>0</w:t>
          </w:r>
          <w:r w:rsidRPr="00AC0C92">
            <w:rPr>
              <w:rFonts w:asciiTheme="minorHAnsi" w:hAnsiTheme="minorHAnsi" w:cstheme="minorHAnsi"/>
              <w:sz w:val="20"/>
              <w:szCs w:val="20"/>
            </w:rPr>
            <w:t xml:space="preserve">% </w:t>
          </w:r>
          <w:r w:rsidR="00782574">
            <w:rPr>
              <w:rFonts w:asciiTheme="minorHAnsi" w:hAnsiTheme="minorHAnsi" w:cstheme="minorHAnsi"/>
              <w:sz w:val="20"/>
              <w:szCs w:val="20"/>
            </w:rPr>
            <w:t>en données publiées</w:t>
          </w:r>
        </w:p>
        <w:p w14:paraId="15F016DD" w14:textId="46FD149F" w:rsidR="005E06EE" w:rsidRPr="00AC0C92" w:rsidRDefault="0041512C" w:rsidP="0041512C">
          <w:pPr>
            <w:pStyle w:val="Paragraphedeliste"/>
            <w:numPr>
              <w:ilvl w:val="0"/>
              <w:numId w:val="27"/>
            </w:numPr>
            <w:spacing w:after="120" w:line="240" w:lineRule="auto"/>
            <w:ind w:left="426" w:hanging="426"/>
            <w:jc w:val="both"/>
            <w:rPr>
              <w:rFonts w:asciiTheme="minorHAnsi" w:hAnsiTheme="minorHAnsi" w:cstheme="minorHAnsi"/>
              <w:sz w:val="20"/>
              <w:szCs w:val="20"/>
            </w:rPr>
          </w:pPr>
          <w:r>
            <w:rPr>
              <w:rFonts w:asciiTheme="minorHAnsi" w:hAnsiTheme="minorHAnsi" w:cstheme="minorHAnsi"/>
              <w:sz w:val="20"/>
              <w:szCs w:val="20"/>
            </w:rPr>
            <w:t>Capex de croissance importants permettant de stimuler la croissance du revenu, et résultant également d’achats importants d’adresse IP et de composants permettant de sécuriser les approvisionnements du groupe</w:t>
          </w:r>
        </w:p>
        <w:p w14:paraId="71B34A58" w14:textId="77777777" w:rsidR="0041512C" w:rsidRPr="009F036B" w:rsidRDefault="0041512C" w:rsidP="009F036B">
          <w:pPr>
            <w:pStyle w:val="Paragraphedeliste"/>
            <w:numPr>
              <w:ilvl w:val="0"/>
              <w:numId w:val="27"/>
            </w:numPr>
            <w:spacing w:after="120" w:line="240" w:lineRule="auto"/>
            <w:ind w:left="426" w:hanging="426"/>
            <w:jc w:val="both"/>
            <w:rPr>
              <w:rFonts w:asciiTheme="minorHAnsi" w:hAnsiTheme="minorHAnsi" w:cstheme="minorHAnsi"/>
              <w:sz w:val="20"/>
              <w:szCs w:val="20"/>
            </w:rPr>
          </w:pPr>
          <w:r w:rsidRPr="009F036B">
            <w:rPr>
              <w:rFonts w:asciiTheme="minorHAnsi" w:hAnsiTheme="minorHAnsi" w:cstheme="minorHAnsi"/>
              <w:sz w:val="20"/>
              <w:szCs w:val="20"/>
            </w:rPr>
            <w:t>Trajectoire d’accélération confirmée pour 2022 avec un objectif de croissance du chiffre d’affaires relevé dans une fourchette de 15% à 17% (fourchette précédente : +12,5% à +15%), et un objectif de marge d’EBITDA ajusté maintenu à environ 40%.</w:t>
          </w:r>
        </w:p>
        <w:p w14:paraId="06380B22" w14:textId="77777777" w:rsidR="0041512C" w:rsidRPr="00876972" w:rsidRDefault="0041512C" w:rsidP="0041512C">
          <w:pPr>
            <w:pStyle w:val="Paragraphedeliste"/>
            <w:spacing w:after="120" w:line="240" w:lineRule="auto"/>
            <w:ind w:left="360"/>
            <w:jc w:val="both"/>
            <w:rPr>
              <w:rFonts w:asciiTheme="minorHAnsi" w:hAnsiTheme="minorHAnsi" w:cstheme="minorHAnsi"/>
              <w:sz w:val="20"/>
              <w:szCs w:val="20"/>
            </w:rPr>
          </w:pPr>
        </w:p>
        <w:p w14:paraId="2F0FBFE4" w14:textId="77777777" w:rsidR="0041512C" w:rsidRPr="00B264D1" w:rsidRDefault="0041512C" w:rsidP="0041512C">
          <w:pPr>
            <w:pStyle w:val="Paragraphedeliste"/>
            <w:spacing w:after="120" w:line="240" w:lineRule="auto"/>
            <w:ind w:left="357" w:hanging="357"/>
            <w:contextualSpacing w:val="0"/>
            <w:jc w:val="both"/>
            <w:rPr>
              <w:rFonts w:asciiTheme="minorHAnsi" w:hAnsiTheme="minorHAnsi" w:cstheme="minorHAnsi"/>
              <w:iCs/>
              <w:sz w:val="20"/>
              <w:szCs w:val="20"/>
            </w:rPr>
          </w:pPr>
          <w:r w:rsidRPr="00B264D1">
            <w:rPr>
              <w:rFonts w:asciiTheme="minorHAnsi" w:hAnsiTheme="minorHAnsi" w:cstheme="minorHAnsi"/>
              <w:iCs/>
              <w:sz w:val="20"/>
              <w:szCs w:val="20"/>
            </w:rPr>
            <w:t xml:space="preserve">Michel Paulin, Directeur Général d’OVHcloud a déclaré : </w:t>
          </w:r>
        </w:p>
        <w:p w14:paraId="0A414B93" w14:textId="77777777" w:rsidR="0041512C" w:rsidRPr="00B264D1" w:rsidRDefault="0041512C" w:rsidP="0041512C">
          <w:pPr>
            <w:autoSpaceDE w:val="0"/>
            <w:autoSpaceDN w:val="0"/>
            <w:adjustRightInd w:val="0"/>
            <w:jc w:val="both"/>
            <w:rPr>
              <w:rFonts w:asciiTheme="minorHAnsi" w:hAnsiTheme="minorHAnsi" w:cstheme="minorHAnsi"/>
              <w:i/>
              <w:sz w:val="20"/>
              <w:szCs w:val="20"/>
            </w:rPr>
          </w:pPr>
          <w:r w:rsidRPr="00B264D1">
            <w:rPr>
              <w:rFonts w:asciiTheme="minorHAnsi" w:hAnsiTheme="minorHAnsi" w:cstheme="minorHAnsi"/>
              <w:i/>
              <w:iCs/>
              <w:sz w:val="20"/>
              <w:szCs w:val="20"/>
            </w:rPr>
            <w:t>« </w:t>
          </w:r>
          <w:r w:rsidRPr="00B264D1">
            <w:rPr>
              <w:rFonts w:asciiTheme="minorHAnsi" w:hAnsiTheme="minorHAnsi" w:cstheme="minorHAnsi"/>
              <w:i/>
              <w:sz w:val="20"/>
              <w:szCs w:val="20"/>
            </w:rPr>
            <w:t xml:space="preserve">Les résultats du premier semestre démontrent la capacité d’OVHcloud à délivrer une stratégie d’accélération de croissance robuste, durable et profitable. Ces résultats sont le fruit de l’engagement de l’ensemble des collaborateurs du Groupe, contribuant au succès continu sur chacun des piliers de croissance, tout particulièrement à l’international où notre développement s’est poursuivi à un rythme soutenu. </w:t>
          </w:r>
        </w:p>
        <w:p w14:paraId="05FCED4B" w14:textId="77777777" w:rsidR="0041512C" w:rsidRPr="00B264D1" w:rsidRDefault="0041512C" w:rsidP="0041512C">
          <w:pPr>
            <w:pStyle w:val="Paragraphedeliste"/>
            <w:spacing w:after="120" w:line="240" w:lineRule="auto"/>
            <w:ind w:left="0"/>
            <w:contextualSpacing w:val="0"/>
            <w:jc w:val="both"/>
            <w:rPr>
              <w:rFonts w:asciiTheme="minorHAnsi" w:hAnsiTheme="minorHAnsi" w:cstheme="minorHAnsi"/>
              <w:sz w:val="20"/>
              <w:szCs w:val="20"/>
            </w:rPr>
          </w:pPr>
          <w:r w:rsidRPr="00B264D1">
            <w:rPr>
              <w:rFonts w:asciiTheme="minorHAnsi" w:hAnsiTheme="minorHAnsi" w:cstheme="minorHAnsi"/>
              <w:i/>
              <w:sz w:val="20"/>
              <w:szCs w:val="20"/>
            </w:rPr>
            <w:t>Forts de cette performance, nous abordons le second semestre avec confiance. Le renforcement de nos équipes et de notre écosystème, conjugués à l’enrichissement rapide de notre portefeuille de solutions PaaS et à la demande accrue pour des offres de cloud souveraines sont autant d’atouts qui nous conduisent à relever notre objectif de croissance du chiffre d’affaires dans une fourchette de 15% à 17 % sur l’exercice 2022.</w:t>
          </w:r>
          <w:r w:rsidRPr="00B264D1">
            <w:rPr>
              <w:rFonts w:asciiTheme="minorHAnsi" w:hAnsiTheme="minorHAnsi" w:cstheme="minorHAnsi"/>
              <w:i/>
              <w:iCs/>
              <w:sz w:val="20"/>
              <w:szCs w:val="20"/>
            </w:rPr>
            <w:t> </w:t>
          </w:r>
          <w:r w:rsidRPr="00B264D1">
            <w:rPr>
              <w:rFonts w:asciiTheme="minorHAnsi" w:hAnsiTheme="minorHAnsi" w:cstheme="minorHAnsi"/>
              <w:i/>
              <w:sz w:val="20"/>
              <w:szCs w:val="20"/>
            </w:rPr>
            <w:t>»</w:t>
          </w:r>
        </w:p>
        <w:p w14:paraId="53281423" w14:textId="77777777" w:rsidR="0041512C" w:rsidRPr="00B264D1" w:rsidRDefault="0041512C" w:rsidP="0041512C">
          <w:pPr>
            <w:ind w:left="357" w:hanging="357"/>
            <w:jc w:val="both"/>
            <w:rPr>
              <w:rFonts w:asciiTheme="minorHAnsi" w:hAnsiTheme="minorHAnsi" w:cstheme="minorHAnsi"/>
            </w:rPr>
          </w:pPr>
          <w:r w:rsidRPr="00B264D1">
            <w:rPr>
              <w:rFonts w:asciiTheme="minorHAnsi" w:eastAsia="Calibri" w:hAnsiTheme="minorHAnsi" w:cstheme="minorHAnsi"/>
              <w:i/>
              <w:iCs/>
              <w:sz w:val="20"/>
              <w:szCs w:val="20"/>
              <w:lang w:val="fr"/>
            </w:rPr>
            <w:t xml:space="preserve"> </w:t>
          </w:r>
        </w:p>
        <w:p w14:paraId="43995DE7" w14:textId="77777777" w:rsidR="0041512C" w:rsidRPr="00B264D1" w:rsidRDefault="0041512C" w:rsidP="0041512C">
          <w:pPr>
            <w:pStyle w:val="Titre2"/>
            <w:numPr>
              <w:ilvl w:val="1"/>
              <w:numId w:val="19"/>
            </w:numPr>
            <w:spacing w:before="0"/>
            <w:ind w:left="567" w:hanging="567"/>
            <w:rPr>
              <w:rFonts w:asciiTheme="minorHAnsi" w:hAnsiTheme="minorHAnsi" w:cstheme="minorHAnsi"/>
              <w:color w:val="auto"/>
              <w:sz w:val="28"/>
              <w:szCs w:val="28"/>
            </w:rPr>
          </w:pPr>
          <w:bookmarkStart w:id="13" w:name="_Toc100684259"/>
          <w:bookmarkStart w:id="14" w:name="_Toc100689203"/>
          <w:bookmarkStart w:id="15" w:name="_Toc100689252"/>
          <w:r w:rsidRPr="00B264D1">
            <w:rPr>
              <w:rFonts w:asciiTheme="minorHAnsi" w:hAnsiTheme="minorHAnsi" w:cstheme="minorHAnsi"/>
              <w:color w:val="auto"/>
              <w:sz w:val="28"/>
              <w:szCs w:val="28"/>
            </w:rPr>
            <w:t>Faits marquants</w:t>
          </w:r>
          <w:bookmarkEnd w:id="13"/>
          <w:bookmarkEnd w:id="14"/>
          <w:bookmarkEnd w:id="15"/>
        </w:p>
        <w:p w14:paraId="6DB442ED" w14:textId="77777777" w:rsidR="0041512C" w:rsidRPr="00B264D1" w:rsidRDefault="0041512C" w:rsidP="0041512C">
          <w:pPr>
            <w:rPr>
              <w:rFonts w:asciiTheme="minorHAnsi" w:hAnsiTheme="minorHAnsi" w:cstheme="minorHAnsi"/>
            </w:rPr>
          </w:pPr>
        </w:p>
        <w:p w14:paraId="37788066" w14:textId="77777777" w:rsidR="0041512C" w:rsidRPr="00B264D1" w:rsidRDefault="0041512C" w:rsidP="0041512C">
          <w:pPr>
            <w:jc w:val="both"/>
            <w:rPr>
              <w:rFonts w:asciiTheme="minorHAnsi" w:hAnsiTheme="minorHAnsi" w:cstheme="minorHAnsi"/>
              <w:b/>
            </w:rPr>
          </w:pPr>
          <w:r w:rsidRPr="00B264D1">
            <w:rPr>
              <w:rFonts w:asciiTheme="minorHAnsi" w:hAnsiTheme="minorHAnsi" w:cstheme="minorHAnsi"/>
              <w:b/>
            </w:rPr>
            <w:t>Situation en Ukraine</w:t>
          </w:r>
        </w:p>
        <w:p w14:paraId="24E29E1A" w14:textId="77777777" w:rsidR="0041512C" w:rsidRPr="00B264D1" w:rsidRDefault="0041512C" w:rsidP="0041512C">
          <w:pPr>
            <w:spacing w:before="100" w:beforeAutospacing="1" w:after="100" w:afterAutospacing="1"/>
            <w:jc w:val="both"/>
            <w:rPr>
              <w:rFonts w:asciiTheme="minorHAnsi" w:hAnsiTheme="minorHAnsi" w:cstheme="minorHAnsi"/>
              <w:sz w:val="20"/>
              <w:szCs w:val="20"/>
            </w:rPr>
          </w:pPr>
          <w:r w:rsidRPr="00B264D1">
            <w:rPr>
              <w:rFonts w:asciiTheme="minorHAnsi" w:hAnsiTheme="minorHAnsi" w:cstheme="minorHAnsi"/>
              <w:sz w:val="20"/>
              <w:szCs w:val="20"/>
            </w:rPr>
            <w:t xml:space="preserve">Dans le contexte géopolitique dégradé entre la Russie et l’Ukraine, le Groupe assure un suivi constant de ses activités en Russie, Biélorussie et Ukraine, afin d’assurer la sécurité des personnes, de limiter son exposition et de préserver sa liquidité. Dans ce cadre, le Groupe précise qu’il respecte de façon rigoureuse les réglementations en vigueur. </w:t>
          </w:r>
        </w:p>
        <w:p w14:paraId="24D80524" w14:textId="77777777" w:rsidR="0041512C" w:rsidRPr="001F0675" w:rsidRDefault="0041512C" w:rsidP="0041512C">
          <w:pPr>
            <w:spacing w:before="100" w:beforeAutospacing="1" w:after="100" w:afterAutospacing="1"/>
            <w:jc w:val="both"/>
            <w:rPr>
              <w:rFonts w:asciiTheme="minorHAnsi" w:hAnsiTheme="minorHAnsi" w:cstheme="minorHAnsi"/>
              <w:sz w:val="20"/>
              <w:szCs w:val="20"/>
            </w:rPr>
          </w:pPr>
          <w:r w:rsidRPr="001F0675">
            <w:rPr>
              <w:rFonts w:asciiTheme="minorHAnsi" w:hAnsiTheme="minorHAnsi" w:cstheme="minorHAnsi"/>
              <w:sz w:val="20"/>
              <w:szCs w:val="20"/>
            </w:rPr>
            <w:t xml:space="preserve">Le Groupe précise par ailleurs que : </w:t>
          </w:r>
        </w:p>
        <w:p w14:paraId="0E4A0AAD" w14:textId="77777777" w:rsidR="0041512C" w:rsidRPr="00753438" w:rsidRDefault="0041512C" w:rsidP="0041512C">
          <w:pPr>
            <w:pStyle w:val="Paragraphedeliste"/>
            <w:numPr>
              <w:ilvl w:val="0"/>
              <w:numId w:val="26"/>
            </w:numPr>
            <w:spacing w:before="100" w:beforeAutospacing="1" w:after="100" w:afterAutospacing="1"/>
            <w:jc w:val="both"/>
            <w:rPr>
              <w:rFonts w:asciiTheme="minorHAnsi" w:hAnsiTheme="minorHAnsi" w:cstheme="minorHAnsi"/>
              <w:iCs/>
              <w:sz w:val="20"/>
              <w:szCs w:val="20"/>
            </w:rPr>
          </w:pPr>
          <w:proofErr w:type="gramStart"/>
          <w:r w:rsidRPr="00753438">
            <w:rPr>
              <w:rFonts w:asciiTheme="minorHAnsi" w:hAnsiTheme="minorHAnsi" w:cstheme="minorHAnsi"/>
              <w:iCs/>
              <w:sz w:val="20"/>
              <w:szCs w:val="20"/>
            </w:rPr>
            <w:t>le</w:t>
          </w:r>
          <w:proofErr w:type="gramEnd"/>
          <w:r w:rsidRPr="00753438">
            <w:rPr>
              <w:rFonts w:asciiTheme="minorHAnsi" w:hAnsiTheme="minorHAnsi" w:cstheme="minorHAnsi"/>
              <w:iCs/>
              <w:sz w:val="20"/>
              <w:szCs w:val="20"/>
            </w:rPr>
            <w:t xml:space="preserve"> chiffre d’affaires réalisé en Russie, Biélorussie et Ukraine représente environ 1,5% de son chiffre d’affaires au 28 février 2022 ; le Groupe n’emploie pas de collaborateurs en Ukraine, ni en Russie ou en Biélorussie ; </w:t>
          </w:r>
        </w:p>
        <w:p w14:paraId="49884518" w14:textId="77777777" w:rsidR="0041512C" w:rsidRPr="00753438" w:rsidRDefault="0041512C" w:rsidP="0041512C">
          <w:pPr>
            <w:pStyle w:val="Paragraphedeliste"/>
            <w:numPr>
              <w:ilvl w:val="0"/>
              <w:numId w:val="26"/>
            </w:numPr>
            <w:spacing w:before="100" w:beforeAutospacing="1" w:after="100" w:afterAutospacing="1"/>
            <w:jc w:val="both"/>
            <w:rPr>
              <w:rFonts w:asciiTheme="minorHAnsi" w:hAnsiTheme="minorHAnsi" w:cstheme="minorHAnsi"/>
              <w:sz w:val="20"/>
              <w:szCs w:val="20"/>
            </w:rPr>
          </w:pPr>
          <w:proofErr w:type="gramStart"/>
          <w:r w:rsidRPr="00753438">
            <w:rPr>
              <w:rFonts w:asciiTheme="minorHAnsi" w:hAnsiTheme="minorHAnsi" w:cstheme="minorHAnsi"/>
              <w:sz w:val="20"/>
              <w:szCs w:val="20"/>
            </w:rPr>
            <w:t>le</w:t>
          </w:r>
          <w:proofErr w:type="gramEnd"/>
          <w:r w:rsidRPr="00753438">
            <w:rPr>
              <w:rFonts w:asciiTheme="minorHAnsi" w:hAnsiTheme="minorHAnsi" w:cstheme="minorHAnsi"/>
              <w:sz w:val="20"/>
              <w:szCs w:val="20"/>
            </w:rPr>
            <w:t xml:space="preserve"> Groupe n’a pas de prestataires (personnes physiques) basés </w:t>
          </w:r>
          <w:r w:rsidRPr="00753438">
            <w:rPr>
              <w:rFonts w:asciiTheme="minorHAnsi" w:hAnsiTheme="minorHAnsi" w:cstheme="minorHAnsi"/>
              <w:iCs/>
              <w:sz w:val="20"/>
              <w:szCs w:val="20"/>
            </w:rPr>
            <w:t xml:space="preserve">dans ces trois pays ; </w:t>
          </w:r>
        </w:p>
        <w:p w14:paraId="0BCF970B" w14:textId="77777777" w:rsidR="0041512C" w:rsidRPr="00753438" w:rsidRDefault="0041512C" w:rsidP="0041512C">
          <w:pPr>
            <w:pStyle w:val="Paragraphedeliste"/>
            <w:numPr>
              <w:ilvl w:val="0"/>
              <w:numId w:val="26"/>
            </w:numPr>
            <w:spacing w:before="100" w:beforeAutospacing="1" w:after="100" w:afterAutospacing="1"/>
            <w:jc w:val="both"/>
            <w:rPr>
              <w:rFonts w:asciiTheme="minorHAnsi" w:hAnsiTheme="minorHAnsi" w:cstheme="minorHAnsi"/>
              <w:sz w:val="20"/>
              <w:szCs w:val="20"/>
            </w:rPr>
          </w:pPr>
          <w:proofErr w:type="gramStart"/>
          <w:r w:rsidRPr="00753438">
            <w:rPr>
              <w:rFonts w:asciiTheme="minorHAnsi" w:hAnsiTheme="minorHAnsi" w:cstheme="minorHAnsi"/>
              <w:sz w:val="20"/>
              <w:szCs w:val="20"/>
            </w:rPr>
            <w:t>il</w:t>
          </w:r>
          <w:proofErr w:type="gramEnd"/>
          <w:r w:rsidRPr="00753438">
            <w:rPr>
              <w:rFonts w:asciiTheme="minorHAnsi" w:hAnsiTheme="minorHAnsi" w:cstheme="minorHAnsi"/>
              <w:sz w:val="20"/>
              <w:szCs w:val="20"/>
            </w:rPr>
            <w:t xml:space="preserve"> ne possède pas d’Infrastructures dans ces </w:t>
          </w:r>
          <w:r w:rsidRPr="00753438">
            <w:rPr>
              <w:rFonts w:asciiTheme="minorHAnsi" w:hAnsiTheme="minorHAnsi" w:cstheme="minorHAnsi"/>
              <w:iCs/>
              <w:sz w:val="20"/>
              <w:szCs w:val="20"/>
            </w:rPr>
            <w:t>trois</w:t>
          </w:r>
          <w:r w:rsidRPr="00753438">
            <w:rPr>
              <w:rFonts w:asciiTheme="minorHAnsi" w:hAnsiTheme="minorHAnsi" w:cstheme="minorHAnsi"/>
              <w:sz w:val="20"/>
              <w:szCs w:val="20"/>
            </w:rPr>
            <w:t xml:space="preserve"> pays ; </w:t>
          </w:r>
        </w:p>
        <w:p w14:paraId="35E234FF" w14:textId="77777777" w:rsidR="0041512C" w:rsidRPr="00753438" w:rsidRDefault="0041512C" w:rsidP="0041512C">
          <w:pPr>
            <w:pStyle w:val="Paragraphedeliste"/>
            <w:numPr>
              <w:ilvl w:val="0"/>
              <w:numId w:val="26"/>
            </w:numPr>
            <w:spacing w:before="100" w:beforeAutospacing="1" w:after="100" w:afterAutospacing="1"/>
            <w:jc w:val="both"/>
            <w:rPr>
              <w:rFonts w:asciiTheme="minorHAnsi" w:hAnsiTheme="minorHAnsi" w:cstheme="minorHAnsi"/>
              <w:sz w:val="20"/>
              <w:szCs w:val="20"/>
            </w:rPr>
          </w:pPr>
          <w:proofErr w:type="gramStart"/>
          <w:r w:rsidRPr="00753438">
            <w:rPr>
              <w:rFonts w:asciiTheme="minorHAnsi" w:hAnsiTheme="minorHAnsi" w:cstheme="minorHAnsi"/>
              <w:sz w:val="20"/>
              <w:szCs w:val="20"/>
            </w:rPr>
            <w:t>il</w:t>
          </w:r>
          <w:proofErr w:type="gramEnd"/>
          <w:r w:rsidRPr="00753438">
            <w:rPr>
              <w:rFonts w:asciiTheme="minorHAnsi" w:hAnsiTheme="minorHAnsi" w:cstheme="minorHAnsi"/>
              <w:sz w:val="20"/>
              <w:szCs w:val="20"/>
            </w:rPr>
            <w:t xml:space="preserve"> n’identifie pas à ce stade de risque matériel de recouvrement des créances dues au 28 février 2022 ;</w:t>
          </w:r>
        </w:p>
        <w:p w14:paraId="248AB4A2" w14:textId="519DC1B6" w:rsidR="005E06EE" w:rsidRPr="00A85998" w:rsidRDefault="0041512C" w:rsidP="009F036B">
          <w:pPr>
            <w:pStyle w:val="Paragraphedeliste"/>
            <w:numPr>
              <w:ilvl w:val="0"/>
              <w:numId w:val="26"/>
            </w:numPr>
            <w:spacing w:before="100" w:beforeAutospacing="1" w:after="0" w:afterAutospacing="1" w:line="240" w:lineRule="auto"/>
            <w:jc w:val="both"/>
            <w:rPr>
              <w:rFonts w:asciiTheme="minorHAnsi" w:eastAsia="DengXian Light" w:hAnsiTheme="minorHAnsi" w:cstheme="minorHAnsi"/>
              <w:sz w:val="28"/>
              <w:szCs w:val="28"/>
            </w:rPr>
          </w:pPr>
          <w:proofErr w:type="gramStart"/>
          <w:r w:rsidRPr="00A85998">
            <w:rPr>
              <w:rFonts w:asciiTheme="minorHAnsi" w:hAnsiTheme="minorHAnsi" w:cstheme="minorHAnsi"/>
              <w:iCs/>
              <w:sz w:val="20"/>
              <w:szCs w:val="20"/>
            </w:rPr>
            <w:t>son</w:t>
          </w:r>
          <w:proofErr w:type="gramEnd"/>
          <w:r w:rsidRPr="00A85998">
            <w:rPr>
              <w:rFonts w:asciiTheme="minorHAnsi" w:hAnsiTheme="minorHAnsi" w:cstheme="minorHAnsi"/>
              <w:iCs/>
              <w:sz w:val="20"/>
              <w:szCs w:val="20"/>
            </w:rPr>
            <w:t xml:space="preserve"> exposition indirecte est limitée, tant sur les coûts d’énergie, qui sont presque entièrement couverts </w:t>
          </w:r>
          <w:r w:rsidR="005E06EE" w:rsidRPr="00A85998">
            <w:rPr>
              <w:rFonts w:asciiTheme="minorHAnsi" w:hAnsiTheme="minorHAnsi" w:cstheme="minorHAnsi"/>
              <w:iCs/>
              <w:sz w:val="20"/>
              <w:szCs w:val="20"/>
            </w:rPr>
            <w:t xml:space="preserve">à prix fixe </w:t>
          </w:r>
          <w:r w:rsidRPr="00A85998">
            <w:rPr>
              <w:rFonts w:asciiTheme="minorHAnsi" w:hAnsiTheme="minorHAnsi" w:cstheme="minorHAnsi"/>
              <w:iCs/>
              <w:sz w:val="20"/>
              <w:szCs w:val="20"/>
            </w:rPr>
            <w:t xml:space="preserve">pour l’année calendaire 2022 et en partie pour l’année 2023, que sur le dérèglement potentiel des chaînes logistiques. </w:t>
          </w:r>
          <w:r w:rsidR="005E06EE" w:rsidRPr="00A85998">
            <w:rPr>
              <w:rFonts w:asciiTheme="minorHAnsi" w:hAnsiTheme="minorHAnsi" w:cstheme="minorHAnsi"/>
              <w:sz w:val="28"/>
              <w:szCs w:val="28"/>
            </w:rPr>
            <w:br w:type="page"/>
          </w:r>
        </w:p>
        <w:p w14:paraId="2C60FA1D" w14:textId="3183B385" w:rsidR="0041512C" w:rsidRPr="00B264D1" w:rsidRDefault="0041512C" w:rsidP="0041512C">
          <w:pPr>
            <w:pStyle w:val="Titre2"/>
            <w:numPr>
              <w:ilvl w:val="1"/>
              <w:numId w:val="19"/>
            </w:numPr>
            <w:spacing w:before="0"/>
            <w:ind w:left="567" w:hanging="567"/>
            <w:rPr>
              <w:rFonts w:asciiTheme="minorHAnsi" w:hAnsiTheme="minorHAnsi" w:cstheme="minorHAnsi"/>
              <w:color w:val="auto"/>
              <w:sz w:val="28"/>
              <w:szCs w:val="28"/>
            </w:rPr>
          </w:pPr>
          <w:bookmarkStart w:id="16" w:name="_Toc100684260"/>
          <w:bookmarkStart w:id="17" w:name="_Toc100689204"/>
          <w:bookmarkStart w:id="18" w:name="_Toc100689253"/>
          <w:r w:rsidRPr="00B264D1">
            <w:rPr>
              <w:rFonts w:asciiTheme="minorHAnsi" w:hAnsiTheme="minorHAnsi" w:cstheme="minorHAnsi"/>
              <w:color w:val="auto"/>
              <w:sz w:val="28"/>
              <w:szCs w:val="28"/>
            </w:rPr>
            <w:lastRenderedPageBreak/>
            <w:t>Perspectives</w:t>
          </w:r>
          <w:bookmarkEnd w:id="16"/>
          <w:bookmarkEnd w:id="17"/>
          <w:bookmarkEnd w:id="18"/>
        </w:p>
        <w:p w14:paraId="1F67FB63" w14:textId="77777777" w:rsidR="0041512C" w:rsidRPr="00B264D1" w:rsidRDefault="0041512C" w:rsidP="0041512C">
          <w:pPr>
            <w:rPr>
              <w:rFonts w:asciiTheme="minorHAnsi" w:hAnsiTheme="minorHAnsi" w:cstheme="minorHAnsi"/>
            </w:rPr>
          </w:pPr>
        </w:p>
        <w:p w14:paraId="3C59395F" w14:textId="75CA3C3D" w:rsidR="0041512C" w:rsidRPr="00B264D1" w:rsidRDefault="0041512C" w:rsidP="0041512C">
          <w:pPr>
            <w:pStyle w:val="TexteCP"/>
            <w:rPr>
              <w:rFonts w:asciiTheme="minorHAnsi" w:hAnsiTheme="minorHAnsi" w:cstheme="minorHAnsi"/>
            </w:rPr>
          </w:pPr>
          <w:r w:rsidRPr="00B264D1">
            <w:rPr>
              <w:rFonts w:asciiTheme="minorHAnsi" w:hAnsiTheme="minorHAnsi" w:cstheme="minorHAnsi"/>
            </w:rPr>
            <w:t xml:space="preserve">Le premier semestre </w:t>
          </w:r>
          <w:r>
            <w:rPr>
              <w:rFonts w:asciiTheme="minorHAnsi" w:hAnsiTheme="minorHAnsi" w:cstheme="minorHAnsi"/>
            </w:rPr>
            <w:t>démontre</w:t>
          </w:r>
          <w:r w:rsidRPr="00B264D1">
            <w:rPr>
              <w:rFonts w:asciiTheme="minorHAnsi" w:hAnsiTheme="minorHAnsi" w:cstheme="minorHAnsi"/>
            </w:rPr>
            <w:t xml:space="preserve"> la capacité du Groupe à mettre en œuvre son plan stratégique et confirme la trajectoire d’accélération de sa croissance.</w:t>
          </w:r>
        </w:p>
        <w:p w14:paraId="3B1E151D" w14:textId="77777777" w:rsidR="005E06EE" w:rsidRDefault="005E06EE">
          <w:pPr>
            <w:spacing w:after="0" w:line="240" w:lineRule="auto"/>
            <w:rPr>
              <w:rFonts w:asciiTheme="minorHAnsi" w:eastAsiaTheme="minorHAnsi" w:hAnsiTheme="minorHAnsi" w:cstheme="minorHAnsi"/>
              <w:b/>
              <w:bCs/>
              <w:iCs/>
            </w:rPr>
          </w:pPr>
        </w:p>
        <w:p w14:paraId="45FAB938" w14:textId="017125E0" w:rsidR="0041512C" w:rsidRPr="00B264D1" w:rsidRDefault="0041512C" w:rsidP="0041512C">
          <w:pPr>
            <w:pStyle w:val="TexteCP"/>
            <w:rPr>
              <w:rFonts w:asciiTheme="minorHAnsi" w:hAnsiTheme="minorHAnsi" w:cstheme="minorHAnsi"/>
              <w:b/>
              <w:bCs/>
              <w:sz w:val="22"/>
              <w:szCs w:val="22"/>
            </w:rPr>
          </w:pPr>
          <w:r w:rsidRPr="00B264D1">
            <w:rPr>
              <w:rFonts w:asciiTheme="minorHAnsi" w:hAnsiTheme="minorHAnsi" w:cstheme="minorHAnsi"/>
              <w:b/>
              <w:bCs/>
              <w:sz w:val="22"/>
              <w:szCs w:val="22"/>
            </w:rPr>
            <w:t>Perspectives pour l’exercice 2022</w:t>
          </w:r>
        </w:p>
        <w:p w14:paraId="3EA06CAA" w14:textId="77777777" w:rsidR="0041512C" w:rsidRPr="00B719D4" w:rsidRDefault="0041512C" w:rsidP="0041512C">
          <w:pPr>
            <w:pStyle w:val="TexteCP"/>
            <w:spacing w:before="240"/>
            <w:rPr>
              <w:rFonts w:asciiTheme="minorHAnsi" w:hAnsiTheme="minorHAnsi" w:cstheme="minorHAnsi"/>
            </w:rPr>
          </w:pPr>
          <w:r w:rsidRPr="00B719D4">
            <w:rPr>
              <w:rFonts w:asciiTheme="minorHAnsi" w:hAnsiTheme="minorHAnsi" w:cstheme="minorHAnsi"/>
            </w:rPr>
            <w:t>Sur la base de la croissance enregistrée au premier semestre et d’une dynamique commerciale soutenue, OVHcloud relève son objectif de croissance du chiffre d’affaires et anticipe désormais une croissance entre 15% et 17%, à comparer à la fourchette de 12,5% à 15% communiquée au premier trimestre.</w:t>
          </w:r>
        </w:p>
        <w:p w14:paraId="2B758F00" w14:textId="77777777" w:rsidR="0041512C" w:rsidRPr="00B719D4" w:rsidRDefault="0041512C" w:rsidP="0041512C">
          <w:pPr>
            <w:pStyle w:val="TexteCP"/>
            <w:spacing w:before="240"/>
            <w:rPr>
              <w:rFonts w:asciiTheme="minorHAnsi" w:hAnsiTheme="minorHAnsi" w:cstheme="minorHAnsi"/>
            </w:rPr>
          </w:pPr>
          <w:r w:rsidRPr="00B719D4">
            <w:rPr>
              <w:rFonts w:asciiTheme="minorHAnsi" w:hAnsiTheme="minorHAnsi" w:cstheme="minorHAnsi"/>
            </w:rPr>
            <w:t>Le Groupe maintient ses autres objectifs, à savoir :</w:t>
          </w:r>
        </w:p>
        <w:p w14:paraId="57FBB34A" w14:textId="1F70DA0A" w:rsidR="0041512C" w:rsidRPr="00B719D4" w:rsidRDefault="0041512C" w:rsidP="0041512C">
          <w:pPr>
            <w:pStyle w:val="TexteCP"/>
            <w:numPr>
              <w:ilvl w:val="0"/>
              <w:numId w:val="23"/>
            </w:numPr>
            <w:spacing w:before="240"/>
            <w:rPr>
              <w:rFonts w:asciiTheme="minorHAnsi" w:hAnsiTheme="minorHAnsi" w:cstheme="minorHAnsi"/>
            </w:rPr>
          </w:pPr>
          <w:proofErr w:type="gramStart"/>
          <w:r w:rsidRPr="00B719D4">
            <w:rPr>
              <w:rFonts w:asciiTheme="minorHAnsi" w:hAnsiTheme="minorHAnsi" w:cstheme="minorHAnsi"/>
            </w:rPr>
            <w:t>une</w:t>
          </w:r>
          <w:proofErr w:type="gramEnd"/>
          <w:r w:rsidRPr="00B719D4">
            <w:rPr>
              <w:rFonts w:asciiTheme="minorHAnsi" w:hAnsiTheme="minorHAnsi" w:cstheme="minorHAnsi"/>
            </w:rPr>
            <w:t xml:space="preserve"> marge d’EBITDA ajusté d’environ 40%</w:t>
          </w:r>
        </w:p>
        <w:p w14:paraId="6E19F1E0" w14:textId="6D131864" w:rsidR="0041512C" w:rsidRPr="00B719D4" w:rsidRDefault="0041512C" w:rsidP="0041512C">
          <w:pPr>
            <w:pStyle w:val="TexteCP"/>
            <w:numPr>
              <w:ilvl w:val="0"/>
              <w:numId w:val="23"/>
            </w:numPr>
            <w:rPr>
              <w:rFonts w:asciiTheme="minorHAnsi" w:hAnsiTheme="minorHAnsi" w:cstheme="minorHAnsi"/>
            </w:rPr>
          </w:pPr>
          <w:proofErr w:type="gramStart"/>
          <w:r w:rsidRPr="00B719D4">
            <w:rPr>
              <w:rFonts w:asciiTheme="minorHAnsi" w:hAnsiTheme="minorHAnsi" w:cstheme="minorHAnsi"/>
            </w:rPr>
            <w:t>des</w:t>
          </w:r>
          <w:proofErr w:type="gramEnd"/>
          <w:r w:rsidRPr="00B719D4">
            <w:rPr>
              <w:rFonts w:asciiTheme="minorHAnsi" w:hAnsiTheme="minorHAnsi" w:cstheme="minorHAnsi"/>
            </w:rPr>
            <w:t xml:space="preserve"> Capex récurrents compris entre 16% et 20% du chiffre d’affaires et entre 30% et 34%</w:t>
          </w:r>
          <w:r w:rsidR="00703637" w:rsidRPr="009F036B">
            <w:rPr>
              <w:rFonts w:asciiTheme="minorHAnsi" w:hAnsiTheme="minorHAnsi" w:cstheme="minorHAnsi"/>
              <w:vertAlign w:val="superscript"/>
            </w:rPr>
            <w:t>1</w:t>
          </w:r>
          <w:r w:rsidRPr="00B719D4">
            <w:rPr>
              <w:rFonts w:asciiTheme="minorHAnsi" w:hAnsiTheme="minorHAnsi" w:cstheme="minorHAnsi"/>
            </w:rPr>
            <w:t xml:space="preserve"> du chiffre d’affaires pour les Capex de croissance</w:t>
          </w:r>
          <w:r w:rsidRPr="00B719D4" w:rsidDel="00362859">
            <w:rPr>
              <w:rFonts w:asciiTheme="minorHAnsi" w:hAnsiTheme="minorHAnsi" w:cstheme="minorHAnsi"/>
            </w:rPr>
            <w:t xml:space="preserve"> </w:t>
          </w:r>
        </w:p>
        <w:p w14:paraId="74610FF7" w14:textId="3B9B4E81" w:rsidR="0041512C" w:rsidRPr="00B719D4" w:rsidRDefault="0041512C" w:rsidP="0041512C">
          <w:pPr>
            <w:pStyle w:val="TexteCP"/>
            <w:spacing w:before="240"/>
            <w:rPr>
              <w:rFonts w:asciiTheme="minorHAnsi" w:hAnsiTheme="minorHAnsi" w:cstheme="minorHAnsi"/>
            </w:rPr>
          </w:pPr>
          <w:r w:rsidRPr="00B719D4">
            <w:rPr>
              <w:rFonts w:asciiTheme="minorHAnsi" w:hAnsiTheme="minorHAnsi" w:cstheme="minorHAnsi"/>
            </w:rPr>
            <w:t>Ces objectifs prennent l’hypothèse d’un chiffre d’affaires minime en Ukraine, Russie et Biélorussie lors du second semestre 2022</w:t>
          </w:r>
          <w:r>
            <w:rPr>
              <w:rFonts w:asciiTheme="minorHAnsi" w:hAnsiTheme="minorHAnsi" w:cstheme="minorHAnsi"/>
            </w:rPr>
            <w:t>.</w:t>
          </w:r>
        </w:p>
        <w:p w14:paraId="4AAE5EA8" w14:textId="77777777" w:rsidR="0041512C" w:rsidRPr="00B264D1" w:rsidRDefault="0041512C" w:rsidP="0041512C">
          <w:pPr>
            <w:rPr>
              <w:rFonts w:asciiTheme="minorHAnsi" w:hAnsiTheme="minorHAnsi" w:cstheme="minorHAnsi"/>
              <w:sz w:val="20"/>
              <w:szCs w:val="20"/>
              <w:highlight w:val="yellow"/>
            </w:rPr>
          </w:pPr>
        </w:p>
        <w:p w14:paraId="1E722A7A" w14:textId="77777777" w:rsidR="0041512C" w:rsidRPr="00B719D4" w:rsidRDefault="0041512C" w:rsidP="0041512C">
          <w:pPr>
            <w:rPr>
              <w:rFonts w:asciiTheme="minorHAnsi" w:hAnsiTheme="minorHAnsi" w:cstheme="minorHAnsi"/>
              <w:b/>
              <w:bCs/>
              <w:iCs/>
            </w:rPr>
          </w:pPr>
          <w:r w:rsidRPr="00B719D4">
            <w:rPr>
              <w:rFonts w:asciiTheme="minorHAnsi" w:hAnsiTheme="minorHAnsi" w:cstheme="minorHAnsi"/>
              <w:b/>
              <w:bCs/>
              <w:iCs/>
            </w:rPr>
            <w:t>Perspectives à moyen terme confirmées</w:t>
          </w:r>
        </w:p>
        <w:p w14:paraId="1CD43CD3" w14:textId="77777777" w:rsidR="0041512C" w:rsidRPr="00B719D4" w:rsidRDefault="0041512C" w:rsidP="0041512C">
          <w:pPr>
            <w:spacing w:before="240"/>
            <w:rPr>
              <w:rFonts w:asciiTheme="minorHAnsi" w:hAnsiTheme="minorHAnsi" w:cstheme="minorHAnsi"/>
              <w:sz w:val="20"/>
              <w:szCs w:val="20"/>
            </w:rPr>
          </w:pPr>
          <w:r w:rsidRPr="00B719D4">
            <w:rPr>
              <w:rFonts w:asciiTheme="minorHAnsi" w:hAnsiTheme="minorHAnsi" w:cstheme="minorHAnsi"/>
              <w:sz w:val="20"/>
              <w:szCs w:val="20"/>
            </w:rPr>
            <w:t>Le Groupe réitère ses objectifs financiers à moyen terme et vise l’atteinte des résultats suivants d’ici 2025 :</w:t>
          </w:r>
        </w:p>
        <w:p w14:paraId="152E2E77" w14:textId="77777777" w:rsidR="0041512C" w:rsidRPr="00B719D4" w:rsidRDefault="0041512C" w:rsidP="0041512C">
          <w:pPr>
            <w:pStyle w:val="Paragraphedeliste"/>
            <w:numPr>
              <w:ilvl w:val="0"/>
              <w:numId w:val="24"/>
            </w:numPr>
            <w:spacing w:before="240"/>
            <w:jc w:val="both"/>
            <w:rPr>
              <w:rFonts w:asciiTheme="minorHAnsi" w:hAnsiTheme="minorHAnsi" w:cstheme="minorHAnsi"/>
              <w:sz w:val="20"/>
              <w:szCs w:val="20"/>
            </w:rPr>
          </w:pPr>
          <w:proofErr w:type="gramStart"/>
          <w:r w:rsidRPr="00B719D4">
            <w:rPr>
              <w:rFonts w:asciiTheme="minorHAnsi" w:hAnsiTheme="minorHAnsi" w:cstheme="minorHAnsi"/>
              <w:sz w:val="20"/>
              <w:szCs w:val="20"/>
            </w:rPr>
            <w:t>une</w:t>
          </w:r>
          <w:proofErr w:type="gramEnd"/>
          <w:r w:rsidRPr="00B719D4">
            <w:rPr>
              <w:rFonts w:asciiTheme="minorHAnsi" w:hAnsiTheme="minorHAnsi" w:cstheme="minorHAnsi"/>
              <w:sz w:val="20"/>
              <w:szCs w:val="20"/>
            </w:rPr>
            <w:t xml:space="preserve"> accélération de la croissance organique du chiffre d’affaires aux alentours de 25 % à horizon 2025, portée par une évolution de son mix d’activités, le déploiement de sa stratégie « Move to PaaS », son expansion internationale et le bénéfice de l’évolution du marché vers les </w:t>
          </w:r>
          <w:proofErr w:type="spellStart"/>
          <w:r w:rsidRPr="00B719D4">
            <w:rPr>
              <w:rFonts w:asciiTheme="minorHAnsi" w:hAnsiTheme="minorHAnsi" w:cstheme="minorHAnsi"/>
              <w:sz w:val="20"/>
              <w:szCs w:val="20"/>
            </w:rPr>
            <w:t>clouds</w:t>
          </w:r>
          <w:proofErr w:type="spellEnd"/>
          <w:r w:rsidRPr="00B719D4">
            <w:rPr>
              <w:rFonts w:asciiTheme="minorHAnsi" w:hAnsiTheme="minorHAnsi" w:cstheme="minorHAnsi"/>
              <w:sz w:val="20"/>
              <w:szCs w:val="20"/>
            </w:rPr>
            <w:t xml:space="preserve"> hybrides et multiples, ainsi que l’accent mis sur la souveraineté des données</w:t>
          </w:r>
        </w:p>
        <w:p w14:paraId="27B94D78" w14:textId="1F78746F" w:rsidR="0041512C" w:rsidRPr="00B719D4" w:rsidRDefault="00782574" w:rsidP="0041512C">
          <w:pPr>
            <w:pStyle w:val="Paragraphedeliste"/>
            <w:numPr>
              <w:ilvl w:val="0"/>
              <w:numId w:val="24"/>
            </w:numPr>
            <w:spacing w:before="240"/>
            <w:jc w:val="both"/>
            <w:rPr>
              <w:rFonts w:asciiTheme="minorHAnsi" w:hAnsiTheme="minorHAnsi" w:cstheme="minorHAnsi"/>
              <w:sz w:val="20"/>
              <w:szCs w:val="20"/>
            </w:rPr>
          </w:pPr>
          <w:proofErr w:type="gramStart"/>
          <w:r>
            <w:rPr>
              <w:rFonts w:asciiTheme="minorHAnsi" w:hAnsiTheme="minorHAnsi" w:cstheme="minorHAnsi"/>
              <w:sz w:val="20"/>
              <w:szCs w:val="20"/>
            </w:rPr>
            <w:t>une</w:t>
          </w:r>
          <w:proofErr w:type="gramEnd"/>
          <w:r>
            <w:rPr>
              <w:rFonts w:asciiTheme="minorHAnsi" w:hAnsiTheme="minorHAnsi" w:cstheme="minorHAnsi"/>
              <w:sz w:val="20"/>
              <w:szCs w:val="20"/>
            </w:rPr>
            <w:t xml:space="preserve"> </w:t>
          </w:r>
          <w:r w:rsidR="0041512C" w:rsidRPr="00B719D4">
            <w:rPr>
              <w:rFonts w:asciiTheme="minorHAnsi" w:hAnsiTheme="minorHAnsi" w:cstheme="minorHAnsi"/>
              <w:sz w:val="20"/>
              <w:szCs w:val="20"/>
            </w:rPr>
            <w:t>marge d’EBITDA ajusté alignée avec celle de l’exercice 2020, ceci en réinvestissant en partie les économies d’échelle obtenues notamment grâce à une meilleure absorption des coûts fixes sur la période</w:t>
          </w:r>
        </w:p>
        <w:p w14:paraId="050940DB" w14:textId="11D44DE3" w:rsidR="0038038C" w:rsidRDefault="0041512C" w:rsidP="00147839">
          <w:pPr>
            <w:pStyle w:val="Paragraphedeliste"/>
            <w:numPr>
              <w:ilvl w:val="0"/>
              <w:numId w:val="24"/>
            </w:numPr>
            <w:spacing w:before="240"/>
            <w:jc w:val="both"/>
            <w:rPr>
              <w:rFonts w:asciiTheme="minorHAnsi" w:hAnsiTheme="minorHAnsi" w:cstheme="minorHAnsi"/>
              <w:iCs/>
              <w:sz w:val="20"/>
              <w:szCs w:val="20"/>
            </w:rPr>
          </w:pPr>
          <w:proofErr w:type="gramStart"/>
          <w:r w:rsidRPr="00B719D4">
            <w:rPr>
              <w:rFonts w:asciiTheme="minorHAnsi" w:hAnsiTheme="minorHAnsi" w:cstheme="minorHAnsi"/>
              <w:iCs/>
              <w:sz w:val="20"/>
              <w:szCs w:val="20"/>
            </w:rPr>
            <w:t>de</w:t>
          </w:r>
          <w:proofErr w:type="gramEnd"/>
          <w:r w:rsidRPr="00B719D4">
            <w:rPr>
              <w:rFonts w:asciiTheme="minorHAnsi" w:hAnsiTheme="minorHAnsi" w:cstheme="minorHAnsi"/>
              <w:iCs/>
              <w:sz w:val="20"/>
              <w:szCs w:val="20"/>
            </w:rPr>
            <w:t xml:space="preserve"> la même manière, le maintien des capex de croissance exprimés en pourcentage du chiffre d’affaires dans une fourchette de 30% à 34%</w:t>
          </w:r>
          <w:r w:rsidR="00840E77">
            <w:rPr>
              <w:rStyle w:val="Appelnotedebasdep"/>
              <w:rFonts w:asciiTheme="minorHAnsi" w:hAnsiTheme="minorHAnsi"/>
              <w:iCs/>
              <w:sz w:val="20"/>
              <w:szCs w:val="20"/>
            </w:rPr>
            <w:footnoteReference w:id="2"/>
          </w:r>
          <w:r w:rsidRPr="00B719D4">
            <w:rPr>
              <w:rFonts w:asciiTheme="minorHAnsi" w:hAnsiTheme="minorHAnsi" w:cstheme="minorHAnsi"/>
              <w:iCs/>
              <w:sz w:val="20"/>
              <w:szCs w:val="20"/>
            </w:rPr>
            <w:t>, tandis que les capex récurrents devraient tirer parti des améliorations de la productivité et donc baisser en pourcentage du chiffre d’affaires vers une fourchette de 14% à 16%.</w:t>
          </w:r>
        </w:p>
        <w:p w14:paraId="2517652C" w14:textId="77777777" w:rsidR="00147839" w:rsidRPr="005B62C1" w:rsidRDefault="00147839" w:rsidP="005B62C1">
          <w:pPr>
            <w:pStyle w:val="Paragraphedeliste"/>
            <w:spacing w:before="240"/>
            <w:jc w:val="both"/>
            <w:rPr>
              <w:rFonts w:asciiTheme="minorHAnsi" w:hAnsiTheme="minorHAnsi" w:cstheme="minorHAnsi"/>
              <w:iCs/>
              <w:sz w:val="20"/>
              <w:szCs w:val="20"/>
            </w:rPr>
          </w:pPr>
        </w:p>
        <w:p w14:paraId="0AB19515" w14:textId="49776923" w:rsidR="0041512C" w:rsidRPr="00B719D4" w:rsidRDefault="0041512C" w:rsidP="0041512C">
          <w:pPr>
            <w:pStyle w:val="Titre2"/>
            <w:numPr>
              <w:ilvl w:val="1"/>
              <w:numId w:val="19"/>
            </w:numPr>
            <w:spacing w:before="0"/>
            <w:ind w:left="567" w:hanging="567"/>
            <w:jc w:val="both"/>
            <w:rPr>
              <w:rFonts w:asciiTheme="minorHAnsi" w:hAnsiTheme="minorHAnsi" w:cstheme="minorHAnsi"/>
              <w:color w:val="auto"/>
              <w:sz w:val="28"/>
              <w:szCs w:val="28"/>
            </w:rPr>
          </w:pPr>
          <w:bookmarkStart w:id="19" w:name="_Toc100684261"/>
          <w:bookmarkStart w:id="20" w:name="_Toc100689205"/>
          <w:bookmarkStart w:id="21" w:name="_Toc100689254"/>
          <w:r w:rsidRPr="00B719D4">
            <w:rPr>
              <w:rFonts w:asciiTheme="minorHAnsi" w:hAnsiTheme="minorHAnsi" w:cstheme="minorHAnsi"/>
              <w:color w:val="auto"/>
              <w:sz w:val="28"/>
              <w:szCs w:val="28"/>
            </w:rPr>
            <w:t>Principaux risques et incertitudes</w:t>
          </w:r>
          <w:bookmarkEnd w:id="19"/>
          <w:bookmarkEnd w:id="20"/>
          <w:bookmarkEnd w:id="21"/>
        </w:p>
        <w:p w14:paraId="59B10F3C" w14:textId="77777777" w:rsidR="0041512C" w:rsidRPr="00B719D4" w:rsidRDefault="0041512C" w:rsidP="0041512C">
          <w:pPr>
            <w:jc w:val="both"/>
            <w:rPr>
              <w:rFonts w:asciiTheme="minorHAnsi" w:hAnsiTheme="minorHAnsi" w:cstheme="minorHAnsi"/>
            </w:rPr>
          </w:pPr>
        </w:p>
        <w:p w14:paraId="78A24B02" w14:textId="1ABB53C0" w:rsidR="00147839" w:rsidRDefault="0041512C" w:rsidP="0041512C">
          <w:pPr>
            <w:jc w:val="both"/>
            <w:rPr>
              <w:rFonts w:asciiTheme="minorHAnsi" w:hAnsiTheme="minorHAnsi" w:cstheme="minorHAnsi"/>
              <w:iCs/>
              <w:sz w:val="20"/>
              <w:szCs w:val="20"/>
            </w:rPr>
          </w:pPr>
          <w:bookmarkStart w:id="22" w:name="_Hlk100339640"/>
          <w:r w:rsidRPr="00B719D4">
            <w:rPr>
              <w:rFonts w:asciiTheme="minorHAnsi" w:hAnsiTheme="minorHAnsi" w:cstheme="minorHAnsi"/>
              <w:iCs/>
              <w:sz w:val="20"/>
              <w:szCs w:val="20"/>
            </w:rPr>
            <w:t>Les principaux risques et incertitudes auxquels le Groupe pourrait être confronté dans les six mois restants de l’exercice sont identiques à ceux présentés dans le chapitre Facteurs de risques du Document d’Enregistrement Universel 2021, qui a été déposé auprès de l'Autorité des Marchés Financiers (AMF) le 16 décembre 2021 sous le numéro R.21-</w:t>
          </w:r>
          <w:r w:rsidRPr="00E72043">
            <w:rPr>
              <w:rFonts w:asciiTheme="minorHAnsi" w:hAnsiTheme="minorHAnsi" w:cstheme="minorHAnsi"/>
              <w:iCs/>
              <w:sz w:val="20"/>
              <w:szCs w:val="20"/>
            </w:rPr>
            <w:t>067</w:t>
          </w:r>
          <w:r>
            <w:rPr>
              <w:rFonts w:asciiTheme="minorHAnsi" w:hAnsiTheme="minorHAnsi" w:cstheme="minorHAnsi"/>
              <w:iCs/>
              <w:sz w:val="20"/>
              <w:szCs w:val="20"/>
            </w:rPr>
            <w:t xml:space="preserve">, </w:t>
          </w:r>
          <w:r w:rsidRPr="00542BAC">
            <w:rPr>
              <w:rFonts w:asciiTheme="minorHAnsi" w:hAnsiTheme="minorHAnsi" w:cstheme="minorHAnsi"/>
              <w:iCs/>
              <w:sz w:val="20"/>
              <w:szCs w:val="20"/>
            </w:rPr>
            <w:t>à</w:t>
          </w:r>
          <w:r>
            <w:rPr>
              <w:rFonts w:asciiTheme="minorHAnsi" w:hAnsiTheme="minorHAnsi" w:cstheme="minorHAnsi"/>
              <w:iCs/>
              <w:sz w:val="20"/>
              <w:szCs w:val="20"/>
            </w:rPr>
            <w:t xml:space="preserve"> l’exception des risques et incertitudes nouveaux liés aux conflits existants en Europe et aux tensions inflationnistes accrues. </w:t>
          </w:r>
        </w:p>
        <w:p w14:paraId="1F88A446" w14:textId="77777777" w:rsidR="00147839" w:rsidRDefault="00147839">
          <w:pPr>
            <w:spacing w:after="0" w:line="240" w:lineRule="auto"/>
            <w:rPr>
              <w:rFonts w:asciiTheme="minorHAnsi" w:hAnsiTheme="minorHAnsi" w:cstheme="minorHAnsi"/>
              <w:iCs/>
              <w:sz w:val="20"/>
              <w:szCs w:val="20"/>
            </w:rPr>
          </w:pPr>
          <w:r>
            <w:rPr>
              <w:rFonts w:asciiTheme="minorHAnsi" w:hAnsiTheme="minorHAnsi" w:cstheme="minorHAnsi"/>
              <w:iCs/>
              <w:sz w:val="20"/>
              <w:szCs w:val="20"/>
            </w:rPr>
            <w:br w:type="page"/>
          </w:r>
        </w:p>
        <w:p w14:paraId="64588F61" w14:textId="77777777" w:rsidR="0041512C" w:rsidRPr="00B264D1" w:rsidRDefault="0041512C" w:rsidP="0041512C">
          <w:pPr>
            <w:pStyle w:val="Titre1"/>
            <w:numPr>
              <w:ilvl w:val="0"/>
              <w:numId w:val="11"/>
            </w:numPr>
            <w:spacing w:before="240" w:after="0"/>
            <w:ind w:left="426" w:right="-74" w:hanging="568"/>
            <w:rPr>
              <w:rFonts w:asciiTheme="minorHAnsi" w:hAnsiTheme="minorHAnsi" w:cstheme="minorHAnsi"/>
              <w:color w:val="000E9A"/>
              <w:sz w:val="28"/>
              <w:szCs w:val="28"/>
            </w:rPr>
          </w:pPr>
          <w:bookmarkStart w:id="23" w:name="_Toc100684262"/>
          <w:bookmarkStart w:id="24" w:name="_Toc100689206"/>
          <w:bookmarkStart w:id="25" w:name="_Toc100689255"/>
          <w:bookmarkEnd w:id="22"/>
          <w:r w:rsidRPr="00B264D1">
            <w:rPr>
              <w:rFonts w:asciiTheme="minorHAnsi" w:hAnsiTheme="minorHAnsi" w:cstheme="minorHAnsi"/>
              <w:color w:val="000E9A"/>
              <w:sz w:val="28"/>
              <w:szCs w:val="28"/>
            </w:rPr>
            <w:lastRenderedPageBreak/>
            <w:t>Analyse des résultats et des investissements du Groupe</w:t>
          </w:r>
          <w:bookmarkEnd w:id="23"/>
          <w:bookmarkEnd w:id="24"/>
          <w:bookmarkEnd w:id="25"/>
        </w:p>
        <w:p w14:paraId="348179AB" w14:textId="77777777" w:rsidR="0041512C" w:rsidRPr="00B264D1" w:rsidRDefault="0041512C" w:rsidP="0041512C">
          <w:pPr>
            <w:spacing w:before="120" w:after="0"/>
            <w:rPr>
              <w:rFonts w:asciiTheme="minorHAnsi" w:hAnsiTheme="minorHAnsi" w:cstheme="minorHAnsi"/>
              <w:color w:val="2F5496"/>
            </w:rPr>
          </w:pPr>
        </w:p>
        <w:p w14:paraId="66257181" w14:textId="77777777" w:rsidR="0041512C" w:rsidRPr="00B264D1" w:rsidRDefault="0041512C" w:rsidP="0041512C">
          <w:pPr>
            <w:pStyle w:val="Titre2"/>
            <w:numPr>
              <w:ilvl w:val="1"/>
              <w:numId w:val="21"/>
            </w:numPr>
            <w:spacing w:before="0"/>
            <w:ind w:left="567" w:hanging="567"/>
            <w:rPr>
              <w:rFonts w:asciiTheme="minorHAnsi" w:hAnsiTheme="minorHAnsi" w:cstheme="minorHAnsi"/>
              <w:color w:val="auto"/>
              <w:sz w:val="28"/>
              <w:szCs w:val="28"/>
            </w:rPr>
          </w:pPr>
          <w:bookmarkStart w:id="26" w:name="_Toc100684263"/>
          <w:bookmarkStart w:id="27" w:name="_Toc100689207"/>
          <w:bookmarkStart w:id="28" w:name="_Toc100689256"/>
          <w:r w:rsidRPr="00B264D1">
            <w:rPr>
              <w:rFonts w:asciiTheme="minorHAnsi" w:hAnsiTheme="minorHAnsi" w:cstheme="minorHAnsi"/>
              <w:color w:val="auto"/>
              <w:sz w:val="28"/>
              <w:szCs w:val="28"/>
            </w:rPr>
            <w:t>Chiffre d’affaires</w:t>
          </w:r>
          <w:bookmarkEnd w:id="26"/>
          <w:bookmarkEnd w:id="27"/>
          <w:bookmarkEnd w:id="28"/>
        </w:p>
        <w:p w14:paraId="458060A4" w14:textId="77777777" w:rsidR="0041512C" w:rsidRPr="00B264D1" w:rsidRDefault="0041512C" w:rsidP="0041512C">
          <w:pPr>
            <w:rPr>
              <w:rFonts w:asciiTheme="minorHAnsi" w:hAnsiTheme="minorHAnsi" w:cstheme="minorHAnsi"/>
            </w:rPr>
          </w:pPr>
        </w:p>
        <w:p w14:paraId="69085A4D" w14:textId="77777777" w:rsidR="0041512C" w:rsidRPr="00F649CD" w:rsidRDefault="0041512C" w:rsidP="0041512C">
          <w:pPr>
            <w:pStyle w:val="SSChapitreCP"/>
            <w:contextualSpacing/>
            <w:jc w:val="both"/>
            <w:rPr>
              <w:rFonts w:asciiTheme="minorHAnsi" w:hAnsiTheme="minorHAnsi" w:cstheme="minorHAnsi"/>
            </w:rPr>
          </w:pPr>
          <w:r w:rsidRPr="00F649CD">
            <w:rPr>
              <w:rFonts w:asciiTheme="minorHAnsi" w:hAnsiTheme="minorHAnsi" w:cstheme="minorHAnsi"/>
            </w:rPr>
            <w:t xml:space="preserve">Chiffre d'affaires du premier semestre </w:t>
          </w:r>
          <w:r>
            <w:rPr>
              <w:rFonts w:asciiTheme="minorHAnsi" w:hAnsiTheme="minorHAnsi" w:cstheme="minorHAnsi"/>
            </w:rPr>
            <w:t>20</w:t>
          </w:r>
          <w:r w:rsidRPr="00F649CD">
            <w:rPr>
              <w:rFonts w:asciiTheme="minorHAnsi" w:hAnsiTheme="minorHAnsi" w:cstheme="minorHAnsi"/>
            </w:rPr>
            <w:t>22 de 382 millions d’euros, en hausse de 13,3 % en données comparables</w:t>
          </w:r>
        </w:p>
        <w:p w14:paraId="007D3D4E" w14:textId="6D0EF311" w:rsidR="0041512C" w:rsidRPr="00F649CD" w:rsidRDefault="0041512C" w:rsidP="0041512C">
          <w:pPr>
            <w:pStyle w:val="TexteCP"/>
            <w:rPr>
              <w:rFonts w:asciiTheme="minorHAnsi" w:hAnsiTheme="minorHAnsi" w:cstheme="minorHAnsi"/>
            </w:rPr>
          </w:pPr>
          <w:r w:rsidRPr="00F649CD">
            <w:rPr>
              <w:rFonts w:asciiTheme="minorHAnsi" w:hAnsiTheme="minorHAnsi" w:cstheme="minorHAnsi"/>
            </w:rPr>
            <w:t xml:space="preserve">Le chiffre d’affaires consolidé d’OVHcloud a atteint 382 millions d’euros sur le premier semestre </w:t>
          </w:r>
          <w:r>
            <w:rPr>
              <w:rFonts w:asciiTheme="minorHAnsi" w:hAnsiTheme="minorHAnsi" w:cstheme="minorHAnsi"/>
            </w:rPr>
            <w:t>20</w:t>
          </w:r>
          <w:r w:rsidRPr="00F649CD">
            <w:rPr>
              <w:rFonts w:asciiTheme="minorHAnsi" w:hAnsiTheme="minorHAnsi" w:cstheme="minorHAnsi"/>
            </w:rPr>
            <w:t xml:space="preserve">22, en hausse de 14,3% par rapport au premier semestre 2021 en données publiées et de 13,3% en données comparables, à taux de change et périmètre constants et excluant les </w:t>
          </w:r>
          <w:r>
            <w:rPr>
              <w:rFonts w:asciiTheme="minorHAnsi" w:hAnsiTheme="minorHAnsi" w:cstheme="minorHAnsi"/>
            </w:rPr>
            <w:t>bons d’achats</w:t>
          </w:r>
          <w:r w:rsidRPr="00F649CD">
            <w:rPr>
              <w:rFonts w:asciiTheme="minorHAnsi" w:hAnsiTheme="minorHAnsi" w:cstheme="minorHAnsi"/>
            </w:rPr>
            <w:t xml:space="preserve"> liés à l’incident de Strasbourg</w:t>
          </w:r>
          <w:r>
            <w:rPr>
              <w:rFonts w:asciiTheme="minorHAnsi" w:hAnsiTheme="minorHAnsi" w:cstheme="minorHAnsi"/>
            </w:rPr>
            <w:t xml:space="preserve"> pour 2,9 millions d’euros</w:t>
          </w:r>
          <w:r w:rsidRPr="00F649CD">
            <w:rPr>
              <w:rFonts w:asciiTheme="minorHAnsi" w:hAnsiTheme="minorHAnsi" w:cstheme="minorHAnsi"/>
            </w:rPr>
            <w:t>. La performance du premier semestre vient confirmer la trajectoire d’accélération du Groupe. La croissance est notamment tirée par une amélioration continue de l’ARPAC et un</w:t>
          </w:r>
          <w:r>
            <w:rPr>
              <w:rFonts w:asciiTheme="minorHAnsi" w:hAnsiTheme="minorHAnsi" w:cstheme="minorHAnsi"/>
            </w:rPr>
            <w:t>e érosion limitée du portefeuille</w:t>
          </w:r>
          <w:r w:rsidRPr="00F649CD">
            <w:rPr>
              <w:rFonts w:asciiTheme="minorHAnsi" w:hAnsiTheme="minorHAnsi" w:cstheme="minorHAnsi"/>
              <w:i/>
              <w:iCs w:val="0"/>
            </w:rPr>
            <w:t xml:space="preserve"> </w:t>
          </w:r>
          <w:r w:rsidRPr="00F649CD">
            <w:rPr>
              <w:rFonts w:asciiTheme="minorHAnsi" w:hAnsiTheme="minorHAnsi" w:cstheme="minorHAnsi"/>
            </w:rPr>
            <w:t>client</w:t>
          </w:r>
          <w:r>
            <w:rPr>
              <w:rFonts w:asciiTheme="minorHAnsi" w:hAnsiTheme="minorHAnsi" w:cstheme="minorHAnsi"/>
            </w:rPr>
            <w:t>s</w:t>
          </w:r>
          <w:r w:rsidRPr="00F649CD">
            <w:rPr>
              <w:rFonts w:asciiTheme="minorHAnsi" w:hAnsiTheme="minorHAnsi" w:cstheme="minorHAnsi"/>
            </w:rPr>
            <w:t>. La capacité d’OVHcloud à croitre avec ses clients se traduit par un taux de rétention net du chiffre d’affaires de 11</w:t>
          </w:r>
          <w:r>
            <w:rPr>
              <w:rFonts w:asciiTheme="minorHAnsi" w:hAnsiTheme="minorHAnsi" w:cstheme="minorHAnsi"/>
            </w:rPr>
            <w:t>2</w:t>
          </w:r>
          <w:r w:rsidRPr="00F649CD">
            <w:rPr>
              <w:rFonts w:asciiTheme="minorHAnsi" w:hAnsiTheme="minorHAnsi" w:cstheme="minorHAnsi"/>
            </w:rPr>
            <w:t>%</w:t>
          </w:r>
          <w:r>
            <w:rPr>
              <w:rFonts w:asciiTheme="minorHAnsi" w:hAnsiTheme="minorHAnsi" w:cstheme="minorHAnsi"/>
            </w:rPr>
            <w:t xml:space="preserve"> au premier semestre 2022</w:t>
          </w:r>
          <w:r w:rsidRPr="00F649CD">
            <w:rPr>
              <w:rFonts w:asciiTheme="minorHAnsi" w:hAnsiTheme="minorHAnsi" w:cstheme="minorHAnsi"/>
            </w:rPr>
            <w:t>. Il atteint 11</w:t>
          </w:r>
          <w:r>
            <w:rPr>
              <w:rFonts w:asciiTheme="minorHAnsi" w:hAnsiTheme="minorHAnsi" w:cstheme="minorHAnsi"/>
            </w:rPr>
            <w:t>1</w:t>
          </w:r>
          <w:r w:rsidRPr="00F649CD">
            <w:rPr>
              <w:rFonts w:asciiTheme="minorHAnsi" w:hAnsiTheme="minorHAnsi" w:cstheme="minorHAnsi"/>
            </w:rPr>
            <w:t xml:space="preserve">% </w:t>
          </w:r>
          <w:r w:rsidR="007D1CB1">
            <w:rPr>
              <w:rFonts w:asciiTheme="minorHAnsi" w:hAnsiTheme="minorHAnsi" w:cstheme="minorHAnsi"/>
            </w:rPr>
            <w:t xml:space="preserve">en données comparables, </w:t>
          </w:r>
          <w:r>
            <w:rPr>
              <w:rFonts w:asciiTheme="minorHAnsi" w:hAnsiTheme="minorHAnsi" w:cstheme="minorHAnsi"/>
            </w:rPr>
            <w:t>en nette</w:t>
          </w:r>
          <w:r w:rsidRPr="00F649CD">
            <w:rPr>
              <w:rFonts w:asciiTheme="minorHAnsi" w:hAnsiTheme="minorHAnsi" w:cstheme="minorHAnsi"/>
            </w:rPr>
            <w:t xml:space="preserve"> progression continue depuis l</w:t>
          </w:r>
          <w:r>
            <w:rPr>
              <w:rFonts w:asciiTheme="minorHAnsi" w:hAnsiTheme="minorHAnsi" w:cstheme="minorHAnsi"/>
            </w:rPr>
            <w:t>’an passé</w:t>
          </w:r>
          <w:r w:rsidRPr="00F649CD">
            <w:rPr>
              <w:rFonts w:asciiTheme="minorHAnsi" w:hAnsiTheme="minorHAnsi" w:cstheme="minorHAnsi"/>
            </w:rPr>
            <w:t>.</w:t>
          </w:r>
        </w:p>
        <w:p w14:paraId="5FA57A14" w14:textId="77777777" w:rsidR="0041512C" w:rsidRPr="00F649CD" w:rsidRDefault="0041512C" w:rsidP="0041512C">
          <w:pPr>
            <w:pStyle w:val="TexteCP"/>
            <w:rPr>
              <w:rFonts w:asciiTheme="minorHAnsi" w:hAnsiTheme="minorHAnsi" w:cstheme="minorHAnsi"/>
            </w:rPr>
          </w:pPr>
        </w:p>
        <w:p w14:paraId="6A493991" w14:textId="77777777" w:rsidR="0041512C" w:rsidRPr="00B264D1" w:rsidRDefault="0041512C" w:rsidP="0041512C">
          <w:pPr>
            <w:pStyle w:val="TexteCP"/>
            <w:rPr>
              <w:rFonts w:asciiTheme="minorHAnsi" w:hAnsiTheme="minorHAnsi" w:cstheme="minorHAnsi"/>
            </w:rPr>
          </w:pPr>
          <w:r w:rsidRPr="00F649CD">
            <w:rPr>
              <w:rFonts w:asciiTheme="minorHAnsi" w:hAnsiTheme="minorHAnsi" w:cstheme="minorHAnsi"/>
            </w:rPr>
            <w:t>Ce premier semestre 2022 démontre le succès de la stratégie mise en œuvre par OVHcloud, portée par la poursuite d’une solide dynamique commerciale (</w:t>
          </w:r>
          <w:r>
            <w:rPr>
              <w:rFonts w:asciiTheme="minorHAnsi" w:hAnsiTheme="minorHAnsi" w:cstheme="minorHAnsi"/>
            </w:rPr>
            <w:t>Grandes</w:t>
          </w:r>
          <w:r w:rsidRPr="00F649CD">
            <w:rPr>
              <w:rFonts w:asciiTheme="minorHAnsi" w:hAnsiTheme="minorHAnsi" w:cstheme="minorHAnsi"/>
            </w:rPr>
            <w:t xml:space="preserve"> entreprises</w:t>
          </w:r>
          <w:r>
            <w:rPr>
              <w:rFonts w:asciiTheme="minorHAnsi" w:hAnsiTheme="minorHAnsi" w:cstheme="minorHAnsi"/>
            </w:rPr>
            <w:t>,</w:t>
          </w:r>
          <w:r w:rsidRPr="000F1810">
            <w:rPr>
              <w:rFonts w:asciiTheme="minorHAnsi" w:hAnsiTheme="minorHAnsi" w:cstheme="minorHAnsi"/>
            </w:rPr>
            <w:t xml:space="preserve"> </w:t>
          </w:r>
          <w:r w:rsidRPr="00F649CD">
            <w:rPr>
              <w:rFonts w:asciiTheme="minorHAnsi" w:hAnsiTheme="minorHAnsi" w:cstheme="minorHAnsi"/>
            </w:rPr>
            <w:t>Ministères</w:t>
          </w:r>
          <w:r>
            <w:rPr>
              <w:rFonts w:asciiTheme="minorHAnsi" w:hAnsiTheme="minorHAnsi" w:cstheme="minorHAnsi"/>
            </w:rPr>
            <w:t xml:space="preserve"> et entités publics</w:t>
          </w:r>
          <w:r w:rsidRPr="00F649CD">
            <w:rPr>
              <w:rFonts w:asciiTheme="minorHAnsi" w:hAnsiTheme="minorHAnsi" w:cstheme="minorHAnsi"/>
            </w:rPr>
            <w:t>, fintechs…), une offre souveraine qui porte ses fruits, une demande à l’international toujours aussi soutenue et un renforcement continu de l’écosystème autour du Groupe. OVHcloud a notamment enregistré une croissance à deux chiffres des ventes réalisées avec ses partenaires mondiaux et locaux, au nombre de plus de 850. Le succès de cet écosystème se confirme aussi auprès des start-ups avec plus de 300 nouvelles start-ups intégrées au programme durant le premier semestre.</w:t>
          </w:r>
        </w:p>
        <w:p w14:paraId="16324EFD" w14:textId="77777777" w:rsidR="0041512C" w:rsidRPr="00F649CD" w:rsidRDefault="0041512C" w:rsidP="0041512C">
          <w:pPr>
            <w:pStyle w:val="TexteCP"/>
            <w:rPr>
              <w:rFonts w:asciiTheme="minorHAnsi" w:hAnsiTheme="minorHAnsi" w:cstheme="minorHAnsi"/>
            </w:rPr>
          </w:pPr>
        </w:p>
        <w:p w14:paraId="230CF530" w14:textId="77777777" w:rsidR="0041512C" w:rsidRPr="00F649CD" w:rsidRDefault="0041512C" w:rsidP="0041512C">
          <w:pPr>
            <w:pStyle w:val="TexteCP"/>
            <w:rPr>
              <w:rFonts w:asciiTheme="minorHAnsi" w:hAnsiTheme="minorHAnsi" w:cstheme="minorHAnsi"/>
            </w:rPr>
          </w:pPr>
          <w:r w:rsidRPr="00F649CD">
            <w:rPr>
              <w:rFonts w:asciiTheme="minorHAnsi" w:hAnsiTheme="minorHAnsi" w:cstheme="minorHAnsi"/>
            </w:rPr>
            <w:t xml:space="preserve">La bonne dynamique de ce premier semestre se retrouve également dans l’évolution du </w:t>
          </w:r>
          <w:r w:rsidRPr="00F649CD">
            <w:rPr>
              <w:rFonts w:asciiTheme="minorHAnsi" w:hAnsiTheme="minorHAnsi" w:cstheme="minorHAnsi"/>
              <w:i/>
              <w:iCs w:val="0"/>
            </w:rPr>
            <w:t>business mix</w:t>
          </w:r>
          <w:r w:rsidRPr="00F649CD">
            <w:rPr>
              <w:rFonts w:asciiTheme="minorHAnsi" w:hAnsiTheme="minorHAnsi" w:cstheme="minorHAnsi"/>
            </w:rPr>
            <w:t xml:space="preserve"> en faveur du Cloud public et Cloud privé, et dans la part croissante de l’international dans le chiffre d’affaires du Groupe, qui atteint 50,3% sur les 6 premiers mois de l’année.</w:t>
          </w:r>
        </w:p>
        <w:p w14:paraId="4326EB88" w14:textId="77777777" w:rsidR="0041512C" w:rsidRPr="00F649CD" w:rsidRDefault="0041512C" w:rsidP="0041512C">
          <w:pPr>
            <w:pStyle w:val="TexteCP"/>
            <w:rPr>
              <w:rFonts w:asciiTheme="minorHAnsi" w:hAnsiTheme="minorHAnsi" w:cstheme="minorHAnsi"/>
            </w:rPr>
          </w:pPr>
        </w:p>
        <w:p w14:paraId="4726A9FB" w14:textId="77777777" w:rsidR="0041512C" w:rsidRPr="00F649CD" w:rsidRDefault="0041512C" w:rsidP="0041512C">
          <w:pPr>
            <w:pStyle w:val="TexteCP"/>
            <w:rPr>
              <w:rFonts w:asciiTheme="minorHAnsi" w:hAnsiTheme="minorHAnsi" w:cstheme="minorHAnsi"/>
            </w:rPr>
          </w:pPr>
          <w:r w:rsidRPr="00F649CD">
            <w:rPr>
              <w:rFonts w:asciiTheme="minorHAnsi" w:hAnsiTheme="minorHAnsi" w:cstheme="minorHAnsi"/>
            </w:rPr>
            <w:t xml:space="preserve">Avec 71 solutions IaaS et PaaS au premier semestre 2022 et un objectif de plus de 80 solutions en </w:t>
          </w:r>
          <w:r>
            <w:rPr>
              <w:rFonts w:asciiTheme="minorHAnsi" w:hAnsiTheme="minorHAnsi" w:cstheme="minorHAnsi"/>
            </w:rPr>
            <w:t>20</w:t>
          </w:r>
          <w:r w:rsidRPr="00F649CD">
            <w:rPr>
              <w:rFonts w:asciiTheme="minorHAnsi" w:hAnsiTheme="minorHAnsi" w:cstheme="minorHAnsi"/>
            </w:rPr>
            <w:t>22, OVHcloud continue d’enrichir son portefeuille de solutions en étroite interaction avec ses clients afin de leur proposer les solutions les plus proches de leurs besoins.</w:t>
          </w:r>
        </w:p>
        <w:p w14:paraId="2635B95A" w14:textId="3B5222AB" w:rsidR="0038038C" w:rsidRPr="005B62C1" w:rsidRDefault="0041512C" w:rsidP="005B62C1">
          <w:pPr>
            <w:jc w:val="both"/>
            <w:rPr>
              <w:rFonts w:asciiTheme="minorHAnsi" w:hAnsiTheme="minorHAnsi" w:cstheme="minorHAnsi"/>
            </w:rPr>
          </w:pPr>
          <w:r w:rsidRPr="00B264D1">
            <w:rPr>
              <w:rFonts w:asciiTheme="minorHAnsi" w:eastAsia="Calibri" w:hAnsiTheme="minorHAnsi" w:cstheme="minorHAnsi"/>
              <w:b/>
              <w:bCs/>
              <w:lang w:val="fr"/>
            </w:rPr>
            <w:t xml:space="preserve"> </w:t>
          </w:r>
        </w:p>
        <w:p w14:paraId="78C80860" w14:textId="6108B5DD" w:rsidR="0041512C" w:rsidRPr="00B264D1" w:rsidRDefault="0041512C" w:rsidP="0041512C">
          <w:pPr>
            <w:pStyle w:val="Titre2"/>
            <w:numPr>
              <w:ilvl w:val="1"/>
              <w:numId w:val="21"/>
            </w:numPr>
            <w:spacing w:before="0"/>
            <w:ind w:left="567" w:hanging="567"/>
            <w:rPr>
              <w:rFonts w:asciiTheme="minorHAnsi" w:hAnsiTheme="minorHAnsi" w:cstheme="minorHAnsi"/>
              <w:color w:val="auto"/>
              <w:sz w:val="28"/>
              <w:szCs w:val="28"/>
            </w:rPr>
          </w:pPr>
          <w:bookmarkStart w:id="29" w:name="_Toc100684264"/>
          <w:bookmarkStart w:id="30" w:name="_Toc100689208"/>
          <w:bookmarkStart w:id="31" w:name="_Toc100689257"/>
          <w:r w:rsidRPr="00B264D1">
            <w:rPr>
              <w:rFonts w:asciiTheme="minorHAnsi" w:hAnsiTheme="minorHAnsi" w:cstheme="minorHAnsi"/>
              <w:color w:val="auto"/>
              <w:sz w:val="28"/>
              <w:szCs w:val="28"/>
            </w:rPr>
            <w:t>Evolution de l’activité</w:t>
          </w:r>
          <w:bookmarkEnd w:id="29"/>
          <w:bookmarkEnd w:id="30"/>
          <w:bookmarkEnd w:id="31"/>
        </w:p>
        <w:p w14:paraId="2CF6416A" w14:textId="77777777" w:rsidR="0041512C" w:rsidRPr="00B264D1" w:rsidRDefault="0041512C" w:rsidP="0041512C">
          <w:pPr>
            <w:rPr>
              <w:rFonts w:asciiTheme="minorHAnsi" w:hAnsiTheme="minorHAnsi" w:cstheme="minorHAnsi"/>
            </w:rPr>
          </w:pPr>
        </w:p>
        <w:p w14:paraId="7E3840C4" w14:textId="77777777" w:rsidR="0041512C" w:rsidRPr="00B264D1" w:rsidRDefault="0041512C" w:rsidP="0041512C">
          <w:pPr>
            <w:pStyle w:val="Titre2"/>
            <w:numPr>
              <w:ilvl w:val="2"/>
              <w:numId w:val="21"/>
            </w:numPr>
            <w:spacing w:before="0"/>
            <w:ind w:left="2160" w:hanging="360"/>
            <w:rPr>
              <w:rFonts w:asciiTheme="minorHAnsi" w:hAnsiTheme="minorHAnsi" w:cstheme="minorHAnsi"/>
              <w:color w:val="auto"/>
              <w:sz w:val="24"/>
              <w:szCs w:val="24"/>
            </w:rPr>
          </w:pPr>
          <w:bookmarkStart w:id="32" w:name="_Toc100684265"/>
          <w:bookmarkStart w:id="33" w:name="_Toc100689209"/>
          <w:bookmarkStart w:id="34" w:name="_Toc100689258"/>
          <w:r w:rsidRPr="00B264D1">
            <w:rPr>
              <w:rFonts w:asciiTheme="minorHAnsi" w:hAnsiTheme="minorHAnsi" w:cstheme="minorHAnsi"/>
              <w:color w:val="auto"/>
              <w:sz w:val="24"/>
              <w:szCs w:val="24"/>
            </w:rPr>
            <w:t>Chiffre d’affaires par segment de produits</w:t>
          </w:r>
          <w:bookmarkEnd w:id="32"/>
          <w:bookmarkEnd w:id="33"/>
          <w:bookmarkEnd w:id="34"/>
        </w:p>
        <w:p w14:paraId="4F19A76C" w14:textId="77777777" w:rsidR="0041512C" w:rsidRPr="00B264D1" w:rsidRDefault="0041512C" w:rsidP="0041512C">
          <w:pPr>
            <w:jc w:val="both"/>
            <w:rPr>
              <w:rFonts w:asciiTheme="minorHAnsi" w:hAnsiTheme="minorHAnsi" w:cstheme="minorHAnsi"/>
            </w:rPr>
          </w:pPr>
        </w:p>
        <w:tbl>
          <w:tblPr>
            <w:tblW w:w="9260" w:type="dxa"/>
            <w:tblCellMar>
              <w:left w:w="70" w:type="dxa"/>
              <w:right w:w="70" w:type="dxa"/>
            </w:tblCellMar>
            <w:tblLook w:val="04A0" w:firstRow="1" w:lastRow="0" w:firstColumn="1" w:lastColumn="0" w:noHBand="0" w:noVBand="1"/>
          </w:tblPr>
          <w:tblGrid>
            <w:gridCol w:w="3677"/>
            <w:gridCol w:w="1395"/>
            <w:gridCol w:w="1395"/>
            <w:gridCol w:w="1395"/>
            <w:gridCol w:w="1398"/>
          </w:tblGrid>
          <w:tr w:rsidR="0041512C" w:rsidRPr="00CB7025" w14:paraId="6A58EFBD" w14:textId="77777777" w:rsidTr="00D14D81">
            <w:trPr>
              <w:trHeight w:val="780"/>
            </w:trPr>
            <w:tc>
              <w:tcPr>
                <w:tcW w:w="3677" w:type="dxa"/>
                <w:tcBorders>
                  <w:top w:val="nil"/>
                  <w:left w:val="nil"/>
                  <w:bottom w:val="single" w:sz="4" w:space="0" w:color="000E9C"/>
                  <w:right w:val="nil"/>
                </w:tcBorders>
                <w:shd w:val="clear" w:color="auto" w:fill="auto"/>
                <w:noWrap/>
                <w:hideMark/>
              </w:tcPr>
              <w:p w14:paraId="2638BCC4" w14:textId="77777777" w:rsidR="0041512C" w:rsidRPr="00CB7025" w:rsidRDefault="0041512C" w:rsidP="00D14D81">
                <w:pPr>
                  <w:spacing w:after="0" w:line="240" w:lineRule="auto"/>
                  <w:rPr>
                    <w:rFonts w:asciiTheme="minorHAnsi" w:eastAsia="Times New Roman" w:hAnsiTheme="minorHAnsi" w:cstheme="minorHAnsi"/>
                    <w:i/>
                    <w:iCs/>
                    <w:sz w:val="18"/>
                    <w:szCs w:val="18"/>
                    <w:lang w:eastAsia="fr-FR"/>
                  </w:rPr>
                </w:pPr>
                <w:r w:rsidRPr="00CB7025">
                  <w:rPr>
                    <w:rFonts w:asciiTheme="minorHAnsi" w:eastAsia="Times New Roman" w:hAnsiTheme="minorHAnsi" w:cstheme="minorHAnsi"/>
                    <w:i/>
                    <w:iCs/>
                    <w:sz w:val="18"/>
                    <w:szCs w:val="18"/>
                    <w:lang w:eastAsia="fr-FR"/>
                  </w:rPr>
                  <w:t>(</w:t>
                </w:r>
                <w:proofErr w:type="gramStart"/>
                <w:r w:rsidRPr="00CB7025">
                  <w:rPr>
                    <w:rFonts w:asciiTheme="minorHAnsi" w:eastAsia="Times New Roman" w:hAnsiTheme="minorHAnsi" w:cstheme="minorHAnsi"/>
                    <w:i/>
                    <w:iCs/>
                    <w:sz w:val="18"/>
                    <w:szCs w:val="18"/>
                    <w:lang w:eastAsia="fr-FR"/>
                  </w:rPr>
                  <w:t>en</w:t>
                </w:r>
                <w:proofErr w:type="gramEnd"/>
                <w:r w:rsidRPr="00CB7025">
                  <w:rPr>
                    <w:rFonts w:asciiTheme="minorHAnsi" w:eastAsia="Times New Roman" w:hAnsiTheme="minorHAnsi" w:cstheme="minorHAnsi"/>
                    <w:i/>
                    <w:iCs/>
                    <w:sz w:val="18"/>
                    <w:szCs w:val="18"/>
                    <w:lang w:eastAsia="fr-FR"/>
                  </w:rPr>
                  <w:t xml:space="preserve"> millions d'euros)</w:t>
                </w:r>
              </w:p>
            </w:tc>
            <w:tc>
              <w:tcPr>
                <w:tcW w:w="1395" w:type="dxa"/>
                <w:tcBorders>
                  <w:top w:val="nil"/>
                  <w:left w:val="nil"/>
                  <w:bottom w:val="single" w:sz="4" w:space="0" w:color="000E9C"/>
                  <w:right w:val="nil"/>
                </w:tcBorders>
                <w:shd w:val="clear" w:color="auto" w:fill="auto"/>
                <w:hideMark/>
              </w:tcPr>
              <w:p w14:paraId="69AE7F92" w14:textId="77777777" w:rsidR="0041512C" w:rsidRPr="00CB7025" w:rsidRDefault="0041512C" w:rsidP="00D14D81">
                <w:pPr>
                  <w:spacing w:after="0" w:line="240" w:lineRule="auto"/>
                  <w:jc w:val="right"/>
                  <w:rPr>
                    <w:rFonts w:asciiTheme="minorHAnsi" w:eastAsia="Times New Roman" w:hAnsiTheme="minorHAnsi" w:cstheme="minorHAnsi"/>
                    <w:sz w:val="18"/>
                    <w:szCs w:val="18"/>
                    <w:lang w:eastAsia="fr-FR"/>
                  </w:rPr>
                </w:pPr>
                <w:r w:rsidRPr="00CB7025">
                  <w:rPr>
                    <w:rFonts w:asciiTheme="minorHAnsi" w:eastAsia="Times New Roman" w:hAnsiTheme="minorHAnsi" w:cstheme="minorHAnsi"/>
                    <w:sz w:val="18"/>
                    <w:szCs w:val="18"/>
                    <w:lang w:eastAsia="fr-FR"/>
                  </w:rPr>
                  <w:t>1er semestre 2021</w:t>
                </w:r>
              </w:p>
            </w:tc>
            <w:tc>
              <w:tcPr>
                <w:tcW w:w="1395" w:type="dxa"/>
                <w:tcBorders>
                  <w:top w:val="nil"/>
                  <w:left w:val="nil"/>
                  <w:bottom w:val="single" w:sz="4" w:space="0" w:color="000E9C"/>
                  <w:right w:val="nil"/>
                </w:tcBorders>
                <w:shd w:val="clear" w:color="000000" w:fill="E7E6E6"/>
                <w:hideMark/>
              </w:tcPr>
              <w:p w14:paraId="6660F21B" w14:textId="77777777" w:rsidR="0041512C" w:rsidRPr="00CB7025" w:rsidRDefault="0041512C" w:rsidP="00D14D81">
                <w:pPr>
                  <w:spacing w:after="0" w:line="240" w:lineRule="auto"/>
                  <w:jc w:val="right"/>
                  <w:rPr>
                    <w:rFonts w:asciiTheme="minorHAnsi" w:eastAsia="Times New Roman" w:hAnsiTheme="minorHAnsi" w:cstheme="minorHAnsi"/>
                    <w:color w:val="000E9C"/>
                    <w:sz w:val="18"/>
                    <w:szCs w:val="18"/>
                    <w:lang w:eastAsia="fr-FR"/>
                  </w:rPr>
                </w:pPr>
                <w:r w:rsidRPr="00CB7025">
                  <w:rPr>
                    <w:rFonts w:asciiTheme="minorHAnsi" w:eastAsia="Times New Roman" w:hAnsiTheme="minorHAnsi" w:cstheme="minorHAnsi"/>
                    <w:color w:val="000E9C"/>
                    <w:sz w:val="18"/>
                    <w:szCs w:val="18"/>
                    <w:lang w:eastAsia="fr-FR"/>
                  </w:rPr>
                  <w:t>1er semestre 2022</w:t>
                </w:r>
              </w:p>
            </w:tc>
            <w:tc>
              <w:tcPr>
                <w:tcW w:w="1395" w:type="dxa"/>
                <w:tcBorders>
                  <w:top w:val="nil"/>
                  <w:left w:val="nil"/>
                  <w:bottom w:val="single" w:sz="4" w:space="0" w:color="000E9C"/>
                  <w:right w:val="nil"/>
                </w:tcBorders>
                <w:shd w:val="clear" w:color="auto" w:fill="auto"/>
                <w:hideMark/>
              </w:tcPr>
              <w:p w14:paraId="3034EF7E" w14:textId="77777777" w:rsidR="0041512C" w:rsidRPr="00CB7025" w:rsidRDefault="0041512C" w:rsidP="00D14D81">
                <w:pPr>
                  <w:spacing w:after="0" w:line="240" w:lineRule="auto"/>
                  <w:jc w:val="right"/>
                  <w:rPr>
                    <w:rFonts w:asciiTheme="minorHAnsi" w:eastAsia="Times New Roman" w:hAnsiTheme="minorHAnsi" w:cstheme="minorHAnsi"/>
                    <w:sz w:val="18"/>
                    <w:szCs w:val="18"/>
                    <w:lang w:eastAsia="fr-FR"/>
                  </w:rPr>
                </w:pPr>
                <w:r w:rsidRPr="00CB7025">
                  <w:rPr>
                    <w:rFonts w:asciiTheme="minorHAnsi" w:eastAsia="Times New Roman" w:hAnsiTheme="minorHAnsi" w:cstheme="minorHAnsi"/>
                    <w:sz w:val="18"/>
                    <w:szCs w:val="18"/>
                    <w:lang w:eastAsia="fr-FR"/>
                  </w:rPr>
                  <w:t xml:space="preserve">Variation </w:t>
                </w:r>
                <w:r w:rsidRPr="00CB7025">
                  <w:rPr>
                    <w:rFonts w:asciiTheme="minorHAnsi" w:eastAsia="Times New Roman" w:hAnsiTheme="minorHAnsi" w:cstheme="minorHAnsi"/>
                    <w:i/>
                    <w:iCs/>
                    <w:sz w:val="18"/>
                    <w:szCs w:val="18"/>
                    <w:lang w:eastAsia="fr-FR"/>
                  </w:rPr>
                  <w:t>(%)</w:t>
                </w:r>
              </w:p>
            </w:tc>
            <w:tc>
              <w:tcPr>
                <w:tcW w:w="1398" w:type="dxa"/>
                <w:tcBorders>
                  <w:top w:val="nil"/>
                  <w:left w:val="nil"/>
                  <w:bottom w:val="single" w:sz="4" w:space="0" w:color="000E9C"/>
                  <w:right w:val="nil"/>
                </w:tcBorders>
                <w:shd w:val="clear" w:color="auto" w:fill="auto"/>
                <w:hideMark/>
              </w:tcPr>
              <w:p w14:paraId="79D48E03" w14:textId="77777777" w:rsidR="0041512C" w:rsidRPr="00CB7025" w:rsidRDefault="0041512C" w:rsidP="00D14D81">
                <w:pPr>
                  <w:spacing w:after="0" w:line="240" w:lineRule="auto"/>
                  <w:jc w:val="right"/>
                  <w:rPr>
                    <w:rFonts w:asciiTheme="minorHAnsi" w:eastAsia="Times New Roman" w:hAnsiTheme="minorHAnsi" w:cstheme="minorHAnsi"/>
                    <w:sz w:val="18"/>
                    <w:szCs w:val="18"/>
                    <w:lang w:eastAsia="fr-FR"/>
                  </w:rPr>
                </w:pPr>
                <w:r w:rsidRPr="00CB7025">
                  <w:rPr>
                    <w:rFonts w:asciiTheme="minorHAnsi" w:eastAsia="Times New Roman" w:hAnsiTheme="minorHAnsi" w:cstheme="minorHAnsi"/>
                    <w:sz w:val="18"/>
                    <w:szCs w:val="18"/>
                    <w:lang w:eastAsia="fr-FR"/>
                  </w:rPr>
                  <w:t>Variation % en données comparables</w:t>
                </w:r>
              </w:p>
            </w:tc>
          </w:tr>
          <w:tr w:rsidR="0041512C" w:rsidRPr="00CB7025" w14:paraId="22CA121F" w14:textId="77777777" w:rsidTr="00D14D81">
            <w:trPr>
              <w:trHeight w:val="290"/>
            </w:trPr>
            <w:tc>
              <w:tcPr>
                <w:tcW w:w="3677" w:type="dxa"/>
                <w:tcBorders>
                  <w:top w:val="nil"/>
                  <w:left w:val="nil"/>
                  <w:bottom w:val="nil"/>
                  <w:right w:val="nil"/>
                </w:tcBorders>
                <w:shd w:val="clear" w:color="auto" w:fill="auto"/>
                <w:noWrap/>
                <w:vAlign w:val="center"/>
                <w:hideMark/>
              </w:tcPr>
              <w:p w14:paraId="70F2202A" w14:textId="77777777" w:rsidR="0041512C" w:rsidRPr="00CB7025" w:rsidRDefault="0041512C" w:rsidP="00D14D81">
                <w:pPr>
                  <w:spacing w:after="0" w:line="240" w:lineRule="auto"/>
                  <w:rPr>
                    <w:rFonts w:asciiTheme="minorHAnsi" w:eastAsia="Times New Roman" w:hAnsiTheme="minorHAnsi" w:cstheme="minorHAnsi"/>
                    <w:color w:val="000000"/>
                    <w:sz w:val="18"/>
                    <w:szCs w:val="18"/>
                    <w:lang w:eastAsia="fr-FR"/>
                  </w:rPr>
                </w:pPr>
                <w:r w:rsidRPr="00CB7025">
                  <w:rPr>
                    <w:rFonts w:asciiTheme="minorHAnsi" w:eastAsia="Times New Roman" w:hAnsiTheme="minorHAnsi" w:cstheme="minorHAnsi"/>
                    <w:color w:val="000000"/>
                    <w:sz w:val="18"/>
                    <w:szCs w:val="18"/>
                    <w:lang w:eastAsia="fr-FR"/>
                  </w:rPr>
                  <w:t>Cloud</w:t>
                </w:r>
                <w:r>
                  <w:rPr>
                    <w:rFonts w:asciiTheme="minorHAnsi" w:eastAsia="Times New Roman" w:hAnsiTheme="minorHAnsi" w:cstheme="minorHAnsi"/>
                    <w:color w:val="000000"/>
                    <w:sz w:val="18"/>
                    <w:szCs w:val="18"/>
                    <w:lang w:eastAsia="fr-FR"/>
                  </w:rPr>
                  <w:t xml:space="preserve"> privé</w:t>
                </w:r>
              </w:p>
            </w:tc>
            <w:tc>
              <w:tcPr>
                <w:tcW w:w="1395" w:type="dxa"/>
                <w:tcBorders>
                  <w:top w:val="nil"/>
                  <w:left w:val="nil"/>
                  <w:bottom w:val="nil"/>
                  <w:right w:val="nil"/>
                </w:tcBorders>
                <w:shd w:val="clear" w:color="auto" w:fill="auto"/>
                <w:noWrap/>
                <w:hideMark/>
              </w:tcPr>
              <w:p w14:paraId="13C8EACA" w14:textId="77777777" w:rsidR="0041512C" w:rsidRPr="00CB7025" w:rsidRDefault="0041512C" w:rsidP="00D14D81">
                <w:pPr>
                  <w:spacing w:after="0" w:line="240" w:lineRule="auto"/>
                  <w:jc w:val="right"/>
                  <w:rPr>
                    <w:rFonts w:asciiTheme="minorHAnsi" w:eastAsia="Times New Roman" w:hAnsiTheme="minorHAnsi" w:cstheme="minorHAnsi"/>
                    <w:sz w:val="18"/>
                    <w:szCs w:val="18"/>
                    <w:lang w:eastAsia="fr-FR"/>
                  </w:rPr>
                </w:pPr>
                <w:r w:rsidRPr="00CB7025">
                  <w:rPr>
                    <w:rFonts w:asciiTheme="minorHAnsi" w:eastAsia="Times New Roman" w:hAnsiTheme="minorHAnsi" w:cstheme="minorHAnsi"/>
                    <w:sz w:val="18"/>
                    <w:szCs w:val="18"/>
                    <w:lang w:eastAsia="fr-FR"/>
                  </w:rPr>
                  <w:t>201</w:t>
                </w:r>
              </w:p>
            </w:tc>
            <w:tc>
              <w:tcPr>
                <w:tcW w:w="1395" w:type="dxa"/>
                <w:tcBorders>
                  <w:top w:val="nil"/>
                  <w:left w:val="nil"/>
                  <w:bottom w:val="nil"/>
                  <w:right w:val="nil"/>
                </w:tcBorders>
                <w:shd w:val="clear" w:color="000000" w:fill="E7E6E6"/>
                <w:noWrap/>
                <w:hideMark/>
              </w:tcPr>
              <w:p w14:paraId="1DE400DB" w14:textId="77777777" w:rsidR="0041512C" w:rsidRPr="00CB7025" w:rsidRDefault="0041512C" w:rsidP="00D14D81">
                <w:pPr>
                  <w:spacing w:after="0" w:line="240" w:lineRule="auto"/>
                  <w:jc w:val="right"/>
                  <w:rPr>
                    <w:rFonts w:asciiTheme="minorHAnsi" w:eastAsia="Times New Roman" w:hAnsiTheme="minorHAnsi" w:cstheme="minorHAnsi"/>
                    <w:color w:val="000E9C"/>
                    <w:sz w:val="18"/>
                    <w:szCs w:val="18"/>
                    <w:lang w:eastAsia="fr-FR"/>
                  </w:rPr>
                </w:pPr>
                <w:r w:rsidRPr="00CB7025">
                  <w:rPr>
                    <w:rFonts w:asciiTheme="minorHAnsi" w:eastAsia="Times New Roman" w:hAnsiTheme="minorHAnsi" w:cstheme="minorHAnsi"/>
                    <w:color w:val="000E9C"/>
                    <w:sz w:val="18"/>
                    <w:szCs w:val="18"/>
                    <w:lang w:eastAsia="fr-FR"/>
                  </w:rPr>
                  <w:t>233</w:t>
                </w:r>
              </w:p>
            </w:tc>
            <w:tc>
              <w:tcPr>
                <w:tcW w:w="1395" w:type="dxa"/>
                <w:tcBorders>
                  <w:top w:val="nil"/>
                  <w:left w:val="nil"/>
                  <w:bottom w:val="nil"/>
                  <w:right w:val="nil"/>
                </w:tcBorders>
                <w:shd w:val="clear" w:color="auto" w:fill="auto"/>
                <w:noWrap/>
                <w:hideMark/>
              </w:tcPr>
              <w:p w14:paraId="4F01913F" w14:textId="77777777" w:rsidR="0041512C" w:rsidRPr="00CB7025" w:rsidRDefault="0041512C" w:rsidP="00D14D81">
                <w:pPr>
                  <w:spacing w:after="0" w:line="240" w:lineRule="auto"/>
                  <w:jc w:val="right"/>
                  <w:rPr>
                    <w:rFonts w:asciiTheme="minorHAnsi" w:eastAsia="Times New Roman" w:hAnsiTheme="minorHAnsi" w:cstheme="minorHAnsi"/>
                    <w:sz w:val="18"/>
                    <w:szCs w:val="18"/>
                    <w:lang w:eastAsia="fr-FR"/>
                  </w:rPr>
                </w:pPr>
                <w:r w:rsidRPr="00CB7025">
                  <w:rPr>
                    <w:rFonts w:asciiTheme="minorHAnsi" w:eastAsia="Times New Roman" w:hAnsiTheme="minorHAnsi" w:cstheme="minorHAnsi"/>
                    <w:sz w:val="18"/>
                    <w:szCs w:val="18"/>
                    <w:lang w:eastAsia="fr-FR"/>
                  </w:rPr>
                  <w:t>15,8%</w:t>
                </w:r>
              </w:p>
            </w:tc>
            <w:tc>
              <w:tcPr>
                <w:tcW w:w="1398" w:type="dxa"/>
                <w:tcBorders>
                  <w:top w:val="nil"/>
                  <w:left w:val="nil"/>
                  <w:bottom w:val="nil"/>
                  <w:right w:val="nil"/>
                </w:tcBorders>
                <w:shd w:val="clear" w:color="auto" w:fill="auto"/>
                <w:noWrap/>
                <w:hideMark/>
              </w:tcPr>
              <w:p w14:paraId="0A2E06DD" w14:textId="77777777" w:rsidR="0041512C" w:rsidRPr="00CB7025" w:rsidRDefault="0041512C" w:rsidP="00D14D81">
                <w:pPr>
                  <w:spacing w:after="0" w:line="240" w:lineRule="auto"/>
                  <w:jc w:val="right"/>
                  <w:rPr>
                    <w:rFonts w:asciiTheme="minorHAnsi" w:eastAsia="Times New Roman" w:hAnsiTheme="minorHAnsi" w:cstheme="minorHAnsi"/>
                    <w:sz w:val="18"/>
                    <w:szCs w:val="18"/>
                    <w:lang w:eastAsia="fr-FR"/>
                  </w:rPr>
                </w:pPr>
                <w:r w:rsidRPr="00CB7025">
                  <w:rPr>
                    <w:rFonts w:asciiTheme="minorHAnsi" w:eastAsia="Times New Roman" w:hAnsiTheme="minorHAnsi" w:cstheme="minorHAnsi"/>
                    <w:sz w:val="18"/>
                    <w:szCs w:val="18"/>
                    <w:lang w:eastAsia="fr-FR"/>
                  </w:rPr>
                  <w:t>14,7%</w:t>
                </w:r>
              </w:p>
            </w:tc>
          </w:tr>
          <w:tr w:rsidR="0041512C" w:rsidRPr="00CB7025" w14:paraId="2ECFA1E5" w14:textId="77777777" w:rsidTr="00D14D81">
            <w:trPr>
              <w:trHeight w:val="290"/>
            </w:trPr>
            <w:tc>
              <w:tcPr>
                <w:tcW w:w="3677" w:type="dxa"/>
                <w:tcBorders>
                  <w:top w:val="nil"/>
                  <w:left w:val="nil"/>
                  <w:bottom w:val="nil"/>
                  <w:right w:val="nil"/>
                </w:tcBorders>
                <w:shd w:val="clear" w:color="auto" w:fill="auto"/>
                <w:noWrap/>
                <w:vAlign w:val="center"/>
                <w:hideMark/>
              </w:tcPr>
              <w:p w14:paraId="3D25EDD4" w14:textId="77777777" w:rsidR="0041512C" w:rsidRPr="00CB7025" w:rsidRDefault="0041512C" w:rsidP="00D14D81">
                <w:pPr>
                  <w:spacing w:after="0" w:line="240" w:lineRule="auto"/>
                  <w:rPr>
                    <w:rFonts w:asciiTheme="minorHAnsi" w:eastAsia="Times New Roman" w:hAnsiTheme="minorHAnsi" w:cstheme="minorHAnsi"/>
                    <w:color w:val="000000"/>
                    <w:sz w:val="18"/>
                    <w:szCs w:val="18"/>
                    <w:lang w:eastAsia="fr-FR"/>
                  </w:rPr>
                </w:pPr>
                <w:r w:rsidRPr="00CB7025">
                  <w:rPr>
                    <w:rFonts w:asciiTheme="minorHAnsi" w:eastAsia="Times New Roman" w:hAnsiTheme="minorHAnsi" w:cstheme="minorHAnsi"/>
                    <w:color w:val="000000"/>
                    <w:sz w:val="18"/>
                    <w:szCs w:val="18"/>
                    <w:lang w:eastAsia="fr-FR"/>
                  </w:rPr>
                  <w:t>Cloud</w:t>
                </w:r>
                <w:r>
                  <w:rPr>
                    <w:rFonts w:asciiTheme="minorHAnsi" w:eastAsia="Times New Roman" w:hAnsiTheme="minorHAnsi" w:cstheme="minorHAnsi"/>
                    <w:color w:val="000000"/>
                    <w:sz w:val="18"/>
                    <w:szCs w:val="18"/>
                    <w:lang w:eastAsia="fr-FR"/>
                  </w:rPr>
                  <w:t xml:space="preserve"> public</w:t>
                </w:r>
              </w:p>
            </w:tc>
            <w:tc>
              <w:tcPr>
                <w:tcW w:w="1395" w:type="dxa"/>
                <w:tcBorders>
                  <w:top w:val="nil"/>
                  <w:left w:val="nil"/>
                  <w:bottom w:val="nil"/>
                  <w:right w:val="nil"/>
                </w:tcBorders>
                <w:shd w:val="clear" w:color="auto" w:fill="auto"/>
                <w:noWrap/>
                <w:hideMark/>
              </w:tcPr>
              <w:p w14:paraId="7321AB30" w14:textId="77777777" w:rsidR="0041512C" w:rsidRPr="00CB7025" w:rsidRDefault="0041512C" w:rsidP="00D14D81">
                <w:pPr>
                  <w:spacing w:after="0" w:line="240" w:lineRule="auto"/>
                  <w:jc w:val="right"/>
                  <w:rPr>
                    <w:rFonts w:asciiTheme="minorHAnsi" w:eastAsia="Times New Roman" w:hAnsiTheme="minorHAnsi" w:cstheme="minorHAnsi"/>
                    <w:sz w:val="18"/>
                    <w:szCs w:val="18"/>
                    <w:lang w:eastAsia="fr-FR"/>
                  </w:rPr>
                </w:pPr>
                <w:r w:rsidRPr="00CB7025">
                  <w:rPr>
                    <w:rFonts w:asciiTheme="minorHAnsi" w:eastAsia="Times New Roman" w:hAnsiTheme="minorHAnsi" w:cstheme="minorHAnsi"/>
                    <w:sz w:val="18"/>
                    <w:szCs w:val="18"/>
                    <w:lang w:eastAsia="fr-FR"/>
                  </w:rPr>
                  <w:t>48</w:t>
                </w:r>
              </w:p>
            </w:tc>
            <w:tc>
              <w:tcPr>
                <w:tcW w:w="1395" w:type="dxa"/>
                <w:tcBorders>
                  <w:top w:val="nil"/>
                  <w:left w:val="nil"/>
                  <w:bottom w:val="nil"/>
                  <w:right w:val="nil"/>
                </w:tcBorders>
                <w:shd w:val="clear" w:color="000000" w:fill="E7E6E6"/>
                <w:noWrap/>
                <w:hideMark/>
              </w:tcPr>
              <w:p w14:paraId="6DB15416" w14:textId="77777777" w:rsidR="0041512C" w:rsidRPr="00CB7025" w:rsidRDefault="0041512C" w:rsidP="00D14D81">
                <w:pPr>
                  <w:spacing w:after="0" w:line="240" w:lineRule="auto"/>
                  <w:jc w:val="right"/>
                  <w:rPr>
                    <w:rFonts w:asciiTheme="minorHAnsi" w:eastAsia="Times New Roman" w:hAnsiTheme="minorHAnsi" w:cstheme="minorHAnsi"/>
                    <w:color w:val="000E9C"/>
                    <w:sz w:val="18"/>
                    <w:szCs w:val="18"/>
                    <w:lang w:eastAsia="fr-FR"/>
                  </w:rPr>
                </w:pPr>
                <w:r w:rsidRPr="00CB7025">
                  <w:rPr>
                    <w:rFonts w:asciiTheme="minorHAnsi" w:eastAsia="Times New Roman" w:hAnsiTheme="minorHAnsi" w:cstheme="minorHAnsi"/>
                    <w:color w:val="000E9C"/>
                    <w:sz w:val="18"/>
                    <w:szCs w:val="18"/>
                    <w:lang w:eastAsia="fr-FR"/>
                  </w:rPr>
                  <w:t>60</w:t>
                </w:r>
              </w:p>
            </w:tc>
            <w:tc>
              <w:tcPr>
                <w:tcW w:w="1395" w:type="dxa"/>
                <w:tcBorders>
                  <w:top w:val="nil"/>
                  <w:left w:val="nil"/>
                  <w:bottom w:val="nil"/>
                  <w:right w:val="nil"/>
                </w:tcBorders>
                <w:shd w:val="clear" w:color="auto" w:fill="auto"/>
                <w:noWrap/>
                <w:hideMark/>
              </w:tcPr>
              <w:p w14:paraId="46F3AF60" w14:textId="77777777" w:rsidR="0041512C" w:rsidRPr="00CB7025" w:rsidRDefault="0041512C" w:rsidP="00D14D81">
                <w:pPr>
                  <w:spacing w:after="0" w:line="240" w:lineRule="auto"/>
                  <w:jc w:val="right"/>
                  <w:rPr>
                    <w:rFonts w:asciiTheme="minorHAnsi" w:eastAsia="Times New Roman" w:hAnsiTheme="minorHAnsi" w:cstheme="minorHAnsi"/>
                    <w:sz w:val="18"/>
                    <w:szCs w:val="18"/>
                    <w:lang w:eastAsia="fr-FR"/>
                  </w:rPr>
                </w:pPr>
                <w:r w:rsidRPr="00CB7025">
                  <w:rPr>
                    <w:rFonts w:asciiTheme="minorHAnsi" w:eastAsia="Times New Roman" w:hAnsiTheme="minorHAnsi" w:cstheme="minorHAnsi"/>
                    <w:sz w:val="18"/>
                    <w:szCs w:val="18"/>
                    <w:lang w:eastAsia="fr-FR"/>
                  </w:rPr>
                  <w:t>24,4%</w:t>
                </w:r>
              </w:p>
            </w:tc>
            <w:tc>
              <w:tcPr>
                <w:tcW w:w="1398" w:type="dxa"/>
                <w:tcBorders>
                  <w:top w:val="nil"/>
                  <w:left w:val="nil"/>
                  <w:bottom w:val="nil"/>
                  <w:right w:val="nil"/>
                </w:tcBorders>
                <w:shd w:val="clear" w:color="auto" w:fill="auto"/>
                <w:noWrap/>
                <w:hideMark/>
              </w:tcPr>
              <w:p w14:paraId="0D9BD88F" w14:textId="77777777" w:rsidR="0041512C" w:rsidRPr="00CB7025" w:rsidRDefault="0041512C" w:rsidP="00D14D81">
                <w:pPr>
                  <w:spacing w:after="0" w:line="240" w:lineRule="auto"/>
                  <w:jc w:val="right"/>
                  <w:rPr>
                    <w:rFonts w:asciiTheme="minorHAnsi" w:eastAsia="Times New Roman" w:hAnsiTheme="minorHAnsi" w:cstheme="minorHAnsi"/>
                    <w:sz w:val="18"/>
                    <w:szCs w:val="18"/>
                    <w:lang w:eastAsia="fr-FR"/>
                  </w:rPr>
                </w:pPr>
                <w:r w:rsidRPr="00CB7025">
                  <w:rPr>
                    <w:rFonts w:asciiTheme="minorHAnsi" w:eastAsia="Times New Roman" w:hAnsiTheme="minorHAnsi" w:cstheme="minorHAnsi"/>
                    <w:sz w:val="18"/>
                    <w:szCs w:val="18"/>
                    <w:lang w:eastAsia="fr-FR"/>
                  </w:rPr>
                  <w:t>21,0%</w:t>
                </w:r>
              </w:p>
            </w:tc>
          </w:tr>
          <w:tr w:rsidR="0041512C" w:rsidRPr="00CB7025" w14:paraId="5729C57D" w14:textId="77777777" w:rsidTr="00D14D81">
            <w:trPr>
              <w:trHeight w:val="290"/>
            </w:trPr>
            <w:tc>
              <w:tcPr>
                <w:tcW w:w="3677" w:type="dxa"/>
                <w:tcBorders>
                  <w:top w:val="nil"/>
                  <w:left w:val="nil"/>
                  <w:bottom w:val="single" w:sz="4" w:space="0" w:color="000E9C"/>
                  <w:right w:val="nil"/>
                </w:tcBorders>
                <w:shd w:val="clear" w:color="auto" w:fill="auto"/>
                <w:noWrap/>
                <w:vAlign w:val="center"/>
                <w:hideMark/>
              </w:tcPr>
              <w:p w14:paraId="6E828DA7" w14:textId="77777777" w:rsidR="0041512C" w:rsidRPr="00CB7025" w:rsidRDefault="0041512C" w:rsidP="00D14D81">
                <w:pPr>
                  <w:spacing w:after="0" w:line="240" w:lineRule="auto"/>
                  <w:rPr>
                    <w:rFonts w:asciiTheme="minorHAnsi" w:eastAsia="Times New Roman" w:hAnsiTheme="minorHAnsi" w:cstheme="minorHAnsi"/>
                    <w:color w:val="000000"/>
                    <w:sz w:val="18"/>
                    <w:szCs w:val="18"/>
                    <w:lang w:eastAsia="fr-FR"/>
                  </w:rPr>
                </w:pPr>
                <w:r w:rsidRPr="00CB7025">
                  <w:rPr>
                    <w:rFonts w:asciiTheme="minorHAnsi" w:eastAsia="Times New Roman" w:hAnsiTheme="minorHAnsi" w:cstheme="minorHAnsi"/>
                    <w:color w:val="000000"/>
                    <w:sz w:val="18"/>
                    <w:szCs w:val="18"/>
                    <w:lang w:eastAsia="fr-FR"/>
                  </w:rPr>
                  <w:t xml:space="preserve">Webcloud </w:t>
                </w:r>
                <w:r>
                  <w:rPr>
                    <w:rFonts w:asciiTheme="minorHAnsi" w:eastAsia="Times New Roman" w:hAnsiTheme="minorHAnsi" w:cstheme="minorHAnsi"/>
                    <w:color w:val="000000"/>
                    <w:sz w:val="18"/>
                    <w:szCs w:val="18"/>
                    <w:lang w:eastAsia="fr-FR"/>
                  </w:rPr>
                  <w:t>et autres</w:t>
                </w:r>
              </w:p>
            </w:tc>
            <w:tc>
              <w:tcPr>
                <w:tcW w:w="1395" w:type="dxa"/>
                <w:tcBorders>
                  <w:top w:val="nil"/>
                  <w:left w:val="nil"/>
                  <w:bottom w:val="single" w:sz="4" w:space="0" w:color="000E9C"/>
                  <w:right w:val="nil"/>
                </w:tcBorders>
                <w:shd w:val="clear" w:color="auto" w:fill="auto"/>
                <w:noWrap/>
                <w:hideMark/>
              </w:tcPr>
              <w:p w14:paraId="21813A1A" w14:textId="77777777" w:rsidR="0041512C" w:rsidRPr="00CB7025" w:rsidRDefault="0041512C" w:rsidP="00D14D81">
                <w:pPr>
                  <w:spacing w:after="0" w:line="240" w:lineRule="auto"/>
                  <w:jc w:val="right"/>
                  <w:rPr>
                    <w:rFonts w:asciiTheme="minorHAnsi" w:eastAsia="Times New Roman" w:hAnsiTheme="minorHAnsi" w:cstheme="minorHAnsi"/>
                    <w:sz w:val="18"/>
                    <w:szCs w:val="18"/>
                    <w:lang w:eastAsia="fr-FR"/>
                  </w:rPr>
                </w:pPr>
                <w:r w:rsidRPr="00CB7025">
                  <w:rPr>
                    <w:rFonts w:asciiTheme="minorHAnsi" w:eastAsia="Times New Roman" w:hAnsiTheme="minorHAnsi" w:cstheme="minorHAnsi"/>
                    <w:sz w:val="18"/>
                    <w:szCs w:val="18"/>
                    <w:lang w:eastAsia="fr-FR"/>
                  </w:rPr>
                  <w:t>86</w:t>
                </w:r>
              </w:p>
            </w:tc>
            <w:tc>
              <w:tcPr>
                <w:tcW w:w="1395" w:type="dxa"/>
                <w:tcBorders>
                  <w:top w:val="nil"/>
                  <w:left w:val="nil"/>
                  <w:bottom w:val="single" w:sz="4" w:space="0" w:color="000E9C"/>
                  <w:right w:val="nil"/>
                </w:tcBorders>
                <w:shd w:val="clear" w:color="000000" w:fill="E7E6E6"/>
                <w:noWrap/>
                <w:hideMark/>
              </w:tcPr>
              <w:p w14:paraId="759EC9CA" w14:textId="77777777" w:rsidR="0041512C" w:rsidRPr="00CB7025" w:rsidRDefault="0041512C" w:rsidP="00D14D81">
                <w:pPr>
                  <w:spacing w:after="0" w:line="240" w:lineRule="auto"/>
                  <w:jc w:val="right"/>
                  <w:rPr>
                    <w:rFonts w:asciiTheme="minorHAnsi" w:eastAsia="Times New Roman" w:hAnsiTheme="minorHAnsi" w:cstheme="minorHAnsi"/>
                    <w:color w:val="000E9C"/>
                    <w:sz w:val="18"/>
                    <w:szCs w:val="18"/>
                    <w:lang w:eastAsia="fr-FR"/>
                  </w:rPr>
                </w:pPr>
                <w:r w:rsidRPr="00CB7025">
                  <w:rPr>
                    <w:rFonts w:asciiTheme="minorHAnsi" w:eastAsia="Times New Roman" w:hAnsiTheme="minorHAnsi" w:cstheme="minorHAnsi"/>
                    <w:color w:val="000E9C"/>
                    <w:sz w:val="18"/>
                    <w:szCs w:val="18"/>
                    <w:lang w:eastAsia="fr-FR"/>
                  </w:rPr>
                  <w:t>90</w:t>
                </w:r>
              </w:p>
            </w:tc>
            <w:tc>
              <w:tcPr>
                <w:tcW w:w="1395" w:type="dxa"/>
                <w:tcBorders>
                  <w:top w:val="nil"/>
                  <w:left w:val="nil"/>
                  <w:bottom w:val="single" w:sz="4" w:space="0" w:color="000E9C"/>
                  <w:right w:val="nil"/>
                </w:tcBorders>
                <w:shd w:val="clear" w:color="auto" w:fill="auto"/>
                <w:noWrap/>
                <w:hideMark/>
              </w:tcPr>
              <w:p w14:paraId="67B03C1F" w14:textId="77777777" w:rsidR="0041512C" w:rsidRPr="00CB7025" w:rsidRDefault="0041512C" w:rsidP="00D14D81">
                <w:pPr>
                  <w:spacing w:after="0" w:line="240" w:lineRule="auto"/>
                  <w:jc w:val="right"/>
                  <w:rPr>
                    <w:rFonts w:asciiTheme="minorHAnsi" w:eastAsia="Times New Roman" w:hAnsiTheme="minorHAnsi" w:cstheme="minorHAnsi"/>
                    <w:sz w:val="18"/>
                    <w:szCs w:val="18"/>
                    <w:lang w:eastAsia="fr-FR"/>
                  </w:rPr>
                </w:pPr>
                <w:r w:rsidRPr="00CB7025">
                  <w:rPr>
                    <w:rFonts w:asciiTheme="minorHAnsi" w:eastAsia="Times New Roman" w:hAnsiTheme="minorHAnsi" w:cstheme="minorHAnsi"/>
                    <w:sz w:val="18"/>
                    <w:szCs w:val="18"/>
                    <w:lang w:eastAsia="fr-FR"/>
                  </w:rPr>
                  <w:t>4,9%</w:t>
                </w:r>
              </w:p>
            </w:tc>
            <w:tc>
              <w:tcPr>
                <w:tcW w:w="1398" w:type="dxa"/>
                <w:tcBorders>
                  <w:top w:val="nil"/>
                  <w:left w:val="nil"/>
                  <w:bottom w:val="single" w:sz="4" w:space="0" w:color="000E9C"/>
                  <w:right w:val="nil"/>
                </w:tcBorders>
                <w:shd w:val="clear" w:color="auto" w:fill="auto"/>
                <w:noWrap/>
                <w:hideMark/>
              </w:tcPr>
              <w:p w14:paraId="6EFF6745" w14:textId="77777777" w:rsidR="0041512C" w:rsidRPr="00CB7025" w:rsidRDefault="0041512C" w:rsidP="00D14D81">
                <w:pPr>
                  <w:spacing w:after="0" w:line="240" w:lineRule="auto"/>
                  <w:jc w:val="right"/>
                  <w:rPr>
                    <w:rFonts w:asciiTheme="minorHAnsi" w:eastAsia="Times New Roman" w:hAnsiTheme="minorHAnsi" w:cstheme="minorHAnsi"/>
                    <w:sz w:val="18"/>
                    <w:szCs w:val="18"/>
                    <w:lang w:eastAsia="fr-FR"/>
                  </w:rPr>
                </w:pPr>
                <w:r w:rsidRPr="00CB7025">
                  <w:rPr>
                    <w:rFonts w:asciiTheme="minorHAnsi" w:eastAsia="Times New Roman" w:hAnsiTheme="minorHAnsi" w:cstheme="minorHAnsi"/>
                    <w:sz w:val="18"/>
                    <w:szCs w:val="18"/>
                    <w:lang w:eastAsia="fr-FR"/>
                  </w:rPr>
                  <w:t>5,3%</w:t>
                </w:r>
              </w:p>
            </w:tc>
          </w:tr>
          <w:tr w:rsidR="0041512C" w:rsidRPr="00CB7025" w14:paraId="4A7F3D96" w14:textId="77777777" w:rsidTr="00D14D81">
            <w:trPr>
              <w:trHeight w:val="290"/>
            </w:trPr>
            <w:tc>
              <w:tcPr>
                <w:tcW w:w="3677" w:type="dxa"/>
                <w:tcBorders>
                  <w:top w:val="nil"/>
                  <w:left w:val="nil"/>
                  <w:bottom w:val="nil"/>
                  <w:right w:val="nil"/>
                </w:tcBorders>
                <w:shd w:val="clear" w:color="auto" w:fill="auto"/>
                <w:noWrap/>
                <w:vAlign w:val="center"/>
                <w:hideMark/>
              </w:tcPr>
              <w:p w14:paraId="788A3D53" w14:textId="77777777" w:rsidR="0041512C" w:rsidRPr="00CB7025" w:rsidRDefault="0041512C" w:rsidP="00D14D81">
                <w:pPr>
                  <w:spacing w:after="0" w:line="240" w:lineRule="auto"/>
                  <w:rPr>
                    <w:rFonts w:asciiTheme="minorHAnsi" w:eastAsia="Times New Roman" w:hAnsiTheme="minorHAnsi" w:cstheme="minorHAnsi"/>
                    <w:color w:val="000E9C"/>
                    <w:sz w:val="18"/>
                    <w:szCs w:val="18"/>
                    <w:lang w:eastAsia="fr-FR"/>
                  </w:rPr>
                </w:pPr>
                <w:r w:rsidRPr="00CB7025">
                  <w:rPr>
                    <w:rFonts w:asciiTheme="minorHAnsi" w:eastAsia="Times New Roman" w:hAnsiTheme="minorHAnsi" w:cstheme="minorHAnsi"/>
                    <w:color w:val="000E9C"/>
                    <w:sz w:val="18"/>
                    <w:szCs w:val="18"/>
                    <w:lang w:eastAsia="fr-FR"/>
                  </w:rPr>
                  <w:t>Total chiffre d'affaires</w:t>
                </w:r>
              </w:p>
            </w:tc>
            <w:tc>
              <w:tcPr>
                <w:tcW w:w="1395" w:type="dxa"/>
                <w:tcBorders>
                  <w:top w:val="nil"/>
                  <w:left w:val="nil"/>
                  <w:bottom w:val="nil"/>
                  <w:right w:val="nil"/>
                </w:tcBorders>
                <w:shd w:val="clear" w:color="auto" w:fill="auto"/>
                <w:noWrap/>
                <w:hideMark/>
              </w:tcPr>
              <w:p w14:paraId="6A5F8F16" w14:textId="77777777" w:rsidR="0041512C" w:rsidRPr="00CB7025" w:rsidRDefault="0041512C" w:rsidP="00D14D81">
                <w:pPr>
                  <w:spacing w:after="0" w:line="240" w:lineRule="auto"/>
                  <w:jc w:val="right"/>
                  <w:rPr>
                    <w:rFonts w:asciiTheme="minorHAnsi" w:eastAsia="Times New Roman" w:hAnsiTheme="minorHAnsi" w:cstheme="minorHAnsi"/>
                    <w:b/>
                    <w:bCs/>
                    <w:sz w:val="18"/>
                    <w:szCs w:val="18"/>
                    <w:lang w:eastAsia="fr-FR"/>
                  </w:rPr>
                </w:pPr>
                <w:r w:rsidRPr="00CB7025">
                  <w:rPr>
                    <w:rFonts w:asciiTheme="minorHAnsi" w:eastAsia="Times New Roman" w:hAnsiTheme="minorHAnsi" w:cstheme="minorHAnsi"/>
                    <w:b/>
                    <w:bCs/>
                    <w:sz w:val="18"/>
                    <w:szCs w:val="18"/>
                    <w:lang w:eastAsia="fr-FR"/>
                  </w:rPr>
                  <w:t>334</w:t>
                </w:r>
              </w:p>
            </w:tc>
            <w:tc>
              <w:tcPr>
                <w:tcW w:w="1395" w:type="dxa"/>
                <w:tcBorders>
                  <w:top w:val="nil"/>
                  <w:left w:val="nil"/>
                  <w:bottom w:val="nil"/>
                  <w:right w:val="nil"/>
                </w:tcBorders>
                <w:shd w:val="clear" w:color="000000" w:fill="E7E6E6"/>
                <w:noWrap/>
                <w:hideMark/>
              </w:tcPr>
              <w:p w14:paraId="6F013B98" w14:textId="77777777" w:rsidR="0041512C" w:rsidRPr="00CB7025" w:rsidRDefault="0041512C" w:rsidP="00D14D81">
                <w:pPr>
                  <w:spacing w:after="0" w:line="240" w:lineRule="auto"/>
                  <w:jc w:val="right"/>
                  <w:rPr>
                    <w:rFonts w:asciiTheme="minorHAnsi" w:eastAsia="Times New Roman" w:hAnsiTheme="minorHAnsi" w:cstheme="minorHAnsi"/>
                    <w:b/>
                    <w:bCs/>
                    <w:color w:val="000E9C"/>
                    <w:sz w:val="18"/>
                    <w:szCs w:val="18"/>
                    <w:lang w:eastAsia="fr-FR"/>
                  </w:rPr>
                </w:pPr>
                <w:r w:rsidRPr="00CB7025">
                  <w:rPr>
                    <w:rFonts w:asciiTheme="minorHAnsi" w:eastAsia="Times New Roman" w:hAnsiTheme="minorHAnsi" w:cstheme="minorHAnsi"/>
                    <w:b/>
                    <w:bCs/>
                    <w:color w:val="000E9C"/>
                    <w:sz w:val="18"/>
                    <w:szCs w:val="18"/>
                    <w:lang w:eastAsia="fr-FR"/>
                  </w:rPr>
                  <w:t>382</w:t>
                </w:r>
              </w:p>
            </w:tc>
            <w:tc>
              <w:tcPr>
                <w:tcW w:w="1395" w:type="dxa"/>
                <w:tcBorders>
                  <w:top w:val="nil"/>
                  <w:left w:val="nil"/>
                  <w:bottom w:val="nil"/>
                  <w:right w:val="nil"/>
                </w:tcBorders>
                <w:shd w:val="clear" w:color="auto" w:fill="auto"/>
                <w:noWrap/>
                <w:hideMark/>
              </w:tcPr>
              <w:p w14:paraId="1D58390C" w14:textId="77777777" w:rsidR="0041512C" w:rsidRPr="00CB7025" w:rsidRDefault="0041512C" w:rsidP="00D14D81">
                <w:pPr>
                  <w:spacing w:after="0" w:line="240" w:lineRule="auto"/>
                  <w:jc w:val="right"/>
                  <w:rPr>
                    <w:rFonts w:asciiTheme="minorHAnsi" w:eastAsia="Times New Roman" w:hAnsiTheme="minorHAnsi" w:cstheme="minorHAnsi"/>
                    <w:b/>
                    <w:bCs/>
                    <w:sz w:val="18"/>
                    <w:szCs w:val="18"/>
                    <w:lang w:eastAsia="fr-FR"/>
                  </w:rPr>
                </w:pPr>
                <w:r w:rsidRPr="00CB7025">
                  <w:rPr>
                    <w:rFonts w:asciiTheme="minorHAnsi" w:eastAsia="Times New Roman" w:hAnsiTheme="minorHAnsi" w:cstheme="minorHAnsi"/>
                    <w:b/>
                    <w:bCs/>
                    <w:sz w:val="18"/>
                    <w:szCs w:val="18"/>
                    <w:lang w:eastAsia="fr-FR"/>
                  </w:rPr>
                  <w:t>14,3%</w:t>
                </w:r>
              </w:p>
            </w:tc>
            <w:tc>
              <w:tcPr>
                <w:tcW w:w="1398" w:type="dxa"/>
                <w:tcBorders>
                  <w:top w:val="nil"/>
                  <w:left w:val="nil"/>
                  <w:bottom w:val="nil"/>
                  <w:right w:val="nil"/>
                </w:tcBorders>
                <w:shd w:val="clear" w:color="auto" w:fill="auto"/>
                <w:noWrap/>
                <w:hideMark/>
              </w:tcPr>
              <w:p w14:paraId="5C913A87" w14:textId="77777777" w:rsidR="0041512C" w:rsidRPr="00CB7025" w:rsidRDefault="0041512C" w:rsidP="00D14D81">
                <w:pPr>
                  <w:spacing w:after="0" w:line="240" w:lineRule="auto"/>
                  <w:jc w:val="right"/>
                  <w:rPr>
                    <w:rFonts w:asciiTheme="minorHAnsi" w:eastAsia="Times New Roman" w:hAnsiTheme="minorHAnsi" w:cstheme="minorHAnsi"/>
                    <w:b/>
                    <w:bCs/>
                    <w:sz w:val="18"/>
                    <w:szCs w:val="18"/>
                    <w:lang w:eastAsia="fr-FR"/>
                  </w:rPr>
                </w:pPr>
                <w:r w:rsidRPr="00CB7025">
                  <w:rPr>
                    <w:rFonts w:asciiTheme="minorHAnsi" w:eastAsia="Times New Roman" w:hAnsiTheme="minorHAnsi" w:cstheme="minorHAnsi"/>
                    <w:b/>
                    <w:bCs/>
                    <w:sz w:val="18"/>
                    <w:szCs w:val="18"/>
                    <w:lang w:eastAsia="fr-FR"/>
                  </w:rPr>
                  <w:t>13,3%</w:t>
                </w:r>
              </w:p>
            </w:tc>
          </w:tr>
        </w:tbl>
        <w:p w14:paraId="0E6A7697" w14:textId="77777777" w:rsidR="0041512C" w:rsidRPr="00B264D1" w:rsidRDefault="0041512C" w:rsidP="0041512C">
          <w:pPr>
            <w:jc w:val="both"/>
            <w:rPr>
              <w:rFonts w:asciiTheme="minorHAnsi" w:hAnsiTheme="minorHAnsi" w:cstheme="minorHAnsi"/>
            </w:rPr>
          </w:pPr>
          <w:r w:rsidRPr="00B264D1">
            <w:rPr>
              <w:rFonts w:asciiTheme="minorHAnsi" w:eastAsia="Calibri" w:hAnsiTheme="minorHAnsi" w:cstheme="minorHAnsi"/>
              <w:b/>
              <w:bCs/>
              <w:sz w:val="20"/>
              <w:szCs w:val="20"/>
            </w:rPr>
            <w:t xml:space="preserve"> </w:t>
          </w:r>
        </w:p>
        <w:p w14:paraId="25544331" w14:textId="7EF82D5E" w:rsidR="0041512C" w:rsidRPr="00F649CD" w:rsidRDefault="0041512C" w:rsidP="0041512C">
          <w:pPr>
            <w:pStyle w:val="TexteCP"/>
            <w:rPr>
              <w:rFonts w:asciiTheme="minorHAnsi" w:hAnsiTheme="minorHAnsi" w:cstheme="minorHAnsi"/>
            </w:rPr>
          </w:pPr>
          <w:r w:rsidRPr="00F649CD">
            <w:rPr>
              <w:rFonts w:asciiTheme="minorHAnsi" w:hAnsiTheme="minorHAnsi" w:cstheme="minorHAnsi"/>
            </w:rPr>
            <w:t xml:space="preserve">Le </w:t>
          </w:r>
          <w:r w:rsidRPr="00F649CD">
            <w:rPr>
              <w:rFonts w:asciiTheme="minorHAnsi" w:hAnsiTheme="minorHAnsi" w:cstheme="minorHAnsi"/>
              <w:b/>
              <w:bCs/>
            </w:rPr>
            <w:t>Cloud privé</w:t>
          </w:r>
          <w:r w:rsidRPr="00F649CD">
            <w:rPr>
              <w:rFonts w:asciiTheme="minorHAnsi" w:hAnsiTheme="minorHAnsi" w:cstheme="minorHAnsi"/>
            </w:rPr>
            <w:t xml:space="preserve">, qui intègre </w:t>
          </w:r>
          <w:proofErr w:type="spellStart"/>
          <w:r w:rsidRPr="00F649CD">
            <w:rPr>
              <w:rFonts w:asciiTheme="minorHAnsi" w:hAnsiTheme="minorHAnsi" w:cstheme="minorHAnsi"/>
            </w:rPr>
            <w:t>Bare</w:t>
          </w:r>
          <w:proofErr w:type="spellEnd"/>
          <w:r w:rsidRPr="00F649CD">
            <w:rPr>
              <w:rFonts w:asciiTheme="minorHAnsi" w:hAnsiTheme="minorHAnsi" w:cstheme="minorHAnsi"/>
            </w:rPr>
            <w:t xml:space="preserve"> </w:t>
          </w:r>
          <w:proofErr w:type="spellStart"/>
          <w:r w:rsidRPr="00F649CD">
            <w:rPr>
              <w:rFonts w:asciiTheme="minorHAnsi" w:hAnsiTheme="minorHAnsi" w:cstheme="minorHAnsi"/>
            </w:rPr>
            <w:t>Metal</w:t>
          </w:r>
          <w:proofErr w:type="spellEnd"/>
          <w:r w:rsidRPr="00F649CD">
            <w:rPr>
              <w:rFonts w:asciiTheme="minorHAnsi" w:hAnsiTheme="minorHAnsi" w:cstheme="minorHAnsi"/>
            </w:rPr>
            <w:t xml:space="preserve"> et </w:t>
          </w:r>
          <w:proofErr w:type="spellStart"/>
          <w:r w:rsidRPr="00F649CD">
            <w:rPr>
              <w:rFonts w:asciiTheme="minorHAnsi" w:hAnsiTheme="minorHAnsi" w:cstheme="minorHAnsi"/>
            </w:rPr>
            <w:t>Hosted</w:t>
          </w:r>
          <w:proofErr w:type="spellEnd"/>
          <w:r w:rsidRPr="00F649CD">
            <w:rPr>
              <w:rFonts w:asciiTheme="minorHAnsi" w:hAnsiTheme="minorHAnsi" w:cstheme="minorHAnsi"/>
            </w:rPr>
            <w:t xml:space="preserve"> </w:t>
          </w:r>
          <w:proofErr w:type="spellStart"/>
          <w:r w:rsidRPr="00F649CD">
            <w:rPr>
              <w:rFonts w:asciiTheme="minorHAnsi" w:hAnsiTheme="minorHAnsi" w:cstheme="minorHAnsi"/>
            </w:rPr>
            <w:t>Private</w:t>
          </w:r>
          <w:proofErr w:type="spellEnd"/>
          <w:r w:rsidRPr="00F649CD">
            <w:rPr>
              <w:rFonts w:asciiTheme="minorHAnsi" w:hAnsiTheme="minorHAnsi" w:cstheme="minorHAnsi"/>
            </w:rPr>
            <w:t xml:space="preserve"> Cloud, a atteint un chiffre d’affaires de 233 millions d’euros au premier semestre, soit une croissance de +15,8% en données publiées et +14,7% en données comparables après un second trimestre en hausse de +17,0% en données publiées et +15,0% en données comparables venant confirmer </w:t>
          </w:r>
          <w:r>
            <w:rPr>
              <w:rFonts w:asciiTheme="minorHAnsi" w:hAnsiTheme="minorHAnsi" w:cstheme="minorHAnsi"/>
            </w:rPr>
            <w:t>la dynamique</w:t>
          </w:r>
          <w:r w:rsidRPr="00F649CD">
            <w:rPr>
              <w:rFonts w:asciiTheme="minorHAnsi" w:hAnsiTheme="minorHAnsi" w:cstheme="minorHAnsi"/>
            </w:rPr>
            <w:t xml:space="preserve"> du début d’année. La forte croissance du segment sur le semestre reflète une augmentation continue de l’ARPAC ainsi qu’une bonne performance aux Etats-Unis et en Asie, </w:t>
          </w:r>
          <w:r w:rsidRPr="00F649CD">
            <w:rPr>
              <w:rFonts w:asciiTheme="minorHAnsi" w:hAnsiTheme="minorHAnsi" w:cstheme="minorHAnsi"/>
            </w:rPr>
            <w:lastRenderedPageBreak/>
            <w:t>notamment dans le canal</w:t>
          </w:r>
          <w:r>
            <w:rPr>
              <w:rFonts w:asciiTheme="minorHAnsi" w:hAnsiTheme="minorHAnsi" w:cstheme="minorHAnsi"/>
            </w:rPr>
            <w:t xml:space="preserve"> client</w:t>
          </w:r>
          <w:r w:rsidRPr="00F649CD">
            <w:rPr>
              <w:rFonts w:asciiTheme="minorHAnsi" w:hAnsiTheme="minorHAnsi" w:cstheme="minorHAnsi"/>
            </w:rPr>
            <w:t xml:space="preserve"> </w:t>
          </w:r>
          <w:r>
            <w:rPr>
              <w:rFonts w:asciiTheme="minorHAnsi" w:hAnsiTheme="minorHAnsi" w:cstheme="minorHAnsi"/>
            </w:rPr>
            <w:t>« </w:t>
          </w:r>
          <w:r w:rsidRPr="00F649CD">
            <w:rPr>
              <w:rFonts w:asciiTheme="minorHAnsi" w:hAnsiTheme="minorHAnsi" w:cstheme="minorHAnsi"/>
            </w:rPr>
            <w:t>Digital</w:t>
          </w:r>
          <w:r>
            <w:rPr>
              <w:rFonts w:asciiTheme="minorHAnsi" w:hAnsiTheme="minorHAnsi" w:cstheme="minorHAnsi"/>
            </w:rPr>
            <w:t> »</w:t>
          </w:r>
          <w:r w:rsidRPr="00F649CD">
            <w:rPr>
              <w:rFonts w:asciiTheme="minorHAnsi" w:hAnsiTheme="minorHAnsi" w:cstheme="minorHAnsi"/>
            </w:rPr>
            <w:t xml:space="preserve">. En données publiées sur le semestre, le chiffre d’affaires intègre un impact de </w:t>
          </w:r>
          <w:r>
            <w:rPr>
              <w:rFonts w:asciiTheme="minorHAnsi" w:hAnsiTheme="minorHAnsi" w:cstheme="minorHAnsi"/>
            </w:rPr>
            <w:t>1</w:t>
          </w:r>
          <w:r w:rsidRPr="00F649CD">
            <w:rPr>
              <w:rFonts w:asciiTheme="minorHAnsi" w:hAnsiTheme="minorHAnsi" w:cstheme="minorHAnsi"/>
            </w:rPr>
            <w:t>,</w:t>
          </w:r>
          <w:r>
            <w:rPr>
              <w:rFonts w:asciiTheme="minorHAnsi" w:hAnsiTheme="minorHAnsi" w:cstheme="minorHAnsi"/>
            </w:rPr>
            <w:t>7</w:t>
          </w:r>
          <w:r w:rsidRPr="00F649CD">
            <w:rPr>
              <w:rFonts w:asciiTheme="minorHAnsi" w:hAnsiTheme="minorHAnsi" w:cstheme="minorHAnsi"/>
            </w:rPr>
            <w:t xml:space="preserve"> millions d’euros au titre de gestes commerciaux relatifs à l’incident de Strasbourg.</w:t>
          </w:r>
        </w:p>
        <w:p w14:paraId="2CA27B74" w14:textId="77777777" w:rsidR="0041512C" w:rsidRPr="00F649CD" w:rsidRDefault="0041512C" w:rsidP="0041512C">
          <w:pPr>
            <w:pStyle w:val="TexteCP"/>
            <w:ind w:left="720"/>
            <w:rPr>
              <w:rFonts w:asciiTheme="minorHAnsi" w:hAnsiTheme="minorHAnsi" w:cstheme="minorHAnsi"/>
            </w:rPr>
          </w:pPr>
        </w:p>
        <w:p w14:paraId="7066E402" w14:textId="522A78E2" w:rsidR="0041512C" w:rsidRPr="00F649CD" w:rsidRDefault="0041512C" w:rsidP="0041512C">
          <w:pPr>
            <w:pStyle w:val="TexteCP"/>
            <w:rPr>
              <w:rFonts w:asciiTheme="minorHAnsi" w:hAnsiTheme="minorHAnsi" w:cstheme="minorHAnsi"/>
            </w:rPr>
          </w:pPr>
          <w:r w:rsidRPr="00F649CD">
            <w:rPr>
              <w:rFonts w:asciiTheme="minorHAnsi" w:hAnsiTheme="minorHAnsi" w:cstheme="minorHAnsi"/>
            </w:rPr>
            <w:t xml:space="preserve">Le </w:t>
          </w:r>
          <w:r w:rsidRPr="00F649CD">
            <w:rPr>
              <w:rFonts w:asciiTheme="minorHAnsi" w:hAnsiTheme="minorHAnsi" w:cstheme="minorHAnsi"/>
              <w:b/>
              <w:bCs/>
            </w:rPr>
            <w:t>Cloud public</w:t>
          </w:r>
          <w:r w:rsidRPr="00F649CD">
            <w:rPr>
              <w:rFonts w:asciiTheme="minorHAnsi" w:hAnsiTheme="minorHAnsi" w:cstheme="minorHAnsi"/>
            </w:rPr>
            <w:t xml:space="preserve"> a continué sa forte croissance tout au long du semestre et atteint un chiffre d’affaires de 60 millions d’euros sur la période, reflétant une croissance de +24,4% en données publiées et de +21,0% sur une base comparable. Lors du deuxième trimestre la croissance a atteint +23,9% en données publiées et de +20,0% sur une base comparable. Le Cloud public a notamment bénéficié d’une forte progression de l’ARPAC, reflétant le succès du travail porté sur l’</w:t>
          </w:r>
          <w:proofErr w:type="spellStart"/>
          <w:r w:rsidRPr="00F649CD">
            <w:rPr>
              <w:rFonts w:asciiTheme="minorHAnsi" w:hAnsiTheme="minorHAnsi" w:cstheme="minorHAnsi"/>
              <w:i/>
              <w:iCs w:val="0"/>
            </w:rPr>
            <w:t>upsell</w:t>
          </w:r>
          <w:proofErr w:type="spellEnd"/>
          <w:r w:rsidRPr="00F649CD">
            <w:rPr>
              <w:rFonts w:asciiTheme="minorHAnsi" w:hAnsiTheme="minorHAnsi" w:cstheme="minorHAnsi"/>
              <w:i/>
              <w:iCs w:val="0"/>
            </w:rPr>
            <w:t xml:space="preserve"> </w:t>
          </w:r>
          <w:r w:rsidRPr="00F649CD">
            <w:rPr>
              <w:rFonts w:asciiTheme="minorHAnsi" w:hAnsiTheme="minorHAnsi" w:cstheme="minorHAnsi"/>
            </w:rPr>
            <w:t xml:space="preserve">et le </w:t>
          </w:r>
          <w:r w:rsidRPr="00F649CD">
            <w:rPr>
              <w:rFonts w:asciiTheme="minorHAnsi" w:hAnsiTheme="minorHAnsi" w:cstheme="minorHAnsi"/>
              <w:i/>
              <w:iCs w:val="0"/>
            </w:rPr>
            <w:t>cross-</w:t>
          </w:r>
          <w:proofErr w:type="spellStart"/>
          <w:r w:rsidRPr="00F649CD">
            <w:rPr>
              <w:rFonts w:asciiTheme="minorHAnsi" w:hAnsiTheme="minorHAnsi" w:cstheme="minorHAnsi"/>
              <w:i/>
              <w:iCs w:val="0"/>
            </w:rPr>
            <w:t>sell</w:t>
          </w:r>
          <w:proofErr w:type="spellEnd"/>
          <w:r w:rsidRPr="00F649CD">
            <w:rPr>
              <w:rFonts w:asciiTheme="minorHAnsi" w:hAnsiTheme="minorHAnsi" w:cstheme="minorHAnsi"/>
            </w:rPr>
            <w:t>. Les services PaaS, tant en Beta que récemment commercialisés</w:t>
          </w:r>
          <w:r>
            <w:rPr>
              <w:rFonts w:asciiTheme="minorHAnsi" w:hAnsiTheme="minorHAnsi" w:cstheme="minorHAnsi"/>
            </w:rPr>
            <w:t xml:space="preserve"> (« General </w:t>
          </w:r>
          <w:proofErr w:type="spellStart"/>
          <w:r>
            <w:rPr>
              <w:rFonts w:asciiTheme="minorHAnsi" w:hAnsiTheme="minorHAnsi" w:cstheme="minorHAnsi"/>
            </w:rPr>
            <w:t>Availability</w:t>
          </w:r>
          <w:proofErr w:type="spellEnd"/>
          <w:r>
            <w:rPr>
              <w:rFonts w:asciiTheme="minorHAnsi" w:hAnsiTheme="minorHAnsi" w:cstheme="minorHAnsi"/>
            </w:rPr>
            <w:t> »)</w:t>
          </w:r>
          <w:r w:rsidRPr="00F649CD">
            <w:rPr>
              <w:rFonts w:asciiTheme="minorHAnsi" w:hAnsiTheme="minorHAnsi" w:cstheme="minorHAnsi"/>
            </w:rPr>
            <w:t>, continuent d’enregistrer des signes encourageants d’adoption par les clients. Le renforcement de l’offre</w:t>
          </w:r>
          <w:r>
            <w:rPr>
              <w:rFonts w:asciiTheme="minorHAnsi" w:hAnsiTheme="minorHAnsi" w:cstheme="minorHAnsi"/>
            </w:rPr>
            <w:t>,</w:t>
          </w:r>
          <w:r w:rsidRPr="00F649CD">
            <w:rPr>
              <w:rFonts w:asciiTheme="minorHAnsi" w:hAnsiTheme="minorHAnsi" w:cstheme="minorHAnsi"/>
            </w:rPr>
            <w:t xml:space="preserve"> avec 71 services IaaS et PaaS à fin février, permet aux clients d’OVHcloud d’avoir accès à des services complets, au plus près de leurs besoins. En données publiées sur le semestre, le chiffre d’affaires intègre un impact de 0,9 million d’euros au titre de gestes commerciaux relatifs à l’incident de Strasbourg.</w:t>
          </w:r>
        </w:p>
        <w:p w14:paraId="36461CE2" w14:textId="77777777" w:rsidR="0041512C" w:rsidRPr="00F649CD" w:rsidRDefault="0041512C" w:rsidP="0041512C">
          <w:pPr>
            <w:pStyle w:val="TexteCP"/>
            <w:rPr>
              <w:rFonts w:asciiTheme="minorHAnsi" w:hAnsiTheme="minorHAnsi" w:cstheme="minorHAnsi"/>
            </w:rPr>
          </w:pPr>
        </w:p>
        <w:p w14:paraId="2DEEA784" w14:textId="063C64D0" w:rsidR="00147839" w:rsidRDefault="0041512C" w:rsidP="00147839">
          <w:pPr>
            <w:pStyle w:val="TexteCP"/>
            <w:rPr>
              <w:rFonts w:asciiTheme="minorHAnsi" w:hAnsiTheme="minorHAnsi" w:cstheme="minorHAnsi"/>
            </w:rPr>
          </w:pPr>
          <w:r w:rsidRPr="00F649CD">
            <w:rPr>
              <w:rFonts w:asciiTheme="minorHAnsi" w:hAnsiTheme="minorHAnsi" w:cstheme="minorHAnsi"/>
            </w:rPr>
            <w:t xml:space="preserve">Sur les six premiers mois de l’année, le segment </w:t>
          </w:r>
          <w:r w:rsidRPr="00F649CD">
            <w:rPr>
              <w:rFonts w:asciiTheme="minorHAnsi" w:hAnsiTheme="minorHAnsi" w:cstheme="minorHAnsi"/>
              <w:b/>
              <w:bCs/>
            </w:rPr>
            <w:t xml:space="preserve">Web Cloud et autres </w:t>
          </w:r>
          <w:r w:rsidRPr="00F649CD">
            <w:rPr>
              <w:rFonts w:asciiTheme="minorHAnsi" w:hAnsiTheme="minorHAnsi" w:cstheme="minorHAnsi"/>
            </w:rPr>
            <w:t>est en croissance de +4,9% en données publiées et de +5,3% en données comparables par rapport à l’année précédente. Lors du deuxième trimestre la croissance a atteint +3,6% en données publiées et de +3,9% sur une base comparable. Cette performance intègre une croissance à deux chiffres du segment Enterprise, qui inclut les partenaires et revendeurs. En données publiées sur le semestre, le chiffre d’affaires intègre un impact de 0,</w:t>
          </w:r>
          <w:r>
            <w:rPr>
              <w:rFonts w:asciiTheme="minorHAnsi" w:hAnsiTheme="minorHAnsi" w:cstheme="minorHAnsi"/>
            </w:rPr>
            <w:t>3</w:t>
          </w:r>
          <w:r w:rsidRPr="00F649CD">
            <w:rPr>
              <w:rFonts w:asciiTheme="minorHAnsi" w:hAnsiTheme="minorHAnsi" w:cstheme="minorHAnsi"/>
            </w:rPr>
            <w:t xml:space="preserve"> million d’euros au titre de gestes commerciaux relatifs à l’incident de Strasbourg.</w:t>
          </w:r>
        </w:p>
        <w:p w14:paraId="50AF050C" w14:textId="5908D6F5" w:rsidR="00147839" w:rsidRDefault="00147839">
          <w:pPr>
            <w:spacing w:after="0" w:line="240" w:lineRule="auto"/>
            <w:rPr>
              <w:rFonts w:asciiTheme="minorHAnsi" w:eastAsiaTheme="minorHAnsi" w:hAnsiTheme="minorHAnsi" w:cstheme="minorHAnsi"/>
              <w:iCs/>
              <w:sz w:val="20"/>
              <w:szCs w:val="20"/>
            </w:rPr>
          </w:pPr>
        </w:p>
        <w:p w14:paraId="379D4F31" w14:textId="161A2401" w:rsidR="0041512C" w:rsidRPr="00B264D1" w:rsidRDefault="0041512C" w:rsidP="0041512C">
          <w:pPr>
            <w:pStyle w:val="Titre2"/>
            <w:numPr>
              <w:ilvl w:val="2"/>
              <w:numId w:val="21"/>
            </w:numPr>
            <w:spacing w:before="0"/>
            <w:ind w:left="2160" w:hanging="360"/>
            <w:rPr>
              <w:rFonts w:asciiTheme="minorHAnsi" w:hAnsiTheme="minorHAnsi" w:cstheme="minorHAnsi"/>
              <w:color w:val="auto"/>
              <w:sz w:val="24"/>
              <w:szCs w:val="24"/>
            </w:rPr>
          </w:pPr>
          <w:bookmarkStart w:id="35" w:name="_Toc100684266"/>
          <w:bookmarkStart w:id="36" w:name="_Toc100689210"/>
          <w:bookmarkStart w:id="37" w:name="_Toc100689259"/>
          <w:r w:rsidRPr="00B264D1">
            <w:rPr>
              <w:rFonts w:asciiTheme="minorHAnsi" w:hAnsiTheme="minorHAnsi" w:cstheme="minorHAnsi"/>
              <w:color w:val="auto"/>
              <w:sz w:val="24"/>
              <w:szCs w:val="24"/>
            </w:rPr>
            <w:t>Chiffre d’affaires par marché géographique</w:t>
          </w:r>
          <w:bookmarkEnd w:id="35"/>
          <w:bookmarkEnd w:id="36"/>
          <w:bookmarkEnd w:id="37"/>
        </w:p>
        <w:p w14:paraId="28F3D548" w14:textId="77777777" w:rsidR="0041512C" w:rsidRPr="00B264D1" w:rsidRDefault="0041512C" w:rsidP="0041512C">
          <w:pPr>
            <w:spacing w:before="120" w:after="0"/>
            <w:rPr>
              <w:rFonts w:asciiTheme="minorHAnsi" w:hAnsiTheme="minorHAnsi" w:cstheme="minorHAnsi"/>
              <w:color w:val="2F5496"/>
            </w:rPr>
          </w:pPr>
        </w:p>
        <w:tbl>
          <w:tblPr>
            <w:tblW w:w="8960" w:type="dxa"/>
            <w:tblCellMar>
              <w:left w:w="70" w:type="dxa"/>
              <w:right w:w="70" w:type="dxa"/>
            </w:tblCellMar>
            <w:tblLook w:val="04A0" w:firstRow="1" w:lastRow="0" w:firstColumn="1" w:lastColumn="0" w:noHBand="0" w:noVBand="1"/>
          </w:tblPr>
          <w:tblGrid>
            <w:gridCol w:w="3377"/>
            <w:gridCol w:w="1395"/>
            <w:gridCol w:w="1395"/>
            <w:gridCol w:w="1395"/>
            <w:gridCol w:w="1398"/>
          </w:tblGrid>
          <w:tr w:rsidR="0041512C" w:rsidRPr="0061562E" w14:paraId="3EFFBC99" w14:textId="77777777" w:rsidTr="00D14D81">
            <w:trPr>
              <w:trHeight w:val="823"/>
            </w:trPr>
            <w:tc>
              <w:tcPr>
                <w:tcW w:w="3377" w:type="dxa"/>
                <w:tcBorders>
                  <w:top w:val="nil"/>
                  <w:left w:val="nil"/>
                  <w:bottom w:val="single" w:sz="4" w:space="0" w:color="000E9C"/>
                  <w:right w:val="nil"/>
                </w:tcBorders>
                <w:shd w:val="clear" w:color="auto" w:fill="auto"/>
                <w:noWrap/>
                <w:hideMark/>
              </w:tcPr>
              <w:p w14:paraId="2D49F3C3" w14:textId="77777777" w:rsidR="0041512C" w:rsidRPr="0061562E" w:rsidRDefault="0041512C" w:rsidP="00D14D81">
                <w:pPr>
                  <w:spacing w:after="0" w:line="240" w:lineRule="auto"/>
                  <w:rPr>
                    <w:rFonts w:asciiTheme="minorHAnsi" w:eastAsia="Times New Roman" w:hAnsiTheme="minorHAnsi" w:cstheme="minorHAnsi"/>
                    <w:i/>
                    <w:iCs/>
                    <w:sz w:val="18"/>
                    <w:szCs w:val="18"/>
                    <w:lang w:eastAsia="fr-FR"/>
                  </w:rPr>
                </w:pPr>
                <w:r w:rsidRPr="0061562E">
                  <w:rPr>
                    <w:rFonts w:asciiTheme="minorHAnsi" w:eastAsia="Times New Roman" w:hAnsiTheme="minorHAnsi" w:cstheme="minorHAnsi"/>
                    <w:i/>
                    <w:iCs/>
                    <w:sz w:val="18"/>
                    <w:szCs w:val="18"/>
                    <w:lang w:eastAsia="fr-FR"/>
                  </w:rPr>
                  <w:t>(</w:t>
                </w:r>
                <w:proofErr w:type="gramStart"/>
                <w:r w:rsidRPr="0061562E">
                  <w:rPr>
                    <w:rFonts w:asciiTheme="minorHAnsi" w:eastAsia="Times New Roman" w:hAnsiTheme="minorHAnsi" w:cstheme="minorHAnsi"/>
                    <w:i/>
                    <w:iCs/>
                    <w:sz w:val="18"/>
                    <w:szCs w:val="18"/>
                    <w:lang w:eastAsia="fr-FR"/>
                  </w:rPr>
                  <w:t>en</w:t>
                </w:r>
                <w:proofErr w:type="gramEnd"/>
                <w:r w:rsidRPr="0061562E">
                  <w:rPr>
                    <w:rFonts w:asciiTheme="minorHAnsi" w:eastAsia="Times New Roman" w:hAnsiTheme="minorHAnsi" w:cstheme="minorHAnsi"/>
                    <w:i/>
                    <w:iCs/>
                    <w:sz w:val="18"/>
                    <w:szCs w:val="18"/>
                    <w:lang w:eastAsia="fr-FR"/>
                  </w:rPr>
                  <w:t xml:space="preserve"> millions d'euros)</w:t>
                </w:r>
              </w:p>
            </w:tc>
            <w:tc>
              <w:tcPr>
                <w:tcW w:w="1395" w:type="dxa"/>
                <w:tcBorders>
                  <w:top w:val="nil"/>
                  <w:left w:val="nil"/>
                  <w:bottom w:val="single" w:sz="4" w:space="0" w:color="000E9C"/>
                  <w:right w:val="nil"/>
                </w:tcBorders>
                <w:shd w:val="clear" w:color="auto" w:fill="auto"/>
                <w:hideMark/>
              </w:tcPr>
              <w:p w14:paraId="09195A0F" w14:textId="77777777" w:rsidR="0041512C" w:rsidRPr="0061562E" w:rsidRDefault="0041512C" w:rsidP="00D14D81">
                <w:pPr>
                  <w:spacing w:after="0" w:line="240" w:lineRule="auto"/>
                  <w:jc w:val="right"/>
                  <w:rPr>
                    <w:rFonts w:asciiTheme="minorHAnsi" w:eastAsia="Times New Roman" w:hAnsiTheme="minorHAnsi" w:cstheme="minorHAnsi"/>
                    <w:sz w:val="18"/>
                    <w:szCs w:val="18"/>
                    <w:lang w:eastAsia="fr-FR"/>
                  </w:rPr>
                </w:pPr>
                <w:r w:rsidRPr="0061562E">
                  <w:rPr>
                    <w:rFonts w:asciiTheme="minorHAnsi" w:eastAsia="Times New Roman" w:hAnsiTheme="minorHAnsi" w:cstheme="minorHAnsi"/>
                    <w:sz w:val="18"/>
                    <w:szCs w:val="18"/>
                    <w:lang w:eastAsia="fr-FR"/>
                  </w:rPr>
                  <w:t>1er semestre 2021</w:t>
                </w:r>
              </w:p>
            </w:tc>
            <w:tc>
              <w:tcPr>
                <w:tcW w:w="1395" w:type="dxa"/>
                <w:tcBorders>
                  <w:top w:val="nil"/>
                  <w:left w:val="nil"/>
                  <w:bottom w:val="single" w:sz="4" w:space="0" w:color="000E9C"/>
                  <w:right w:val="nil"/>
                </w:tcBorders>
                <w:shd w:val="clear" w:color="000000" w:fill="E7E6E6"/>
                <w:hideMark/>
              </w:tcPr>
              <w:p w14:paraId="2CA0993D" w14:textId="77777777" w:rsidR="0041512C" w:rsidRPr="0061562E" w:rsidRDefault="0041512C" w:rsidP="00D14D81">
                <w:pPr>
                  <w:spacing w:after="0" w:line="240" w:lineRule="auto"/>
                  <w:jc w:val="right"/>
                  <w:rPr>
                    <w:rFonts w:asciiTheme="minorHAnsi" w:eastAsia="Times New Roman" w:hAnsiTheme="minorHAnsi" w:cstheme="minorHAnsi"/>
                    <w:color w:val="000E9C"/>
                    <w:sz w:val="18"/>
                    <w:szCs w:val="18"/>
                    <w:lang w:eastAsia="fr-FR"/>
                  </w:rPr>
                </w:pPr>
                <w:r w:rsidRPr="0061562E">
                  <w:rPr>
                    <w:rFonts w:asciiTheme="minorHAnsi" w:eastAsia="Times New Roman" w:hAnsiTheme="minorHAnsi" w:cstheme="minorHAnsi"/>
                    <w:color w:val="000E9C"/>
                    <w:sz w:val="18"/>
                    <w:szCs w:val="18"/>
                    <w:lang w:eastAsia="fr-FR"/>
                  </w:rPr>
                  <w:t>1er semestre 2022</w:t>
                </w:r>
              </w:p>
            </w:tc>
            <w:tc>
              <w:tcPr>
                <w:tcW w:w="1395" w:type="dxa"/>
                <w:tcBorders>
                  <w:top w:val="nil"/>
                  <w:left w:val="nil"/>
                  <w:bottom w:val="single" w:sz="4" w:space="0" w:color="000E9C"/>
                  <w:right w:val="nil"/>
                </w:tcBorders>
                <w:shd w:val="clear" w:color="auto" w:fill="auto"/>
                <w:hideMark/>
              </w:tcPr>
              <w:p w14:paraId="28237DF2" w14:textId="77777777" w:rsidR="0041512C" w:rsidRPr="0061562E" w:rsidRDefault="0041512C" w:rsidP="00D14D81">
                <w:pPr>
                  <w:spacing w:after="0" w:line="240" w:lineRule="auto"/>
                  <w:jc w:val="right"/>
                  <w:rPr>
                    <w:rFonts w:asciiTheme="minorHAnsi" w:eastAsia="Times New Roman" w:hAnsiTheme="minorHAnsi" w:cstheme="minorHAnsi"/>
                    <w:sz w:val="18"/>
                    <w:szCs w:val="18"/>
                    <w:lang w:eastAsia="fr-FR"/>
                  </w:rPr>
                </w:pPr>
                <w:r w:rsidRPr="0061562E">
                  <w:rPr>
                    <w:rFonts w:asciiTheme="minorHAnsi" w:eastAsia="Times New Roman" w:hAnsiTheme="minorHAnsi" w:cstheme="minorHAnsi"/>
                    <w:sz w:val="18"/>
                    <w:szCs w:val="18"/>
                    <w:lang w:eastAsia="fr-FR"/>
                  </w:rPr>
                  <w:t>Variation (%)</w:t>
                </w:r>
              </w:p>
            </w:tc>
            <w:tc>
              <w:tcPr>
                <w:tcW w:w="1398" w:type="dxa"/>
                <w:tcBorders>
                  <w:top w:val="nil"/>
                  <w:left w:val="nil"/>
                  <w:bottom w:val="single" w:sz="4" w:space="0" w:color="000E9C"/>
                  <w:right w:val="nil"/>
                </w:tcBorders>
                <w:shd w:val="clear" w:color="auto" w:fill="auto"/>
                <w:hideMark/>
              </w:tcPr>
              <w:p w14:paraId="74A37D02" w14:textId="77777777" w:rsidR="0041512C" w:rsidRPr="0061562E" w:rsidRDefault="0041512C" w:rsidP="00D14D81">
                <w:pPr>
                  <w:spacing w:after="0" w:line="240" w:lineRule="auto"/>
                  <w:jc w:val="right"/>
                  <w:rPr>
                    <w:rFonts w:asciiTheme="minorHAnsi" w:eastAsia="Times New Roman" w:hAnsiTheme="minorHAnsi" w:cstheme="minorHAnsi"/>
                    <w:sz w:val="18"/>
                    <w:szCs w:val="18"/>
                    <w:lang w:eastAsia="fr-FR"/>
                  </w:rPr>
                </w:pPr>
                <w:r w:rsidRPr="0061562E">
                  <w:rPr>
                    <w:rFonts w:asciiTheme="minorHAnsi" w:eastAsia="Times New Roman" w:hAnsiTheme="minorHAnsi" w:cstheme="minorHAnsi"/>
                    <w:sz w:val="18"/>
                    <w:szCs w:val="18"/>
                    <w:lang w:eastAsia="fr-FR"/>
                  </w:rPr>
                  <w:t>Variation % en données comparables</w:t>
                </w:r>
              </w:p>
            </w:tc>
          </w:tr>
          <w:tr w:rsidR="0041512C" w:rsidRPr="0061562E" w14:paraId="14129AA5" w14:textId="77777777" w:rsidTr="00D14D81">
            <w:trPr>
              <w:trHeight w:val="290"/>
            </w:trPr>
            <w:tc>
              <w:tcPr>
                <w:tcW w:w="3377" w:type="dxa"/>
                <w:tcBorders>
                  <w:top w:val="nil"/>
                  <w:left w:val="nil"/>
                  <w:bottom w:val="nil"/>
                  <w:right w:val="nil"/>
                </w:tcBorders>
                <w:shd w:val="clear" w:color="auto" w:fill="auto"/>
                <w:noWrap/>
                <w:vAlign w:val="center"/>
                <w:hideMark/>
              </w:tcPr>
              <w:p w14:paraId="73F3119F" w14:textId="4492797A" w:rsidR="0041512C" w:rsidRPr="0061562E" w:rsidRDefault="00147839" w:rsidP="00D14D81">
                <w:pPr>
                  <w:spacing w:after="0" w:line="240" w:lineRule="auto"/>
                  <w:rPr>
                    <w:rFonts w:asciiTheme="minorHAnsi" w:eastAsia="Times New Roman" w:hAnsiTheme="minorHAnsi" w:cstheme="minorHAnsi"/>
                    <w:color w:val="000000"/>
                    <w:sz w:val="18"/>
                    <w:szCs w:val="18"/>
                    <w:lang w:eastAsia="fr-FR"/>
                  </w:rPr>
                </w:pPr>
                <w:r>
                  <w:rPr>
                    <w:rFonts w:asciiTheme="minorHAnsi" w:eastAsia="Times New Roman" w:hAnsiTheme="minorHAnsi" w:cstheme="minorHAnsi"/>
                    <w:color w:val="000000"/>
                    <w:sz w:val="18"/>
                    <w:szCs w:val="18"/>
                    <w:lang w:eastAsia="fr-FR"/>
                  </w:rPr>
                  <w:t>France</w:t>
                </w:r>
              </w:p>
            </w:tc>
            <w:tc>
              <w:tcPr>
                <w:tcW w:w="1395" w:type="dxa"/>
                <w:tcBorders>
                  <w:top w:val="nil"/>
                  <w:left w:val="nil"/>
                  <w:bottom w:val="nil"/>
                  <w:right w:val="nil"/>
                </w:tcBorders>
                <w:shd w:val="clear" w:color="auto" w:fill="auto"/>
                <w:noWrap/>
                <w:hideMark/>
              </w:tcPr>
              <w:p w14:paraId="4EF7EB02" w14:textId="77777777" w:rsidR="0041512C" w:rsidRPr="0061562E" w:rsidRDefault="0041512C" w:rsidP="00D14D81">
                <w:pPr>
                  <w:spacing w:after="0" w:line="240" w:lineRule="auto"/>
                  <w:jc w:val="right"/>
                  <w:rPr>
                    <w:rFonts w:asciiTheme="minorHAnsi" w:eastAsia="Times New Roman" w:hAnsiTheme="minorHAnsi" w:cstheme="minorHAnsi"/>
                    <w:sz w:val="18"/>
                    <w:szCs w:val="18"/>
                    <w:lang w:eastAsia="fr-FR"/>
                  </w:rPr>
                </w:pPr>
                <w:r w:rsidRPr="0061562E">
                  <w:rPr>
                    <w:rFonts w:asciiTheme="minorHAnsi" w:eastAsia="Times New Roman" w:hAnsiTheme="minorHAnsi" w:cstheme="minorHAnsi"/>
                    <w:sz w:val="18"/>
                    <w:szCs w:val="18"/>
                    <w:lang w:eastAsia="fr-FR"/>
                  </w:rPr>
                  <w:t>176</w:t>
                </w:r>
              </w:p>
            </w:tc>
            <w:tc>
              <w:tcPr>
                <w:tcW w:w="1395" w:type="dxa"/>
                <w:tcBorders>
                  <w:top w:val="nil"/>
                  <w:left w:val="nil"/>
                  <w:bottom w:val="nil"/>
                  <w:right w:val="nil"/>
                </w:tcBorders>
                <w:shd w:val="clear" w:color="000000" w:fill="E7E6E6"/>
                <w:noWrap/>
                <w:hideMark/>
              </w:tcPr>
              <w:p w14:paraId="17FF9B73" w14:textId="77777777" w:rsidR="0041512C" w:rsidRPr="0061562E" w:rsidRDefault="0041512C" w:rsidP="00D14D81">
                <w:pPr>
                  <w:spacing w:after="0" w:line="240" w:lineRule="auto"/>
                  <w:jc w:val="right"/>
                  <w:rPr>
                    <w:rFonts w:asciiTheme="minorHAnsi" w:eastAsia="Times New Roman" w:hAnsiTheme="minorHAnsi" w:cstheme="minorHAnsi"/>
                    <w:color w:val="000E9C"/>
                    <w:sz w:val="18"/>
                    <w:szCs w:val="18"/>
                    <w:lang w:eastAsia="fr-FR"/>
                  </w:rPr>
                </w:pPr>
                <w:r w:rsidRPr="0061562E">
                  <w:rPr>
                    <w:rFonts w:asciiTheme="minorHAnsi" w:eastAsia="Times New Roman" w:hAnsiTheme="minorHAnsi" w:cstheme="minorHAnsi"/>
                    <w:color w:val="000E9C"/>
                    <w:sz w:val="18"/>
                    <w:szCs w:val="18"/>
                    <w:lang w:eastAsia="fr-FR"/>
                  </w:rPr>
                  <w:t>190</w:t>
                </w:r>
              </w:p>
            </w:tc>
            <w:tc>
              <w:tcPr>
                <w:tcW w:w="1395" w:type="dxa"/>
                <w:tcBorders>
                  <w:top w:val="nil"/>
                  <w:left w:val="nil"/>
                  <w:bottom w:val="nil"/>
                  <w:right w:val="nil"/>
                </w:tcBorders>
                <w:shd w:val="clear" w:color="auto" w:fill="auto"/>
                <w:noWrap/>
                <w:hideMark/>
              </w:tcPr>
              <w:p w14:paraId="43FB3796" w14:textId="77777777" w:rsidR="0041512C" w:rsidRPr="0061562E" w:rsidRDefault="0041512C" w:rsidP="00D14D81">
                <w:pPr>
                  <w:spacing w:after="0" w:line="240" w:lineRule="auto"/>
                  <w:jc w:val="right"/>
                  <w:rPr>
                    <w:rFonts w:asciiTheme="minorHAnsi" w:eastAsia="Times New Roman" w:hAnsiTheme="minorHAnsi" w:cstheme="minorHAnsi"/>
                    <w:sz w:val="18"/>
                    <w:szCs w:val="18"/>
                    <w:lang w:eastAsia="fr-FR"/>
                  </w:rPr>
                </w:pPr>
                <w:r w:rsidRPr="0061562E">
                  <w:rPr>
                    <w:rFonts w:asciiTheme="minorHAnsi" w:eastAsia="Times New Roman" w:hAnsiTheme="minorHAnsi" w:cstheme="minorHAnsi"/>
                    <w:sz w:val="18"/>
                    <w:szCs w:val="18"/>
                    <w:lang w:eastAsia="fr-FR"/>
                  </w:rPr>
                  <w:t>7,9%</w:t>
                </w:r>
              </w:p>
            </w:tc>
            <w:tc>
              <w:tcPr>
                <w:tcW w:w="1398" w:type="dxa"/>
                <w:tcBorders>
                  <w:top w:val="nil"/>
                  <w:left w:val="nil"/>
                  <w:bottom w:val="nil"/>
                  <w:right w:val="nil"/>
                </w:tcBorders>
                <w:shd w:val="clear" w:color="auto" w:fill="auto"/>
                <w:noWrap/>
                <w:hideMark/>
              </w:tcPr>
              <w:p w14:paraId="179040CC" w14:textId="77777777" w:rsidR="0041512C" w:rsidRPr="0061562E" w:rsidRDefault="0041512C" w:rsidP="00D14D81">
                <w:pPr>
                  <w:spacing w:after="0" w:line="240" w:lineRule="auto"/>
                  <w:jc w:val="right"/>
                  <w:rPr>
                    <w:rFonts w:asciiTheme="minorHAnsi" w:eastAsia="Times New Roman" w:hAnsiTheme="minorHAnsi" w:cstheme="minorHAnsi"/>
                    <w:sz w:val="18"/>
                    <w:szCs w:val="18"/>
                    <w:lang w:eastAsia="fr-FR"/>
                  </w:rPr>
                </w:pPr>
                <w:r w:rsidRPr="0061562E">
                  <w:rPr>
                    <w:rFonts w:asciiTheme="minorHAnsi" w:eastAsia="Times New Roman" w:hAnsiTheme="minorHAnsi" w:cstheme="minorHAnsi"/>
                    <w:sz w:val="18"/>
                    <w:szCs w:val="18"/>
                    <w:lang w:eastAsia="fr-FR"/>
                  </w:rPr>
                  <w:t>8,8%</w:t>
                </w:r>
              </w:p>
            </w:tc>
          </w:tr>
          <w:tr w:rsidR="0041512C" w:rsidRPr="0061562E" w14:paraId="36E0DF4C" w14:textId="77777777" w:rsidTr="00D14D81">
            <w:trPr>
              <w:trHeight w:val="290"/>
            </w:trPr>
            <w:tc>
              <w:tcPr>
                <w:tcW w:w="3377" w:type="dxa"/>
                <w:tcBorders>
                  <w:top w:val="nil"/>
                  <w:left w:val="nil"/>
                  <w:bottom w:val="nil"/>
                  <w:right w:val="nil"/>
                </w:tcBorders>
                <w:shd w:val="clear" w:color="auto" w:fill="auto"/>
                <w:noWrap/>
                <w:vAlign w:val="center"/>
                <w:hideMark/>
              </w:tcPr>
              <w:p w14:paraId="28C358D3" w14:textId="77777777" w:rsidR="0041512C" w:rsidRPr="0061562E" w:rsidRDefault="0041512C" w:rsidP="00D14D81">
                <w:pPr>
                  <w:spacing w:after="0" w:line="240" w:lineRule="auto"/>
                  <w:rPr>
                    <w:rFonts w:asciiTheme="minorHAnsi" w:eastAsia="Times New Roman" w:hAnsiTheme="minorHAnsi" w:cstheme="minorHAnsi"/>
                    <w:color w:val="000000"/>
                    <w:sz w:val="18"/>
                    <w:szCs w:val="18"/>
                    <w:lang w:eastAsia="fr-FR"/>
                  </w:rPr>
                </w:pPr>
                <w:r w:rsidRPr="0061562E">
                  <w:rPr>
                    <w:rFonts w:asciiTheme="minorHAnsi" w:eastAsia="Times New Roman" w:hAnsiTheme="minorHAnsi" w:cstheme="minorHAnsi"/>
                    <w:color w:val="000000"/>
                    <w:sz w:val="18"/>
                    <w:szCs w:val="18"/>
                    <w:lang w:eastAsia="fr-FR"/>
                  </w:rPr>
                  <w:t>Europe (hors France)</w:t>
                </w:r>
              </w:p>
            </w:tc>
            <w:tc>
              <w:tcPr>
                <w:tcW w:w="1395" w:type="dxa"/>
                <w:tcBorders>
                  <w:top w:val="nil"/>
                  <w:left w:val="nil"/>
                  <w:bottom w:val="nil"/>
                  <w:right w:val="nil"/>
                </w:tcBorders>
                <w:shd w:val="clear" w:color="auto" w:fill="auto"/>
                <w:noWrap/>
                <w:hideMark/>
              </w:tcPr>
              <w:p w14:paraId="693368EC" w14:textId="77777777" w:rsidR="0041512C" w:rsidRPr="0061562E" w:rsidRDefault="0041512C" w:rsidP="00D14D81">
                <w:pPr>
                  <w:spacing w:after="0" w:line="240" w:lineRule="auto"/>
                  <w:jc w:val="right"/>
                  <w:rPr>
                    <w:rFonts w:asciiTheme="minorHAnsi" w:eastAsia="Times New Roman" w:hAnsiTheme="minorHAnsi" w:cstheme="minorHAnsi"/>
                    <w:sz w:val="18"/>
                    <w:szCs w:val="18"/>
                    <w:lang w:eastAsia="fr-FR"/>
                  </w:rPr>
                </w:pPr>
                <w:r w:rsidRPr="0061562E">
                  <w:rPr>
                    <w:rFonts w:asciiTheme="minorHAnsi" w:eastAsia="Times New Roman" w:hAnsiTheme="minorHAnsi" w:cstheme="minorHAnsi"/>
                    <w:sz w:val="18"/>
                    <w:szCs w:val="18"/>
                    <w:lang w:eastAsia="fr-FR"/>
                  </w:rPr>
                  <w:t>98</w:t>
                </w:r>
              </w:p>
            </w:tc>
            <w:tc>
              <w:tcPr>
                <w:tcW w:w="1395" w:type="dxa"/>
                <w:tcBorders>
                  <w:top w:val="nil"/>
                  <w:left w:val="nil"/>
                  <w:bottom w:val="nil"/>
                  <w:right w:val="nil"/>
                </w:tcBorders>
                <w:shd w:val="clear" w:color="000000" w:fill="E7E6E6"/>
                <w:noWrap/>
                <w:hideMark/>
              </w:tcPr>
              <w:p w14:paraId="744D1081" w14:textId="77777777" w:rsidR="0041512C" w:rsidRPr="0061562E" w:rsidRDefault="0041512C" w:rsidP="00D14D81">
                <w:pPr>
                  <w:spacing w:after="0" w:line="240" w:lineRule="auto"/>
                  <w:jc w:val="right"/>
                  <w:rPr>
                    <w:rFonts w:asciiTheme="minorHAnsi" w:eastAsia="Times New Roman" w:hAnsiTheme="minorHAnsi" w:cstheme="minorHAnsi"/>
                    <w:color w:val="000E9C"/>
                    <w:sz w:val="18"/>
                    <w:szCs w:val="18"/>
                    <w:lang w:eastAsia="fr-FR"/>
                  </w:rPr>
                </w:pPr>
                <w:r w:rsidRPr="0061562E">
                  <w:rPr>
                    <w:rFonts w:asciiTheme="minorHAnsi" w:eastAsia="Times New Roman" w:hAnsiTheme="minorHAnsi" w:cstheme="minorHAnsi"/>
                    <w:color w:val="000E9C"/>
                    <w:sz w:val="18"/>
                    <w:szCs w:val="18"/>
                    <w:lang w:eastAsia="fr-FR"/>
                  </w:rPr>
                  <w:t>109</w:t>
                </w:r>
              </w:p>
            </w:tc>
            <w:tc>
              <w:tcPr>
                <w:tcW w:w="1395" w:type="dxa"/>
                <w:tcBorders>
                  <w:top w:val="nil"/>
                  <w:left w:val="nil"/>
                  <w:bottom w:val="nil"/>
                  <w:right w:val="nil"/>
                </w:tcBorders>
                <w:shd w:val="clear" w:color="auto" w:fill="auto"/>
                <w:noWrap/>
                <w:hideMark/>
              </w:tcPr>
              <w:p w14:paraId="4B7F1ED9" w14:textId="77777777" w:rsidR="0041512C" w:rsidRPr="0061562E" w:rsidRDefault="0041512C" w:rsidP="00D14D81">
                <w:pPr>
                  <w:spacing w:after="0" w:line="240" w:lineRule="auto"/>
                  <w:jc w:val="right"/>
                  <w:rPr>
                    <w:rFonts w:asciiTheme="minorHAnsi" w:eastAsia="Times New Roman" w:hAnsiTheme="minorHAnsi" w:cstheme="minorHAnsi"/>
                    <w:sz w:val="18"/>
                    <w:szCs w:val="18"/>
                    <w:lang w:eastAsia="fr-FR"/>
                  </w:rPr>
                </w:pPr>
                <w:r w:rsidRPr="0061562E">
                  <w:rPr>
                    <w:rFonts w:asciiTheme="minorHAnsi" w:eastAsia="Times New Roman" w:hAnsiTheme="minorHAnsi" w:cstheme="minorHAnsi"/>
                    <w:sz w:val="18"/>
                    <w:szCs w:val="18"/>
                    <w:lang w:eastAsia="fr-FR"/>
                  </w:rPr>
                  <w:t>11,6%</w:t>
                </w:r>
              </w:p>
            </w:tc>
            <w:tc>
              <w:tcPr>
                <w:tcW w:w="1398" w:type="dxa"/>
                <w:tcBorders>
                  <w:top w:val="nil"/>
                  <w:left w:val="nil"/>
                  <w:bottom w:val="nil"/>
                  <w:right w:val="nil"/>
                </w:tcBorders>
                <w:shd w:val="clear" w:color="auto" w:fill="auto"/>
                <w:noWrap/>
                <w:hideMark/>
              </w:tcPr>
              <w:p w14:paraId="66CF3994" w14:textId="77777777" w:rsidR="0041512C" w:rsidRPr="0061562E" w:rsidRDefault="0041512C" w:rsidP="00D14D81">
                <w:pPr>
                  <w:spacing w:after="0" w:line="240" w:lineRule="auto"/>
                  <w:jc w:val="right"/>
                  <w:rPr>
                    <w:rFonts w:asciiTheme="minorHAnsi" w:eastAsia="Times New Roman" w:hAnsiTheme="minorHAnsi" w:cstheme="minorHAnsi"/>
                    <w:sz w:val="18"/>
                    <w:szCs w:val="18"/>
                    <w:lang w:eastAsia="fr-FR"/>
                  </w:rPr>
                </w:pPr>
                <w:r w:rsidRPr="0061562E">
                  <w:rPr>
                    <w:rFonts w:asciiTheme="minorHAnsi" w:eastAsia="Times New Roman" w:hAnsiTheme="minorHAnsi" w:cstheme="minorHAnsi"/>
                    <w:sz w:val="18"/>
                    <w:szCs w:val="18"/>
                    <w:lang w:eastAsia="fr-FR"/>
                  </w:rPr>
                  <w:t>11,6%</w:t>
                </w:r>
              </w:p>
            </w:tc>
          </w:tr>
          <w:tr w:rsidR="0041512C" w:rsidRPr="0061562E" w14:paraId="3C11EAE5" w14:textId="77777777" w:rsidTr="00D14D81">
            <w:trPr>
              <w:trHeight w:val="290"/>
            </w:trPr>
            <w:tc>
              <w:tcPr>
                <w:tcW w:w="3377" w:type="dxa"/>
                <w:tcBorders>
                  <w:top w:val="nil"/>
                  <w:left w:val="nil"/>
                  <w:bottom w:val="single" w:sz="4" w:space="0" w:color="000E9C"/>
                  <w:right w:val="nil"/>
                </w:tcBorders>
                <w:shd w:val="clear" w:color="auto" w:fill="auto"/>
                <w:noWrap/>
                <w:vAlign w:val="center"/>
                <w:hideMark/>
              </w:tcPr>
              <w:p w14:paraId="6BE33C1A" w14:textId="77777777" w:rsidR="0041512C" w:rsidRPr="0061562E" w:rsidRDefault="0041512C" w:rsidP="00D14D81">
                <w:pPr>
                  <w:spacing w:after="0" w:line="240" w:lineRule="auto"/>
                  <w:rPr>
                    <w:rFonts w:asciiTheme="minorHAnsi" w:eastAsia="Times New Roman" w:hAnsiTheme="minorHAnsi" w:cstheme="minorHAnsi"/>
                    <w:color w:val="000000"/>
                    <w:sz w:val="18"/>
                    <w:szCs w:val="18"/>
                    <w:lang w:eastAsia="fr-FR"/>
                  </w:rPr>
                </w:pPr>
                <w:r w:rsidRPr="0061562E">
                  <w:rPr>
                    <w:rFonts w:asciiTheme="minorHAnsi" w:eastAsia="Times New Roman" w:hAnsiTheme="minorHAnsi" w:cstheme="minorHAnsi"/>
                    <w:color w:val="000000"/>
                    <w:sz w:val="18"/>
                    <w:szCs w:val="18"/>
                    <w:lang w:eastAsia="fr-FR"/>
                  </w:rPr>
                  <w:t>Reste du monde</w:t>
                </w:r>
              </w:p>
            </w:tc>
            <w:tc>
              <w:tcPr>
                <w:tcW w:w="1395" w:type="dxa"/>
                <w:tcBorders>
                  <w:top w:val="nil"/>
                  <w:left w:val="nil"/>
                  <w:bottom w:val="single" w:sz="4" w:space="0" w:color="000E9C"/>
                  <w:right w:val="nil"/>
                </w:tcBorders>
                <w:shd w:val="clear" w:color="auto" w:fill="auto"/>
                <w:noWrap/>
                <w:hideMark/>
              </w:tcPr>
              <w:p w14:paraId="078594F4" w14:textId="77777777" w:rsidR="0041512C" w:rsidRPr="0061562E" w:rsidRDefault="0041512C" w:rsidP="00D14D81">
                <w:pPr>
                  <w:spacing w:after="0" w:line="240" w:lineRule="auto"/>
                  <w:jc w:val="right"/>
                  <w:rPr>
                    <w:rFonts w:asciiTheme="minorHAnsi" w:eastAsia="Times New Roman" w:hAnsiTheme="minorHAnsi" w:cstheme="minorHAnsi"/>
                    <w:sz w:val="18"/>
                    <w:szCs w:val="18"/>
                    <w:lang w:eastAsia="fr-FR"/>
                  </w:rPr>
                </w:pPr>
                <w:r w:rsidRPr="0061562E">
                  <w:rPr>
                    <w:rFonts w:asciiTheme="minorHAnsi" w:eastAsia="Times New Roman" w:hAnsiTheme="minorHAnsi" w:cstheme="minorHAnsi"/>
                    <w:sz w:val="18"/>
                    <w:szCs w:val="18"/>
                    <w:lang w:eastAsia="fr-FR"/>
                  </w:rPr>
                  <w:t>60</w:t>
                </w:r>
              </w:p>
            </w:tc>
            <w:tc>
              <w:tcPr>
                <w:tcW w:w="1395" w:type="dxa"/>
                <w:tcBorders>
                  <w:top w:val="nil"/>
                  <w:left w:val="nil"/>
                  <w:bottom w:val="single" w:sz="4" w:space="0" w:color="000E9C"/>
                  <w:right w:val="nil"/>
                </w:tcBorders>
                <w:shd w:val="clear" w:color="000000" w:fill="E7E6E6"/>
                <w:noWrap/>
                <w:hideMark/>
              </w:tcPr>
              <w:p w14:paraId="2AB01083" w14:textId="77777777" w:rsidR="0041512C" w:rsidRPr="0061562E" w:rsidRDefault="0041512C" w:rsidP="00D14D81">
                <w:pPr>
                  <w:spacing w:after="0" w:line="240" w:lineRule="auto"/>
                  <w:jc w:val="right"/>
                  <w:rPr>
                    <w:rFonts w:asciiTheme="minorHAnsi" w:eastAsia="Times New Roman" w:hAnsiTheme="minorHAnsi" w:cstheme="minorHAnsi"/>
                    <w:color w:val="000E9C"/>
                    <w:sz w:val="18"/>
                    <w:szCs w:val="18"/>
                    <w:lang w:eastAsia="fr-FR"/>
                  </w:rPr>
                </w:pPr>
                <w:r w:rsidRPr="0061562E">
                  <w:rPr>
                    <w:rFonts w:asciiTheme="minorHAnsi" w:eastAsia="Times New Roman" w:hAnsiTheme="minorHAnsi" w:cstheme="minorHAnsi"/>
                    <w:color w:val="000E9C"/>
                    <w:sz w:val="18"/>
                    <w:szCs w:val="18"/>
                    <w:lang w:eastAsia="fr-FR"/>
                  </w:rPr>
                  <w:t>83</w:t>
                </w:r>
              </w:p>
            </w:tc>
            <w:tc>
              <w:tcPr>
                <w:tcW w:w="1395" w:type="dxa"/>
                <w:tcBorders>
                  <w:top w:val="nil"/>
                  <w:left w:val="nil"/>
                  <w:bottom w:val="single" w:sz="4" w:space="0" w:color="000E9C"/>
                  <w:right w:val="nil"/>
                </w:tcBorders>
                <w:shd w:val="clear" w:color="auto" w:fill="auto"/>
                <w:noWrap/>
                <w:hideMark/>
              </w:tcPr>
              <w:p w14:paraId="3F762A16" w14:textId="77777777" w:rsidR="0041512C" w:rsidRPr="0061562E" w:rsidRDefault="0041512C" w:rsidP="00D14D81">
                <w:pPr>
                  <w:spacing w:after="0" w:line="240" w:lineRule="auto"/>
                  <w:jc w:val="right"/>
                  <w:rPr>
                    <w:rFonts w:asciiTheme="minorHAnsi" w:eastAsia="Times New Roman" w:hAnsiTheme="minorHAnsi" w:cstheme="minorHAnsi"/>
                    <w:sz w:val="18"/>
                    <w:szCs w:val="18"/>
                    <w:lang w:eastAsia="fr-FR"/>
                  </w:rPr>
                </w:pPr>
                <w:r w:rsidRPr="0061562E">
                  <w:rPr>
                    <w:rFonts w:asciiTheme="minorHAnsi" w:eastAsia="Times New Roman" w:hAnsiTheme="minorHAnsi" w:cstheme="minorHAnsi"/>
                    <w:sz w:val="18"/>
                    <w:szCs w:val="18"/>
                    <w:lang w:eastAsia="fr-FR"/>
                  </w:rPr>
                  <w:t>37,4%</w:t>
                </w:r>
              </w:p>
            </w:tc>
            <w:tc>
              <w:tcPr>
                <w:tcW w:w="1398" w:type="dxa"/>
                <w:tcBorders>
                  <w:top w:val="nil"/>
                  <w:left w:val="nil"/>
                  <w:bottom w:val="single" w:sz="4" w:space="0" w:color="000E9C"/>
                  <w:right w:val="nil"/>
                </w:tcBorders>
                <w:shd w:val="clear" w:color="auto" w:fill="auto"/>
                <w:noWrap/>
                <w:hideMark/>
              </w:tcPr>
              <w:p w14:paraId="3339662F" w14:textId="77777777" w:rsidR="0041512C" w:rsidRPr="0061562E" w:rsidRDefault="0041512C" w:rsidP="00D14D81">
                <w:pPr>
                  <w:spacing w:after="0" w:line="240" w:lineRule="auto"/>
                  <w:jc w:val="right"/>
                  <w:rPr>
                    <w:rFonts w:asciiTheme="minorHAnsi" w:eastAsia="Times New Roman" w:hAnsiTheme="minorHAnsi" w:cstheme="minorHAnsi"/>
                    <w:sz w:val="18"/>
                    <w:szCs w:val="18"/>
                    <w:lang w:eastAsia="fr-FR"/>
                  </w:rPr>
                </w:pPr>
                <w:r w:rsidRPr="0061562E">
                  <w:rPr>
                    <w:rFonts w:asciiTheme="minorHAnsi" w:eastAsia="Times New Roman" w:hAnsiTheme="minorHAnsi" w:cstheme="minorHAnsi"/>
                    <w:sz w:val="18"/>
                    <w:szCs w:val="18"/>
                    <w:lang w:eastAsia="fr-FR"/>
                  </w:rPr>
                  <w:t>27,9%</w:t>
                </w:r>
              </w:p>
            </w:tc>
          </w:tr>
          <w:tr w:rsidR="0041512C" w:rsidRPr="0061562E" w14:paraId="471DFA76" w14:textId="77777777" w:rsidTr="00D14D81">
            <w:trPr>
              <w:trHeight w:val="290"/>
            </w:trPr>
            <w:tc>
              <w:tcPr>
                <w:tcW w:w="3377" w:type="dxa"/>
                <w:tcBorders>
                  <w:top w:val="nil"/>
                  <w:left w:val="nil"/>
                  <w:bottom w:val="nil"/>
                  <w:right w:val="nil"/>
                </w:tcBorders>
                <w:shd w:val="clear" w:color="auto" w:fill="auto"/>
                <w:noWrap/>
                <w:vAlign w:val="center"/>
                <w:hideMark/>
              </w:tcPr>
              <w:p w14:paraId="166D3A85" w14:textId="77777777" w:rsidR="0041512C" w:rsidRPr="0061562E" w:rsidRDefault="0041512C" w:rsidP="00D14D81">
                <w:pPr>
                  <w:spacing w:after="0" w:line="240" w:lineRule="auto"/>
                  <w:rPr>
                    <w:rFonts w:asciiTheme="minorHAnsi" w:eastAsia="Times New Roman" w:hAnsiTheme="minorHAnsi" w:cstheme="minorHAnsi"/>
                    <w:color w:val="000E9C"/>
                    <w:sz w:val="18"/>
                    <w:szCs w:val="18"/>
                    <w:lang w:eastAsia="fr-FR"/>
                  </w:rPr>
                </w:pPr>
                <w:r w:rsidRPr="0061562E">
                  <w:rPr>
                    <w:rFonts w:asciiTheme="minorHAnsi" w:eastAsia="Times New Roman" w:hAnsiTheme="minorHAnsi" w:cstheme="minorHAnsi"/>
                    <w:color w:val="000E9C"/>
                    <w:sz w:val="18"/>
                    <w:szCs w:val="18"/>
                    <w:lang w:eastAsia="fr-FR"/>
                  </w:rPr>
                  <w:t>Total chiffre d'affaires</w:t>
                </w:r>
              </w:p>
            </w:tc>
            <w:tc>
              <w:tcPr>
                <w:tcW w:w="1395" w:type="dxa"/>
                <w:tcBorders>
                  <w:top w:val="nil"/>
                  <w:left w:val="nil"/>
                  <w:bottom w:val="nil"/>
                  <w:right w:val="nil"/>
                </w:tcBorders>
                <w:shd w:val="clear" w:color="auto" w:fill="auto"/>
                <w:noWrap/>
                <w:hideMark/>
              </w:tcPr>
              <w:p w14:paraId="776AC64C" w14:textId="77777777" w:rsidR="0041512C" w:rsidRPr="0061562E" w:rsidRDefault="0041512C" w:rsidP="00D14D81">
                <w:pPr>
                  <w:spacing w:after="0" w:line="240" w:lineRule="auto"/>
                  <w:jc w:val="right"/>
                  <w:rPr>
                    <w:rFonts w:asciiTheme="minorHAnsi" w:eastAsia="Times New Roman" w:hAnsiTheme="minorHAnsi" w:cstheme="minorHAnsi"/>
                    <w:b/>
                    <w:bCs/>
                    <w:sz w:val="18"/>
                    <w:szCs w:val="18"/>
                    <w:lang w:eastAsia="fr-FR"/>
                  </w:rPr>
                </w:pPr>
                <w:r w:rsidRPr="0061562E">
                  <w:rPr>
                    <w:rFonts w:asciiTheme="minorHAnsi" w:eastAsia="Times New Roman" w:hAnsiTheme="minorHAnsi" w:cstheme="minorHAnsi"/>
                    <w:b/>
                    <w:bCs/>
                    <w:sz w:val="18"/>
                    <w:szCs w:val="18"/>
                    <w:lang w:eastAsia="fr-FR"/>
                  </w:rPr>
                  <w:t>334</w:t>
                </w:r>
              </w:p>
            </w:tc>
            <w:tc>
              <w:tcPr>
                <w:tcW w:w="1395" w:type="dxa"/>
                <w:tcBorders>
                  <w:top w:val="nil"/>
                  <w:left w:val="nil"/>
                  <w:bottom w:val="nil"/>
                  <w:right w:val="nil"/>
                </w:tcBorders>
                <w:shd w:val="clear" w:color="000000" w:fill="E7E6E6"/>
                <w:noWrap/>
                <w:hideMark/>
              </w:tcPr>
              <w:p w14:paraId="56464479" w14:textId="77777777" w:rsidR="0041512C" w:rsidRPr="0061562E" w:rsidRDefault="0041512C" w:rsidP="00D14D81">
                <w:pPr>
                  <w:spacing w:after="0" w:line="240" w:lineRule="auto"/>
                  <w:jc w:val="right"/>
                  <w:rPr>
                    <w:rFonts w:asciiTheme="minorHAnsi" w:eastAsia="Times New Roman" w:hAnsiTheme="minorHAnsi" w:cstheme="minorHAnsi"/>
                    <w:b/>
                    <w:bCs/>
                    <w:color w:val="000E9C"/>
                    <w:sz w:val="18"/>
                    <w:szCs w:val="18"/>
                    <w:lang w:eastAsia="fr-FR"/>
                  </w:rPr>
                </w:pPr>
                <w:r w:rsidRPr="0061562E">
                  <w:rPr>
                    <w:rFonts w:asciiTheme="minorHAnsi" w:eastAsia="Times New Roman" w:hAnsiTheme="minorHAnsi" w:cstheme="minorHAnsi"/>
                    <w:b/>
                    <w:bCs/>
                    <w:color w:val="000E9C"/>
                    <w:sz w:val="18"/>
                    <w:szCs w:val="18"/>
                    <w:lang w:eastAsia="fr-FR"/>
                  </w:rPr>
                  <w:t>382</w:t>
                </w:r>
              </w:p>
            </w:tc>
            <w:tc>
              <w:tcPr>
                <w:tcW w:w="1395" w:type="dxa"/>
                <w:tcBorders>
                  <w:top w:val="nil"/>
                  <w:left w:val="nil"/>
                  <w:bottom w:val="nil"/>
                  <w:right w:val="nil"/>
                </w:tcBorders>
                <w:shd w:val="clear" w:color="auto" w:fill="auto"/>
                <w:noWrap/>
                <w:hideMark/>
              </w:tcPr>
              <w:p w14:paraId="60BDC154" w14:textId="77777777" w:rsidR="0041512C" w:rsidRPr="0061562E" w:rsidRDefault="0041512C" w:rsidP="00D14D81">
                <w:pPr>
                  <w:spacing w:after="0" w:line="240" w:lineRule="auto"/>
                  <w:jc w:val="right"/>
                  <w:rPr>
                    <w:rFonts w:asciiTheme="minorHAnsi" w:eastAsia="Times New Roman" w:hAnsiTheme="minorHAnsi" w:cstheme="minorHAnsi"/>
                    <w:b/>
                    <w:bCs/>
                    <w:sz w:val="18"/>
                    <w:szCs w:val="18"/>
                    <w:lang w:eastAsia="fr-FR"/>
                  </w:rPr>
                </w:pPr>
                <w:r w:rsidRPr="0061562E">
                  <w:rPr>
                    <w:rFonts w:asciiTheme="minorHAnsi" w:eastAsia="Times New Roman" w:hAnsiTheme="minorHAnsi" w:cstheme="minorHAnsi"/>
                    <w:b/>
                    <w:bCs/>
                    <w:sz w:val="18"/>
                    <w:szCs w:val="18"/>
                    <w:lang w:eastAsia="fr-FR"/>
                  </w:rPr>
                  <w:t>14,3%</w:t>
                </w:r>
              </w:p>
            </w:tc>
            <w:tc>
              <w:tcPr>
                <w:tcW w:w="1398" w:type="dxa"/>
                <w:tcBorders>
                  <w:top w:val="nil"/>
                  <w:left w:val="nil"/>
                  <w:bottom w:val="nil"/>
                  <w:right w:val="nil"/>
                </w:tcBorders>
                <w:shd w:val="clear" w:color="auto" w:fill="auto"/>
                <w:noWrap/>
                <w:hideMark/>
              </w:tcPr>
              <w:p w14:paraId="6AAE9884" w14:textId="77777777" w:rsidR="0041512C" w:rsidRPr="0061562E" w:rsidRDefault="0041512C" w:rsidP="00D14D81">
                <w:pPr>
                  <w:spacing w:after="0" w:line="240" w:lineRule="auto"/>
                  <w:jc w:val="right"/>
                  <w:rPr>
                    <w:rFonts w:asciiTheme="minorHAnsi" w:eastAsia="Times New Roman" w:hAnsiTheme="minorHAnsi" w:cstheme="minorHAnsi"/>
                    <w:b/>
                    <w:bCs/>
                    <w:sz w:val="18"/>
                    <w:szCs w:val="18"/>
                    <w:lang w:eastAsia="fr-FR"/>
                  </w:rPr>
                </w:pPr>
                <w:r w:rsidRPr="0061562E">
                  <w:rPr>
                    <w:rFonts w:asciiTheme="minorHAnsi" w:eastAsia="Times New Roman" w:hAnsiTheme="minorHAnsi" w:cstheme="minorHAnsi"/>
                    <w:b/>
                    <w:bCs/>
                    <w:sz w:val="18"/>
                    <w:szCs w:val="18"/>
                    <w:lang w:eastAsia="fr-FR"/>
                  </w:rPr>
                  <w:t>13,3%</w:t>
                </w:r>
              </w:p>
            </w:tc>
          </w:tr>
        </w:tbl>
        <w:p w14:paraId="641E5A08" w14:textId="77777777" w:rsidR="0041512C" w:rsidRPr="00B264D1" w:rsidRDefault="0041512C" w:rsidP="0041512C">
          <w:pPr>
            <w:jc w:val="both"/>
            <w:rPr>
              <w:rFonts w:asciiTheme="minorHAnsi" w:hAnsiTheme="minorHAnsi" w:cstheme="minorHAnsi"/>
            </w:rPr>
          </w:pPr>
          <w:r w:rsidRPr="00B264D1">
            <w:rPr>
              <w:rFonts w:asciiTheme="minorHAnsi" w:eastAsia="Calibri" w:hAnsiTheme="minorHAnsi" w:cstheme="minorHAnsi"/>
              <w:sz w:val="20"/>
              <w:szCs w:val="20"/>
            </w:rPr>
            <w:t xml:space="preserve"> </w:t>
          </w:r>
        </w:p>
        <w:p w14:paraId="7B70C496" w14:textId="676D9592" w:rsidR="0041512C" w:rsidRPr="00F649CD" w:rsidRDefault="0041512C" w:rsidP="0041512C">
          <w:pPr>
            <w:pStyle w:val="SSChapitreCP"/>
            <w:jc w:val="both"/>
            <w:rPr>
              <w:rFonts w:asciiTheme="minorHAnsi" w:hAnsiTheme="minorHAnsi" w:cstheme="minorHAnsi"/>
              <w:b w:val="0"/>
              <w:iCs/>
              <w:sz w:val="20"/>
            </w:rPr>
          </w:pPr>
          <w:r w:rsidRPr="00F649CD">
            <w:rPr>
              <w:rFonts w:asciiTheme="minorHAnsi" w:hAnsiTheme="minorHAnsi" w:cstheme="minorHAnsi"/>
              <w:b w:val="0"/>
              <w:iCs/>
              <w:sz w:val="20"/>
            </w:rPr>
            <w:t xml:space="preserve">La progression du chiffre d’affaires en </w:t>
          </w:r>
          <w:r w:rsidRPr="00F649CD">
            <w:rPr>
              <w:rFonts w:asciiTheme="minorHAnsi" w:hAnsiTheme="minorHAnsi" w:cstheme="minorHAnsi"/>
              <w:bCs/>
              <w:iCs/>
              <w:sz w:val="20"/>
            </w:rPr>
            <w:t>France</w:t>
          </w:r>
          <w:r w:rsidRPr="00F649CD">
            <w:rPr>
              <w:rFonts w:asciiTheme="minorHAnsi" w:hAnsiTheme="minorHAnsi" w:cstheme="minorHAnsi"/>
              <w:b w:val="0"/>
              <w:iCs/>
              <w:sz w:val="20"/>
            </w:rPr>
            <w:t xml:space="preserve"> intègre une croissance à deux chiffres du Cloud privé et du Cloud public, notamment grâce au canal </w:t>
          </w:r>
          <w:r w:rsidR="00243ECE" w:rsidRPr="009F036B">
            <w:rPr>
              <w:rFonts w:asciiTheme="minorHAnsi" w:hAnsiTheme="minorHAnsi" w:cstheme="minorHAnsi"/>
              <w:b w:val="0"/>
              <w:i/>
              <w:sz w:val="20"/>
            </w:rPr>
            <w:t>Ent</w:t>
          </w:r>
          <w:r w:rsidR="00243ECE">
            <w:rPr>
              <w:rFonts w:asciiTheme="minorHAnsi" w:hAnsiTheme="minorHAnsi" w:cstheme="minorHAnsi"/>
              <w:b w:val="0"/>
              <w:i/>
              <w:sz w:val="20"/>
            </w:rPr>
            <w:t>er</w:t>
          </w:r>
          <w:r w:rsidR="00243ECE" w:rsidRPr="009F036B">
            <w:rPr>
              <w:rFonts w:asciiTheme="minorHAnsi" w:hAnsiTheme="minorHAnsi" w:cstheme="minorHAnsi"/>
              <w:b w:val="0"/>
              <w:i/>
              <w:sz w:val="20"/>
            </w:rPr>
            <w:t>prise</w:t>
          </w:r>
          <w:r w:rsidRPr="00F649CD">
            <w:rPr>
              <w:rFonts w:asciiTheme="minorHAnsi" w:hAnsiTheme="minorHAnsi" w:cstheme="minorHAnsi"/>
              <w:b w:val="0"/>
              <w:iCs/>
              <w:sz w:val="20"/>
            </w:rPr>
            <w:t xml:space="preserve">, qui intègre les ventes réalisées avec nos partenaires. Le canal </w:t>
          </w:r>
          <w:r w:rsidR="00243ECE" w:rsidRPr="009F036B">
            <w:rPr>
              <w:rFonts w:asciiTheme="minorHAnsi" w:hAnsiTheme="minorHAnsi" w:cstheme="minorHAnsi"/>
              <w:b w:val="0"/>
              <w:i/>
              <w:sz w:val="20"/>
            </w:rPr>
            <w:t>Ent</w:t>
          </w:r>
          <w:r w:rsidR="00243ECE">
            <w:rPr>
              <w:rFonts w:asciiTheme="minorHAnsi" w:hAnsiTheme="minorHAnsi" w:cstheme="minorHAnsi"/>
              <w:b w:val="0"/>
              <w:i/>
              <w:sz w:val="20"/>
            </w:rPr>
            <w:t>er</w:t>
          </w:r>
          <w:r w:rsidR="00243ECE" w:rsidRPr="009F036B">
            <w:rPr>
              <w:rFonts w:asciiTheme="minorHAnsi" w:hAnsiTheme="minorHAnsi" w:cstheme="minorHAnsi"/>
              <w:b w:val="0"/>
              <w:i/>
              <w:sz w:val="20"/>
            </w:rPr>
            <w:t>prise</w:t>
          </w:r>
          <w:r w:rsidR="00243ECE" w:rsidRPr="00F649CD">
            <w:rPr>
              <w:rFonts w:asciiTheme="minorHAnsi" w:hAnsiTheme="minorHAnsi" w:cstheme="minorHAnsi"/>
              <w:b w:val="0"/>
              <w:iCs/>
              <w:sz w:val="20"/>
            </w:rPr>
            <w:t xml:space="preserve"> </w:t>
          </w:r>
          <w:r w:rsidRPr="00F649CD">
            <w:rPr>
              <w:rFonts w:asciiTheme="minorHAnsi" w:hAnsiTheme="minorHAnsi" w:cstheme="minorHAnsi"/>
              <w:b w:val="0"/>
              <w:iCs/>
              <w:sz w:val="20"/>
            </w:rPr>
            <w:t>connait aussi une bonne performance dans le segment Web Cloud et autre</w:t>
          </w:r>
          <w:r>
            <w:rPr>
              <w:rFonts w:asciiTheme="minorHAnsi" w:hAnsiTheme="minorHAnsi" w:cstheme="minorHAnsi"/>
              <w:b w:val="0"/>
              <w:iCs/>
              <w:sz w:val="20"/>
            </w:rPr>
            <w:t>s</w:t>
          </w:r>
          <w:r w:rsidRPr="00F649CD">
            <w:rPr>
              <w:rFonts w:asciiTheme="minorHAnsi" w:hAnsiTheme="minorHAnsi" w:cstheme="minorHAnsi"/>
              <w:b w:val="0"/>
              <w:iCs/>
              <w:sz w:val="20"/>
            </w:rPr>
            <w:t xml:space="preserve">. La croissance du chiffre d’affaires reflète aussi </w:t>
          </w:r>
          <w:r>
            <w:rPr>
              <w:rFonts w:asciiTheme="minorHAnsi" w:hAnsiTheme="minorHAnsi" w:cstheme="minorHAnsi"/>
              <w:b w:val="0"/>
              <w:iCs/>
              <w:sz w:val="20"/>
            </w:rPr>
            <w:t xml:space="preserve">le poids relatif important de ce dernier segment, ainsi que </w:t>
          </w:r>
          <w:r w:rsidRPr="00F649CD">
            <w:rPr>
              <w:rFonts w:asciiTheme="minorHAnsi" w:hAnsiTheme="minorHAnsi" w:cstheme="minorHAnsi"/>
              <w:b w:val="0"/>
              <w:iCs/>
              <w:sz w:val="20"/>
            </w:rPr>
            <w:t>l’impact de l’incendie à Strasbourg, auquel la France a été plus exposée que les autres zones. Sur une base comparable, la croissance du chiffre d’affaires en France s’est élevée à +8,8%.</w:t>
          </w:r>
        </w:p>
        <w:p w14:paraId="3032ACF9" w14:textId="77777777" w:rsidR="0041512C" w:rsidRPr="00F649CD" w:rsidRDefault="0041512C" w:rsidP="0041512C">
          <w:pPr>
            <w:pStyle w:val="SSChapitreCP"/>
            <w:jc w:val="both"/>
            <w:rPr>
              <w:rFonts w:asciiTheme="minorHAnsi" w:eastAsiaTheme="minorHAnsi" w:hAnsiTheme="minorHAnsi" w:cstheme="minorHAnsi"/>
              <w:b w:val="0"/>
              <w:sz w:val="20"/>
            </w:rPr>
          </w:pPr>
          <w:r w:rsidRPr="00F649CD">
            <w:rPr>
              <w:rFonts w:asciiTheme="minorHAnsi" w:hAnsiTheme="minorHAnsi" w:cstheme="minorHAnsi"/>
              <w:b w:val="0"/>
              <w:sz w:val="20"/>
            </w:rPr>
            <w:t xml:space="preserve">Dans les </w:t>
          </w:r>
          <w:r w:rsidRPr="00F649CD">
            <w:rPr>
              <w:rFonts w:asciiTheme="minorHAnsi" w:hAnsiTheme="minorHAnsi" w:cstheme="minorHAnsi"/>
              <w:sz w:val="20"/>
            </w:rPr>
            <w:t>autres pays européens</w:t>
          </w:r>
          <w:r w:rsidRPr="00F649CD">
            <w:rPr>
              <w:rFonts w:asciiTheme="minorHAnsi" w:hAnsiTheme="minorHAnsi" w:cstheme="minorHAnsi"/>
              <w:b w:val="0"/>
              <w:sz w:val="20"/>
            </w:rPr>
            <w:t xml:space="preserve">, la croissance du chiffre d’affaires du Cloud privé et du Cloud public suit largement les mêmes tendances que celles observées en France et profite des retombées de la mise en place d’équipes commerciales régionales dédiées. </w:t>
          </w:r>
        </w:p>
        <w:p w14:paraId="23229750" w14:textId="52DC6951" w:rsidR="0041512C" w:rsidRPr="00F649CD" w:rsidRDefault="0041512C" w:rsidP="0041512C">
          <w:pPr>
            <w:pStyle w:val="SSChapitreCP"/>
            <w:jc w:val="both"/>
            <w:rPr>
              <w:rFonts w:asciiTheme="minorHAnsi" w:hAnsiTheme="minorHAnsi" w:cstheme="minorHAnsi"/>
              <w:b w:val="0"/>
              <w:iCs/>
              <w:sz w:val="20"/>
            </w:rPr>
          </w:pPr>
          <w:r w:rsidRPr="00F649CD">
            <w:rPr>
              <w:rFonts w:asciiTheme="minorHAnsi" w:hAnsiTheme="minorHAnsi" w:cstheme="minorHAnsi"/>
              <w:b w:val="0"/>
              <w:iCs/>
              <w:sz w:val="20"/>
            </w:rPr>
            <w:t xml:space="preserve">Dans le </w:t>
          </w:r>
          <w:r w:rsidRPr="00F649CD">
            <w:rPr>
              <w:rFonts w:asciiTheme="minorHAnsi" w:hAnsiTheme="minorHAnsi" w:cstheme="minorHAnsi"/>
              <w:bCs/>
              <w:iCs/>
              <w:sz w:val="20"/>
            </w:rPr>
            <w:t>Reste du monde</w:t>
          </w:r>
          <w:r w:rsidRPr="00F649CD">
            <w:rPr>
              <w:rFonts w:asciiTheme="minorHAnsi" w:hAnsiTheme="minorHAnsi" w:cstheme="minorHAnsi"/>
              <w:b w:val="0"/>
              <w:iCs/>
              <w:sz w:val="20"/>
            </w:rPr>
            <w:t>, la croissance aux Etats-Unis ainsi qu’en Asie continue de progresser avec respectivement +84</w:t>
          </w:r>
          <w:r w:rsidR="00782574">
            <w:rPr>
              <w:rFonts w:asciiTheme="minorHAnsi" w:hAnsiTheme="minorHAnsi" w:cstheme="minorHAnsi"/>
              <w:b w:val="0"/>
              <w:iCs/>
              <w:sz w:val="20"/>
            </w:rPr>
            <w:t>,0</w:t>
          </w:r>
          <w:r w:rsidRPr="00F649CD">
            <w:rPr>
              <w:rFonts w:asciiTheme="minorHAnsi" w:hAnsiTheme="minorHAnsi" w:cstheme="minorHAnsi"/>
              <w:b w:val="0"/>
              <w:iCs/>
              <w:sz w:val="20"/>
            </w:rPr>
            <w:t>% et +3</w:t>
          </w:r>
          <w:r w:rsidR="00782574">
            <w:rPr>
              <w:rFonts w:asciiTheme="minorHAnsi" w:hAnsiTheme="minorHAnsi" w:cstheme="minorHAnsi"/>
              <w:b w:val="0"/>
              <w:iCs/>
              <w:sz w:val="20"/>
            </w:rPr>
            <w:t>6,9</w:t>
          </w:r>
          <w:r w:rsidRPr="00F649CD">
            <w:rPr>
              <w:rFonts w:asciiTheme="minorHAnsi" w:hAnsiTheme="minorHAnsi" w:cstheme="minorHAnsi"/>
              <w:b w:val="0"/>
              <w:iCs/>
              <w:sz w:val="20"/>
            </w:rPr>
            <w:t>% en données publiées et +7</w:t>
          </w:r>
          <w:r w:rsidR="00782574">
            <w:rPr>
              <w:rFonts w:asciiTheme="minorHAnsi" w:hAnsiTheme="minorHAnsi" w:cstheme="minorHAnsi"/>
              <w:b w:val="0"/>
              <w:iCs/>
              <w:sz w:val="20"/>
            </w:rPr>
            <w:t>5,9</w:t>
          </w:r>
          <w:r w:rsidRPr="00F649CD">
            <w:rPr>
              <w:rFonts w:asciiTheme="minorHAnsi" w:hAnsiTheme="minorHAnsi" w:cstheme="minorHAnsi"/>
              <w:b w:val="0"/>
              <w:iCs/>
              <w:sz w:val="20"/>
            </w:rPr>
            <w:t>% et +30</w:t>
          </w:r>
          <w:r w:rsidR="00782574">
            <w:rPr>
              <w:rFonts w:asciiTheme="minorHAnsi" w:hAnsiTheme="minorHAnsi" w:cstheme="minorHAnsi"/>
              <w:b w:val="0"/>
              <w:iCs/>
              <w:sz w:val="20"/>
            </w:rPr>
            <w:t>,5</w:t>
          </w:r>
          <w:r w:rsidRPr="00F649CD">
            <w:rPr>
              <w:rFonts w:asciiTheme="minorHAnsi" w:hAnsiTheme="minorHAnsi" w:cstheme="minorHAnsi"/>
              <w:b w:val="0"/>
              <w:iCs/>
              <w:sz w:val="20"/>
            </w:rPr>
            <w:t>% en données comparables. Le</w:t>
          </w:r>
          <w:r>
            <w:rPr>
              <w:rFonts w:asciiTheme="minorHAnsi" w:hAnsiTheme="minorHAnsi" w:cstheme="minorHAnsi"/>
              <w:b w:val="0"/>
              <w:iCs/>
              <w:sz w:val="20"/>
            </w:rPr>
            <w:t xml:space="preserve"> canal</w:t>
          </w:r>
          <w:r w:rsidRPr="00F649CD">
            <w:rPr>
              <w:rFonts w:asciiTheme="minorHAnsi" w:hAnsiTheme="minorHAnsi" w:cstheme="minorHAnsi"/>
              <w:b w:val="0"/>
              <w:iCs/>
              <w:sz w:val="20"/>
            </w:rPr>
            <w:t xml:space="preserve"> </w:t>
          </w:r>
          <w:r>
            <w:rPr>
              <w:rFonts w:asciiTheme="minorHAnsi" w:hAnsiTheme="minorHAnsi" w:cstheme="minorHAnsi"/>
              <w:b w:val="0"/>
              <w:iCs/>
              <w:sz w:val="20"/>
            </w:rPr>
            <w:t>client « </w:t>
          </w:r>
          <w:r w:rsidRPr="00F649CD">
            <w:rPr>
              <w:rFonts w:asciiTheme="minorHAnsi" w:hAnsiTheme="minorHAnsi" w:cstheme="minorHAnsi"/>
              <w:b w:val="0"/>
              <w:iCs/>
              <w:sz w:val="20"/>
            </w:rPr>
            <w:t>digital</w:t>
          </w:r>
          <w:r>
            <w:rPr>
              <w:rFonts w:asciiTheme="minorHAnsi" w:hAnsiTheme="minorHAnsi" w:cstheme="minorHAnsi"/>
              <w:b w:val="0"/>
              <w:iCs/>
              <w:sz w:val="20"/>
            </w:rPr>
            <w:t> »</w:t>
          </w:r>
          <w:r w:rsidRPr="00F649CD">
            <w:rPr>
              <w:rFonts w:asciiTheme="minorHAnsi" w:hAnsiTheme="minorHAnsi" w:cstheme="minorHAnsi"/>
              <w:b w:val="0"/>
              <w:iCs/>
              <w:sz w:val="20"/>
            </w:rPr>
            <w:t xml:space="preserve"> </w:t>
          </w:r>
          <w:r>
            <w:rPr>
              <w:rFonts w:asciiTheme="minorHAnsi" w:hAnsiTheme="minorHAnsi" w:cstheme="minorHAnsi"/>
              <w:b w:val="0"/>
              <w:iCs/>
              <w:sz w:val="20"/>
            </w:rPr>
            <w:t>poursuit son excellente performance</w:t>
          </w:r>
          <w:r w:rsidRPr="00F649CD">
            <w:rPr>
              <w:rFonts w:asciiTheme="minorHAnsi" w:hAnsiTheme="minorHAnsi" w:cstheme="minorHAnsi"/>
              <w:b w:val="0"/>
              <w:iCs/>
              <w:sz w:val="20"/>
            </w:rPr>
            <w:t xml:space="preserve"> avec une croissance aux Etats-Unis de +106</w:t>
          </w:r>
          <w:r w:rsidR="00782574">
            <w:rPr>
              <w:rFonts w:asciiTheme="minorHAnsi" w:hAnsiTheme="minorHAnsi" w:cstheme="minorHAnsi"/>
              <w:b w:val="0"/>
              <w:iCs/>
              <w:sz w:val="20"/>
            </w:rPr>
            <w:t>,2</w:t>
          </w:r>
          <w:r w:rsidRPr="00F649CD">
            <w:rPr>
              <w:rFonts w:asciiTheme="minorHAnsi" w:hAnsiTheme="minorHAnsi" w:cstheme="minorHAnsi"/>
              <w:b w:val="0"/>
              <w:iCs/>
              <w:sz w:val="20"/>
            </w:rPr>
            <w:t>% en données publiées et +9</w:t>
          </w:r>
          <w:r w:rsidR="00782574">
            <w:rPr>
              <w:rFonts w:asciiTheme="minorHAnsi" w:hAnsiTheme="minorHAnsi" w:cstheme="minorHAnsi"/>
              <w:b w:val="0"/>
              <w:iCs/>
              <w:sz w:val="20"/>
            </w:rPr>
            <w:t>6,9</w:t>
          </w:r>
          <w:r w:rsidRPr="00F649CD">
            <w:rPr>
              <w:rFonts w:asciiTheme="minorHAnsi" w:hAnsiTheme="minorHAnsi" w:cstheme="minorHAnsi"/>
              <w:b w:val="0"/>
              <w:iCs/>
              <w:sz w:val="20"/>
            </w:rPr>
            <w:t xml:space="preserve">% en données comparables. Cette performance se retrouve </w:t>
          </w:r>
          <w:r>
            <w:rPr>
              <w:rFonts w:asciiTheme="minorHAnsi" w:hAnsiTheme="minorHAnsi" w:cstheme="minorHAnsi"/>
              <w:b w:val="0"/>
              <w:iCs/>
              <w:sz w:val="20"/>
            </w:rPr>
            <w:t xml:space="preserve">également </w:t>
          </w:r>
          <w:r w:rsidRPr="00F649CD">
            <w:rPr>
              <w:rFonts w:asciiTheme="minorHAnsi" w:hAnsiTheme="minorHAnsi" w:cstheme="minorHAnsi"/>
              <w:b w:val="0"/>
              <w:iCs/>
              <w:sz w:val="20"/>
            </w:rPr>
            <w:t>en Asie avec une croissance de +6</w:t>
          </w:r>
          <w:r w:rsidR="00782574">
            <w:rPr>
              <w:rFonts w:asciiTheme="minorHAnsi" w:hAnsiTheme="minorHAnsi" w:cstheme="minorHAnsi"/>
              <w:b w:val="0"/>
              <w:iCs/>
              <w:sz w:val="20"/>
            </w:rPr>
            <w:t>3,7</w:t>
          </w:r>
          <w:r w:rsidRPr="00F649CD">
            <w:rPr>
              <w:rFonts w:asciiTheme="minorHAnsi" w:hAnsiTheme="minorHAnsi" w:cstheme="minorHAnsi"/>
              <w:b w:val="0"/>
              <w:iCs/>
              <w:sz w:val="20"/>
            </w:rPr>
            <w:t>% en données publiées et de +5</w:t>
          </w:r>
          <w:r w:rsidR="00782574">
            <w:rPr>
              <w:rFonts w:asciiTheme="minorHAnsi" w:hAnsiTheme="minorHAnsi" w:cstheme="minorHAnsi"/>
              <w:b w:val="0"/>
              <w:iCs/>
              <w:sz w:val="20"/>
            </w:rPr>
            <w:t>6,6</w:t>
          </w:r>
          <w:r w:rsidRPr="00F649CD">
            <w:rPr>
              <w:rFonts w:asciiTheme="minorHAnsi" w:hAnsiTheme="minorHAnsi" w:cstheme="minorHAnsi"/>
              <w:b w:val="0"/>
              <w:iCs/>
              <w:sz w:val="20"/>
            </w:rPr>
            <w:t>% en données comparables. Cette croissance soutenue illustre le succès de la stratégie d’expansion d’OVHcloud dans ces deux régions.</w:t>
          </w:r>
        </w:p>
        <w:p w14:paraId="68808069" w14:textId="761471E8" w:rsidR="0041512C" w:rsidRDefault="0041512C" w:rsidP="0041512C">
          <w:pPr>
            <w:spacing w:after="0" w:line="240" w:lineRule="auto"/>
            <w:rPr>
              <w:rFonts w:asciiTheme="minorHAnsi" w:eastAsia="DengXian Light" w:hAnsiTheme="minorHAnsi" w:cstheme="minorHAnsi"/>
              <w:sz w:val="28"/>
              <w:szCs w:val="28"/>
            </w:rPr>
          </w:pPr>
        </w:p>
        <w:p w14:paraId="77A60822" w14:textId="77777777" w:rsidR="00016402" w:rsidRDefault="00016402">
          <w:pPr>
            <w:spacing w:after="0" w:line="240" w:lineRule="auto"/>
            <w:rPr>
              <w:rFonts w:asciiTheme="minorHAnsi" w:eastAsia="DengXian Light" w:hAnsiTheme="minorHAnsi" w:cstheme="minorHAnsi"/>
              <w:sz w:val="24"/>
              <w:szCs w:val="24"/>
            </w:rPr>
          </w:pPr>
          <w:r>
            <w:rPr>
              <w:rFonts w:asciiTheme="minorHAnsi" w:hAnsiTheme="minorHAnsi" w:cstheme="minorHAnsi"/>
              <w:sz w:val="24"/>
              <w:szCs w:val="24"/>
            </w:rPr>
            <w:br w:type="page"/>
          </w:r>
        </w:p>
        <w:p w14:paraId="24CB3289" w14:textId="1CD6CDE8" w:rsidR="0041512C" w:rsidRPr="00837FDF" w:rsidRDefault="0041512C" w:rsidP="0041512C">
          <w:pPr>
            <w:pStyle w:val="Titre2"/>
            <w:numPr>
              <w:ilvl w:val="2"/>
              <w:numId w:val="21"/>
            </w:numPr>
            <w:spacing w:before="0"/>
            <w:ind w:left="2160" w:hanging="360"/>
            <w:rPr>
              <w:rFonts w:asciiTheme="minorHAnsi" w:hAnsiTheme="minorHAnsi" w:cstheme="minorHAnsi"/>
              <w:color w:val="auto"/>
              <w:sz w:val="24"/>
              <w:szCs w:val="24"/>
            </w:rPr>
          </w:pPr>
          <w:bookmarkStart w:id="38" w:name="_Toc100684267"/>
          <w:bookmarkStart w:id="39" w:name="_Toc100689211"/>
          <w:bookmarkStart w:id="40" w:name="_Toc100689260"/>
          <w:r w:rsidRPr="00837FDF">
            <w:rPr>
              <w:rFonts w:asciiTheme="minorHAnsi" w:hAnsiTheme="minorHAnsi" w:cstheme="minorHAnsi"/>
              <w:color w:val="auto"/>
              <w:sz w:val="24"/>
              <w:szCs w:val="24"/>
            </w:rPr>
            <w:lastRenderedPageBreak/>
            <w:t>EBITDA courant et EBITDA ajusté</w:t>
          </w:r>
          <w:bookmarkEnd w:id="38"/>
          <w:bookmarkEnd w:id="39"/>
          <w:bookmarkEnd w:id="40"/>
        </w:p>
        <w:p w14:paraId="225E7069" w14:textId="77777777" w:rsidR="0041512C" w:rsidRPr="00B264D1" w:rsidRDefault="0041512C" w:rsidP="0041512C">
          <w:pPr>
            <w:spacing w:before="120" w:after="0"/>
            <w:rPr>
              <w:rFonts w:asciiTheme="minorHAnsi" w:hAnsiTheme="minorHAnsi" w:cstheme="minorHAnsi"/>
              <w:color w:val="2F5496"/>
            </w:rPr>
          </w:pPr>
        </w:p>
        <w:p w14:paraId="1C0B404B" w14:textId="7B16AE25" w:rsidR="0041512C" w:rsidRPr="00B264D1" w:rsidRDefault="0041512C" w:rsidP="0041512C">
          <w:pPr>
            <w:jc w:val="both"/>
            <w:rPr>
              <w:rFonts w:asciiTheme="minorHAnsi" w:hAnsiTheme="minorHAnsi" w:cstheme="minorHAnsi"/>
            </w:rPr>
          </w:pPr>
          <w:r w:rsidRPr="00B264D1">
            <w:rPr>
              <w:rFonts w:asciiTheme="minorHAnsi" w:eastAsia="Calibri" w:hAnsiTheme="minorHAnsi" w:cstheme="minorHAnsi"/>
              <w:b/>
              <w:bCs/>
              <w:sz w:val="20"/>
              <w:szCs w:val="20"/>
              <w:lang w:val="fr"/>
            </w:rPr>
            <w:t>L’EBITDA ajusté</w:t>
          </w:r>
          <w:r w:rsidRPr="00B264D1">
            <w:rPr>
              <w:rFonts w:asciiTheme="minorHAnsi" w:eastAsia="Calibri" w:hAnsiTheme="minorHAnsi" w:cstheme="minorHAnsi"/>
              <w:sz w:val="20"/>
              <w:szCs w:val="20"/>
              <w:lang w:val="fr"/>
            </w:rPr>
            <w:t xml:space="preserve">, qui est l’indicateur alternatif de performance principalement suivi par le Groupe, a atteint </w:t>
          </w:r>
          <w:r w:rsidRPr="00B264D1">
            <w:rPr>
              <w:rFonts w:asciiTheme="minorHAnsi" w:eastAsia="Calibri" w:hAnsiTheme="minorHAnsi" w:cstheme="minorHAnsi"/>
              <w:sz w:val="20"/>
              <w:szCs w:val="20"/>
              <w:lang w:val="fr"/>
            </w:rPr>
            <w:br/>
            <w:t>153 millions d’euros,</w:t>
          </w:r>
          <w:r w:rsidRPr="00B264D1">
            <w:rPr>
              <w:rFonts w:asciiTheme="minorHAnsi" w:hAnsiTheme="minorHAnsi" w:cstheme="minorHAnsi"/>
              <w:sz w:val="20"/>
              <w:szCs w:val="20"/>
            </w:rPr>
            <w:t xml:space="preserve"> soit une marge de 40,1%, </w:t>
          </w:r>
          <w:r>
            <w:rPr>
              <w:rFonts w:asciiTheme="minorHAnsi" w:hAnsiTheme="minorHAnsi" w:cstheme="minorHAnsi"/>
              <w:sz w:val="20"/>
              <w:szCs w:val="20"/>
            </w:rPr>
            <w:t>versus 138 millions d’euros soit</w:t>
          </w:r>
          <w:r w:rsidRPr="00B264D1">
            <w:rPr>
              <w:rFonts w:asciiTheme="minorHAnsi" w:hAnsiTheme="minorHAnsi" w:cstheme="minorHAnsi"/>
              <w:sz w:val="20"/>
              <w:szCs w:val="20"/>
            </w:rPr>
            <w:t xml:space="preserve"> une hausse de </w:t>
          </w:r>
          <w:r w:rsidRPr="00B264D1">
            <w:rPr>
              <w:rFonts w:asciiTheme="minorHAnsi" w:eastAsia="Calibri" w:hAnsiTheme="minorHAnsi" w:cstheme="minorHAnsi"/>
              <w:sz w:val="20"/>
              <w:szCs w:val="20"/>
              <w:lang w:val="fr"/>
            </w:rPr>
            <w:t>11,1% sur une base comparable.</w:t>
          </w:r>
        </w:p>
        <w:p w14:paraId="76AE300B" w14:textId="77777777" w:rsidR="0041512C" w:rsidRDefault="0041512C" w:rsidP="0041512C">
          <w:pPr>
            <w:jc w:val="both"/>
            <w:rPr>
              <w:rFonts w:asciiTheme="minorHAnsi" w:hAnsiTheme="minorHAnsi" w:cstheme="minorHAnsi"/>
              <w:b/>
              <w:sz w:val="24"/>
              <w:szCs w:val="24"/>
            </w:rPr>
          </w:pPr>
        </w:p>
        <w:tbl>
          <w:tblPr>
            <w:tblW w:w="8960" w:type="dxa"/>
            <w:tblCellMar>
              <w:left w:w="70" w:type="dxa"/>
              <w:right w:w="70" w:type="dxa"/>
            </w:tblCellMar>
            <w:tblLook w:val="04A0" w:firstRow="1" w:lastRow="0" w:firstColumn="1" w:lastColumn="0" w:noHBand="0" w:noVBand="1"/>
          </w:tblPr>
          <w:tblGrid>
            <w:gridCol w:w="3377"/>
            <w:gridCol w:w="1395"/>
            <w:gridCol w:w="1395"/>
            <w:gridCol w:w="1395"/>
            <w:gridCol w:w="1398"/>
          </w:tblGrid>
          <w:tr w:rsidR="0041512C" w:rsidRPr="00651BDA" w14:paraId="3972102A" w14:textId="77777777" w:rsidTr="00D14D81">
            <w:trPr>
              <w:trHeight w:val="780"/>
            </w:trPr>
            <w:tc>
              <w:tcPr>
                <w:tcW w:w="3377" w:type="dxa"/>
                <w:tcBorders>
                  <w:top w:val="nil"/>
                  <w:left w:val="nil"/>
                  <w:bottom w:val="single" w:sz="4" w:space="0" w:color="000E9C"/>
                  <w:right w:val="nil"/>
                </w:tcBorders>
                <w:shd w:val="clear" w:color="auto" w:fill="auto"/>
                <w:noWrap/>
                <w:hideMark/>
              </w:tcPr>
              <w:p w14:paraId="13761C0C" w14:textId="77777777" w:rsidR="0041512C" w:rsidRPr="00651BDA" w:rsidRDefault="0041512C" w:rsidP="00D14D81">
                <w:pPr>
                  <w:spacing w:after="0" w:line="240" w:lineRule="auto"/>
                  <w:rPr>
                    <w:rFonts w:asciiTheme="minorHAnsi" w:eastAsia="Times New Roman" w:hAnsiTheme="minorHAnsi" w:cstheme="minorHAnsi"/>
                    <w:i/>
                    <w:iCs/>
                    <w:sz w:val="18"/>
                    <w:szCs w:val="18"/>
                    <w:lang w:eastAsia="fr-FR"/>
                  </w:rPr>
                </w:pPr>
                <w:r w:rsidRPr="00651BDA">
                  <w:rPr>
                    <w:rFonts w:asciiTheme="minorHAnsi" w:eastAsia="Times New Roman" w:hAnsiTheme="minorHAnsi" w:cstheme="minorHAnsi"/>
                    <w:i/>
                    <w:iCs/>
                    <w:sz w:val="18"/>
                    <w:szCs w:val="18"/>
                    <w:lang w:eastAsia="fr-FR"/>
                  </w:rPr>
                  <w:t>(</w:t>
                </w:r>
                <w:proofErr w:type="gramStart"/>
                <w:r w:rsidRPr="00651BDA">
                  <w:rPr>
                    <w:rFonts w:asciiTheme="minorHAnsi" w:eastAsia="Times New Roman" w:hAnsiTheme="minorHAnsi" w:cstheme="minorHAnsi"/>
                    <w:i/>
                    <w:iCs/>
                    <w:sz w:val="18"/>
                    <w:szCs w:val="18"/>
                    <w:lang w:eastAsia="fr-FR"/>
                  </w:rPr>
                  <w:t>en</w:t>
                </w:r>
                <w:proofErr w:type="gramEnd"/>
                <w:r w:rsidRPr="00651BDA">
                  <w:rPr>
                    <w:rFonts w:asciiTheme="minorHAnsi" w:eastAsia="Times New Roman" w:hAnsiTheme="minorHAnsi" w:cstheme="minorHAnsi"/>
                    <w:i/>
                    <w:iCs/>
                    <w:sz w:val="18"/>
                    <w:szCs w:val="18"/>
                    <w:lang w:eastAsia="fr-FR"/>
                  </w:rPr>
                  <w:t xml:space="preserve"> millions d'euros)</w:t>
                </w:r>
              </w:p>
            </w:tc>
            <w:tc>
              <w:tcPr>
                <w:tcW w:w="1395" w:type="dxa"/>
                <w:tcBorders>
                  <w:top w:val="nil"/>
                  <w:left w:val="nil"/>
                  <w:bottom w:val="single" w:sz="4" w:space="0" w:color="000E9C"/>
                  <w:right w:val="nil"/>
                </w:tcBorders>
                <w:shd w:val="clear" w:color="auto" w:fill="auto"/>
                <w:hideMark/>
              </w:tcPr>
              <w:p w14:paraId="351EAA30" w14:textId="77777777" w:rsidR="0041512C" w:rsidRPr="00651BDA" w:rsidRDefault="0041512C" w:rsidP="00D14D81">
                <w:pPr>
                  <w:spacing w:after="0" w:line="240" w:lineRule="auto"/>
                  <w:jc w:val="right"/>
                  <w:rPr>
                    <w:rFonts w:asciiTheme="minorHAnsi" w:eastAsia="Times New Roman" w:hAnsiTheme="minorHAnsi" w:cstheme="minorHAnsi"/>
                    <w:sz w:val="18"/>
                    <w:szCs w:val="18"/>
                    <w:lang w:eastAsia="fr-FR"/>
                  </w:rPr>
                </w:pPr>
                <w:r w:rsidRPr="00651BDA">
                  <w:rPr>
                    <w:rFonts w:asciiTheme="minorHAnsi" w:eastAsia="Times New Roman" w:hAnsiTheme="minorHAnsi" w:cstheme="minorHAnsi"/>
                    <w:sz w:val="18"/>
                    <w:szCs w:val="18"/>
                    <w:lang w:eastAsia="fr-FR"/>
                  </w:rPr>
                  <w:t>1er semestre 2021</w:t>
                </w:r>
              </w:p>
            </w:tc>
            <w:tc>
              <w:tcPr>
                <w:tcW w:w="1395" w:type="dxa"/>
                <w:tcBorders>
                  <w:top w:val="nil"/>
                  <w:left w:val="nil"/>
                  <w:bottom w:val="single" w:sz="4" w:space="0" w:color="000E9C"/>
                  <w:right w:val="nil"/>
                </w:tcBorders>
                <w:shd w:val="clear" w:color="000000" w:fill="E7E6E6"/>
                <w:hideMark/>
              </w:tcPr>
              <w:p w14:paraId="7473C542" w14:textId="77777777" w:rsidR="0041512C" w:rsidRPr="00651BDA" w:rsidRDefault="0041512C" w:rsidP="00D14D81">
                <w:pPr>
                  <w:spacing w:after="0" w:line="240" w:lineRule="auto"/>
                  <w:jc w:val="right"/>
                  <w:rPr>
                    <w:rFonts w:asciiTheme="minorHAnsi" w:eastAsia="Times New Roman" w:hAnsiTheme="minorHAnsi" w:cstheme="minorHAnsi"/>
                    <w:color w:val="000E9C"/>
                    <w:sz w:val="18"/>
                    <w:szCs w:val="18"/>
                    <w:lang w:eastAsia="fr-FR"/>
                  </w:rPr>
                </w:pPr>
                <w:r w:rsidRPr="00651BDA">
                  <w:rPr>
                    <w:rFonts w:asciiTheme="minorHAnsi" w:eastAsia="Times New Roman" w:hAnsiTheme="minorHAnsi" w:cstheme="minorHAnsi"/>
                    <w:color w:val="000E9C"/>
                    <w:sz w:val="18"/>
                    <w:szCs w:val="18"/>
                    <w:lang w:eastAsia="fr-FR"/>
                  </w:rPr>
                  <w:t>1er semestre 2022</w:t>
                </w:r>
              </w:p>
            </w:tc>
            <w:tc>
              <w:tcPr>
                <w:tcW w:w="1395" w:type="dxa"/>
                <w:tcBorders>
                  <w:top w:val="nil"/>
                  <w:left w:val="nil"/>
                  <w:bottom w:val="single" w:sz="4" w:space="0" w:color="000E9C"/>
                  <w:right w:val="nil"/>
                </w:tcBorders>
                <w:shd w:val="clear" w:color="auto" w:fill="auto"/>
                <w:hideMark/>
              </w:tcPr>
              <w:p w14:paraId="18635C4E" w14:textId="77777777" w:rsidR="0041512C" w:rsidRPr="00651BDA" w:rsidRDefault="0041512C" w:rsidP="00D14D81">
                <w:pPr>
                  <w:spacing w:after="0" w:line="240" w:lineRule="auto"/>
                  <w:jc w:val="right"/>
                  <w:rPr>
                    <w:rFonts w:asciiTheme="minorHAnsi" w:eastAsia="Times New Roman" w:hAnsiTheme="minorHAnsi" w:cstheme="minorHAnsi"/>
                    <w:sz w:val="18"/>
                    <w:szCs w:val="18"/>
                    <w:lang w:eastAsia="fr-FR"/>
                  </w:rPr>
                </w:pPr>
                <w:r w:rsidRPr="00651BDA">
                  <w:rPr>
                    <w:rFonts w:asciiTheme="minorHAnsi" w:eastAsia="Times New Roman" w:hAnsiTheme="minorHAnsi" w:cstheme="minorHAnsi"/>
                    <w:sz w:val="18"/>
                    <w:szCs w:val="18"/>
                    <w:lang w:eastAsia="fr-FR"/>
                  </w:rPr>
                  <w:t xml:space="preserve">Variation </w:t>
                </w:r>
                <w:r w:rsidRPr="00651BDA">
                  <w:rPr>
                    <w:rFonts w:asciiTheme="minorHAnsi" w:eastAsia="Times New Roman" w:hAnsiTheme="minorHAnsi" w:cstheme="minorHAnsi"/>
                    <w:i/>
                    <w:iCs/>
                    <w:sz w:val="18"/>
                    <w:szCs w:val="18"/>
                    <w:lang w:eastAsia="fr-FR"/>
                  </w:rPr>
                  <w:t>(%)</w:t>
                </w:r>
              </w:p>
            </w:tc>
            <w:tc>
              <w:tcPr>
                <w:tcW w:w="1398" w:type="dxa"/>
                <w:tcBorders>
                  <w:top w:val="nil"/>
                  <w:left w:val="nil"/>
                  <w:bottom w:val="single" w:sz="4" w:space="0" w:color="000E9C"/>
                  <w:right w:val="nil"/>
                </w:tcBorders>
                <w:shd w:val="clear" w:color="auto" w:fill="auto"/>
                <w:hideMark/>
              </w:tcPr>
              <w:p w14:paraId="36D8E265" w14:textId="77777777" w:rsidR="0041512C" w:rsidRPr="00651BDA" w:rsidRDefault="0041512C" w:rsidP="00D14D81">
                <w:pPr>
                  <w:spacing w:after="0" w:line="240" w:lineRule="auto"/>
                  <w:jc w:val="right"/>
                  <w:rPr>
                    <w:rFonts w:asciiTheme="minorHAnsi" w:eastAsia="Times New Roman" w:hAnsiTheme="minorHAnsi" w:cstheme="minorHAnsi"/>
                    <w:sz w:val="18"/>
                    <w:szCs w:val="18"/>
                    <w:lang w:eastAsia="fr-FR"/>
                  </w:rPr>
                </w:pPr>
                <w:r w:rsidRPr="00651BDA">
                  <w:rPr>
                    <w:rFonts w:asciiTheme="minorHAnsi" w:eastAsia="Times New Roman" w:hAnsiTheme="minorHAnsi" w:cstheme="minorHAnsi"/>
                    <w:sz w:val="18"/>
                    <w:szCs w:val="18"/>
                    <w:lang w:eastAsia="fr-FR"/>
                  </w:rPr>
                  <w:t>Variation % en données comparables</w:t>
                </w:r>
              </w:p>
            </w:tc>
          </w:tr>
          <w:tr w:rsidR="0041512C" w:rsidRPr="00651BDA" w14:paraId="310FAE24" w14:textId="77777777" w:rsidTr="00D14D81">
            <w:trPr>
              <w:trHeight w:val="290"/>
            </w:trPr>
            <w:tc>
              <w:tcPr>
                <w:tcW w:w="3377" w:type="dxa"/>
                <w:tcBorders>
                  <w:top w:val="nil"/>
                  <w:left w:val="nil"/>
                  <w:bottom w:val="nil"/>
                  <w:right w:val="nil"/>
                </w:tcBorders>
                <w:shd w:val="clear" w:color="auto" w:fill="auto"/>
                <w:noWrap/>
                <w:vAlign w:val="center"/>
                <w:hideMark/>
              </w:tcPr>
              <w:p w14:paraId="67E2DC12" w14:textId="77777777" w:rsidR="0041512C" w:rsidRPr="00651BDA" w:rsidRDefault="0041512C" w:rsidP="00D14D81">
                <w:pPr>
                  <w:spacing w:after="0" w:line="240" w:lineRule="auto"/>
                  <w:rPr>
                    <w:rFonts w:asciiTheme="minorHAnsi" w:eastAsia="Times New Roman" w:hAnsiTheme="minorHAnsi" w:cstheme="minorHAnsi"/>
                    <w:color w:val="000000"/>
                    <w:sz w:val="18"/>
                    <w:szCs w:val="18"/>
                    <w:lang w:eastAsia="fr-FR"/>
                  </w:rPr>
                </w:pPr>
                <w:r w:rsidRPr="00651BDA">
                  <w:rPr>
                    <w:rFonts w:asciiTheme="minorHAnsi" w:eastAsia="Times New Roman" w:hAnsiTheme="minorHAnsi" w:cstheme="minorHAnsi"/>
                    <w:color w:val="000000"/>
                    <w:sz w:val="18"/>
                    <w:szCs w:val="18"/>
                    <w:lang w:eastAsia="fr-FR"/>
                  </w:rPr>
                  <w:t>Cloud</w:t>
                </w:r>
                <w:r>
                  <w:rPr>
                    <w:rFonts w:asciiTheme="minorHAnsi" w:eastAsia="Times New Roman" w:hAnsiTheme="minorHAnsi" w:cstheme="minorHAnsi"/>
                    <w:color w:val="000000"/>
                    <w:sz w:val="18"/>
                    <w:szCs w:val="18"/>
                    <w:lang w:eastAsia="fr-FR"/>
                  </w:rPr>
                  <w:t xml:space="preserve"> privé</w:t>
                </w:r>
              </w:p>
            </w:tc>
            <w:tc>
              <w:tcPr>
                <w:tcW w:w="1395" w:type="dxa"/>
                <w:tcBorders>
                  <w:top w:val="nil"/>
                  <w:left w:val="nil"/>
                  <w:bottom w:val="nil"/>
                  <w:right w:val="nil"/>
                </w:tcBorders>
                <w:shd w:val="clear" w:color="auto" w:fill="auto"/>
                <w:noWrap/>
                <w:hideMark/>
              </w:tcPr>
              <w:p w14:paraId="05217CF4" w14:textId="77777777" w:rsidR="0041512C" w:rsidRPr="00651BDA" w:rsidRDefault="0041512C" w:rsidP="00D14D81">
                <w:pPr>
                  <w:spacing w:after="0" w:line="240" w:lineRule="auto"/>
                  <w:jc w:val="right"/>
                  <w:rPr>
                    <w:rFonts w:asciiTheme="minorHAnsi" w:eastAsia="Times New Roman" w:hAnsiTheme="minorHAnsi" w:cstheme="minorHAnsi"/>
                    <w:sz w:val="18"/>
                    <w:szCs w:val="18"/>
                    <w:lang w:eastAsia="fr-FR"/>
                  </w:rPr>
                </w:pPr>
                <w:r w:rsidRPr="00651BDA">
                  <w:rPr>
                    <w:rFonts w:asciiTheme="minorHAnsi" w:eastAsia="Times New Roman" w:hAnsiTheme="minorHAnsi" w:cstheme="minorHAnsi"/>
                    <w:sz w:val="18"/>
                    <w:szCs w:val="18"/>
                    <w:lang w:eastAsia="fr-FR"/>
                  </w:rPr>
                  <w:t>82</w:t>
                </w:r>
              </w:p>
            </w:tc>
            <w:tc>
              <w:tcPr>
                <w:tcW w:w="1395" w:type="dxa"/>
                <w:tcBorders>
                  <w:top w:val="nil"/>
                  <w:left w:val="nil"/>
                  <w:bottom w:val="nil"/>
                  <w:right w:val="nil"/>
                </w:tcBorders>
                <w:shd w:val="clear" w:color="000000" w:fill="E7E6E6"/>
                <w:noWrap/>
                <w:hideMark/>
              </w:tcPr>
              <w:p w14:paraId="70C34B05" w14:textId="77777777" w:rsidR="0041512C" w:rsidRPr="00651BDA" w:rsidRDefault="0041512C" w:rsidP="00D14D81">
                <w:pPr>
                  <w:spacing w:after="0" w:line="240" w:lineRule="auto"/>
                  <w:jc w:val="right"/>
                  <w:rPr>
                    <w:rFonts w:asciiTheme="minorHAnsi" w:eastAsia="Times New Roman" w:hAnsiTheme="minorHAnsi" w:cstheme="minorHAnsi"/>
                    <w:color w:val="000E9C"/>
                    <w:sz w:val="18"/>
                    <w:szCs w:val="18"/>
                    <w:lang w:eastAsia="fr-FR"/>
                  </w:rPr>
                </w:pPr>
                <w:r w:rsidRPr="00651BDA">
                  <w:rPr>
                    <w:rFonts w:asciiTheme="minorHAnsi" w:eastAsia="Times New Roman" w:hAnsiTheme="minorHAnsi" w:cstheme="minorHAnsi"/>
                    <w:color w:val="000E9C"/>
                    <w:sz w:val="18"/>
                    <w:szCs w:val="18"/>
                    <w:lang w:eastAsia="fr-FR"/>
                  </w:rPr>
                  <w:t>76</w:t>
                </w:r>
              </w:p>
            </w:tc>
            <w:tc>
              <w:tcPr>
                <w:tcW w:w="1395" w:type="dxa"/>
                <w:tcBorders>
                  <w:top w:val="nil"/>
                  <w:left w:val="nil"/>
                  <w:bottom w:val="nil"/>
                  <w:right w:val="nil"/>
                </w:tcBorders>
                <w:shd w:val="clear" w:color="auto" w:fill="auto"/>
                <w:noWrap/>
                <w:hideMark/>
              </w:tcPr>
              <w:p w14:paraId="0F21E95E" w14:textId="77777777" w:rsidR="0041512C" w:rsidRPr="00651BDA" w:rsidRDefault="0041512C" w:rsidP="00D14D81">
                <w:pPr>
                  <w:spacing w:after="0" w:line="240" w:lineRule="auto"/>
                  <w:jc w:val="right"/>
                  <w:rPr>
                    <w:rFonts w:asciiTheme="minorHAnsi" w:eastAsia="Times New Roman" w:hAnsiTheme="minorHAnsi" w:cstheme="minorHAnsi"/>
                    <w:sz w:val="18"/>
                    <w:szCs w:val="18"/>
                    <w:lang w:eastAsia="fr-FR"/>
                  </w:rPr>
                </w:pPr>
                <w:r w:rsidRPr="00651BDA">
                  <w:rPr>
                    <w:rFonts w:asciiTheme="minorHAnsi" w:eastAsia="Times New Roman" w:hAnsiTheme="minorHAnsi" w:cstheme="minorHAnsi"/>
                    <w:sz w:val="18"/>
                    <w:szCs w:val="18"/>
                    <w:lang w:eastAsia="fr-FR"/>
                  </w:rPr>
                  <w:t>(6,3%)</w:t>
                </w:r>
              </w:p>
            </w:tc>
            <w:tc>
              <w:tcPr>
                <w:tcW w:w="1398" w:type="dxa"/>
                <w:tcBorders>
                  <w:top w:val="nil"/>
                  <w:left w:val="nil"/>
                  <w:bottom w:val="nil"/>
                  <w:right w:val="nil"/>
                </w:tcBorders>
                <w:shd w:val="clear" w:color="auto" w:fill="auto"/>
                <w:noWrap/>
                <w:hideMark/>
              </w:tcPr>
              <w:p w14:paraId="23027A04" w14:textId="77777777" w:rsidR="0041512C" w:rsidRPr="00651BDA" w:rsidRDefault="0041512C" w:rsidP="00D14D81">
                <w:pPr>
                  <w:spacing w:after="0" w:line="240" w:lineRule="auto"/>
                  <w:jc w:val="right"/>
                  <w:rPr>
                    <w:rFonts w:asciiTheme="minorHAnsi" w:eastAsia="Times New Roman" w:hAnsiTheme="minorHAnsi" w:cstheme="minorHAnsi"/>
                    <w:sz w:val="18"/>
                    <w:szCs w:val="18"/>
                    <w:lang w:eastAsia="fr-FR"/>
                  </w:rPr>
                </w:pPr>
                <w:r w:rsidRPr="00651BDA">
                  <w:rPr>
                    <w:rFonts w:asciiTheme="minorHAnsi" w:eastAsia="Times New Roman" w:hAnsiTheme="minorHAnsi" w:cstheme="minorHAnsi"/>
                    <w:sz w:val="18"/>
                    <w:szCs w:val="18"/>
                    <w:lang w:eastAsia="fr-FR"/>
                  </w:rPr>
                  <w:t>(6,4%)</w:t>
                </w:r>
              </w:p>
            </w:tc>
          </w:tr>
          <w:tr w:rsidR="0041512C" w:rsidRPr="00651BDA" w14:paraId="7A954CD7" w14:textId="77777777" w:rsidTr="00D14D81">
            <w:trPr>
              <w:trHeight w:val="290"/>
            </w:trPr>
            <w:tc>
              <w:tcPr>
                <w:tcW w:w="3377" w:type="dxa"/>
                <w:tcBorders>
                  <w:top w:val="nil"/>
                  <w:left w:val="nil"/>
                  <w:bottom w:val="nil"/>
                  <w:right w:val="nil"/>
                </w:tcBorders>
                <w:shd w:val="clear" w:color="auto" w:fill="auto"/>
                <w:noWrap/>
                <w:vAlign w:val="center"/>
                <w:hideMark/>
              </w:tcPr>
              <w:p w14:paraId="419867E1" w14:textId="77777777" w:rsidR="0041512C" w:rsidRPr="00651BDA" w:rsidRDefault="0041512C" w:rsidP="00D14D81">
                <w:pPr>
                  <w:spacing w:after="0" w:line="240" w:lineRule="auto"/>
                  <w:rPr>
                    <w:rFonts w:asciiTheme="minorHAnsi" w:eastAsia="Times New Roman" w:hAnsiTheme="minorHAnsi" w:cstheme="minorHAnsi"/>
                    <w:color w:val="000000"/>
                    <w:sz w:val="18"/>
                    <w:szCs w:val="18"/>
                    <w:lang w:eastAsia="fr-FR"/>
                  </w:rPr>
                </w:pPr>
                <w:r w:rsidRPr="00651BDA">
                  <w:rPr>
                    <w:rFonts w:asciiTheme="minorHAnsi" w:eastAsia="Times New Roman" w:hAnsiTheme="minorHAnsi" w:cstheme="minorHAnsi"/>
                    <w:color w:val="000000"/>
                    <w:sz w:val="18"/>
                    <w:szCs w:val="18"/>
                    <w:lang w:eastAsia="fr-FR"/>
                  </w:rPr>
                  <w:t>Cloud</w:t>
                </w:r>
                <w:r>
                  <w:rPr>
                    <w:rFonts w:asciiTheme="minorHAnsi" w:eastAsia="Times New Roman" w:hAnsiTheme="minorHAnsi" w:cstheme="minorHAnsi"/>
                    <w:color w:val="000000"/>
                    <w:sz w:val="18"/>
                    <w:szCs w:val="18"/>
                    <w:lang w:eastAsia="fr-FR"/>
                  </w:rPr>
                  <w:t xml:space="preserve"> public</w:t>
                </w:r>
              </w:p>
            </w:tc>
            <w:tc>
              <w:tcPr>
                <w:tcW w:w="1395" w:type="dxa"/>
                <w:tcBorders>
                  <w:top w:val="nil"/>
                  <w:left w:val="nil"/>
                  <w:bottom w:val="nil"/>
                  <w:right w:val="nil"/>
                </w:tcBorders>
                <w:shd w:val="clear" w:color="auto" w:fill="auto"/>
                <w:noWrap/>
                <w:hideMark/>
              </w:tcPr>
              <w:p w14:paraId="0ED6038D" w14:textId="77777777" w:rsidR="0041512C" w:rsidRPr="00651BDA" w:rsidRDefault="0041512C" w:rsidP="00D14D81">
                <w:pPr>
                  <w:spacing w:after="0" w:line="240" w:lineRule="auto"/>
                  <w:jc w:val="right"/>
                  <w:rPr>
                    <w:rFonts w:asciiTheme="minorHAnsi" w:eastAsia="Times New Roman" w:hAnsiTheme="minorHAnsi" w:cstheme="minorHAnsi"/>
                    <w:sz w:val="18"/>
                    <w:szCs w:val="18"/>
                    <w:lang w:eastAsia="fr-FR"/>
                  </w:rPr>
                </w:pPr>
                <w:r w:rsidRPr="00651BDA">
                  <w:rPr>
                    <w:rFonts w:asciiTheme="minorHAnsi" w:eastAsia="Times New Roman" w:hAnsiTheme="minorHAnsi" w:cstheme="minorHAnsi"/>
                    <w:sz w:val="18"/>
                    <w:szCs w:val="18"/>
                    <w:lang w:eastAsia="fr-FR"/>
                  </w:rPr>
                  <w:t>25</w:t>
                </w:r>
              </w:p>
            </w:tc>
            <w:tc>
              <w:tcPr>
                <w:tcW w:w="1395" w:type="dxa"/>
                <w:tcBorders>
                  <w:top w:val="nil"/>
                  <w:left w:val="nil"/>
                  <w:bottom w:val="nil"/>
                  <w:right w:val="nil"/>
                </w:tcBorders>
                <w:shd w:val="clear" w:color="000000" w:fill="E7E6E6"/>
                <w:noWrap/>
                <w:hideMark/>
              </w:tcPr>
              <w:p w14:paraId="4352DF69" w14:textId="77777777" w:rsidR="0041512C" w:rsidRPr="00651BDA" w:rsidRDefault="0041512C" w:rsidP="00D14D81">
                <w:pPr>
                  <w:spacing w:after="0" w:line="240" w:lineRule="auto"/>
                  <w:jc w:val="right"/>
                  <w:rPr>
                    <w:rFonts w:asciiTheme="minorHAnsi" w:eastAsia="Times New Roman" w:hAnsiTheme="minorHAnsi" w:cstheme="minorHAnsi"/>
                    <w:color w:val="000E9C"/>
                    <w:sz w:val="18"/>
                    <w:szCs w:val="18"/>
                    <w:lang w:eastAsia="fr-FR"/>
                  </w:rPr>
                </w:pPr>
                <w:r w:rsidRPr="00651BDA">
                  <w:rPr>
                    <w:rFonts w:asciiTheme="minorHAnsi" w:eastAsia="Times New Roman" w:hAnsiTheme="minorHAnsi" w:cstheme="minorHAnsi"/>
                    <w:color w:val="000E9C"/>
                    <w:sz w:val="18"/>
                    <w:szCs w:val="18"/>
                    <w:lang w:eastAsia="fr-FR"/>
                  </w:rPr>
                  <w:t>26</w:t>
                </w:r>
              </w:p>
            </w:tc>
            <w:tc>
              <w:tcPr>
                <w:tcW w:w="1395" w:type="dxa"/>
                <w:tcBorders>
                  <w:top w:val="nil"/>
                  <w:left w:val="nil"/>
                  <w:bottom w:val="nil"/>
                  <w:right w:val="nil"/>
                </w:tcBorders>
                <w:shd w:val="clear" w:color="auto" w:fill="auto"/>
                <w:noWrap/>
                <w:hideMark/>
              </w:tcPr>
              <w:p w14:paraId="5D5198E8" w14:textId="77777777" w:rsidR="0041512C" w:rsidRPr="00651BDA" w:rsidRDefault="0041512C" w:rsidP="00D14D81">
                <w:pPr>
                  <w:spacing w:after="0" w:line="240" w:lineRule="auto"/>
                  <w:jc w:val="right"/>
                  <w:rPr>
                    <w:rFonts w:asciiTheme="minorHAnsi" w:eastAsia="Times New Roman" w:hAnsiTheme="minorHAnsi" w:cstheme="minorHAnsi"/>
                    <w:sz w:val="18"/>
                    <w:szCs w:val="18"/>
                    <w:lang w:eastAsia="fr-FR"/>
                  </w:rPr>
                </w:pPr>
                <w:r w:rsidRPr="00651BDA">
                  <w:rPr>
                    <w:rFonts w:asciiTheme="minorHAnsi" w:eastAsia="Times New Roman" w:hAnsiTheme="minorHAnsi" w:cstheme="minorHAnsi"/>
                    <w:sz w:val="18"/>
                    <w:szCs w:val="18"/>
                    <w:lang w:eastAsia="fr-FR"/>
                  </w:rPr>
                  <w:t>6,1%</w:t>
                </w:r>
              </w:p>
            </w:tc>
            <w:tc>
              <w:tcPr>
                <w:tcW w:w="1398" w:type="dxa"/>
                <w:tcBorders>
                  <w:top w:val="nil"/>
                  <w:left w:val="nil"/>
                  <w:bottom w:val="nil"/>
                  <w:right w:val="nil"/>
                </w:tcBorders>
                <w:shd w:val="clear" w:color="auto" w:fill="auto"/>
                <w:noWrap/>
                <w:hideMark/>
              </w:tcPr>
              <w:p w14:paraId="1E63ED5A" w14:textId="77777777" w:rsidR="0041512C" w:rsidRPr="00651BDA" w:rsidRDefault="0041512C" w:rsidP="00D14D81">
                <w:pPr>
                  <w:spacing w:after="0" w:line="240" w:lineRule="auto"/>
                  <w:jc w:val="right"/>
                  <w:rPr>
                    <w:rFonts w:asciiTheme="minorHAnsi" w:eastAsia="Times New Roman" w:hAnsiTheme="minorHAnsi" w:cstheme="minorHAnsi"/>
                    <w:sz w:val="18"/>
                    <w:szCs w:val="18"/>
                    <w:lang w:eastAsia="fr-FR"/>
                  </w:rPr>
                </w:pPr>
                <w:r w:rsidRPr="00651BDA">
                  <w:rPr>
                    <w:rFonts w:asciiTheme="minorHAnsi" w:eastAsia="Times New Roman" w:hAnsiTheme="minorHAnsi" w:cstheme="minorHAnsi"/>
                    <w:sz w:val="18"/>
                    <w:szCs w:val="18"/>
                    <w:lang w:eastAsia="fr-FR"/>
                  </w:rPr>
                  <w:t>6,8%</w:t>
                </w:r>
              </w:p>
            </w:tc>
          </w:tr>
          <w:tr w:rsidR="0041512C" w:rsidRPr="00651BDA" w14:paraId="19508C7C" w14:textId="77777777" w:rsidTr="00D14D81">
            <w:trPr>
              <w:trHeight w:val="290"/>
            </w:trPr>
            <w:tc>
              <w:tcPr>
                <w:tcW w:w="3377" w:type="dxa"/>
                <w:tcBorders>
                  <w:top w:val="nil"/>
                  <w:left w:val="nil"/>
                  <w:bottom w:val="single" w:sz="4" w:space="0" w:color="000E9C"/>
                  <w:right w:val="nil"/>
                </w:tcBorders>
                <w:shd w:val="clear" w:color="auto" w:fill="auto"/>
                <w:noWrap/>
                <w:vAlign w:val="center"/>
                <w:hideMark/>
              </w:tcPr>
              <w:p w14:paraId="4CB1C852" w14:textId="77777777" w:rsidR="0041512C" w:rsidRPr="00651BDA" w:rsidRDefault="0041512C" w:rsidP="00D14D81">
                <w:pPr>
                  <w:spacing w:after="0" w:line="240" w:lineRule="auto"/>
                  <w:rPr>
                    <w:rFonts w:asciiTheme="minorHAnsi" w:eastAsia="Times New Roman" w:hAnsiTheme="minorHAnsi" w:cstheme="minorHAnsi"/>
                    <w:color w:val="000000"/>
                    <w:sz w:val="18"/>
                    <w:szCs w:val="18"/>
                    <w:lang w:eastAsia="fr-FR"/>
                  </w:rPr>
                </w:pPr>
                <w:r w:rsidRPr="00651BDA">
                  <w:rPr>
                    <w:rFonts w:asciiTheme="minorHAnsi" w:eastAsia="Times New Roman" w:hAnsiTheme="minorHAnsi" w:cstheme="minorHAnsi"/>
                    <w:color w:val="000000"/>
                    <w:sz w:val="18"/>
                    <w:szCs w:val="18"/>
                    <w:lang w:eastAsia="fr-FR"/>
                  </w:rPr>
                  <w:t xml:space="preserve">Webcloud </w:t>
                </w:r>
                <w:r>
                  <w:rPr>
                    <w:rFonts w:asciiTheme="minorHAnsi" w:eastAsia="Times New Roman" w:hAnsiTheme="minorHAnsi" w:cstheme="minorHAnsi"/>
                    <w:color w:val="000000"/>
                    <w:sz w:val="18"/>
                    <w:szCs w:val="18"/>
                    <w:lang w:eastAsia="fr-FR"/>
                  </w:rPr>
                  <w:t>et autres</w:t>
                </w:r>
              </w:p>
            </w:tc>
            <w:tc>
              <w:tcPr>
                <w:tcW w:w="1395" w:type="dxa"/>
                <w:tcBorders>
                  <w:top w:val="nil"/>
                  <w:left w:val="nil"/>
                  <w:bottom w:val="single" w:sz="4" w:space="0" w:color="000E9C"/>
                  <w:right w:val="nil"/>
                </w:tcBorders>
                <w:shd w:val="clear" w:color="auto" w:fill="auto"/>
                <w:noWrap/>
                <w:hideMark/>
              </w:tcPr>
              <w:p w14:paraId="5B5EC123" w14:textId="77777777" w:rsidR="0041512C" w:rsidRPr="00651BDA" w:rsidRDefault="0041512C" w:rsidP="00D14D81">
                <w:pPr>
                  <w:spacing w:after="0" w:line="240" w:lineRule="auto"/>
                  <w:jc w:val="right"/>
                  <w:rPr>
                    <w:rFonts w:asciiTheme="minorHAnsi" w:eastAsia="Times New Roman" w:hAnsiTheme="minorHAnsi" w:cstheme="minorHAnsi"/>
                    <w:sz w:val="18"/>
                    <w:szCs w:val="18"/>
                    <w:lang w:eastAsia="fr-FR"/>
                  </w:rPr>
                </w:pPr>
                <w:r w:rsidRPr="00651BDA">
                  <w:rPr>
                    <w:rFonts w:asciiTheme="minorHAnsi" w:eastAsia="Times New Roman" w:hAnsiTheme="minorHAnsi" w:cstheme="minorHAnsi"/>
                    <w:sz w:val="18"/>
                    <w:szCs w:val="18"/>
                    <w:lang w:eastAsia="fr-FR"/>
                  </w:rPr>
                  <w:t>29</w:t>
                </w:r>
              </w:p>
            </w:tc>
            <w:tc>
              <w:tcPr>
                <w:tcW w:w="1395" w:type="dxa"/>
                <w:tcBorders>
                  <w:top w:val="nil"/>
                  <w:left w:val="nil"/>
                  <w:bottom w:val="single" w:sz="4" w:space="0" w:color="000E9C"/>
                  <w:right w:val="nil"/>
                </w:tcBorders>
                <w:shd w:val="clear" w:color="000000" w:fill="E7E6E6"/>
                <w:noWrap/>
                <w:hideMark/>
              </w:tcPr>
              <w:p w14:paraId="5D244344" w14:textId="77777777" w:rsidR="0041512C" w:rsidRPr="00651BDA" w:rsidRDefault="0041512C" w:rsidP="00D14D81">
                <w:pPr>
                  <w:spacing w:after="0" w:line="240" w:lineRule="auto"/>
                  <w:jc w:val="right"/>
                  <w:rPr>
                    <w:rFonts w:asciiTheme="minorHAnsi" w:eastAsia="Times New Roman" w:hAnsiTheme="minorHAnsi" w:cstheme="minorHAnsi"/>
                    <w:color w:val="000E9C"/>
                    <w:sz w:val="18"/>
                    <w:szCs w:val="18"/>
                    <w:lang w:eastAsia="fr-FR"/>
                  </w:rPr>
                </w:pPr>
                <w:r w:rsidRPr="00651BDA">
                  <w:rPr>
                    <w:rFonts w:asciiTheme="minorHAnsi" w:eastAsia="Times New Roman" w:hAnsiTheme="minorHAnsi" w:cstheme="minorHAnsi"/>
                    <w:color w:val="000E9C"/>
                    <w:sz w:val="18"/>
                    <w:szCs w:val="18"/>
                    <w:lang w:eastAsia="fr-FR"/>
                  </w:rPr>
                  <w:t>25</w:t>
                </w:r>
              </w:p>
            </w:tc>
            <w:tc>
              <w:tcPr>
                <w:tcW w:w="1395" w:type="dxa"/>
                <w:tcBorders>
                  <w:top w:val="nil"/>
                  <w:left w:val="nil"/>
                  <w:bottom w:val="single" w:sz="4" w:space="0" w:color="000E9C"/>
                  <w:right w:val="nil"/>
                </w:tcBorders>
                <w:shd w:val="clear" w:color="auto" w:fill="auto"/>
                <w:noWrap/>
                <w:hideMark/>
              </w:tcPr>
              <w:p w14:paraId="53356297" w14:textId="77777777" w:rsidR="0041512C" w:rsidRPr="00651BDA" w:rsidRDefault="0041512C" w:rsidP="00D14D81">
                <w:pPr>
                  <w:spacing w:after="0" w:line="240" w:lineRule="auto"/>
                  <w:jc w:val="right"/>
                  <w:rPr>
                    <w:rFonts w:asciiTheme="minorHAnsi" w:eastAsia="Times New Roman" w:hAnsiTheme="minorHAnsi" w:cstheme="minorHAnsi"/>
                    <w:sz w:val="18"/>
                    <w:szCs w:val="18"/>
                    <w:lang w:eastAsia="fr-FR"/>
                  </w:rPr>
                </w:pPr>
                <w:r w:rsidRPr="00651BDA">
                  <w:rPr>
                    <w:rFonts w:asciiTheme="minorHAnsi" w:eastAsia="Times New Roman" w:hAnsiTheme="minorHAnsi" w:cstheme="minorHAnsi"/>
                    <w:sz w:val="18"/>
                    <w:szCs w:val="18"/>
                    <w:lang w:eastAsia="fr-FR"/>
                  </w:rPr>
                  <w:t>(11,9%)</w:t>
                </w:r>
              </w:p>
            </w:tc>
            <w:tc>
              <w:tcPr>
                <w:tcW w:w="1398" w:type="dxa"/>
                <w:tcBorders>
                  <w:top w:val="nil"/>
                  <w:left w:val="nil"/>
                  <w:bottom w:val="single" w:sz="4" w:space="0" w:color="000E9C"/>
                  <w:right w:val="nil"/>
                </w:tcBorders>
                <w:shd w:val="clear" w:color="auto" w:fill="auto"/>
                <w:noWrap/>
                <w:hideMark/>
              </w:tcPr>
              <w:p w14:paraId="4214215C" w14:textId="77777777" w:rsidR="0041512C" w:rsidRPr="00651BDA" w:rsidRDefault="0041512C" w:rsidP="00D14D81">
                <w:pPr>
                  <w:spacing w:after="0" w:line="240" w:lineRule="auto"/>
                  <w:jc w:val="right"/>
                  <w:rPr>
                    <w:rFonts w:asciiTheme="minorHAnsi" w:eastAsia="Times New Roman" w:hAnsiTheme="minorHAnsi" w:cstheme="minorHAnsi"/>
                    <w:sz w:val="18"/>
                    <w:szCs w:val="18"/>
                    <w:lang w:eastAsia="fr-FR"/>
                  </w:rPr>
                </w:pPr>
                <w:r w:rsidRPr="00651BDA">
                  <w:rPr>
                    <w:rFonts w:asciiTheme="minorHAnsi" w:eastAsia="Times New Roman" w:hAnsiTheme="minorHAnsi" w:cstheme="minorHAnsi"/>
                    <w:sz w:val="18"/>
                    <w:szCs w:val="18"/>
                    <w:lang w:eastAsia="fr-FR"/>
                  </w:rPr>
                  <w:t>(10,8%)</w:t>
                </w:r>
              </w:p>
            </w:tc>
          </w:tr>
          <w:tr w:rsidR="0041512C" w:rsidRPr="00651BDA" w14:paraId="6051F603" w14:textId="77777777" w:rsidTr="00D14D81">
            <w:trPr>
              <w:trHeight w:val="290"/>
            </w:trPr>
            <w:tc>
              <w:tcPr>
                <w:tcW w:w="3377" w:type="dxa"/>
                <w:tcBorders>
                  <w:top w:val="nil"/>
                  <w:left w:val="nil"/>
                  <w:bottom w:val="nil"/>
                  <w:right w:val="nil"/>
                </w:tcBorders>
                <w:shd w:val="clear" w:color="auto" w:fill="auto"/>
                <w:noWrap/>
                <w:vAlign w:val="center"/>
                <w:hideMark/>
              </w:tcPr>
              <w:p w14:paraId="422A1E27" w14:textId="77777777" w:rsidR="0041512C" w:rsidRPr="00651BDA" w:rsidRDefault="0041512C" w:rsidP="00D14D81">
                <w:pPr>
                  <w:spacing w:after="0" w:line="240" w:lineRule="auto"/>
                  <w:rPr>
                    <w:rFonts w:asciiTheme="minorHAnsi" w:eastAsia="Times New Roman" w:hAnsiTheme="minorHAnsi" w:cstheme="minorHAnsi"/>
                    <w:color w:val="000E9C"/>
                    <w:sz w:val="18"/>
                    <w:szCs w:val="18"/>
                    <w:lang w:eastAsia="fr-FR"/>
                  </w:rPr>
                </w:pPr>
                <w:r w:rsidRPr="00651BDA">
                  <w:rPr>
                    <w:rFonts w:asciiTheme="minorHAnsi" w:eastAsia="Times New Roman" w:hAnsiTheme="minorHAnsi" w:cstheme="minorHAnsi"/>
                    <w:color w:val="000E9C"/>
                    <w:sz w:val="18"/>
                    <w:szCs w:val="18"/>
                    <w:lang w:eastAsia="fr-FR"/>
                  </w:rPr>
                  <w:t>Total EBITDA courant</w:t>
                </w:r>
              </w:p>
            </w:tc>
            <w:tc>
              <w:tcPr>
                <w:tcW w:w="1395" w:type="dxa"/>
                <w:tcBorders>
                  <w:top w:val="nil"/>
                  <w:left w:val="nil"/>
                  <w:bottom w:val="nil"/>
                  <w:right w:val="nil"/>
                </w:tcBorders>
                <w:shd w:val="clear" w:color="auto" w:fill="auto"/>
                <w:noWrap/>
                <w:hideMark/>
              </w:tcPr>
              <w:p w14:paraId="64D3A558" w14:textId="77777777" w:rsidR="0041512C" w:rsidRPr="00651BDA" w:rsidRDefault="0041512C" w:rsidP="00D14D81">
                <w:pPr>
                  <w:spacing w:after="0" w:line="240" w:lineRule="auto"/>
                  <w:jc w:val="right"/>
                  <w:rPr>
                    <w:rFonts w:asciiTheme="minorHAnsi" w:eastAsia="Times New Roman" w:hAnsiTheme="minorHAnsi" w:cstheme="minorHAnsi"/>
                    <w:b/>
                    <w:bCs/>
                    <w:sz w:val="18"/>
                    <w:szCs w:val="18"/>
                    <w:lang w:eastAsia="fr-FR"/>
                  </w:rPr>
                </w:pPr>
                <w:r w:rsidRPr="00651BDA">
                  <w:rPr>
                    <w:rFonts w:asciiTheme="minorHAnsi" w:eastAsia="Times New Roman" w:hAnsiTheme="minorHAnsi" w:cstheme="minorHAnsi"/>
                    <w:b/>
                    <w:bCs/>
                    <w:sz w:val="18"/>
                    <w:szCs w:val="18"/>
                    <w:lang w:eastAsia="fr-FR"/>
                  </w:rPr>
                  <w:t>135</w:t>
                </w:r>
              </w:p>
            </w:tc>
            <w:tc>
              <w:tcPr>
                <w:tcW w:w="1395" w:type="dxa"/>
                <w:tcBorders>
                  <w:top w:val="nil"/>
                  <w:left w:val="nil"/>
                  <w:bottom w:val="nil"/>
                  <w:right w:val="nil"/>
                </w:tcBorders>
                <w:shd w:val="clear" w:color="000000" w:fill="E7E6E6"/>
                <w:noWrap/>
                <w:hideMark/>
              </w:tcPr>
              <w:p w14:paraId="267AFF61" w14:textId="77777777" w:rsidR="0041512C" w:rsidRPr="00651BDA" w:rsidRDefault="0041512C" w:rsidP="00D14D81">
                <w:pPr>
                  <w:spacing w:after="0" w:line="240" w:lineRule="auto"/>
                  <w:jc w:val="right"/>
                  <w:rPr>
                    <w:rFonts w:asciiTheme="minorHAnsi" w:eastAsia="Times New Roman" w:hAnsiTheme="minorHAnsi" w:cstheme="minorHAnsi"/>
                    <w:b/>
                    <w:bCs/>
                    <w:color w:val="000E9C"/>
                    <w:sz w:val="18"/>
                    <w:szCs w:val="18"/>
                    <w:lang w:eastAsia="fr-FR"/>
                  </w:rPr>
                </w:pPr>
                <w:r w:rsidRPr="00651BDA">
                  <w:rPr>
                    <w:rFonts w:asciiTheme="minorHAnsi" w:eastAsia="Times New Roman" w:hAnsiTheme="minorHAnsi" w:cstheme="minorHAnsi"/>
                    <w:b/>
                    <w:bCs/>
                    <w:color w:val="000E9C"/>
                    <w:sz w:val="18"/>
                    <w:szCs w:val="18"/>
                    <w:lang w:eastAsia="fr-FR"/>
                  </w:rPr>
                  <w:t>128</w:t>
                </w:r>
              </w:p>
            </w:tc>
            <w:tc>
              <w:tcPr>
                <w:tcW w:w="1395" w:type="dxa"/>
                <w:tcBorders>
                  <w:top w:val="nil"/>
                  <w:left w:val="nil"/>
                  <w:bottom w:val="nil"/>
                  <w:right w:val="nil"/>
                </w:tcBorders>
                <w:shd w:val="clear" w:color="auto" w:fill="auto"/>
                <w:noWrap/>
                <w:hideMark/>
              </w:tcPr>
              <w:p w14:paraId="57A400FB" w14:textId="77777777" w:rsidR="0041512C" w:rsidRPr="00651BDA" w:rsidRDefault="0041512C" w:rsidP="00D14D81">
                <w:pPr>
                  <w:spacing w:after="0" w:line="240" w:lineRule="auto"/>
                  <w:jc w:val="right"/>
                  <w:rPr>
                    <w:rFonts w:asciiTheme="minorHAnsi" w:eastAsia="Times New Roman" w:hAnsiTheme="minorHAnsi" w:cstheme="minorHAnsi"/>
                    <w:b/>
                    <w:bCs/>
                    <w:sz w:val="18"/>
                    <w:szCs w:val="18"/>
                    <w:lang w:eastAsia="fr-FR"/>
                  </w:rPr>
                </w:pPr>
                <w:r w:rsidRPr="00651BDA">
                  <w:rPr>
                    <w:rFonts w:asciiTheme="minorHAnsi" w:eastAsia="Times New Roman" w:hAnsiTheme="minorHAnsi" w:cstheme="minorHAnsi"/>
                    <w:b/>
                    <w:bCs/>
                    <w:sz w:val="18"/>
                    <w:szCs w:val="18"/>
                    <w:lang w:eastAsia="fr-FR"/>
                  </w:rPr>
                  <w:t>(5,2%)</w:t>
                </w:r>
              </w:p>
            </w:tc>
            <w:tc>
              <w:tcPr>
                <w:tcW w:w="1398" w:type="dxa"/>
                <w:tcBorders>
                  <w:top w:val="nil"/>
                  <w:left w:val="nil"/>
                  <w:bottom w:val="nil"/>
                  <w:right w:val="nil"/>
                </w:tcBorders>
                <w:shd w:val="clear" w:color="auto" w:fill="auto"/>
                <w:noWrap/>
                <w:hideMark/>
              </w:tcPr>
              <w:p w14:paraId="49C687BB" w14:textId="77777777" w:rsidR="0041512C" w:rsidRPr="00651BDA" w:rsidRDefault="0041512C" w:rsidP="00D14D81">
                <w:pPr>
                  <w:spacing w:after="0" w:line="240" w:lineRule="auto"/>
                  <w:jc w:val="right"/>
                  <w:rPr>
                    <w:rFonts w:asciiTheme="minorHAnsi" w:eastAsia="Times New Roman" w:hAnsiTheme="minorHAnsi" w:cstheme="minorHAnsi"/>
                    <w:b/>
                    <w:bCs/>
                    <w:sz w:val="18"/>
                    <w:szCs w:val="18"/>
                    <w:lang w:eastAsia="fr-FR"/>
                  </w:rPr>
                </w:pPr>
                <w:r w:rsidRPr="00651BDA">
                  <w:rPr>
                    <w:rFonts w:asciiTheme="minorHAnsi" w:eastAsia="Times New Roman" w:hAnsiTheme="minorHAnsi" w:cstheme="minorHAnsi"/>
                    <w:b/>
                    <w:bCs/>
                    <w:sz w:val="18"/>
                    <w:szCs w:val="18"/>
                    <w:lang w:eastAsia="fr-FR"/>
                  </w:rPr>
                  <w:t>(4,8%)</w:t>
                </w:r>
              </w:p>
            </w:tc>
          </w:tr>
          <w:tr w:rsidR="0041512C" w:rsidRPr="00651BDA" w14:paraId="019D4CA0" w14:textId="77777777" w:rsidTr="00D14D81">
            <w:trPr>
              <w:trHeight w:val="290"/>
            </w:trPr>
            <w:tc>
              <w:tcPr>
                <w:tcW w:w="3377" w:type="dxa"/>
                <w:tcBorders>
                  <w:top w:val="nil"/>
                  <w:left w:val="nil"/>
                  <w:bottom w:val="nil"/>
                  <w:right w:val="nil"/>
                </w:tcBorders>
                <w:shd w:val="clear" w:color="auto" w:fill="auto"/>
                <w:noWrap/>
                <w:vAlign w:val="center"/>
                <w:hideMark/>
              </w:tcPr>
              <w:p w14:paraId="4357AC34" w14:textId="77777777" w:rsidR="0041512C" w:rsidRPr="00651BDA" w:rsidRDefault="0041512C" w:rsidP="00D14D81">
                <w:pPr>
                  <w:spacing w:after="0" w:line="240" w:lineRule="auto"/>
                  <w:rPr>
                    <w:rFonts w:asciiTheme="minorHAnsi" w:eastAsia="Times New Roman" w:hAnsiTheme="minorHAnsi" w:cstheme="minorHAnsi"/>
                    <w:color w:val="000000"/>
                    <w:sz w:val="18"/>
                    <w:szCs w:val="18"/>
                    <w:lang w:eastAsia="fr-FR"/>
                  </w:rPr>
                </w:pPr>
                <w:r w:rsidRPr="00651BDA">
                  <w:rPr>
                    <w:rFonts w:asciiTheme="minorHAnsi" w:eastAsia="Times New Roman" w:hAnsiTheme="minorHAnsi" w:cstheme="minorHAnsi"/>
                    <w:color w:val="000000"/>
                    <w:sz w:val="18"/>
                    <w:szCs w:val="18"/>
                    <w:lang w:eastAsia="fr-FR"/>
                  </w:rPr>
                  <w:t>Cloud</w:t>
                </w:r>
                <w:r>
                  <w:rPr>
                    <w:rFonts w:asciiTheme="minorHAnsi" w:eastAsia="Times New Roman" w:hAnsiTheme="minorHAnsi" w:cstheme="minorHAnsi"/>
                    <w:color w:val="000000"/>
                    <w:sz w:val="18"/>
                    <w:szCs w:val="18"/>
                    <w:lang w:eastAsia="fr-FR"/>
                  </w:rPr>
                  <w:t xml:space="preserve"> privé</w:t>
                </w:r>
              </w:p>
            </w:tc>
            <w:tc>
              <w:tcPr>
                <w:tcW w:w="1395" w:type="dxa"/>
                <w:tcBorders>
                  <w:top w:val="nil"/>
                  <w:left w:val="nil"/>
                  <w:bottom w:val="nil"/>
                  <w:right w:val="nil"/>
                </w:tcBorders>
                <w:shd w:val="clear" w:color="auto" w:fill="auto"/>
                <w:noWrap/>
                <w:hideMark/>
              </w:tcPr>
              <w:p w14:paraId="15761BF0" w14:textId="77777777" w:rsidR="0041512C" w:rsidRPr="00651BDA" w:rsidRDefault="0041512C" w:rsidP="00D14D81">
                <w:pPr>
                  <w:spacing w:after="0" w:line="240" w:lineRule="auto"/>
                  <w:jc w:val="right"/>
                  <w:rPr>
                    <w:rFonts w:asciiTheme="minorHAnsi" w:eastAsia="Times New Roman" w:hAnsiTheme="minorHAnsi" w:cstheme="minorHAnsi"/>
                    <w:sz w:val="18"/>
                    <w:szCs w:val="18"/>
                    <w:lang w:eastAsia="fr-FR"/>
                  </w:rPr>
                </w:pPr>
                <w:r w:rsidRPr="00651BDA">
                  <w:rPr>
                    <w:rFonts w:asciiTheme="minorHAnsi" w:eastAsia="Times New Roman" w:hAnsiTheme="minorHAnsi" w:cstheme="minorHAnsi"/>
                    <w:sz w:val="18"/>
                    <w:szCs w:val="18"/>
                    <w:lang w:eastAsia="fr-FR"/>
                  </w:rPr>
                  <w:t>83</w:t>
                </w:r>
              </w:p>
            </w:tc>
            <w:tc>
              <w:tcPr>
                <w:tcW w:w="1395" w:type="dxa"/>
                <w:tcBorders>
                  <w:top w:val="nil"/>
                  <w:left w:val="nil"/>
                  <w:bottom w:val="nil"/>
                  <w:right w:val="nil"/>
                </w:tcBorders>
                <w:shd w:val="clear" w:color="000000" w:fill="E7E6E6"/>
                <w:noWrap/>
                <w:hideMark/>
              </w:tcPr>
              <w:p w14:paraId="6F1A7FE1" w14:textId="77777777" w:rsidR="0041512C" w:rsidRPr="00651BDA" w:rsidRDefault="0041512C" w:rsidP="00D14D81">
                <w:pPr>
                  <w:spacing w:after="0" w:line="240" w:lineRule="auto"/>
                  <w:jc w:val="right"/>
                  <w:rPr>
                    <w:rFonts w:asciiTheme="minorHAnsi" w:eastAsia="Times New Roman" w:hAnsiTheme="minorHAnsi" w:cstheme="minorHAnsi"/>
                    <w:color w:val="000E9C"/>
                    <w:sz w:val="18"/>
                    <w:szCs w:val="18"/>
                    <w:lang w:eastAsia="fr-FR"/>
                  </w:rPr>
                </w:pPr>
                <w:r w:rsidRPr="00651BDA">
                  <w:rPr>
                    <w:rFonts w:asciiTheme="minorHAnsi" w:eastAsia="Times New Roman" w:hAnsiTheme="minorHAnsi" w:cstheme="minorHAnsi"/>
                    <w:color w:val="000E9C"/>
                    <w:sz w:val="18"/>
                    <w:szCs w:val="18"/>
                    <w:lang w:eastAsia="fr-FR"/>
                  </w:rPr>
                  <w:t>92</w:t>
                </w:r>
              </w:p>
            </w:tc>
            <w:tc>
              <w:tcPr>
                <w:tcW w:w="1395" w:type="dxa"/>
                <w:tcBorders>
                  <w:top w:val="nil"/>
                  <w:left w:val="nil"/>
                  <w:bottom w:val="nil"/>
                  <w:right w:val="nil"/>
                </w:tcBorders>
                <w:shd w:val="clear" w:color="auto" w:fill="auto"/>
                <w:noWrap/>
                <w:hideMark/>
              </w:tcPr>
              <w:p w14:paraId="66A8D5B2" w14:textId="77777777" w:rsidR="0041512C" w:rsidRPr="00651BDA" w:rsidRDefault="0041512C" w:rsidP="00D14D81">
                <w:pPr>
                  <w:spacing w:after="0" w:line="240" w:lineRule="auto"/>
                  <w:jc w:val="right"/>
                  <w:rPr>
                    <w:rFonts w:asciiTheme="minorHAnsi" w:eastAsia="Times New Roman" w:hAnsiTheme="minorHAnsi" w:cstheme="minorHAnsi"/>
                    <w:sz w:val="18"/>
                    <w:szCs w:val="18"/>
                    <w:lang w:eastAsia="fr-FR"/>
                  </w:rPr>
                </w:pPr>
                <w:r w:rsidRPr="00651BDA">
                  <w:rPr>
                    <w:rFonts w:asciiTheme="minorHAnsi" w:eastAsia="Times New Roman" w:hAnsiTheme="minorHAnsi" w:cstheme="minorHAnsi"/>
                    <w:sz w:val="18"/>
                    <w:szCs w:val="18"/>
                    <w:lang w:eastAsia="fr-FR"/>
                  </w:rPr>
                  <w:t>10,2%</w:t>
                </w:r>
              </w:p>
            </w:tc>
            <w:tc>
              <w:tcPr>
                <w:tcW w:w="1398" w:type="dxa"/>
                <w:tcBorders>
                  <w:top w:val="nil"/>
                  <w:left w:val="nil"/>
                  <w:bottom w:val="nil"/>
                  <w:right w:val="nil"/>
                </w:tcBorders>
                <w:shd w:val="clear" w:color="auto" w:fill="auto"/>
                <w:noWrap/>
                <w:hideMark/>
              </w:tcPr>
              <w:p w14:paraId="761AEA59" w14:textId="77777777" w:rsidR="0041512C" w:rsidRPr="00651BDA" w:rsidRDefault="0041512C" w:rsidP="00D14D81">
                <w:pPr>
                  <w:spacing w:after="0" w:line="240" w:lineRule="auto"/>
                  <w:jc w:val="right"/>
                  <w:rPr>
                    <w:rFonts w:asciiTheme="minorHAnsi" w:eastAsia="Times New Roman" w:hAnsiTheme="minorHAnsi" w:cstheme="minorHAnsi"/>
                    <w:sz w:val="18"/>
                    <w:szCs w:val="18"/>
                    <w:lang w:eastAsia="fr-FR"/>
                  </w:rPr>
                </w:pPr>
                <w:r w:rsidRPr="00651BDA">
                  <w:rPr>
                    <w:rFonts w:asciiTheme="minorHAnsi" w:eastAsia="Times New Roman" w:hAnsiTheme="minorHAnsi" w:cstheme="minorHAnsi"/>
                    <w:sz w:val="18"/>
                    <w:szCs w:val="18"/>
                    <w:lang w:eastAsia="fr-FR"/>
                  </w:rPr>
                  <w:t>9,8%</w:t>
                </w:r>
              </w:p>
            </w:tc>
          </w:tr>
          <w:tr w:rsidR="0041512C" w:rsidRPr="00651BDA" w14:paraId="231E3474" w14:textId="77777777" w:rsidTr="00D14D81">
            <w:trPr>
              <w:trHeight w:val="290"/>
            </w:trPr>
            <w:tc>
              <w:tcPr>
                <w:tcW w:w="3377" w:type="dxa"/>
                <w:tcBorders>
                  <w:top w:val="nil"/>
                  <w:left w:val="nil"/>
                  <w:bottom w:val="nil"/>
                  <w:right w:val="nil"/>
                </w:tcBorders>
                <w:shd w:val="clear" w:color="auto" w:fill="auto"/>
                <w:noWrap/>
                <w:vAlign w:val="center"/>
                <w:hideMark/>
              </w:tcPr>
              <w:p w14:paraId="0A914602" w14:textId="77777777" w:rsidR="0041512C" w:rsidRPr="00651BDA" w:rsidRDefault="0041512C" w:rsidP="00D14D81">
                <w:pPr>
                  <w:spacing w:after="0" w:line="240" w:lineRule="auto"/>
                  <w:rPr>
                    <w:rFonts w:asciiTheme="minorHAnsi" w:eastAsia="Times New Roman" w:hAnsiTheme="minorHAnsi" w:cstheme="minorHAnsi"/>
                    <w:color w:val="000000"/>
                    <w:sz w:val="18"/>
                    <w:szCs w:val="18"/>
                    <w:lang w:eastAsia="fr-FR"/>
                  </w:rPr>
                </w:pPr>
                <w:r w:rsidRPr="00651BDA">
                  <w:rPr>
                    <w:rFonts w:asciiTheme="minorHAnsi" w:eastAsia="Times New Roman" w:hAnsiTheme="minorHAnsi" w:cstheme="minorHAnsi"/>
                    <w:color w:val="000000"/>
                    <w:sz w:val="18"/>
                    <w:szCs w:val="18"/>
                    <w:lang w:eastAsia="fr-FR"/>
                  </w:rPr>
                  <w:t>Cloud</w:t>
                </w:r>
                <w:r>
                  <w:rPr>
                    <w:rFonts w:asciiTheme="minorHAnsi" w:eastAsia="Times New Roman" w:hAnsiTheme="minorHAnsi" w:cstheme="minorHAnsi"/>
                    <w:color w:val="000000"/>
                    <w:sz w:val="18"/>
                    <w:szCs w:val="18"/>
                    <w:lang w:eastAsia="fr-FR"/>
                  </w:rPr>
                  <w:t xml:space="preserve"> public</w:t>
                </w:r>
              </w:p>
            </w:tc>
            <w:tc>
              <w:tcPr>
                <w:tcW w:w="1395" w:type="dxa"/>
                <w:tcBorders>
                  <w:top w:val="nil"/>
                  <w:left w:val="nil"/>
                  <w:bottom w:val="nil"/>
                  <w:right w:val="nil"/>
                </w:tcBorders>
                <w:shd w:val="clear" w:color="auto" w:fill="auto"/>
                <w:noWrap/>
                <w:hideMark/>
              </w:tcPr>
              <w:p w14:paraId="023770D4" w14:textId="77777777" w:rsidR="0041512C" w:rsidRPr="00651BDA" w:rsidRDefault="0041512C" w:rsidP="00D14D81">
                <w:pPr>
                  <w:spacing w:after="0" w:line="240" w:lineRule="auto"/>
                  <w:jc w:val="right"/>
                  <w:rPr>
                    <w:rFonts w:asciiTheme="minorHAnsi" w:eastAsia="Times New Roman" w:hAnsiTheme="minorHAnsi" w:cstheme="minorHAnsi"/>
                    <w:sz w:val="18"/>
                    <w:szCs w:val="18"/>
                    <w:lang w:eastAsia="fr-FR"/>
                  </w:rPr>
                </w:pPr>
                <w:r w:rsidRPr="00651BDA">
                  <w:rPr>
                    <w:rFonts w:asciiTheme="minorHAnsi" w:eastAsia="Times New Roman" w:hAnsiTheme="minorHAnsi" w:cstheme="minorHAnsi"/>
                    <w:sz w:val="18"/>
                    <w:szCs w:val="18"/>
                    <w:lang w:eastAsia="fr-FR"/>
                  </w:rPr>
                  <w:t>25</w:t>
                </w:r>
              </w:p>
            </w:tc>
            <w:tc>
              <w:tcPr>
                <w:tcW w:w="1395" w:type="dxa"/>
                <w:tcBorders>
                  <w:top w:val="nil"/>
                  <w:left w:val="nil"/>
                  <w:bottom w:val="nil"/>
                  <w:right w:val="nil"/>
                </w:tcBorders>
                <w:shd w:val="clear" w:color="000000" w:fill="E7E6E6"/>
                <w:noWrap/>
                <w:hideMark/>
              </w:tcPr>
              <w:p w14:paraId="23F0398A" w14:textId="77777777" w:rsidR="0041512C" w:rsidRPr="00651BDA" w:rsidRDefault="0041512C" w:rsidP="00D14D81">
                <w:pPr>
                  <w:spacing w:after="0" w:line="240" w:lineRule="auto"/>
                  <w:jc w:val="right"/>
                  <w:rPr>
                    <w:rFonts w:asciiTheme="minorHAnsi" w:eastAsia="Times New Roman" w:hAnsiTheme="minorHAnsi" w:cstheme="minorHAnsi"/>
                    <w:color w:val="000E9C"/>
                    <w:sz w:val="18"/>
                    <w:szCs w:val="18"/>
                    <w:lang w:eastAsia="fr-FR"/>
                  </w:rPr>
                </w:pPr>
                <w:r w:rsidRPr="00651BDA">
                  <w:rPr>
                    <w:rFonts w:asciiTheme="minorHAnsi" w:eastAsia="Times New Roman" w:hAnsiTheme="minorHAnsi" w:cstheme="minorHAnsi"/>
                    <w:color w:val="000E9C"/>
                    <w:sz w:val="18"/>
                    <w:szCs w:val="18"/>
                    <w:lang w:eastAsia="fr-FR"/>
                  </w:rPr>
                  <w:t>30</w:t>
                </w:r>
              </w:p>
            </w:tc>
            <w:tc>
              <w:tcPr>
                <w:tcW w:w="1395" w:type="dxa"/>
                <w:tcBorders>
                  <w:top w:val="nil"/>
                  <w:left w:val="nil"/>
                  <w:bottom w:val="nil"/>
                  <w:right w:val="nil"/>
                </w:tcBorders>
                <w:shd w:val="clear" w:color="auto" w:fill="auto"/>
                <w:noWrap/>
                <w:hideMark/>
              </w:tcPr>
              <w:p w14:paraId="51DC2E06" w14:textId="77777777" w:rsidR="0041512C" w:rsidRPr="00651BDA" w:rsidRDefault="0041512C" w:rsidP="00D14D81">
                <w:pPr>
                  <w:spacing w:after="0" w:line="240" w:lineRule="auto"/>
                  <w:jc w:val="right"/>
                  <w:rPr>
                    <w:rFonts w:asciiTheme="minorHAnsi" w:eastAsia="Times New Roman" w:hAnsiTheme="minorHAnsi" w:cstheme="minorHAnsi"/>
                    <w:sz w:val="18"/>
                    <w:szCs w:val="18"/>
                    <w:lang w:eastAsia="fr-FR"/>
                  </w:rPr>
                </w:pPr>
                <w:r w:rsidRPr="00651BDA">
                  <w:rPr>
                    <w:rFonts w:asciiTheme="minorHAnsi" w:eastAsia="Times New Roman" w:hAnsiTheme="minorHAnsi" w:cstheme="minorHAnsi"/>
                    <w:sz w:val="18"/>
                    <w:szCs w:val="18"/>
                    <w:lang w:eastAsia="fr-FR"/>
                  </w:rPr>
                  <w:t>19,9%</w:t>
                </w:r>
              </w:p>
            </w:tc>
            <w:tc>
              <w:tcPr>
                <w:tcW w:w="1398" w:type="dxa"/>
                <w:tcBorders>
                  <w:top w:val="nil"/>
                  <w:left w:val="nil"/>
                  <w:bottom w:val="nil"/>
                  <w:right w:val="nil"/>
                </w:tcBorders>
                <w:shd w:val="clear" w:color="auto" w:fill="auto"/>
                <w:noWrap/>
                <w:hideMark/>
              </w:tcPr>
              <w:p w14:paraId="06DE8EF0" w14:textId="77777777" w:rsidR="0041512C" w:rsidRPr="00651BDA" w:rsidRDefault="0041512C" w:rsidP="00D14D81">
                <w:pPr>
                  <w:spacing w:after="0" w:line="240" w:lineRule="auto"/>
                  <w:jc w:val="right"/>
                  <w:rPr>
                    <w:rFonts w:asciiTheme="minorHAnsi" w:eastAsia="Times New Roman" w:hAnsiTheme="minorHAnsi" w:cstheme="minorHAnsi"/>
                    <w:sz w:val="18"/>
                    <w:szCs w:val="18"/>
                    <w:lang w:eastAsia="fr-FR"/>
                  </w:rPr>
                </w:pPr>
                <w:r w:rsidRPr="00651BDA">
                  <w:rPr>
                    <w:rFonts w:asciiTheme="minorHAnsi" w:eastAsia="Times New Roman" w:hAnsiTheme="minorHAnsi" w:cstheme="minorHAnsi"/>
                    <w:sz w:val="18"/>
                    <w:szCs w:val="18"/>
                    <w:lang w:eastAsia="fr-FR"/>
                  </w:rPr>
                  <w:t>20,3%</w:t>
                </w:r>
              </w:p>
            </w:tc>
          </w:tr>
          <w:tr w:rsidR="0041512C" w:rsidRPr="00651BDA" w14:paraId="606D1FAB" w14:textId="77777777" w:rsidTr="00D14D81">
            <w:trPr>
              <w:trHeight w:val="290"/>
            </w:trPr>
            <w:tc>
              <w:tcPr>
                <w:tcW w:w="3377" w:type="dxa"/>
                <w:tcBorders>
                  <w:top w:val="nil"/>
                  <w:left w:val="nil"/>
                  <w:bottom w:val="single" w:sz="4" w:space="0" w:color="000E9C"/>
                  <w:right w:val="nil"/>
                </w:tcBorders>
                <w:shd w:val="clear" w:color="auto" w:fill="auto"/>
                <w:noWrap/>
                <w:vAlign w:val="center"/>
                <w:hideMark/>
              </w:tcPr>
              <w:p w14:paraId="58CF0082" w14:textId="77777777" w:rsidR="0041512C" w:rsidRPr="00651BDA" w:rsidRDefault="0041512C" w:rsidP="00D14D81">
                <w:pPr>
                  <w:spacing w:after="0" w:line="240" w:lineRule="auto"/>
                  <w:rPr>
                    <w:rFonts w:asciiTheme="minorHAnsi" w:eastAsia="Times New Roman" w:hAnsiTheme="minorHAnsi" w:cstheme="minorHAnsi"/>
                    <w:color w:val="000000"/>
                    <w:sz w:val="18"/>
                    <w:szCs w:val="18"/>
                    <w:lang w:eastAsia="fr-FR"/>
                  </w:rPr>
                </w:pPr>
                <w:r w:rsidRPr="00651BDA">
                  <w:rPr>
                    <w:rFonts w:asciiTheme="minorHAnsi" w:eastAsia="Times New Roman" w:hAnsiTheme="minorHAnsi" w:cstheme="minorHAnsi"/>
                    <w:color w:val="000000"/>
                    <w:sz w:val="18"/>
                    <w:szCs w:val="18"/>
                    <w:lang w:eastAsia="fr-FR"/>
                  </w:rPr>
                  <w:t xml:space="preserve">Webcloud </w:t>
                </w:r>
                <w:r>
                  <w:rPr>
                    <w:rFonts w:asciiTheme="minorHAnsi" w:eastAsia="Times New Roman" w:hAnsiTheme="minorHAnsi" w:cstheme="minorHAnsi"/>
                    <w:color w:val="000000"/>
                    <w:sz w:val="18"/>
                    <w:szCs w:val="18"/>
                    <w:lang w:eastAsia="fr-FR"/>
                  </w:rPr>
                  <w:t>et autres</w:t>
                </w:r>
              </w:p>
            </w:tc>
            <w:tc>
              <w:tcPr>
                <w:tcW w:w="1395" w:type="dxa"/>
                <w:tcBorders>
                  <w:top w:val="nil"/>
                  <w:left w:val="nil"/>
                  <w:bottom w:val="single" w:sz="4" w:space="0" w:color="000E9C"/>
                  <w:right w:val="nil"/>
                </w:tcBorders>
                <w:shd w:val="clear" w:color="auto" w:fill="auto"/>
                <w:noWrap/>
                <w:hideMark/>
              </w:tcPr>
              <w:p w14:paraId="1853682D" w14:textId="77777777" w:rsidR="0041512C" w:rsidRPr="00651BDA" w:rsidRDefault="0041512C" w:rsidP="00D14D81">
                <w:pPr>
                  <w:spacing w:after="0" w:line="240" w:lineRule="auto"/>
                  <w:jc w:val="right"/>
                  <w:rPr>
                    <w:rFonts w:asciiTheme="minorHAnsi" w:eastAsia="Times New Roman" w:hAnsiTheme="minorHAnsi" w:cstheme="minorHAnsi"/>
                    <w:sz w:val="18"/>
                    <w:szCs w:val="18"/>
                    <w:lang w:eastAsia="fr-FR"/>
                  </w:rPr>
                </w:pPr>
                <w:r w:rsidRPr="00651BDA">
                  <w:rPr>
                    <w:rFonts w:asciiTheme="minorHAnsi" w:eastAsia="Times New Roman" w:hAnsiTheme="minorHAnsi" w:cstheme="minorHAnsi"/>
                    <w:sz w:val="18"/>
                    <w:szCs w:val="18"/>
                    <w:lang w:eastAsia="fr-FR"/>
                  </w:rPr>
                  <w:t>29</w:t>
                </w:r>
              </w:p>
            </w:tc>
            <w:tc>
              <w:tcPr>
                <w:tcW w:w="1395" w:type="dxa"/>
                <w:tcBorders>
                  <w:top w:val="nil"/>
                  <w:left w:val="nil"/>
                  <w:bottom w:val="single" w:sz="4" w:space="0" w:color="000E9C"/>
                  <w:right w:val="nil"/>
                </w:tcBorders>
                <w:shd w:val="clear" w:color="000000" w:fill="E7E6E6"/>
                <w:noWrap/>
                <w:hideMark/>
              </w:tcPr>
              <w:p w14:paraId="52D03DDE" w14:textId="77777777" w:rsidR="0041512C" w:rsidRPr="00651BDA" w:rsidRDefault="0041512C" w:rsidP="00D14D81">
                <w:pPr>
                  <w:spacing w:after="0" w:line="240" w:lineRule="auto"/>
                  <w:jc w:val="right"/>
                  <w:rPr>
                    <w:rFonts w:asciiTheme="minorHAnsi" w:eastAsia="Times New Roman" w:hAnsiTheme="minorHAnsi" w:cstheme="minorHAnsi"/>
                    <w:color w:val="000E9C"/>
                    <w:sz w:val="18"/>
                    <w:szCs w:val="18"/>
                    <w:lang w:eastAsia="fr-FR"/>
                  </w:rPr>
                </w:pPr>
                <w:r w:rsidRPr="00651BDA">
                  <w:rPr>
                    <w:rFonts w:asciiTheme="minorHAnsi" w:eastAsia="Times New Roman" w:hAnsiTheme="minorHAnsi" w:cstheme="minorHAnsi"/>
                    <w:color w:val="000E9C"/>
                    <w:sz w:val="18"/>
                    <w:szCs w:val="18"/>
                    <w:lang w:eastAsia="fr-FR"/>
                  </w:rPr>
                  <w:t>31</w:t>
                </w:r>
              </w:p>
            </w:tc>
            <w:tc>
              <w:tcPr>
                <w:tcW w:w="1395" w:type="dxa"/>
                <w:tcBorders>
                  <w:top w:val="nil"/>
                  <w:left w:val="nil"/>
                  <w:bottom w:val="single" w:sz="4" w:space="0" w:color="000E9C"/>
                  <w:right w:val="nil"/>
                </w:tcBorders>
                <w:shd w:val="clear" w:color="auto" w:fill="auto"/>
                <w:noWrap/>
                <w:hideMark/>
              </w:tcPr>
              <w:p w14:paraId="19E25E58" w14:textId="77777777" w:rsidR="0041512C" w:rsidRPr="00651BDA" w:rsidRDefault="0041512C" w:rsidP="00D14D81">
                <w:pPr>
                  <w:spacing w:after="0" w:line="240" w:lineRule="auto"/>
                  <w:jc w:val="right"/>
                  <w:rPr>
                    <w:rFonts w:asciiTheme="minorHAnsi" w:eastAsia="Times New Roman" w:hAnsiTheme="minorHAnsi" w:cstheme="minorHAnsi"/>
                    <w:sz w:val="18"/>
                    <w:szCs w:val="18"/>
                    <w:lang w:eastAsia="fr-FR"/>
                  </w:rPr>
                </w:pPr>
                <w:r w:rsidRPr="00651BDA">
                  <w:rPr>
                    <w:rFonts w:asciiTheme="minorHAnsi" w:eastAsia="Times New Roman" w:hAnsiTheme="minorHAnsi" w:cstheme="minorHAnsi"/>
                    <w:sz w:val="18"/>
                    <w:szCs w:val="18"/>
                    <w:lang w:eastAsia="fr-FR"/>
                  </w:rPr>
                  <w:t>5,6%</w:t>
                </w:r>
              </w:p>
            </w:tc>
            <w:tc>
              <w:tcPr>
                <w:tcW w:w="1398" w:type="dxa"/>
                <w:tcBorders>
                  <w:top w:val="nil"/>
                  <w:left w:val="nil"/>
                  <w:bottom w:val="single" w:sz="4" w:space="0" w:color="000E9C"/>
                  <w:right w:val="nil"/>
                </w:tcBorders>
                <w:shd w:val="clear" w:color="auto" w:fill="auto"/>
                <w:noWrap/>
                <w:hideMark/>
              </w:tcPr>
              <w:p w14:paraId="1C4A10A4" w14:textId="77777777" w:rsidR="0041512C" w:rsidRPr="00651BDA" w:rsidRDefault="0041512C" w:rsidP="00D14D81">
                <w:pPr>
                  <w:spacing w:after="0" w:line="240" w:lineRule="auto"/>
                  <w:jc w:val="right"/>
                  <w:rPr>
                    <w:rFonts w:asciiTheme="minorHAnsi" w:eastAsia="Times New Roman" w:hAnsiTheme="minorHAnsi" w:cstheme="minorHAnsi"/>
                    <w:sz w:val="18"/>
                    <w:szCs w:val="18"/>
                    <w:lang w:eastAsia="fr-FR"/>
                  </w:rPr>
                </w:pPr>
                <w:r w:rsidRPr="00651BDA">
                  <w:rPr>
                    <w:rFonts w:asciiTheme="minorHAnsi" w:eastAsia="Times New Roman" w:hAnsiTheme="minorHAnsi" w:cstheme="minorHAnsi"/>
                    <w:sz w:val="18"/>
                    <w:szCs w:val="18"/>
                    <w:lang w:eastAsia="fr-FR"/>
                  </w:rPr>
                  <w:t>6,7%</w:t>
                </w:r>
              </w:p>
            </w:tc>
          </w:tr>
          <w:tr w:rsidR="0041512C" w:rsidRPr="00651BDA" w14:paraId="25CDFA74" w14:textId="77777777" w:rsidTr="00D14D81">
            <w:trPr>
              <w:trHeight w:val="290"/>
            </w:trPr>
            <w:tc>
              <w:tcPr>
                <w:tcW w:w="3377" w:type="dxa"/>
                <w:tcBorders>
                  <w:top w:val="nil"/>
                  <w:left w:val="nil"/>
                  <w:bottom w:val="nil"/>
                  <w:right w:val="nil"/>
                </w:tcBorders>
                <w:shd w:val="clear" w:color="auto" w:fill="auto"/>
                <w:noWrap/>
                <w:vAlign w:val="center"/>
                <w:hideMark/>
              </w:tcPr>
              <w:p w14:paraId="5564D6E2" w14:textId="77777777" w:rsidR="0041512C" w:rsidRPr="00651BDA" w:rsidRDefault="0041512C" w:rsidP="00D14D81">
                <w:pPr>
                  <w:spacing w:after="0" w:line="240" w:lineRule="auto"/>
                  <w:rPr>
                    <w:rFonts w:asciiTheme="minorHAnsi" w:eastAsia="Times New Roman" w:hAnsiTheme="minorHAnsi" w:cstheme="minorHAnsi"/>
                    <w:color w:val="000E9C"/>
                    <w:sz w:val="18"/>
                    <w:szCs w:val="18"/>
                    <w:lang w:eastAsia="fr-FR"/>
                  </w:rPr>
                </w:pPr>
                <w:r w:rsidRPr="00651BDA">
                  <w:rPr>
                    <w:rFonts w:asciiTheme="minorHAnsi" w:eastAsia="Times New Roman" w:hAnsiTheme="minorHAnsi" w:cstheme="minorHAnsi"/>
                    <w:color w:val="000E9C"/>
                    <w:sz w:val="18"/>
                    <w:szCs w:val="18"/>
                    <w:lang w:eastAsia="fr-FR"/>
                  </w:rPr>
                  <w:t>Total EBITDA ajusté</w:t>
                </w:r>
              </w:p>
            </w:tc>
            <w:tc>
              <w:tcPr>
                <w:tcW w:w="1395" w:type="dxa"/>
                <w:tcBorders>
                  <w:top w:val="nil"/>
                  <w:left w:val="nil"/>
                  <w:bottom w:val="nil"/>
                  <w:right w:val="nil"/>
                </w:tcBorders>
                <w:shd w:val="clear" w:color="auto" w:fill="auto"/>
                <w:noWrap/>
                <w:hideMark/>
              </w:tcPr>
              <w:p w14:paraId="18948E4C" w14:textId="77777777" w:rsidR="0041512C" w:rsidRPr="00651BDA" w:rsidRDefault="0041512C" w:rsidP="00D14D81">
                <w:pPr>
                  <w:spacing w:after="0" w:line="240" w:lineRule="auto"/>
                  <w:jc w:val="right"/>
                  <w:rPr>
                    <w:rFonts w:asciiTheme="minorHAnsi" w:eastAsia="Times New Roman" w:hAnsiTheme="minorHAnsi" w:cstheme="minorHAnsi"/>
                    <w:b/>
                    <w:bCs/>
                    <w:sz w:val="18"/>
                    <w:szCs w:val="18"/>
                    <w:lang w:eastAsia="fr-FR"/>
                  </w:rPr>
                </w:pPr>
                <w:r w:rsidRPr="00651BDA">
                  <w:rPr>
                    <w:rFonts w:asciiTheme="minorHAnsi" w:eastAsia="Times New Roman" w:hAnsiTheme="minorHAnsi" w:cstheme="minorHAnsi"/>
                    <w:b/>
                    <w:bCs/>
                    <w:sz w:val="18"/>
                    <w:szCs w:val="18"/>
                    <w:lang w:eastAsia="fr-FR"/>
                  </w:rPr>
                  <w:t>138</w:t>
                </w:r>
              </w:p>
            </w:tc>
            <w:tc>
              <w:tcPr>
                <w:tcW w:w="1395" w:type="dxa"/>
                <w:tcBorders>
                  <w:top w:val="nil"/>
                  <w:left w:val="nil"/>
                  <w:bottom w:val="nil"/>
                  <w:right w:val="nil"/>
                </w:tcBorders>
                <w:shd w:val="clear" w:color="000000" w:fill="E7E6E6"/>
                <w:noWrap/>
                <w:hideMark/>
              </w:tcPr>
              <w:p w14:paraId="1623A632" w14:textId="77777777" w:rsidR="0041512C" w:rsidRPr="00651BDA" w:rsidRDefault="0041512C" w:rsidP="00D14D81">
                <w:pPr>
                  <w:spacing w:after="0" w:line="240" w:lineRule="auto"/>
                  <w:jc w:val="right"/>
                  <w:rPr>
                    <w:rFonts w:asciiTheme="minorHAnsi" w:eastAsia="Times New Roman" w:hAnsiTheme="minorHAnsi" w:cstheme="minorHAnsi"/>
                    <w:b/>
                    <w:bCs/>
                    <w:color w:val="000E9C"/>
                    <w:sz w:val="18"/>
                    <w:szCs w:val="18"/>
                    <w:lang w:eastAsia="fr-FR"/>
                  </w:rPr>
                </w:pPr>
                <w:r w:rsidRPr="00651BDA">
                  <w:rPr>
                    <w:rFonts w:asciiTheme="minorHAnsi" w:eastAsia="Times New Roman" w:hAnsiTheme="minorHAnsi" w:cstheme="minorHAnsi"/>
                    <w:b/>
                    <w:bCs/>
                    <w:color w:val="000E9C"/>
                    <w:sz w:val="18"/>
                    <w:szCs w:val="18"/>
                    <w:lang w:eastAsia="fr-FR"/>
                  </w:rPr>
                  <w:t>153</w:t>
                </w:r>
              </w:p>
            </w:tc>
            <w:tc>
              <w:tcPr>
                <w:tcW w:w="1395" w:type="dxa"/>
                <w:tcBorders>
                  <w:top w:val="nil"/>
                  <w:left w:val="nil"/>
                  <w:bottom w:val="nil"/>
                  <w:right w:val="nil"/>
                </w:tcBorders>
                <w:shd w:val="clear" w:color="auto" w:fill="auto"/>
                <w:noWrap/>
                <w:hideMark/>
              </w:tcPr>
              <w:p w14:paraId="70AB828F" w14:textId="77777777" w:rsidR="0041512C" w:rsidRPr="00651BDA" w:rsidRDefault="0041512C" w:rsidP="00D14D81">
                <w:pPr>
                  <w:spacing w:after="0" w:line="240" w:lineRule="auto"/>
                  <w:jc w:val="right"/>
                  <w:rPr>
                    <w:rFonts w:asciiTheme="minorHAnsi" w:eastAsia="Times New Roman" w:hAnsiTheme="minorHAnsi" w:cstheme="minorHAnsi"/>
                    <w:b/>
                    <w:bCs/>
                    <w:sz w:val="18"/>
                    <w:szCs w:val="18"/>
                    <w:lang w:eastAsia="fr-FR"/>
                  </w:rPr>
                </w:pPr>
                <w:r w:rsidRPr="00651BDA">
                  <w:rPr>
                    <w:rFonts w:asciiTheme="minorHAnsi" w:eastAsia="Times New Roman" w:hAnsiTheme="minorHAnsi" w:cstheme="minorHAnsi"/>
                    <w:b/>
                    <w:bCs/>
                    <w:sz w:val="18"/>
                    <w:szCs w:val="18"/>
                    <w:lang w:eastAsia="fr-FR"/>
                  </w:rPr>
                  <w:t>11,0%</w:t>
                </w:r>
              </w:p>
            </w:tc>
            <w:tc>
              <w:tcPr>
                <w:tcW w:w="1398" w:type="dxa"/>
                <w:tcBorders>
                  <w:top w:val="nil"/>
                  <w:left w:val="nil"/>
                  <w:bottom w:val="nil"/>
                  <w:right w:val="nil"/>
                </w:tcBorders>
                <w:shd w:val="clear" w:color="auto" w:fill="auto"/>
                <w:noWrap/>
                <w:hideMark/>
              </w:tcPr>
              <w:p w14:paraId="7EBCA334" w14:textId="77777777" w:rsidR="0041512C" w:rsidRPr="00651BDA" w:rsidRDefault="0041512C" w:rsidP="00D14D81">
                <w:pPr>
                  <w:spacing w:after="0" w:line="240" w:lineRule="auto"/>
                  <w:jc w:val="right"/>
                  <w:rPr>
                    <w:rFonts w:asciiTheme="minorHAnsi" w:eastAsia="Times New Roman" w:hAnsiTheme="minorHAnsi" w:cstheme="minorHAnsi"/>
                    <w:b/>
                    <w:bCs/>
                    <w:sz w:val="18"/>
                    <w:szCs w:val="18"/>
                    <w:lang w:eastAsia="fr-FR"/>
                  </w:rPr>
                </w:pPr>
                <w:r w:rsidRPr="00651BDA">
                  <w:rPr>
                    <w:rFonts w:asciiTheme="minorHAnsi" w:eastAsia="Times New Roman" w:hAnsiTheme="minorHAnsi" w:cstheme="minorHAnsi"/>
                    <w:b/>
                    <w:bCs/>
                    <w:sz w:val="18"/>
                    <w:szCs w:val="18"/>
                    <w:lang w:eastAsia="fr-FR"/>
                  </w:rPr>
                  <w:t>11,1%</w:t>
                </w:r>
              </w:p>
            </w:tc>
          </w:tr>
        </w:tbl>
        <w:p w14:paraId="6A0DF1A8" w14:textId="77777777" w:rsidR="0041512C" w:rsidRPr="00B264D1" w:rsidRDefault="0041512C" w:rsidP="0041512C">
          <w:pPr>
            <w:jc w:val="both"/>
            <w:rPr>
              <w:rFonts w:asciiTheme="minorHAnsi" w:hAnsiTheme="minorHAnsi" w:cstheme="minorHAnsi"/>
              <w:b/>
              <w:sz w:val="24"/>
              <w:szCs w:val="24"/>
            </w:rPr>
          </w:pPr>
          <w:r w:rsidRPr="00527455">
            <w:rPr>
              <w:rFonts w:asciiTheme="minorHAnsi" w:hAnsiTheme="minorHAnsi" w:cstheme="minorHAnsi"/>
              <w:sz w:val="18"/>
              <w:szCs w:val="18"/>
            </w:rPr>
            <w:t xml:space="preserve">Note : </w:t>
          </w:r>
          <w:r>
            <w:rPr>
              <w:rFonts w:asciiTheme="minorHAnsi" w:hAnsiTheme="minorHAnsi" w:cstheme="minorHAnsi"/>
              <w:sz w:val="18"/>
              <w:szCs w:val="18"/>
            </w:rPr>
            <w:t>L’</w:t>
          </w:r>
          <w:r w:rsidRPr="00C83B07">
            <w:rPr>
              <w:rFonts w:asciiTheme="minorHAnsi" w:hAnsiTheme="minorHAnsi" w:cstheme="minorHAnsi"/>
              <w:sz w:val="18"/>
              <w:szCs w:val="18"/>
            </w:rPr>
            <w:t>EBITDA ajusté correspond à l'EBITDA courant retraité, d’une part, des charges liées aux rémunérations fondées sur des actions et, d’autre part, des compléments de prix d'acquisition.</w:t>
          </w:r>
        </w:p>
        <w:p w14:paraId="33FC98BE" w14:textId="77777777" w:rsidR="0041512C" w:rsidRPr="00B264D1" w:rsidRDefault="0041512C" w:rsidP="0041512C">
          <w:pPr>
            <w:spacing w:before="120" w:after="0"/>
            <w:rPr>
              <w:rFonts w:asciiTheme="minorHAnsi" w:hAnsiTheme="minorHAnsi" w:cstheme="minorHAnsi"/>
              <w:color w:val="2F5496"/>
            </w:rPr>
          </w:pPr>
        </w:p>
        <w:p w14:paraId="7C7C7B46" w14:textId="77777777" w:rsidR="0041512C" w:rsidRPr="00837FDF" w:rsidRDefault="0041512C" w:rsidP="0041512C">
          <w:pPr>
            <w:pStyle w:val="Titre2"/>
            <w:numPr>
              <w:ilvl w:val="2"/>
              <w:numId w:val="21"/>
            </w:numPr>
            <w:spacing w:before="0"/>
            <w:ind w:left="2160" w:hanging="360"/>
            <w:rPr>
              <w:rFonts w:asciiTheme="minorHAnsi" w:hAnsiTheme="minorHAnsi" w:cstheme="minorHAnsi"/>
              <w:color w:val="auto"/>
              <w:sz w:val="24"/>
              <w:szCs w:val="24"/>
            </w:rPr>
          </w:pPr>
          <w:bookmarkStart w:id="41" w:name="_Toc100684268"/>
          <w:bookmarkStart w:id="42" w:name="_Toc100689212"/>
          <w:bookmarkStart w:id="43" w:name="_Toc100689261"/>
          <w:r w:rsidRPr="00837FDF">
            <w:rPr>
              <w:rFonts w:asciiTheme="minorHAnsi" w:hAnsiTheme="minorHAnsi" w:cstheme="minorHAnsi"/>
              <w:color w:val="auto"/>
              <w:sz w:val="24"/>
              <w:szCs w:val="24"/>
            </w:rPr>
            <w:t>Résultat net du Groupe</w:t>
          </w:r>
          <w:bookmarkEnd w:id="41"/>
          <w:bookmarkEnd w:id="42"/>
          <w:bookmarkEnd w:id="43"/>
        </w:p>
        <w:p w14:paraId="4E922CDB" w14:textId="77777777" w:rsidR="0041512C" w:rsidRPr="00B264D1" w:rsidRDefault="0041512C" w:rsidP="0041512C">
          <w:pPr>
            <w:jc w:val="both"/>
            <w:rPr>
              <w:rFonts w:asciiTheme="minorHAnsi" w:hAnsiTheme="minorHAnsi" w:cstheme="minorHAnsi"/>
              <w:b/>
              <w:bCs/>
              <w:sz w:val="20"/>
              <w:szCs w:val="20"/>
            </w:rPr>
          </w:pPr>
        </w:p>
        <w:p w14:paraId="58CFB449" w14:textId="674CE2BD" w:rsidR="0041512C" w:rsidRPr="00B264D1" w:rsidRDefault="0041512C" w:rsidP="0041512C">
          <w:pPr>
            <w:spacing w:after="240"/>
            <w:jc w:val="both"/>
            <w:rPr>
              <w:rFonts w:asciiTheme="minorHAnsi" w:hAnsiTheme="minorHAnsi" w:cstheme="minorHAnsi"/>
              <w:sz w:val="20"/>
              <w:szCs w:val="20"/>
            </w:rPr>
          </w:pPr>
          <w:r w:rsidRPr="00712DC4">
            <w:rPr>
              <w:rFonts w:asciiTheme="minorHAnsi" w:hAnsiTheme="minorHAnsi" w:cstheme="minorHAnsi"/>
              <w:b/>
              <w:bCs/>
              <w:sz w:val="20"/>
              <w:szCs w:val="20"/>
            </w:rPr>
            <w:t xml:space="preserve">Le résultat opérationnel </w:t>
          </w:r>
          <w:r w:rsidRPr="00712DC4">
            <w:rPr>
              <w:rFonts w:asciiTheme="minorHAnsi" w:hAnsiTheme="minorHAnsi" w:cstheme="minorHAnsi"/>
              <w:sz w:val="20"/>
              <w:szCs w:val="20"/>
            </w:rPr>
            <w:t xml:space="preserve">s’établit </w:t>
          </w:r>
          <w:r>
            <w:rPr>
              <w:rFonts w:asciiTheme="minorHAnsi" w:hAnsiTheme="minorHAnsi" w:cstheme="minorHAnsi"/>
              <w:sz w:val="20"/>
              <w:szCs w:val="20"/>
            </w:rPr>
            <w:t xml:space="preserve">à (20,9) millions d’euros au premier semestre 2022 contre 19,9 millions d’euros au premier semestre 2021. Le résultat opérationnel </w:t>
          </w:r>
          <w:r w:rsidRPr="00B264D1">
            <w:rPr>
              <w:rFonts w:asciiTheme="minorHAnsi" w:hAnsiTheme="minorHAnsi" w:cstheme="minorHAnsi"/>
              <w:sz w:val="20"/>
              <w:szCs w:val="20"/>
            </w:rPr>
            <w:t>du premier semestre 2022 inclut</w:t>
          </w:r>
          <w:r>
            <w:rPr>
              <w:rFonts w:asciiTheme="minorHAnsi" w:hAnsiTheme="minorHAnsi" w:cstheme="minorHAnsi"/>
              <w:sz w:val="20"/>
              <w:szCs w:val="20"/>
            </w:rPr>
            <w:t xml:space="preserve"> </w:t>
          </w:r>
          <w:r w:rsidRPr="00B264D1">
            <w:rPr>
              <w:rFonts w:asciiTheme="minorHAnsi" w:hAnsiTheme="minorHAnsi" w:cstheme="minorHAnsi"/>
              <w:sz w:val="20"/>
              <w:szCs w:val="20"/>
            </w:rPr>
            <w:t>(</w:t>
          </w:r>
          <w:r>
            <w:rPr>
              <w:rFonts w:asciiTheme="minorHAnsi" w:hAnsiTheme="minorHAnsi" w:cstheme="minorHAnsi"/>
              <w:sz w:val="20"/>
              <w:szCs w:val="20"/>
            </w:rPr>
            <w:t>41</w:t>
          </w:r>
          <w:r w:rsidRPr="00B264D1">
            <w:rPr>
              <w:rFonts w:asciiTheme="minorHAnsi" w:hAnsiTheme="minorHAnsi" w:cstheme="minorHAnsi"/>
              <w:sz w:val="20"/>
              <w:szCs w:val="20"/>
            </w:rPr>
            <w:t xml:space="preserve">) millions d’euros de </w:t>
          </w:r>
          <w:r>
            <w:rPr>
              <w:rFonts w:asciiTheme="minorHAnsi" w:hAnsiTheme="minorHAnsi" w:cstheme="minorHAnsi"/>
              <w:sz w:val="20"/>
              <w:szCs w:val="20"/>
            </w:rPr>
            <w:t xml:space="preserve">coûts exceptionnels principalement </w:t>
          </w:r>
          <w:r w:rsidRPr="00B264D1">
            <w:rPr>
              <w:rFonts w:asciiTheme="minorHAnsi" w:hAnsiTheme="minorHAnsi" w:cstheme="minorHAnsi"/>
              <w:sz w:val="20"/>
              <w:szCs w:val="20"/>
            </w:rPr>
            <w:t>en lien avec l’incident de Strasbourg</w:t>
          </w:r>
          <w:r>
            <w:rPr>
              <w:rFonts w:asciiTheme="minorHAnsi" w:hAnsiTheme="minorHAnsi" w:cstheme="minorHAnsi"/>
              <w:sz w:val="20"/>
              <w:szCs w:val="20"/>
            </w:rPr>
            <w:t xml:space="preserve">, </w:t>
          </w:r>
          <w:r w:rsidRPr="00347FB2">
            <w:rPr>
              <w:rFonts w:asciiTheme="minorHAnsi" w:hAnsiTheme="minorHAnsi" w:cstheme="minorHAnsi"/>
              <w:sz w:val="20"/>
              <w:szCs w:val="20"/>
            </w:rPr>
            <w:t>l’introduction en Bourse</w:t>
          </w:r>
          <w:r>
            <w:rPr>
              <w:rFonts w:asciiTheme="minorHAnsi" w:hAnsiTheme="minorHAnsi" w:cstheme="minorHAnsi"/>
              <w:sz w:val="20"/>
              <w:szCs w:val="20"/>
            </w:rPr>
            <w:t xml:space="preserve"> (notamment </w:t>
          </w:r>
          <w:r w:rsidRPr="00B264D1">
            <w:rPr>
              <w:rFonts w:asciiTheme="minorHAnsi" w:hAnsiTheme="minorHAnsi" w:cstheme="minorHAnsi"/>
              <w:sz w:val="20"/>
              <w:szCs w:val="20"/>
            </w:rPr>
            <w:t>au titre de plans de rémunérations fondés sur des actions</w:t>
          </w:r>
          <w:r>
            <w:rPr>
              <w:rFonts w:asciiTheme="minorHAnsi" w:hAnsiTheme="minorHAnsi" w:cstheme="minorHAnsi"/>
              <w:sz w:val="20"/>
              <w:szCs w:val="20"/>
            </w:rPr>
            <w:t xml:space="preserve"> et de l’offre réservée aux salariés qui a suivi l’IPO et a connu un très grand succès, avec un taux de souscription des salariés de 98%), et des compléments de prix concernant une acquisition. Corrigé de ces éléments exceptionnels, le résultat opérationnel s’établit à 20</w:t>
          </w:r>
          <w:r w:rsidR="00B450C0">
            <w:rPr>
              <w:rFonts w:asciiTheme="minorHAnsi" w:hAnsiTheme="minorHAnsi" w:cstheme="minorHAnsi"/>
              <w:sz w:val="20"/>
              <w:szCs w:val="20"/>
            </w:rPr>
            <w:t>,</w:t>
          </w:r>
          <w:r w:rsidR="00A85998">
            <w:rPr>
              <w:rFonts w:asciiTheme="minorHAnsi" w:hAnsiTheme="minorHAnsi" w:cstheme="minorHAnsi"/>
              <w:sz w:val="20"/>
              <w:szCs w:val="20"/>
            </w:rPr>
            <w:t>1</w:t>
          </w:r>
          <w:r>
            <w:rPr>
              <w:rFonts w:asciiTheme="minorHAnsi" w:hAnsiTheme="minorHAnsi" w:cstheme="minorHAnsi"/>
              <w:sz w:val="20"/>
              <w:szCs w:val="20"/>
            </w:rPr>
            <w:t xml:space="preserve"> millions d’euros.</w:t>
          </w:r>
        </w:p>
        <w:p w14:paraId="33442F7C" w14:textId="77777777" w:rsidR="0041512C" w:rsidRPr="00B264D1" w:rsidRDefault="0041512C" w:rsidP="0041512C">
          <w:pPr>
            <w:jc w:val="both"/>
            <w:rPr>
              <w:rFonts w:asciiTheme="minorHAnsi" w:hAnsiTheme="minorHAnsi" w:cstheme="minorHAnsi"/>
              <w:sz w:val="20"/>
              <w:szCs w:val="20"/>
            </w:rPr>
          </w:pPr>
          <w:r w:rsidRPr="00B264D1">
            <w:rPr>
              <w:rFonts w:asciiTheme="minorHAnsi" w:hAnsiTheme="minorHAnsi" w:cstheme="minorHAnsi"/>
              <w:b/>
              <w:bCs/>
              <w:sz w:val="20"/>
              <w:szCs w:val="20"/>
            </w:rPr>
            <w:t xml:space="preserve">Les autres produits et charges opérationnels non courants </w:t>
          </w:r>
          <w:r w:rsidRPr="00B264D1">
            <w:rPr>
              <w:rFonts w:asciiTheme="minorHAnsi" w:hAnsiTheme="minorHAnsi" w:cstheme="minorHAnsi"/>
              <w:sz w:val="20"/>
              <w:szCs w:val="20"/>
            </w:rPr>
            <w:t>s’établissent à (20,2) millions d’euros au premier semestre 2022 contre (10,2) millions d’euros au premier semestre 2021. Cette évolution provient notamment des coûts directement induits par la survenance du sinistre de Strasbourg, de certains coûts de restructuration en lien avec la refonte des process industriels du Groupe en 2022</w:t>
          </w:r>
          <w:r>
            <w:rPr>
              <w:rFonts w:asciiTheme="minorHAnsi" w:hAnsiTheme="minorHAnsi" w:cstheme="minorHAnsi"/>
              <w:sz w:val="20"/>
              <w:szCs w:val="20"/>
            </w:rPr>
            <w:t>,</w:t>
          </w:r>
          <w:r w:rsidRPr="00B264D1">
            <w:rPr>
              <w:rFonts w:asciiTheme="minorHAnsi" w:hAnsiTheme="minorHAnsi" w:cstheme="minorHAnsi"/>
              <w:sz w:val="20"/>
              <w:szCs w:val="20"/>
            </w:rPr>
            <w:t xml:space="preserve"> et de </w:t>
          </w:r>
          <w:r>
            <w:rPr>
              <w:rFonts w:asciiTheme="minorHAnsi" w:hAnsiTheme="minorHAnsi" w:cstheme="minorHAnsi"/>
              <w:sz w:val="20"/>
              <w:szCs w:val="20"/>
            </w:rPr>
            <w:t xml:space="preserve">mise au rebut </w:t>
          </w:r>
          <w:r w:rsidRPr="00B264D1">
            <w:rPr>
              <w:rFonts w:asciiTheme="minorHAnsi" w:hAnsiTheme="minorHAnsi" w:cstheme="minorHAnsi"/>
              <w:sz w:val="20"/>
              <w:szCs w:val="20"/>
            </w:rPr>
            <w:t>sur immobilisations corporelles.</w:t>
          </w:r>
        </w:p>
        <w:p w14:paraId="59DE6F27" w14:textId="77777777" w:rsidR="0041512C" w:rsidRPr="00B264D1" w:rsidRDefault="0041512C" w:rsidP="0041512C">
          <w:pPr>
            <w:spacing w:after="240"/>
            <w:jc w:val="both"/>
            <w:rPr>
              <w:rFonts w:asciiTheme="minorHAnsi" w:hAnsiTheme="minorHAnsi" w:cstheme="minorHAnsi"/>
              <w:sz w:val="20"/>
              <w:szCs w:val="20"/>
            </w:rPr>
          </w:pPr>
          <w:r w:rsidRPr="00B264D1">
            <w:rPr>
              <w:rFonts w:asciiTheme="minorHAnsi" w:hAnsiTheme="minorHAnsi" w:cstheme="minorHAnsi"/>
              <w:b/>
              <w:bCs/>
              <w:sz w:val="20"/>
              <w:szCs w:val="20"/>
            </w:rPr>
            <w:t>Les charges financières nettes</w:t>
          </w:r>
          <w:r w:rsidRPr="00B264D1">
            <w:rPr>
              <w:rFonts w:asciiTheme="minorHAnsi" w:hAnsiTheme="minorHAnsi" w:cstheme="minorHAnsi"/>
              <w:sz w:val="20"/>
              <w:szCs w:val="20"/>
            </w:rPr>
            <w:t xml:space="preserve"> ont baissé de 9,0 millions d’euros, passant de (13,2) millions d’euros pour le premier semestre 2021 à (4,2) millions d’euros pour le premier semestre 2022, résultant notamment</w:t>
          </w:r>
          <w:r w:rsidRPr="00B264D1">
            <w:rPr>
              <w:rFonts w:asciiTheme="minorHAnsi" w:hAnsiTheme="minorHAnsi" w:cstheme="minorHAnsi"/>
            </w:rPr>
            <w:t xml:space="preserve"> </w:t>
          </w:r>
          <w:r w:rsidRPr="00B264D1">
            <w:rPr>
              <w:rFonts w:asciiTheme="minorHAnsi" w:hAnsiTheme="minorHAnsi" w:cstheme="minorHAnsi"/>
              <w:sz w:val="20"/>
              <w:szCs w:val="20"/>
            </w:rPr>
            <w:t>des conditions de refinancement favorables pour 4,8 millions d’euros, et de la variation des gains nets de change pour 3,1 millions d’euros</w:t>
          </w:r>
          <w:r>
            <w:rPr>
              <w:rFonts w:asciiTheme="minorHAnsi" w:hAnsiTheme="minorHAnsi" w:cstheme="minorHAnsi"/>
              <w:sz w:val="20"/>
              <w:szCs w:val="20"/>
            </w:rPr>
            <w:t>.</w:t>
          </w:r>
        </w:p>
        <w:p w14:paraId="455B1378" w14:textId="77777777" w:rsidR="0041512C" w:rsidRPr="00D97812" w:rsidRDefault="0041512C" w:rsidP="0041512C">
          <w:pPr>
            <w:spacing w:after="240"/>
            <w:jc w:val="both"/>
            <w:rPr>
              <w:rFonts w:asciiTheme="minorHAnsi" w:hAnsiTheme="minorHAnsi" w:cstheme="minorHAnsi"/>
              <w:sz w:val="20"/>
              <w:szCs w:val="20"/>
            </w:rPr>
          </w:pPr>
          <w:r w:rsidRPr="00B264D1">
            <w:rPr>
              <w:rFonts w:asciiTheme="minorHAnsi" w:hAnsiTheme="minorHAnsi" w:cstheme="minorHAnsi"/>
              <w:b/>
              <w:bCs/>
              <w:sz w:val="20"/>
              <w:szCs w:val="20"/>
            </w:rPr>
            <w:t>La charge d’impôt</w:t>
          </w:r>
          <w:r w:rsidRPr="00B264D1">
            <w:rPr>
              <w:rFonts w:asciiTheme="minorHAnsi" w:hAnsiTheme="minorHAnsi" w:cstheme="minorHAnsi"/>
              <w:sz w:val="20"/>
              <w:szCs w:val="20"/>
            </w:rPr>
            <w:t xml:space="preserve"> s’élève à (1,2) millions d’euros au premier semestre 2022 contre (13,1) millions d’euros au premier semestre </w:t>
          </w:r>
          <w:r w:rsidRPr="00D97812">
            <w:rPr>
              <w:rFonts w:asciiTheme="minorHAnsi" w:hAnsiTheme="minorHAnsi" w:cstheme="minorHAnsi"/>
              <w:sz w:val="20"/>
              <w:szCs w:val="20"/>
            </w:rPr>
            <w:t>2021.</w:t>
          </w:r>
          <w:r>
            <w:rPr>
              <w:rFonts w:asciiTheme="minorHAnsi" w:hAnsiTheme="minorHAnsi" w:cstheme="minorHAnsi"/>
              <w:sz w:val="20"/>
              <w:szCs w:val="20"/>
            </w:rPr>
            <w:t xml:space="preserve"> La charge d’impôt </w:t>
          </w:r>
          <w:r w:rsidRPr="00B264D1">
            <w:rPr>
              <w:rFonts w:asciiTheme="minorHAnsi" w:hAnsiTheme="minorHAnsi" w:cstheme="minorHAnsi"/>
              <w:sz w:val="20"/>
              <w:szCs w:val="20"/>
            </w:rPr>
            <w:t>du premier semestre 2021</w:t>
          </w:r>
          <w:r>
            <w:rPr>
              <w:rFonts w:asciiTheme="minorHAnsi" w:hAnsiTheme="minorHAnsi" w:cstheme="minorHAnsi"/>
              <w:sz w:val="20"/>
              <w:szCs w:val="20"/>
            </w:rPr>
            <w:t xml:space="preserve"> ne reconnaissait pas certains</w:t>
          </w:r>
          <w:r w:rsidRPr="00B264D1">
            <w:rPr>
              <w:rFonts w:asciiTheme="minorHAnsi" w:hAnsiTheme="minorHAnsi" w:cstheme="minorHAnsi"/>
              <w:sz w:val="20"/>
              <w:szCs w:val="20"/>
            </w:rPr>
            <w:t xml:space="preserve"> déficits fiscaux </w:t>
          </w:r>
          <w:r>
            <w:rPr>
              <w:rFonts w:asciiTheme="minorHAnsi" w:hAnsiTheme="minorHAnsi" w:cstheme="minorHAnsi"/>
              <w:sz w:val="20"/>
              <w:szCs w:val="20"/>
            </w:rPr>
            <w:t>ni</w:t>
          </w:r>
          <w:r w:rsidRPr="00B264D1">
            <w:rPr>
              <w:rFonts w:asciiTheme="minorHAnsi" w:hAnsiTheme="minorHAnsi" w:cstheme="minorHAnsi"/>
              <w:sz w:val="20"/>
              <w:szCs w:val="20"/>
            </w:rPr>
            <w:t xml:space="preserve"> </w:t>
          </w:r>
          <w:r>
            <w:rPr>
              <w:rFonts w:asciiTheme="minorHAnsi" w:hAnsiTheme="minorHAnsi" w:cstheme="minorHAnsi"/>
              <w:sz w:val="20"/>
              <w:szCs w:val="20"/>
            </w:rPr>
            <w:t>la dépréciation de</w:t>
          </w:r>
          <w:r w:rsidRPr="00B264D1">
            <w:rPr>
              <w:rFonts w:asciiTheme="minorHAnsi" w:hAnsiTheme="minorHAnsi" w:cstheme="minorHAnsi"/>
              <w:sz w:val="20"/>
              <w:szCs w:val="20"/>
            </w:rPr>
            <w:t xml:space="preserve"> certains actifs d’impôts différés antérieurement reconnus.</w:t>
          </w:r>
          <w:r>
            <w:rPr>
              <w:rFonts w:asciiTheme="minorHAnsi" w:hAnsiTheme="minorHAnsi" w:cstheme="minorHAnsi"/>
              <w:sz w:val="20"/>
              <w:szCs w:val="20"/>
            </w:rPr>
            <w:t xml:space="preserve"> Par ailleurs, </w:t>
          </w:r>
          <w:r w:rsidRPr="00D97812">
            <w:rPr>
              <w:rFonts w:asciiTheme="minorHAnsi" w:hAnsiTheme="minorHAnsi" w:cstheme="minorHAnsi"/>
              <w:sz w:val="20"/>
              <w:szCs w:val="20"/>
            </w:rPr>
            <w:t>les charges du premier semestre 2022 au titre de plans de rémunérations fondés sur des actions et de compléments de prix d’acquisitions pour un montant d’environ 25 millions d’euros ne participent pas à la formation du résultat imposable du Groupe.</w:t>
          </w:r>
        </w:p>
        <w:p w14:paraId="5206B670" w14:textId="77777777" w:rsidR="0041512C" w:rsidRPr="00B264D1" w:rsidRDefault="0041512C" w:rsidP="0041512C">
          <w:pPr>
            <w:spacing w:after="240"/>
            <w:jc w:val="both"/>
            <w:rPr>
              <w:rFonts w:asciiTheme="minorHAnsi" w:hAnsiTheme="minorHAnsi" w:cstheme="minorHAnsi"/>
              <w:sz w:val="20"/>
              <w:szCs w:val="20"/>
            </w:rPr>
          </w:pPr>
          <w:r w:rsidRPr="00B264D1">
            <w:rPr>
              <w:rFonts w:asciiTheme="minorHAnsi" w:hAnsiTheme="minorHAnsi" w:cstheme="minorHAnsi"/>
              <w:b/>
              <w:bCs/>
              <w:sz w:val="20"/>
              <w:szCs w:val="20"/>
            </w:rPr>
            <w:lastRenderedPageBreak/>
            <w:t>OVHcloud a enregistré une perte nette</w:t>
          </w:r>
          <w:r w:rsidRPr="00B264D1">
            <w:rPr>
              <w:rFonts w:asciiTheme="minorHAnsi" w:hAnsiTheme="minorHAnsi" w:cstheme="minorHAnsi"/>
              <w:sz w:val="20"/>
              <w:szCs w:val="20"/>
            </w:rPr>
            <w:t xml:space="preserve"> de (26,3) millions d’euros pour le premier semestre 2022, contre une perte nette de (6,5) millions d’euros pour le premier semestre 2021. La perte nette du premier semestre 2022 inclut (</w:t>
          </w:r>
          <w:r>
            <w:rPr>
              <w:rFonts w:asciiTheme="minorHAnsi" w:hAnsiTheme="minorHAnsi" w:cstheme="minorHAnsi"/>
              <w:sz w:val="20"/>
              <w:szCs w:val="20"/>
            </w:rPr>
            <w:t>41</w:t>
          </w:r>
          <w:r w:rsidRPr="00B264D1">
            <w:rPr>
              <w:rFonts w:asciiTheme="minorHAnsi" w:hAnsiTheme="minorHAnsi" w:cstheme="minorHAnsi"/>
              <w:sz w:val="20"/>
              <w:szCs w:val="20"/>
            </w:rPr>
            <w:t xml:space="preserve">) millions d’euros de </w:t>
          </w:r>
          <w:r>
            <w:rPr>
              <w:rFonts w:asciiTheme="minorHAnsi" w:hAnsiTheme="minorHAnsi" w:cstheme="minorHAnsi"/>
              <w:sz w:val="20"/>
              <w:szCs w:val="20"/>
            </w:rPr>
            <w:t xml:space="preserve">coûts exceptionnels majoritairement </w:t>
          </w:r>
          <w:r w:rsidRPr="00B264D1">
            <w:rPr>
              <w:rFonts w:asciiTheme="minorHAnsi" w:hAnsiTheme="minorHAnsi" w:cstheme="minorHAnsi"/>
              <w:sz w:val="20"/>
              <w:szCs w:val="20"/>
            </w:rPr>
            <w:t>en lien avec l’incident de Strasbourg</w:t>
          </w:r>
          <w:r>
            <w:rPr>
              <w:rFonts w:asciiTheme="minorHAnsi" w:hAnsiTheme="minorHAnsi" w:cstheme="minorHAnsi"/>
              <w:sz w:val="20"/>
              <w:szCs w:val="20"/>
            </w:rPr>
            <w:t xml:space="preserve">, </w:t>
          </w:r>
          <w:r w:rsidRPr="00347FB2">
            <w:rPr>
              <w:rFonts w:asciiTheme="minorHAnsi" w:hAnsiTheme="minorHAnsi" w:cstheme="minorHAnsi"/>
              <w:sz w:val="20"/>
              <w:szCs w:val="20"/>
            </w:rPr>
            <w:t>l’introduction en Bourse</w:t>
          </w:r>
          <w:r>
            <w:rPr>
              <w:rFonts w:asciiTheme="minorHAnsi" w:hAnsiTheme="minorHAnsi" w:cstheme="minorHAnsi"/>
              <w:sz w:val="20"/>
              <w:szCs w:val="20"/>
            </w:rPr>
            <w:t xml:space="preserve"> et des compléments de prix d’acquisition de sociétés</w:t>
          </w:r>
          <w:r w:rsidRPr="00347FB2">
            <w:rPr>
              <w:rFonts w:asciiTheme="minorHAnsi" w:hAnsiTheme="minorHAnsi" w:cstheme="minorHAnsi"/>
              <w:sz w:val="20"/>
              <w:szCs w:val="20"/>
            </w:rPr>
            <w:t xml:space="preserve">. Retraité de ces effets, le résultat net aurait été un bénéfice d’environ </w:t>
          </w:r>
          <w:r>
            <w:rPr>
              <w:rFonts w:asciiTheme="minorHAnsi" w:hAnsiTheme="minorHAnsi" w:cstheme="minorHAnsi"/>
              <w:sz w:val="20"/>
              <w:szCs w:val="20"/>
            </w:rPr>
            <w:t>10</w:t>
          </w:r>
          <w:r w:rsidRPr="00347FB2">
            <w:rPr>
              <w:rFonts w:asciiTheme="minorHAnsi" w:hAnsiTheme="minorHAnsi" w:cstheme="minorHAnsi"/>
              <w:sz w:val="20"/>
              <w:szCs w:val="20"/>
            </w:rPr>
            <w:t xml:space="preserve"> millions d’euros.</w:t>
          </w:r>
        </w:p>
        <w:p w14:paraId="6691CA57" w14:textId="77777777" w:rsidR="0041512C" w:rsidRPr="00B264D1" w:rsidRDefault="0041512C" w:rsidP="0041512C">
          <w:pPr>
            <w:spacing w:after="240"/>
            <w:jc w:val="both"/>
            <w:rPr>
              <w:rFonts w:asciiTheme="minorHAnsi" w:hAnsiTheme="minorHAnsi" w:cstheme="minorHAnsi"/>
              <w:sz w:val="20"/>
              <w:szCs w:val="20"/>
            </w:rPr>
          </w:pPr>
        </w:p>
        <w:p w14:paraId="020C5BC7" w14:textId="77777777" w:rsidR="0041512C" w:rsidRPr="00B264D1" w:rsidRDefault="0041512C" w:rsidP="0041512C">
          <w:pPr>
            <w:pStyle w:val="Titre2"/>
            <w:numPr>
              <w:ilvl w:val="1"/>
              <w:numId w:val="21"/>
            </w:numPr>
            <w:spacing w:before="0"/>
            <w:ind w:left="567" w:hanging="567"/>
            <w:rPr>
              <w:rFonts w:asciiTheme="minorHAnsi" w:hAnsiTheme="minorHAnsi" w:cstheme="minorHAnsi"/>
              <w:color w:val="auto"/>
              <w:sz w:val="28"/>
              <w:szCs w:val="28"/>
            </w:rPr>
          </w:pPr>
          <w:bookmarkStart w:id="44" w:name="_Toc100684269"/>
          <w:bookmarkStart w:id="45" w:name="_Toc100689213"/>
          <w:bookmarkStart w:id="46" w:name="_Toc100689262"/>
          <w:r w:rsidRPr="00B264D1">
            <w:rPr>
              <w:rFonts w:asciiTheme="minorHAnsi" w:hAnsiTheme="minorHAnsi" w:cstheme="minorHAnsi"/>
              <w:color w:val="auto"/>
              <w:sz w:val="28"/>
              <w:szCs w:val="28"/>
            </w:rPr>
            <w:t>Investissements</w:t>
          </w:r>
          <w:bookmarkEnd w:id="44"/>
          <w:bookmarkEnd w:id="45"/>
          <w:bookmarkEnd w:id="46"/>
        </w:p>
        <w:p w14:paraId="2F29918C" w14:textId="77777777" w:rsidR="0041512C" w:rsidRPr="00B264D1" w:rsidRDefault="0041512C" w:rsidP="0041512C">
          <w:pPr>
            <w:jc w:val="both"/>
            <w:rPr>
              <w:rFonts w:asciiTheme="minorHAnsi" w:eastAsia="Calibri" w:hAnsiTheme="minorHAnsi" w:cstheme="minorHAnsi"/>
              <w:sz w:val="20"/>
              <w:szCs w:val="20"/>
              <w:lang w:val="fr"/>
            </w:rPr>
          </w:pPr>
        </w:p>
        <w:p w14:paraId="68C180CD" w14:textId="77777777" w:rsidR="0041512C" w:rsidRDefault="0041512C" w:rsidP="0041512C">
          <w:pPr>
            <w:pStyle w:val="TexteCP"/>
            <w:spacing w:before="240"/>
            <w:rPr>
              <w:rFonts w:asciiTheme="minorHAnsi" w:hAnsiTheme="minorHAnsi" w:cstheme="minorHAnsi"/>
            </w:rPr>
          </w:pPr>
          <w:r w:rsidRPr="00B74904">
            <w:rPr>
              <w:rFonts w:asciiTheme="minorHAnsi" w:hAnsiTheme="minorHAnsi" w:cstheme="minorHAnsi"/>
            </w:rPr>
            <w:t>Le tableau suivant présente la répartition des dépenses d’investissement (</w:t>
          </w:r>
          <w:r>
            <w:rPr>
              <w:rFonts w:asciiTheme="minorHAnsi" w:hAnsiTheme="minorHAnsi" w:cstheme="minorHAnsi"/>
            </w:rPr>
            <w:t>C</w:t>
          </w:r>
          <w:r w:rsidRPr="00B74904">
            <w:rPr>
              <w:rFonts w:asciiTheme="minorHAnsi" w:hAnsiTheme="minorHAnsi" w:cstheme="minorHAnsi"/>
            </w:rPr>
            <w:t>apex) d’OVHcloud entre dépenses récurrentes et dépenses de croissance pour les périodes indiquées.</w:t>
          </w:r>
        </w:p>
        <w:p w14:paraId="62771A41" w14:textId="77777777" w:rsidR="0041512C" w:rsidRDefault="0041512C" w:rsidP="0041512C">
          <w:pPr>
            <w:pStyle w:val="TexteCP"/>
            <w:spacing w:before="240"/>
            <w:rPr>
              <w:rFonts w:asciiTheme="minorHAnsi" w:hAnsiTheme="minorHAnsi" w:cstheme="minorHAnsi"/>
            </w:rPr>
          </w:pPr>
        </w:p>
        <w:tbl>
          <w:tblPr>
            <w:tblW w:w="6120" w:type="dxa"/>
            <w:tblCellMar>
              <w:left w:w="70" w:type="dxa"/>
              <w:right w:w="70" w:type="dxa"/>
            </w:tblCellMar>
            <w:tblLook w:val="04A0" w:firstRow="1" w:lastRow="0" w:firstColumn="1" w:lastColumn="0" w:noHBand="0" w:noVBand="1"/>
          </w:tblPr>
          <w:tblGrid>
            <w:gridCol w:w="3376"/>
            <w:gridCol w:w="1372"/>
            <w:gridCol w:w="1372"/>
          </w:tblGrid>
          <w:tr w:rsidR="0041512C" w:rsidRPr="00CF003E" w14:paraId="1C819F47" w14:textId="77777777" w:rsidTr="00D14D81">
            <w:trPr>
              <w:trHeight w:val="290"/>
            </w:trPr>
            <w:tc>
              <w:tcPr>
                <w:tcW w:w="3376" w:type="dxa"/>
                <w:tcBorders>
                  <w:top w:val="nil"/>
                  <w:left w:val="nil"/>
                  <w:bottom w:val="single" w:sz="4" w:space="0" w:color="000E9C"/>
                  <w:right w:val="nil"/>
                </w:tcBorders>
                <w:shd w:val="clear" w:color="auto" w:fill="auto"/>
                <w:noWrap/>
                <w:hideMark/>
              </w:tcPr>
              <w:p w14:paraId="0E370B07" w14:textId="77777777" w:rsidR="0041512C" w:rsidRPr="00CF003E" w:rsidRDefault="0041512C" w:rsidP="00D14D81">
                <w:pPr>
                  <w:spacing w:after="0" w:line="240" w:lineRule="auto"/>
                  <w:rPr>
                    <w:rFonts w:eastAsia="Times New Roman" w:cs="Calibri"/>
                    <w:i/>
                    <w:iCs/>
                    <w:sz w:val="18"/>
                    <w:szCs w:val="18"/>
                    <w:lang w:eastAsia="fr-FR"/>
                  </w:rPr>
                </w:pPr>
                <w:r w:rsidRPr="00CF003E">
                  <w:rPr>
                    <w:rFonts w:eastAsia="Times New Roman" w:cs="Calibri"/>
                    <w:i/>
                    <w:iCs/>
                    <w:sz w:val="18"/>
                    <w:szCs w:val="18"/>
                    <w:lang w:eastAsia="fr-FR"/>
                  </w:rPr>
                  <w:t>(</w:t>
                </w:r>
                <w:proofErr w:type="gramStart"/>
                <w:r w:rsidRPr="00CF003E">
                  <w:rPr>
                    <w:rFonts w:eastAsia="Times New Roman" w:cs="Calibri"/>
                    <w:i/>
                    <w:iCs/>
                    <w:sz w:val="18"/>
                    <w:szCs w:val="18"/>
                    <w:lang w:eastAsia="fr-FR"/>
                  </w:rPr>
                  <w:t>en</w:t>
                </w:r>
                <w:proofErr w:type="gramEnd"/>
                <w:r w:rsidRPr="00CF003E">
                  <w:rPr>
                    <w:rFonts w:eastAsia="Times New Roman" w:cs="Calibri"/>
                    <w:i/>
                    <w:iCs/>
                    <w:sz w:val="18"/>
                    <w:szCs w:val="18"/>
                    <w:lang w:eastAsia="fr-FR"/>
                  </w:rPr>
                  <w:t xml:space="preserve"> millions d'euros)</w:t>
                </w:r>
              </w:p>
            </w:tc>
            <w:tc>
              <w:tcPr>
                <w:tcW w:w="1372" w:type="dxa"/>
                <w:tcBorders>
                  <w:top w:val="nil"/>
                  <w:left w:val="nil"/>
                  <w:bottom w:val="single" w:sz="4" w:space="0" w:color="000E9C"/>
                  <w:right w:val="nil"/>
                </w:tcBorders>
                <w:shd w:val="clear" w:color="auto" w:fill="auto"/>
                <w:hideMark/>
              </w:tcPr>
              <w:p w14:paraId="70AED618" w14:textId="77777777" w:rsidR="0041512C" w:rsidRPr="00CF003E" w:rsidRDefault="0041512C" w:rsidP="00D14D81">
                <w:pPr>
                  <w:spacing w:after="0" w:line="240" w:lineRule="auto"/>
                  <w:jc w:val="right"/>
                  <w:rPr>
                    <w:rFonts w:eastAsia="Times New Roman" w:cs="Calibri"/>
                    <w:sz w:val="18"/>
                    <w:szCs w:val="18"/>
                    <w:lang w:eastAsia="fr-FR"/>
                  </w:rPr>
                </w:pPr>
                <w:r w:rsidRPr="00CF003E">
                  <w:rPr>
                    <w:rFonts w:eastAsia="Times New Roman" w:cs="Calibri"/>
                    <w:sz w:val="18"/>
                    <w:szCs w:val="18"/>
                    <w:lang w:eastAsia="fr-FR"/>
                  </w:rPr>
                  <w:t>28 février 2021</w:t>
                </w:r>
              </w:p>
            </w:tc>
            <w:tc>
              <w:tcPr>
                <w:tcW w:w="1372" w:type="dxa"/>
                <w:tcBorders>
                  <w:top w:val="nil"/>
                  <w:left w:val="nil"/>
                  <w:bottom w:val="single" w:sz="4" w:space="0" w:color="000E9C"/>
                  <w:right w:val="nil"/>
                </w:tcBorders>
                <w:shd w:val="clear" w:color="000000" w:fill="E7E6E6"/>
                <w:hideMark/>
              </w:tcPr>
              <w:p w14:paraId="7E584CA7" w14:textId="77777777" w:rsidR="0041512C" w:rsidRPr="00CF003E" w:rsidRDefault="0041512C" w:rsidP="00D14D81">
                <w:pPr>
                  <w:spacing w:after="0" w:line="240" w:lineRule="auto"/>
                  <w:jc w:val="right"/>
                  <w:rPr>
                    <w:rFonts w:eastAsia="Times New Roman" w:cs="Calibri"/>
                    <w:color w:val="000E9C"/>
                    <w:sz w:val="18"/>
                    <w:szCs w:val="18"/>
                    <w:lang w:eastAsia="fr-FR"/>
                  </w:rPr>
                </w:pPr>
                <w:r w:rsidRPr="00CF003E">
                  <w:rPr>
                    <w:rFonts w:eastAsia="Times New Roman" w:cs="Calibri"/>
                    <w:color w:val="000E9C"/>
                    <w:sz w:val="18"/>
                    <w:szCs w:val="18"/>
                    <w:lang w:eastAsia="fr-FR"/>
                  </w:rPr>
                  <w:t>28 février 2022</w:t>
                </w:r>
              </w:p>
            </w:tc>
          </w:tr>
          <w:tr w:rsidR="0041512C" w:rsidRPr="00CF003E" w14:paraId="0735EE40" w14:textId="77777777" w:rsidTr="00D14D81">
            <w:trPr>
              <w:trHeight w:val="290"/>
            </w:trPr>
            <w:tc>
              <w:tcPr>
                <w:tcW w:w="3376" w:type="dxa"/>
                <w:tcBorders>
                  <w:top w:val="nil"/>
                  <w:left w:val="nil"/>
                  <w:bottom w:val="nil"/>
                  <w:right w:val="nil"/>
                </w:tcBorders>
                <w:shd w:val="clear" w:color="auto" w:fill="auto"/>
                <w:hideMark/>
              </w:tcPr>
              <w:p w14:paraId="33C81CF8" w14:textId="77777777" w:rsidR="0041512C" w:rsidRPr="00CF003E" w:rsidRDefault="0041512C" w:rsidP="00D14D81">
                <w:pPr>
                  <w:spacing w:after="0" w:line="240" w:lineRule="auto"/>
                  <w:rPr>
                    <w:rFonts w:eastAsia="Times New Roman" w:cs="Calibri"/>
                    <w:sz w:val="18"/>
                    <w:szCs w:val="18"/>
                    <w:lang w:eastAsia="fr-FR"/>
                  </w:rPr>
                </w:pPr>
                <w:r w:rsidRPr="00CF003E">
                  <w:rPr>
                    <w:rFonts w:eastAsia="Times New Roman" w:cs="Calibri"/>
                    <w:sz w:val="18"/>
                    <w:szCs w:val="18"/>
                    <w:lang w:eastAsia="fr-FR"/>
                  </w:rPr>
                  <w:t>Capex récurrent</w:t>
                </w:r>
              </w:p>
            </w:tc>
            <w:tc>
              <w:tcPr>
                <w:tcW w:w="1372" w:type="dxa"/>
                <w:tcBorders>
                  <w:top w:val="nil"/>
                  <w:left w:val="nil"/>
                  <w:bottom w:val="nil"/>
                  <w:right w:val="nil"/>
                </w:tcBorders>
                <w:shd w:val="clear" w:color="auto" w:fill="auto"/>
                <w:noWrap/>
                <w:hideMark/>
              </w:tcPr>
              <w:p w14:paraId="1F0C1616" w14:textId="77777777" w:rsidR="0041512C" w:rsidRPr="00CF003E" w:rsidRDefault="0041512C" w:rsidP="00D14D81">
                <w:pPr>
                  <w:spacing w:after="0" w:line="240" w:lineRule="auto"/>
                  <w:jc w:val="right"/>
                  <w:rPr>
                    <w:rFonts w:eastAsia="Times New Roman" w:cs="Calibri"/>
                    <w:sz w:val="18"/>
                    <w:szCs w:val="18"/>
                    <w:lang w:eastAsia="fr-FR"/>
                  </w:rPr>
                </w:pPr>
                <w:r w:rsidRPr="00CF003E">
                  <w:rPr>
                    <w:rFonts w:eastAsia="Times New Roman" w:cs="Calibri"/>
                    <w:sz w:val="18"/>
                    <w:szCs w:val="18"/>
                    <w:lang w:eastAsia="fr-FR"/>
                  </w:rPr>
                  <w:t>70</w:t>
                </w:r>
              </w:p>
            </w:tc>
            <w:tc>
              <w:tcPr>
                <w:tcW w:w="1372" w:type="dxa"/>
                <w:tcBorders>
                  <w:top w:val="nil"/>
                  <w:left w:val="nil"/>
                  <w:bottom w:val="nil"/>
                  <w:right w:val="nil"/>
                </w:tcBorders>
                <w:shd w:val="clear" w:color="000000" w:fill="E7E6E6"/>
                <w:noWrap/>
                <w:hideMark/>
              </w:tcPr>
              <w:p w14:paraId="2DB8021D" w14:textId="77777777" w:rsidR="0041512C" w:rsidRPr="00CF003E" w:rsidRDefault="0041512C" w:rsidP="00D14D81">
                <w:pPr>
                  <w:spacing w:after="0" w:line="240" w:lineRule="auto"/>
                  <w:jc w:val="right"/>
                  <w:rPr>
                    <w:rFonts w:eastAsia="Times New Roman" w:cs="Calibri"/>
                    <w:sz w:val="18"/>
                    <w:szCs w:val="18"/>
                    <w:lang w:eastAsia="fr-FR"/>
                  </w:rPr>
                </w:pPr>
                <w:r w:rsidRPr="00CF003E">
                  <w:rPr>
                    <w:rFonts w:eastAsia="Times New Roman" w:cs="Calibri"/>
                    <w:sz w:val="18"/>
                    <w:szCs w:val="18"/>
                    <w:lang w:eastAsia="fr-FR"/>
                  </w:rPr>
                  <w:t>69</w:t>
                </w:r>
              </w:p>
            </w:tc>
          </w:tr>
          <w:tr w:rsidR="0041512C" w:rsidRPr="00CF003E" w14:paraId="1729F14D" w14:textId="77777777" w:rsidTr="00D14D81">
            <w:trPr>
              <w:trHeight w:val="290"/>
            </w:trPr>
            <w:tc>
              <w:tcPr>
                <w:tcW w:w="3376" w:type="dxa"/>
                <w:tcBorders>
                  <w:top w:val="nil"/>
                  <w:left w:val="nil"/>
                  <w:bottom w:val="single" w:sz="4" w:space="0" w:color="000E9C"/>
                  <w:right w:val="nil"/>
                </w:tcBorders>
                <w:shd w:val="clear" w:color="auto" w:fill="auto"/>
                <w:hideMark/>
              </w:tcPr>
              <w:p w14:paraId="3B01CD50" w14:textId="77777777" w:rsidR="0041512C" w:rsidRPr="00CF003E" w:rsidRDefault="0041512C" w:rsidP="00D14D81">
                <w:pPr>
                  <w:spacing w:after="0" w:line="240" w:lineRule="auto"/>
                  <w:rPr>
                    <w:rFonts w:eastAsia="Times New Roman" w:cs="Calibri"/>
                    <w:sz w:val="18"/>
                    <w:szCs w:val="18"/>
                    <w:lang w:eastAsia="fr-FR"/>
                  </w:rPr>
                </w:pPr>
                <w:r w:rsidRPr="00CF003E">
                  <w:rPr>
                    <w:rFonts w:eastAsia="Times New Roman" w:cs="Calibri"/>
                    <w:sz w:val="18"/>
                    <w:szCs w:val="18"/>
                    <w:lang w:eastAsia="fr-FR"/>
                  </w:rPr>
                  <w:t>Capex de croissance</w:t>
                </w:r>
              </w:p>
            </w:tc>
            <w:tc>
              <w:tcPr>
                <w:tcW w:w="1372" w:type="dxa"/>
                <w:tcBorders>
                  <w:top w:val="nil"/>
                  <w:left w:val="nil"/>
                  <w:bottom w:val="single" w:sz="4" w:space="0" w:color="000E9C"/>
                  <w:right w:val="nil"/>
                </w:tcBorders>
                <w:shd w:val="clear" w:color="auto" w:fill="auto"/>
                <w:noWrap/>
                <w:hideMark/>
              </w:tcPr>
              <w:p w14:paraId="4F2E5B84" w14:textId="77777777" w:rsidR="0041512C" w:rsidRPr="00CF003E" w:rsidRDefault="0041512C" w:rsidP="00D14D81">
                <w:pPr>
                  <w:spacing w:after="0" w:line="240" w:lineRule="auto"/>
                  <w:jc w:val="right"/>
                  <w:rPr>
                    <w:rFonts w:eastAsia="Times New Roman" w:cs="Calibri"/>
                    <w:sz w:val="18"/>
                    <w:szCs w:val="18"/>
                    <w:lang w:eastAsia="fr-FR"/>
                  </w:rPr>
                </w:pPr>
                <w:r w:rsidRPr="00CF003E">
                  <w:rPr>
                    <w:rFonts w:eastAsia="Times New Roman" w:cs="Calibri"/>
                    <w:sz w:val="18"/>
                    <w:szCs w:val="18"/>
                    <w:lang w:eastAsia="fr-FR"/>
                  </w:rPr>
                  <w:t>86</w:t>
                </w:r>
              </w:p>
            </w:tc>
            <w:tc>
              <w:tcPr>
                <w:tcW w:w="1372" w:type="dxa"/>
                <w:tcBorders>
                  <w:top w:val="nil"/>
                  <w:left w:val="nil"/>
                  <w:bottom w:val="single" w:sz="4" w:space="0" w:color="000E9C"/>
                  <w:right w:val="nil"/>
                </w:tcBorders>
                <w:shd w:val="clear" w:color="000000" w:fill="E7E6E6"/>
                <w:noWrap/>
                <w:hideMark/>
              </w:tcPr>
              <w:p w14:paraId="4079AE8B" w14:textId="77777777" w:rsidR="0041512C" w:rsidRPr="00CF003E" w:rsidRDefault="0041512C" w:rsidP="00D14D81">
                <w:pPr>
                  <w:spacing w:after="0" w:line="240" w:lineRule="auto"/>
                  <w:jc w:val="right"/>
                  <w:rPr>
                    <w:rFonts w:eastAsia="Times New Roman" w:cs="Calibri"/>
                    <w:sz w:val="18"/>
                    <w:szCs w:val="18"/>
                    <w:lang w:eastAsia="fr-FR"/>
                  </w:rPr>
                </w:pPr>
                <w:r w:rsidRPr="00CF003E">
                  <w:rPr>
                    <w:rFonts w:eastAsia="Times New Roman" w:cs="Calibri"/>
                    <w:sz w:val="18"/>
                    <w:szCs w:val="18"/>
                    <w:lang w:eastAsia="fr-FR"/>
                  </w:rPr>
                  <w:t>156</w:t>
                </w:r>
              </w:p>
            </w:tc>
          </w:tr>
          <w:tr w:rsidR="0041512C" w:rsidRPr="00CF003E" w14:paraId="24D7DDC0" w14:textId="77777777" w:rsidTr="00D14D81">
            <w:trPr>
              <w:trHeight w:val="520"/>
            </w:trPr>
            <w:tc>
              <w:tcPr>
                <w:tcW w:w="3376" w:type="dxa"/>
                <w:tcBorders>
                  <w:top w:val="nil"/>
                  <w:left w:val="nil"/>
                  <w:bottom w:val="single" w:sz="4" w:space="0" w:color="000E9C"/>
                  <w:right w:val="nil"/>
                </w:tcBorders>
                <w:shd w:val="clear" w:color="auto" w:fill="auto"/>
                <w:hideMark/>
              </w:tcPr>
              <w:p w14:paraId="3F1AD28B" w14:textId="77777777" w:rsidR="0041512C" w:rsidRPr="00CF003E" w:rsidRDefault="0041512C" w:rsidP="00D14D81">
                <w:pPr>
                  <w:spacing w:after="0" w:line="240" w:lineRule="auto"/>
                  <w:rPr>
                    <w:rFonts w:eastAsia="Times New Roman" w:cs="Calibri"/>
                    <w:sz w:val="18"/>
                    <w:szCs w:val="18"/>
                    <w:lang w:eastAsia="fr-FR"/>
                  </w:rPr>
                </w:pPr>
                <w:r w:rsidRPr="00CF003E">
                  <w:rPr>
                    <w:rFonts w:eastAsia="Times New Roman" w:cs="Calibri"/>
                    <w:sz w:val="18"/>
                    <w:szCs w:val="18"/>
                    <w:lang w:eastAsia="fr-FR"/>
                  </w:rPr>
                  <w:t xml:space="preserve">Total des dépenses d’investissement </w:t>
                </w:r>
                <w:r w:rsidRPr="00CF003E">
                  <w:rPr>
                    <w:rFonts w:eastAsia="Times New Roman" w:cs="Calibri"/>
                    <w:sz w:val="18"/>
                    <w:szCs w:val="18"/>
                    <w:lang w:eastAsia="fr-FR"/>
                  </w:rPr>
                  <w:br/>
                </w:r>
                <w:r w:rsidRPr="00CF003E">
                  <w:rPr>
                    <w:rFonts w:eastAsia="Times New Roman" w:cs="Calibri"/>
                    <w:i/>
                    <w:iCs/>
                    <w:sz w:val="18"/>
                    <w:szCs w:val="18"/>
                    <w:lang w:eastAsia="fr-FR"/>
                  </w:rPr>
                  <w:t>(hors acquisitions d’entreprises)</w:t>
                </w:r>
              </w:p>
            </w:tc>
            <w:tc>
              <w:tcPr>
                <w:tcW w:w="1372" w:type="dxa"/>
                <w:tcBorders>
                  <w:top w:val="nil"/>
                  <w:left w:val="nil"/>
                  <w:bottom w:val="single" w:sz="4" w:space="0" w:color="000E9C"/>
                  <w:right w:val="nil"/>
                </w:tcBorders>
                <w:shd w:val="clear" w:color="auto" w:fill="auto"/>
                <w:noWrap/>
                <w:hideMark/>
              </w:tcPr>
              <w:p w14:paraId="030BE17C" w14:textId="77777777" w:rsidR="0041512C" w:rsidRPr="00CF003E" w:rsidRDefault="0041512C" w:rsidP="00D14D81">
                <w:pPr>
                  <w:spacing w:after="0" w:line="240" w:lineRule="auto"/>
                  <w:jc w:val="right"/>
                  <w:rPr>
                    <w:rFonts w:eastAsia="Times New Roman" w:cs="Calibri"/>
                    <w:sz w:val="18"/>
                    <w:szCs w:val="18"/>
                    <w:lang w:eastAsia="fr-FR"/>
                  </w:rPr>
                </w:pPr>
                <w:r w:rsidRPr="00CF003E">
                  <w:rPr>
                    <w:rFonts w:eastAsia="Times New Roman" w:cs="Calibri"/>
                    <w:sz w:val="18"/>
                    <w:szCs w:val="18"/>
                    <w:lang w:eastAsia="fr-FR"/>
                  </w:rPr>
                  <w:t>15</w:t>
                </w:r>
                <w:r>
                  <w:rPr>
                    <w:rFonts w:eastAsia="Times New Roman" w:cs="Calibri"/>
                    <w:sz w:val="18"/>
                    <w:szCs w:val="18"/>
                    <w:lang w:eastAsia="fr-FR"/>
                  </w:rPr>
                  <w:t>7</w:t>
                </w:r>
              </w:p>
            </w:tc>
            <w:tc>
              <w:tcPr>
                <w:tcW w:w="1372" w:type="dxa"/>
                <w:tcBorders>
                  <w:top w:val="nil"/>
                  <w:left w:val="nil"/>
                  <w:bottom w:val="single" w:sz="4" w:space="0" w:color="000E9C"/>
                  <w:right w:val="nil"/>
                </w:tcBorders>
                <w:shd w:val="clear" w:color="000000" w:fill="E7E6E6"/>
                <w:noWrap/>
                <w:hideMark/>
              </w:tcPr>
              <w:p w14:paraId="79D6145B" w14:textId="0BA34F45" w:rsidR="0041512C" w:rsidRPr="00CF003E" w:rsidRDefault="00045C1D" w:rsidP="00D14D81">
                <w:pPr>
                  <w:spacing w:after="0" w:line="240" w:lineRule="auto"/>
                  <w:jc w:val="right"/>
                  <w:rPr>
                    <w:rFonts w:eastAsia="Times New Roman" w:cs="Calibri"/>
                    <w:sz w:val="18"/>
                    <w:szCs w:val="18"/>
                    <w:lang w:eastAsia="fr-FR"/>
                  </w:rPr>
                </w:pPr>
                <w:r w:rsidRPr="00CF003E">
                  <w:rPr>
                    <w:rFonts w:eastAsia="Times New Roman" w:cs="Calibri"/>
                    <w:sz w:val="18"/>
                    <w:szCs w:val="18"/>
                    <w:lang w:eastAsia="fr-FR"/>
                  </w:rPr>
                  <w:t>22</w:t>
                </w:r>
                <w:r>
                  <w:rPr>
                    <w:rFonts w:eastAsia="Times New Roman" w:cs="Calibri"/>
                    <w:sz w:val="18"/>
                    <w:szCs w:val="18"/>
                    <w:lang w:eastAsia="fr-FR"/>
                  </w:rPr>
                  <w:t>6</w:t>
                </w:r>
              </w:p>
            </w:tc>
          </w:tr>
        </w:tbl>
        <w:p w14:paraId="0862CE85" w14:textId="3CD243D3" w:rsidR="0041512C" w:rsidRPr="00D321C9" w:rsidRDefault="0041512C" w:rsidP="0041512C">
          <w:pPr>
            <w:pStyle w:val="TexteCP"/>
            <w:spacing w:before="240"/>
            <w:rPr>
              <w:rFonts w:asciiTheme="minorHAnsi" w:hAnsiTheme="minorHAnsi" w:cstheme="minorHAnsi"/>
            </w:rPr>
          </w:pPr>
          <w:r w:rsidRPr="00D321C9">
            <w:rPr>
              <w:rFonts w:asciiTheme="minorHAnsi" w:hAnsiTheme="minorHAnsi" w:cstheme="minorHAnsi"/>
            </w:rPr>
            <w:t xml:space="preserve">Les </w:t>
          </w:r>
          <w:r>
            <w:rPr>
              <w:rFonts w:asciiTheme="minorHAnsi" w:hAnsiTheme="minorHAnsi" w:cstheme="minorHAnsi"/>
            </w:rPr>
            <w:t>C</w:t>
          </w:r>
          <w:r w:rsidRPr="00D321C9">
            <w:rPr>
              <w:rFonts w:asciiTheme="minorHAnsi" w:hAnsiTheme="minorHAnsi" w:cstheme="minorHAnsi"/>
            </w:rPr>
            <w:t xml:space="preserve">apex (achats d’immobilisations corporelles et incorporelles nets des cessions d’immobilisations corporelles et incorporelles) ont atteint </w:t>
          </w:r>
          <w:r w:rsidR="00045C1D" w:rsidRPr="00D321C9">
            <w:rPr>
              <w:rFonts w:asciiTheme="minorHAnsi" w:hAnsiTheme="minorHAnsi" w:cstheme="minorHAnsi"/>
            </w:rPr>
            <w:t>22</w:t>
          </w:r>
          <w:r w:rsidR="00045C1D">
            <w:rPr>
              <w:rFonts w:asciiTheme="minorHAnsi" w:hAnsiTheme="minorHAnsi" w:cstheme="minorHAnsi"/>
            </w:rPr>
            <w:t>6</w:t>
          </w:r>
          <w:r w:rsidR="00045C1D" w:rsidRPr="00D321C9">
            <w:rPr>
              <w:rFonts w:asciiTheme="minorHAnsi" w:hAnsiTheme="minorHAnsi" w:cstheme="minorHAnsi"/>
            </w:rPr>
            <w:t> </w:t>
          </w:r>
          <w:r w:rsidRPr="00D321C9">
            <w:rPr>
              <w:rFonts w:asciiTheme="minorHAnsi" w:hAnsiTheme="minorHAnsi" w:cstheme="minorHAnsi"/>
            </w:rPr>
            <w:t>millions d’euros pour le premier semestre 2022 contre 157 millions d’euros sur le premier semestre 2021. Ces montants intègrent :</w:t>
          </w:r>
        </w:p>
        <w:p w14:paraId="51996788" w14:textId="6980CB5E" w:rsidR="0041512C" w:rsidRPr="00D321C9" w:rsidRDefault="0041512C" w:rsidP="0041512C">
          <w:pPr>
            <w:pStyle w:val="TexteCP"/>
            <w:numPr>
              <w:ilvl w:val="0"/>
              <w:numId w:val="25"/>
            </w:numPr>
            <w:spacing w:before="240"/>
            <w:rPr>
              <w:rFonts w:asciiTheme="minorHAnsi" w:hAnsiTheme="minorHAnsi" w:cstheme="minorHAnsi"/>
            </w:rPr>
          </w:pPr>
          <w:proofErr w:type="gramStart"/>
          <w:r w:rsidRPr="00D321C9">
            <w:rPr>
              <w:rFonts w:asciiTheme="minorHAnsi" w:hAnsiTheme="minorHAnsi" w:cstheme="minorHAnsi"/>
            </w:rPr>
            <w:t>des</w:t>
          </w:r>
          <w:proofErr w:type="gramEnd"/>
          <w:r w:rsidRPr="00D321C9">
            <w:rPr>
              <w:rFonts w:asciiTheme="minorHAnsi" w:hAnsiTheme="minorHAnsi" w:cstheme="minorHAnsi"/>
            </w:rPr>
            <w:t xml:space="preserve"> capex récurrents de </w:t>
          </w:r>
          <w:r>
            <w:rPr>
              <w:rFonts w:asciiTheme="minorHAnsi" w:hAnsiTheme="minorHAnsi" w:cstheme="minorHAnsi"/>
            </w:rPr>
            <w:t>69</w:t>
          </w:r>
          <w:r w:rsidRPr="00D321C9">
            <w:rPr>
              <w:rFonts w:asciiTheme="minorHAnsi" w:hAnsiTheme="minorHAnsi" w:cstheme="minorHAnsi"/>
            </w:rPr>
            <w:t> millions d’euros, représentant 18% du chiffre d’affaires du premier semestre 2022 ;</w:t>
          </w:r>
        </w:p>
        <w:p w14:paraId="0525B47C" w14:textId="0D06CD90" w:rsidR="0041512C" w:rsidRPr="00AC0C92" w:rsidRDefault="0041512C" w:rsidP="0041512C">
          <w:pPr>
            <w:pStyle w:val="TexteCP"/>
            <w:numPr>
              <w:ilvl w:val="0"/>
              <w:numId w:val="25"/>
            </w:numPr>
            <w:rPr>
              <w:rFonts w:asciiTheme="minorHAnsi" w:hAnsiTheme="minorHAnsi" w:cstheme="minorHAnsi"/>
            </w:rPr>
          </w:pPr>
          <w:proofErr w:type="gramStart"/>
          <w:r w:rsidRPr="00AC0C92">
            <w:rPr>
              <w:rFonts w:asciiTheme="minorHAnsi" w:hAnsiTheme="minorHAnsi" w:cstheme="minorHAnsi"/>
            </w:rPr>
            <w:t>des</w:t>
          </w:r>
          <w:proofErr w:type="gramEnd"/>
          <w:r w:rsidRPr="00AC0C92">
            <w:rPr>
              <w:rFonts w:asciiTheme="minorHAnsi" w:hAnsiTheme="minorHAnsi" w:cstheme="minorHAnsi"/>
            </w:rPr>
            <w:t xml:space="preserve"> capex de croissance de </w:t>
          </w:r>
          <w:r>
            <w:rPr>
              <w:rFonts w:asciiTheme="minorHAnsi" w:hAnsiTheme="minorHAnsi" w:cstheme="minorHAnsi"/>
            </w:rPr>
            <w:t>156</w:t>
          </w:r>
          <w:r w:rsidRPr="00AC0C92">
            <w:rPr>
              <w:rFonts w:asciiTheme="minorHAnsi" w:hAnsiTheme="minorHAnsi" w:cstheme="minorHAnsi"/>
            </w:rPr>
            <w:t> millions d’euros, représentant 41% du chiffre d’affaires du premier semestre 2022. L’augmentation par rapport au premier semestre 2021 s’explique notamment par l’acquisition opportuniste d’adresses IPv4 pour 17 millions d’euros</w:t>
          </w:r>
          <w:r>
            <w:rPr>
              <w:rFonts w:asciiTheme="minorHAnsi" w:hAnsiTheme="minorHAnsi" w:cstheme="minorHAnsi"/>
            </w:rPr>
            <w:t xml:space="preserve"> et</w:t>
          </w:r>
          <w:r w:rsidRPr="00AC0C92">
            <w:rPr>
              <w:rFonts w:asciiTheme="minorHAnsi" w:hAnsiTheme="minorHAnsi" w:cstheme="minorHAnsi"/>
            </w:rPr>
            <w:t xml:space="preserve"> par la constitution de stocks de composants additionnels</w:t>
          </w:r>
          <w:r w:rsidR="00703637">
            <w:rPr>
              <w:rStyle w:val="Appelnotedebasdep"/>
              <w:rFonts w:asciiTheme="minorHAnsi" w:hAnsiTheme="minorHAnsi"/>
            </w:rPr>
            <w:footnoteReference w:id="3"/>
          </w:r>
          <w:r w:rsidRPr="00AC0C92">
            <w:rPr>
              <w:rFonts w:asciiTheme="minorHAnsi" w:hAnsiTheme="minorHAnsi" w:cstheme="minorHAnsi"/>
            </w:rPr>
            <w:t xml:space="preserve"> afin de pallier d’éventuelles pénuries. </w:t>
          </w:r>
        </w:p>
        <w:p w14:paraId="1289B7FD" w14:textId="77777777" w:rsidR="0041512C" w:rsidRPr="00B264D1" w:rsidRDefault="0041512C" w:rsidP="0041512C">
          <w:pPr>
            <w:pStyle w:val="Titre1"/>
            <w:numPr>
              <w:ilvl w:val="0"/>
              <w:numId w:val="11"/>
            </w:numPr>
            <w:spacing w:before="240" w:after="0"/>
            <w:ind w:left="426" w:right="-74" w:hanging="568"/>
            <w:rPr>
              <w:rFonts w:asciiTheme="minorHAnsi" w:hAnsiTheme="minorHAnsi" w:cstheme="minorHAnsi"/>
              <w:color w:val="000E9A"/>
              <w:sz w:val="28"/>
              <w:szCs w:val="28"/>
            </w:rPr>
          </w:pPr>
          <w:bookmarkStart w:id="47" w:name="_Toc100684270"/>
          <w:bookmarkStart w:id="48" w:name="_Toc100689214"/>
          <w:bookmarkStart w:id="49" w:name="_Toc100689263"/>
          <w:r w:rsidRPr="00B264D1">
            <w:rPr>
              <w:rFonts w:asciiTheme="minorHAnsi" w:hAnsiTheme="minorHAnsi" w:cstheme="minorHAnsi"/>
              <w:color w:val="000E9A"/>
              <w:sz w:val="28"/>
              <w:szCs w:val="28"/>
            </w:rPr>
            <w:t>Trésorerie et capitaux propres</w:t>
          </w:r>
          <w:bookmarkEnd w:id="47"/>
          <w:bookmarkEnd w:id="48"/>
          <w:bookmarkEnd w:id="49"/>
        </w:p>
        <w:p w14:paraId="48642E91" w14:textId="77777777" w:rsidR="0041512C" w:rsidRPr="00B264D1" w:rsidRDefault="0041512C" w:rsidP="0041512C">
          <w:pPr>
            <w:rPr>
              <w:rFonts w:asciiTheme="minorHAnsi" w:hAnsiTheme="minorHAnsi" w:cstheme="minorHAnsi"/>
            </w:rPr>
          </w:pPr>
        </w:p>
        <w:p w14:paraId="465B395B" w14:textId="77777777" w:rsidR="0041512C" w:rsidRPr="00B264D1" w:rsidRDefault="0041512C" w:rsidP="0041512C">
          <w:pPr>
            <w:pStyle w:val="Titre2"/>
            <w:numPr>
              <w:ilvl w:val="1"/>
              <w:numId w:val="20"/>
            </w:numPr>
            <w:spacing w:before="0"/>
            <w:ind w:left="567" w:hanging="567"/>
            <w:rPr>
              <w:rFonts w:asciiTheme="minorHAnsi" w:hAnsiTheme="minorHAnsi" w:cstheme="minorHAnsi"/>
              <w:color w:val="auto"/>
              <w:sz w:val="28"/>
              <w:szCs w:val="28"/>
            </w:rPr>
          </w:pPr>
          <w:bookmarkStart w:id="50" w:name="_Toc100684271"/>
          <w:bookmarkStart w:id="51" w:name="_Toc100689215"/>
          <w:bookmarkStart w:id="52" w:name="_Toc100689264"/>
          <w:r w:rsidRPr="00B264D1">
            <w:rPr>
              <w:rFonts w:asciiTheme="minorHAnsi" w:hAnsiTheme="minorHAnsi" w:cstheme="minorHAnsi"/>
              <w:color w:val="auto"/>
              <w:sz w:val="28"/>
              <w:szCs w:val="28"/>
            </w:rPr>
            <w:t>Principaux flux de trésorerie</w:t>
          </w:r>
          <w:bookmarkEnd w:id="50"/>
          <w:bookmarkEnd w:id="51"/>
          <w:bookmarkEnd w:id="52"/>
        </w:p>
        <w:p w14:paraId="34B4393E" w14:textId="77777777" w:rsidR="0041512C" w:rsidRPr="00AD1513" w:rsidRDefault="0041512C" w:rsidP="0041512C">
          <w:pPr>
            <w:rPr>
              <w:rFonts w:asciiTheme="minorHAnsi" w:hAnsiTheme="minorHAnsi" w:cstheme="minorHAnsi"/>
              <w:sz w:val="14"/>
              <w:szCs w:val="14"/>
            </w:rPr>
          </w:pPr>
        </w:p>
        <w:p w14:paraId="0104C98F" w14:textId="77777777" w:rsidR="0041512C" w:rsidRPr="00B264D1" w:rsidRDefault="0041512C" w:rsidP="0041512C">
          <w:pPr>
            <w:rPr>
              <w:rFonts w:asciiTheme="minorHAnsi" w:hAnsiTheme="minorHAnsi" w:cstheme="minorHAnsi"/>
              <w:sz w:val="20"/>
              <w:szCs w:val="20"/>
            </w:rPr>
          </w:pPr>
          <w:r w:rsidRPr="00B264D1">
            <w:rPr>
              <w:rFonts w:asciiTheme="minorHAnsi" w:hAnsiTheme="minorHAnsi" w:cstheme="minorHAnsi"/>
              <w:sz w:val="20"/>
              <w:szCs w:val="20"/>
            </w:rPr>
            <w:t>Le tableau suivant présente les principaux éléments du tableau de flux de trésorerie d’OVHcloud figurant dans ses états financiers consolidés pour</w:t>
          </w:r>
          <w:r>
            <w:rPr>
              <w:rFonts w:asciiTheme="minorHAnsi" w:hAnsiTheme="minorHAnsi" w:cstheme="minorHAnsi"/>
              <w:sz w:val="20"/>
              <w:szCs w:val="20"/>
            </w:rPr>
            <w:t xml:space="preserve"> les</w:t>
          </w:r>
          <w:r w:rsidRPr="00B264D1">
            <w:rPr>
              <w:rFonts w:asciiTheme="minorHAnsi" w:hAnsiTheme="minorHAnsi" w:cstheme="minorHAnsi"/>
              <w:sz w:val="20"/>
              <w:szCs w:val="20"/>
            </w:rPr>
            <w:t xml:space="preserve"> premiers semestres 2021 et 2022.</w:t>
          </w:r>
        </w:p>
        <w:tbl>
          <w:tblPr>
            <w:tblW w:w="7938" w:type="dxa"/>
            <w:tblCellMar>
              <w:left w:w="70" w:type="dxa"/>
              <w:right w:w="70" w:type="dxa"/>
            </w:tblCellMar>
            <w:tblLook w:val="04A0" w:firstRow="1" w:lastRow="0" w:firstColumn="1" w:lastColumn="0" w:noHBand="0" w:noVBand="1"/>
          </w:tblPr>
          <w:tblGrid>
            <w:gridCol w:w="5103"/>
            <w:gridCol w:w="1418"/>
            <w:gridCol w:w="1417"/>
          </w:tblGrid>
          <w:tr w:rsidR="0041512C" w:rsidRPr="00350EB0" w14:paraId="0605E7F5" w14:textId="77777777" w:rsidTr="00D14D81">
            <w:trPr>
              <w:trHeight w:val="520"/>
            </w:trPr>
            <w:tc>
              <w:tcPr>
                <w:tcW w:w="5103" w:type="dxa"/>
                <w:tcBorders>
                  <w:top w:val="nil"/>
                  <w:left w:val="nil"/>
                  <w:bottom w:val="single" w:sz="4" w:space="0" w:color="000E9C"/>
                  <w:right w:val="nil"/>
                </w:tcBorders>
                <w:shd w:val="clear" w:color="auto" w:fill="auto"/>
                <w:noWrap/>
                <w:hideMark/>
              </w:tcPr>
              <w:p w14:paraId="2FB511BF" w14:textId="77777777" w:rsidR="0041512C" w:rsidRPr="00350EB0" w:rsidRDefault="0041512C" w:rsidP="00D14D81">
                <w:pPr>
                  <w:spacing w:after="0" w:line="240" w:lineRule="auto"/>
                  <w:rPr>
                    <w:rFonts w:eastAsia="Times New Roman" w:cs="Calibri"/>
                    <w:i/>
                    <w:iCs/>
                    <w:sz w:val="18"/>
                    <w:szCs w:val="18"/>
                    <w:lang w:eastAsia="fr-FR"/>
                  </w:rPr>
                </w:pPr>
                <w:r w:rsidRPr="00350EB0">
                  <w:rPr>
                    <w:rFonts w:eastAsia="Times New Roman" w:cs="Calibri"/>
                    <w:i/>
                    <w:iCs/>
                    <w:sz w:val="18"/>
                    <w:szCs w:val="18"/>
                    <w:lang w:eastAsia="fr-FR"/>
                  </w:rPr>
                  <w:t>(</w:t>
                </w:r>
                <w:proofErr w:type="gramStart"/>
                <w:r w:rsidRPr="00350EB0">
                  <w:rPr>
                    <w:rFonts w:eastAsia="Times New Roman" w:cs="Calibri"/>
                    <w:i/>
                    <w:iCs/>
                    <w:sz w:val="18"/>
                    <w:szCs w:val="18"/>
                    <w:lang w:eastAsia="fr-FR"/>
                  </w:rPr>
                  <w:t>en</w:t>
                </w:r>
                <w:proofErr w:type="gramEnd"/>
                <w:r w:rsidRPr="00350EB0">
                  <w:rPr>
                    <w:rFonts w:eastAsia="Times New Roman" w:cs="Calibri"/>
                    <w:i/>
                    <w:iCs/>
                    <w:sz w:val="18"/>
                    <w:szCs w:val="18"/>
                    <w:lang w:eastAsia="fr-FR"/>
                  </w:rPr>
                  <w:t xml:space="preserve"> millions d'euros)</w:t>
                </w:r>
              </w:p>
            </w:tc>
            <w:tc>
              <w:tcPr>
                <w:tcW w:w="1418" w:type="dxa"/>
                <w:tcBorders>
                  <w:top w:val="nil"/>
                  <w:left w:val="nil"/>
                  <w:bottom w:val="single" w:sz="4" w:space="0" w:color="000E9C"/>
                  <w:right w:val="nil"/>
                </w:tcBorders>
                <w:shd w:val="clear" w:color="auto" w:fill="auto"/>
                <w:hideMark/>
              </w:tcPr>
              <w:p w14:paraId="507698F7" w14:textId="77777777" w:rsidR="0041512C" w:rsidRPr="00350EB0" w:rsidRDefault="0041512C" w:rsidP="00D14D81">
                <w:pPr>
                  <w:spacing w:after="0" w:line="240" w:lineRule="auto"/>
                  <w:jc w:val="right"/>
                  <w:rPr>
                    <w:rFonts w:eastAsia="Times New Roman" w:cs="Calibri"/>
                    <w:sz w:val="18"/>
                    <w:szCs w:val="18"/>
                    <w:lang w:eastAsia="fr-FR"/>
                  </w:rPr>
                </w:pPr>
                <w:r w:rsidRPr="00350EB0">
                  <w:rPr>
                    <w:rFonts w:eastAsia="Times New Roman" w:cs="Calibri"/>
                    <w:sz w:val="18"/>
                    <w:szCs w:val="18"/>
                    <w:lang w:eastAsia="fr-FR"/>
                  </w:rPr>
                  <w:t>1er semestre 2021</w:t>
                </w:r>
              </w:p>
            </w:tc>
            <w:tc>
              <w:tcPr>
                <w:tcW w:w="1417" w:type="dxa"/>
                <w:tcBorders>
                  <w:top w:val="nil"/>
                  <w:left w:val="nil"/>
                  <w:bottom w:val="single" w:sz="4" w:space="0" w:color="000E9C"/>
                  <w:right w:val="nil"/>
                </w:tcBorders>
                <w:shd w:val="clear" w:color="000000" w:fill="E7E6E6"/>
                <w:hideMark/>
              </w:tcPr>
              <w:p w14:paraId="70D71322" w14:textId="77777777" w:rsidR="0041512C" w:rsidRPr="00350EB0" w:rsidRDefault="0041512C" w:rsidP="00D14D81">
                <w:pPr>
                  <w:spacing w:after="0" w:line="240" w:lineRule="auto"/>
                  <w:jc w:val="right"/>
                  <w:rPr>
                    <w:rFonts w:eastAsia="Times New Roman" w:cs="Calibri"/>
                    <w:color w:val="000E9C"/>
                    <w:sz w:val="18"/>
                    <w:szCs w:val="18"/>
                    <w:lang w:eastAsia="fr-FR"/>
                  </w:rPr>
                </w:pPr>
                <w:r w:rsidRPr="00350EB0">
                  <w:rPr>
                    <w:rFonts w:eastAsia="Times New Roman" w:cs="Calibri"/>
                    <w:color w:val="000E9C"/>
                    <w:sz w:val="18"/>
                    <w:szCs w:val="18"/>
                    <w:lang w:eastAsia="fr-FR"/>
                  </w:rPr>
                  <w:t>1er semestre 2022</w:t>
                </w:r>
              </w:p>
            </w:tc>
          </w:tr>
          <w:tr w:rsidR="0041512C" w:rsidRPr="00350EB0" w14:paraId="55E31265" w14:textId="77777777" w:rsidTr="00D14D81">
            <w:trPr>
              <w:trHeight w:val="290"/>
            </w:trPr>
            <w:tc>
              <w:tcPr>
                <w:tcW w:w="5103" w:type="dxa"/>
                <w:tcBorders>
                  <w:top w:val="nil"/>
                  <w:left w:val="nil"/>
                  <w:bottom w:val="single" w:sz="4" w:space="0" w:color="000000"/>
                  <w:right w:val="nil"/>
                </w:tcBorders>
                <w:shd w:val="clear" w:color="auto" w:fill="auto"/>
                <w:hideMark/>
              </w:tcPr>
              <w:p w14:paraId="2BA044FF" w14:textId="77777777" w:rsidR="0041512C" w:rsidRPr="00350EB0" w:rsidRDefault="0041512C" w:rsidP="00D14D81">
                <w:pPr>
                  <w:spacing w:after="0" w:line="240" w:lineRule="auto"/>
                  <w:rPr>
                    <w:rFonts w:eastAsia="Times New Roman" w:cs="Calibri"/>
                    <w:sz w:val="18"/>
                    <w:szCs w:val="18"/>
                    <w:lang w:eastAsia="fr-FR"/>
                  </w:rPr>
                </w:pPr>
                <w:r w:rsidRPr="00350EB0">
                  <w:rPr>
                    <w:rFonts w:eastAsia="Times New Roman" w:cs="Calibri"/>
                    <w:sz w:val="18"/>
                    <w:szCs w:val="18"/>
                    <w:lang w:eastAsia="fr-FR"/>
                  </w:rPr>
                  <w:t>Capacité d'autofinancement</w:t>
                </w:r>
              </w:p>
            </w:tc>
            <w:tc>
              <w:tcPr>
                <w:tcW w:w="1418" w:type="dxa"/>
                <w:tcBorders>
                  <w:top w:val="nil"/>
                  <w:left w:val="nil"/>
                  <w:bottom w:val="single" w:sz="4" w:space="0" w:color="000000"/>
                  <w:right w:val="nil"/>
                </w:tcBorders>
                <w:shd w:val="clear" w:color="auto" w:fill="auto"/>
                <w:noWrap/>
                <w:hideMark/>
              </w:tcPr>
              <w:p w14:paraId="3E83BDCF" w14:textId="77777777" w:rsidR="0041512C" w:rsidRPr="00350EB0" w:rsidRDefault="0041512C" w:rsidP="00D14D81">
                <w:pPr>
                  <w:spacing w:after="0" w:line="240" w:lineRule="auto"/>
                  <w:jc w:val="right"/>
                  <w:rPr>
                    <w:rFonts w:eastAsia="Times New Roman" w:cs="Calibri"/>
                    <w:sz w:val="18"/>
                    <w:szCs w:val="18"/>
                    <w:lang w:eastAsia="fr-FR"/>
                  </w:rPr>
                </w:pPr>
                <w:r w:rsidRPr="00350EB0">
                  <w:rPr>
                    <w:rFonts w:eastAsia="Times New Roman" w:cs="Calibri"/>
                    <w:sz w:val="18"/>
                    <w:szCs w:val="18"/>
                    <w:lang w:eastAsia="fr-FR"/>
                  </w:rPr>
                  <w:t>136,7</w:t>
                </w:r>
              </w:p>
            </w:tc>
            <w:tc>
              <w:tcPr>
                <w:tcW w:w="1417" w:type="dxa"/>
                <w:tcBorders>
                  <w:top w:val="nil"/>
                  <w:left w:val="nil"/>
                  <w:bottom w:val="single" w:sz="4" w:space="0" w:color="000000"/>
                  <w:right w:val="nil"/>
                </w:tcBorders>
                <w:shd w:val="clear" w:color="000000" w:fill="E7E6E6"/>
                <w:noWrap/>
                <w:hideMark/>
              </w:tcPr>
              <w:p w14:paraId="5F157980" w14:textId="77777777" w:rsidR="0041512C" w:rsidRPr="00350EB0" w:rsidRDefault="0041512C" w:rsidP="00D14D81">
                <w:pPr>
                  <w:spacing w:after="0" w:line="240" w:lineRule="auto"/>
                  <w:jc w:val="right"/>
                  <w:rPr>
                    <w:rFonts w:eastAsia="Times New Roman" w:cs="Calibri"/>
                    <w:color w:val="000E9C"/>
                    <w:sz w:val="18"/>
                    <w:szCs w:val="18"/>
                    <w:lang w:eastAsia="fr-FR"/>
                  </w:rPr>
                </w:pPr>
                <w:r w:rsidRPr="00350EB0">
                  <w:rPr>
                    <w:rFonts w:eastAsia="Times New Roman" w:cs="Calibri"/>
                    <w:color w:val="000E9C"/>
                    <w:sz w:val="18"/>
                    <w:szCs w:val="18"/>
                    <w:lang w:eastAsia="fr-FR"/>
                  </w:rPr>
                  <w:t>126,9</w:t>
                </w:r>
              </w:p>
            </w:tc>
          </w:tr>
          <w:tr w:rsidR="0041512C" w:rsidRPr="00350EB0" w14:paraId="577FA16A" w14:textId="77777777" w:rsidTr="00D14D81">
            <w:trPr>
              <w:trHeight w:val="290"/>
            </w:trPr>
            <w:tc>
              <w:tcPr>
                <w:tcW w:w="5103" w:type="dxa"/>
                <w:tcBorders>
                  <w:top w:val="nil"/>
                  <w:left w:val="nil"/>
                  <w:bottom w:val="single" w:sz="4" w:space="0" w:color="000000"/>
                  <w:right w:val="nil"/>
                </w:tcBorders>
                <w:shd w:val="clear" w:color="auto" w:fill="auto"/>
                <w:hideMark/>
              </w:tcPr>
              <w:p w14:paraId="03457FF1" w14:textId="77777777" w:rsidR="0041512C" w:rsidRPr="00350EB0" w:rsidRDefault="0041512C" w:rsidP="00D14D81">
                <w:pPr>
                  <w:spacing w:after="0" w:line="240" w:lineRule="auto"/>
                  <w:rPr>
                    <w:rFonts w:eastAsia="Times New Roman" w:cs="Calibri"/>
                    <w:sz w:val="18"/>
                    <w:szCs w:val="18"/>
                    <w:lang w:eastAsia="fr-FR"/>
                  </w:rPr>
                </w:pPr>
                <w:r w:rsidRPr="00350EB0">
                  <w:rPr>
                    <w:rFonts w:eastAsia="Times New Roman" w:cs="Calibri"/>
                    <w:sz w:val="18"/>
                    <w:szCs w:val="18"/>
                    <w:lang w:eastAsia="fr-FR"/>
                  </w:rPr>
                  <w:t>Variation du besoin en fonds de roulement lié à l'activité</w:t>
                </w:r>
              </w:p>
            </w:tc>
            <w:tc>
              <w:tcPr>
                <w:tcW w:w="1418" w:type="dxa"/>
                <w:tcBorders>
                  <w:top w:val="nil"/>
                  <w:left w:val="nil"/>
                  <w:bottom w:val="single" w:sz="4" w:space="0" w:color="000000"/>
                  <w:right w:val="nil"/>
                </w:tcBorders>
                <w:shd w:val="clear" w:color="auto" w:fill="auto"/>
                <w:noWrap/>
                <w:hideMark/>
              </w:tcPr>
              <w:p w14:paraId="1C49EC76" w14:textId="77777777" w:rsidR="0041512C" w:rsidRPr="00350EB0" w:rsidRDefault="0041512C" w:rsidP="00D14D81">
                <w:pPr>
                  <w:spacing w:after="0" w:line="240" w:lineRule="auto"/>
                  <w:jc w:val="right"/>
                  <w:rPr>
                    <w:rFonts w:eastAsia="Times New Roman" w:cs="Calibri"/>
                    <w:sz w:val="18"/>
                    <w:szCs w:val="18"/>
                    <w:lang w:eastAsia="fr-FR"/>
                  </w:rPr>
                </w:pPr>
                <w:r w:rsidRPr="00350EB0">
                  <w:rPr>
                    <w:rFonts w:eastAsia="Times New Roman" w:cs="Calibri"/>
                    <w:sz w:val="18"/>
                    <w:szCs w:val="18"/>
                    <w:lang w:eastAsia="fr-FR"/>
                  </w:rPr>
                  <w:t>0,0</w:t>
                </w:r>
              </w:p>
            </w:tc>
            <w:tc>
              <w:tcPr>
                <w:tcW w:w="1417" w:type="dxa"/>
                <w:tcBorders>
                  <w:top w:val="nil"/>
                  <w:left w:val="nil"/>
                  <w:bottom w:val="single" w:sz="4" w:space="0" w:color="000000"/>
                  <w:right w:val="nil"/>
                </w:tcBorders>
                <w:shd w:val="clear" w:color="000000" w:fill="E7E6E6"/>
                <w:noWrap/>
                <w:hideMark/>
              </w:tcPr>
              <w:p w14:paraId="5B012F47" w14:textId="77777777" w:rsidR="0041512C" w:rsidRPr="00350EB0" w:rsidRDefault="0041512C" w:rsidP="00D14D81">
                <w:pPr>
                  <w:spacing w:after="0" w:line="240" w:lineRule="auto"/>
                  <w:jc w:val="right"/>
                  <w:rPr>
                    <w:rFonts w:eastAsia="Times New Roman" w:cs="Calibri"/>
                    <w:color w:val="000E9C"/>
                    <w:sz w:val="18"/>
                    <w:szCs w:val="18"/>
                    <w:lang w:eastAsia="fr-FR"/>
                  </w:rPr>
                </w:pPr>
                <w:r w:rsidRPr="00350EB0">
                  <w:rPr>
                    <w:rFonts w:eastAsia="Times New Roman" w:cs="Calibri"/>
                    <w:color w:val="000E9C"/>
                    <w:sz w:val="18"/>
                    <w:szCs w:val="18"/>
                    <w:lang w:eastAsia="fr-FR"/>
                  </w:rPr>
                  <w:t>26,2</w:t>
                </w:r>
              </w:p>
            </w:tc>
          </w:tr>
          <w:tr w:rsidR="0041512C" w:rsidRPr="00350EB0" w14:paraId="44A7039C" w14:textId="77777777" w:rsidTr="00D14D81">
            <w:trPr>
              <w:trHeight w:val="290"/>
            </w:trPr>
            <w:tc>
              <w:tcPr>
                <w:tcW w:w="5103" w:type="dxa"/>
                <w:tcBorders>
                  <w:top w:val="nil"/>
                  <w:left w:val="nil"/>
                  <w:bottom w:val="single" w:sz="4" w:space="0" w:color="000000"/>
                  <w:right w:val="nil"/>
                </w:tcBorders>
                <w:shd w:val="clear" w:color="auto" w:fill="auto"/>
                <w:hideMark/>
              </w:tcPr>
              <w:p w14:paraId="56604B8E" w14:textId="77777777" w:rsidR="0041512C" w:rsidRPr="00350EB0" w:rsidRDefault="0041512C" w:rsidP="00D14D81">
                <w:pPr>
                  <w:spacing w:after="0" w:line="240" w:lineRule="auto"/>
                  <w:rPr>
                    <w:rFonts w:eastAsia="Times New Roman" w:cs="Calibri"/>
                    <w:sz w:val="18"/>
                    <w:szCs w:val="18"/>
                    <w:lang w:eastAsia="fr-FR"/>
                  </w:rPr>
                </w:pPr>
                <w:r w:rsidRPr="00350EB0">
                  <w:rPr>
                    <w:rFonts w:eastAsia="Times New Roman" w:cs="Calibri"/>
                    <w:sz w:val="18"/>
                    <w:szCs w:val="18"/>
                    <w:lang w:eastAsia="fr-FR"/>
                  </w:rPr>
                  <w:t>Impôt versé</w:t>
                </w:r>
              </w:p>
            </w:tc>
            <w:tc>
              <w:tcPr>
                <w:tcW w:w="1418" w:type="dxa"/>
                <w:tcBorders>
                  <w:top w:val="nil"/>
                  <w:left w:val="nil"/>
                  <w:bottom w:val="single" w:sz="4" w:space="0" w:color="000000"/>
                  <w:right w:val="nil"/>
                </w:tcBorders>
                <w:shd w:val="clear" w:color="auto" w:fill="auto"/>
                <w:noWrap/>
                <w:hideMark/>
              </w:tcPr>
              <w:p w14:paraId="473F5D94" w14:textId="77777777" w:rsidR="0041512C" w:rsidRPr="00350EB0" w:rsidRDefault="0041512C" w:rsidP="00D14D81">
                <w:pPr>
                  <w:spacing w:after="0" w:line="240" w:lineRule="auto"/>
                  <w:jc w:val="right"/>
                  <w:rPr>
                    <w:rFonts w:eastAsia="Times New Roman" w:cs="Calibri"/>
                    <w:sz w:val="18"/>
                    <w:szCs w:val="18"/>
                    <w:lang w:eastAsia="fr-FR"/>
                  </w:rPr>
                </w:pPr>
                <w:r w:rsidRPr="00350EB0">
                  <w:rPr>
                    <w:rFonts w:eastAsia="Times New Roman" w:cs="Calibri"/>
                    <w:sz w:val="18"/>
                    <w:szCs w:val="18"/>
                    <w:lang w:eastAsia="fr-FR"/>
                  </w:rPr>
                  <w:t>(1,9)</w:t>
                </w:r>
              </w:p>
            </w:tc>
            <w:tc>
              <w:tcPr>
                <w:tcW w:w="1417" w:type="dxa"/>
                <w:tcBorders>
                  <w:top w:val="nil"/>
                  <w:left w:val="nil"/>
                  <w:bottom w:val="single" w:sz="4" w:space="0" w:color="000000"/>
                  <w:right w:val="nil"/>
                </w:tcBorders>
                <w:shd w:val="clear" w:color="000000" w:fill="E7E6E6"/>
                <w:noWrap/>
                <w:hideMark/>
              </w:tcPr>
              <w:p w14:paraId="64F5CC2F" w14:textId="77777777" w:rsidR="0041512C" w:rsidRPr="00350EB0" w:rsidRDefault="0041512C" w:rsidP="00D14D81">
                <w:pPr>
                  <w:spacing w:after="0" w:line="240" w:lineRule="auto"/>
                  <w:jc w:val="right"/>
                  <w:rPr>
                    <w:rFonts w:eastAsia="Times New Roman" w:cs="Calibri"/>
                    <w:color w:val="000E9C"/>
                    <w:sz w:val="18"/>
                    <w:szCs w:val="18"/>
                    <w:lang w:eastAsia="fr-FR"/>
                  </w:rPr>
                </w:pPr>
                <w:r w:rsidRPr="00350EB0">
                  <w:rPr>
                    <w:rFonts w:eastAsia="Times New Roman" w:cs="Calibri"/>
                    <w:color w:val="000E9C"/>
                    <w:sz w:val="18"/>
                    <w:szCs w:val="18"/>
                    <w:lang w:eastAsia="fr-FR"/>
                  </w:rPr>
                  <w:t>(7,0)</w:t>
                </w:r>
              </w:p>
            </w:tc>
          </w:tr>
          <w:tr w:rsidR="0041512C" w:rsidRPr="00350EB0" w14:paraId="4EE87D05" w14:textId="77777777" w:rsidTr="00D14D81">
            <w:trPr>
              <w:trHeight w:val="290"/>
            </w:trPr>
            <w:tc>
              <w:tcPr>
                <w:tcW w:w="5103" w:type="dxa"/>
                <w:tcBorders>
                  <w:top w:val="nil"/>
                  <w:left w:val="nil"/>
                  <w:bottom w:val="single" w:sz="4" w:space="0" w:color="000000"/>
                  <w:right w:val="nil"/>
                </w:tcBorders>
                <w:shd w:val="clear" w:color="000000" w:fill="E7E6E6"/>
                <w:hideMark/>
              </w:tcPr>
              <w:p w14:paraId="56425E06" w14:textId="77777777" w:rsidR="0041512C" w:rsidRPr="00350EB0" w:rsidRDefault="0041512C" w:rsidP="00D14D81">
                <w:pPr>
                  <w:spacing w:after="0" w:line="240" w:lineRule="auto"/>
                  <w:rPr>
                    <w:rFonts w:eastAsia="Times New Roman" w:cs="Calibri"/>
                    <w:b/>
                    <w:bCs/>
                    <w:sz w:val="18"/>
                    <w:szCs w:val="18"/>
                    <w:lang w:eastAsia="fr-FR"/>
                  </w:rPr>
                </w:pPr>
                <w:r w:rsidRPr="00350EB0">
                  <w:rPr>
                    <w:rFonts w:eastAsia="Times New Roman" w:cs="Calibri"/>
                    <w:b/>
                    <w:bCs/>
                    <w:sz w:val="18"/>
                    <w:szCs w:val="18"/>
                    <w:lang w:eastAsia="fr-FR"/>
                  </w:rPr>
                  <w:t>Flux de trésorerie liés à l'activité</w:t>
                </w:r>
              </w:p>
            </w:tc>
            <w:tc>
              <w:tcPr>
                <w:tcW w:w="1418" w:type="dxa"/>
                <w:tcBorders>
                  <w:top w:val="nil"/>
                  <w:left w:val="nil"/>
                  <w:bottom w:val="single" w:sz="4" w:space="0" w:color="000000"/>
                  <w:right w:val="nil"/>
                </w:tcBorders>
                <w:shd w:val="clear" w:color="000000" w:fill="E7E6E6"/>
                <w:noWrap/>
                <w:hideMark/>
              </w:tcPr>
              <w:p w14:paraId="4B1DEAAA" w14:textId="77777777" w:rsidR="0041512C" w:rsidRPr="00350EB0" w:rsidRDefault="0041512C" w:rsidP="00D14D81">
                <w:pPr>
                  <w:spacing w:after="0" w:line="240" w:lineRule="auto"/>
                  <w:jc w:val="right"/>
                  <w:rPr>
                    <w:rFonts w:eastAsia="Times New Roman" w:cs="Calibri"/>
                    <w:b/>
                    <w:bCs/>
                    <w:sz w:val="18"/>
                    <w:szCs w:val="18"/>
                    <w:lang w:eastAsia="fr-FR"/>
                  </w:rPr>
                </w:pPr>
                <w:r w:rsidRPr="00350EB0">
                  <w:rPr>
                    <w:rFonts w:eastAsia="Times New Roman" w:cs="Calibri"/>
                    <w:b/>
                    <w:bCs/>
                    <w:sz w:val="18"/>
                    <w:szCs w:val="18"/>
                    <w:lang w:eastAsia="fr-FR"/>
                  </w:rPr>
                  <w:t>134,8</w:t>
                </w:r>
              </w:p>
            </w:tc>
            <w:tc>
              <w:tcPr>
                <w:tcW w:w="1417" w:type="dxa"/>
                <w:tcBorders>
                  <w:top w:val="nil"/>
                  <w:left w:val="nil"/>
                  <w:bottom w:val="single" w:sz="4" w:space="0" w:color="000000"/>
                  <w:right w:val="nil"/>
                </w:tcBorders>
                <w:shd w:val="clear" w:color="000000" w:fill="E7E6E6"/>
                <w:noWrap/>
                <w:hideMark/>
              </w:tcPr>
              <w:p w14:paraId="55C05778" w14:textId="77777777" w:rsidR="0041512C" w:rsidRPr="00350EB0" w:rsidRDefault="0041512C" w:rsidP="00D14D81">
                <w:pPr>
                  <w:spacing w:after="0" w:line="240" w:lineRule="auto"/>
                  <w:jc w:val="right"/>
                  <w:rPr>
                    <w:rFonts w:eastAsia="Times New Roman" w:cs="Calibri"/>
                    <w:b/>
                    <w:bCs/>
                    <w:color w:val="000E9C"/>
                    <w:sz w:val="18"/>
                    <w:szCs w:val="18"/>
                    <w:lang w:eastAsia="fr-FR"/>
                  </w:rPr>
                </w:pPr>
                <w:r w:rsidRPr="00350EB0">
                  <w:rPr>
                    <w:rFonts w:eastAsia="Times New Roman" w:cs="Calibri"/>
                    <w:b/>
                    <w:bCs/>
                    <w:color w:val="000E9C"/>
                    <w:sz w:val="18"/>
                    <w:szCs w:val="18"/>
                    <w:lang w:eastAsia="fr-FR"/>
                  </w:rPr>
                  <w:t>146,1</w:t>
                </w:r>
              </w:p>
            </w:tc>
          </w:tr>
          <w:tr w:rsidR="0041512C" w:rsidRPr="00350EB0" w14:paraId="18421850" w14:textId="77777777" w:rsidTr="00D14D81">
            <w:trPr>
              <w:trHeight w:val="290"/>
            </w:trPr>
            <w:tc>
              <w:tcPr>
                <w:tcW w:w="5103" w:type="dxa"/>
                <w:tcBorders>
                  <w:top w:val="nil"/>
                  <w:left w:val="nil"/>
                  <w:bottom w:val="single" w:sz="4" w:space="0" w:color="000000"/>
                  <w:right w:val="nil"/>
                </w:tcBorders>
                <w:shd w:val="clear" w:color="000000" w:fill="E7E6E6"/>
                <w:hideMark/>
              </w:tcPr>
              <w:p w14:paraId="48110E45" w14:textId="77777777" w:rsidR="0041512C" w:rsidRPr="00350EB0" w:rsidRDefault="0041512C" w:rsidP="00D14D81">
                <w:pPr>
                  <w:spacing w:after="0" w:line="240" w:lineRule="auto"/>
                  <w:rPr>
                    <w:rFonts w:eastAsia="Times New Roman" w:cs="Calibri"/>
                    <w:b/>
                    <w:bCs/>
                    <w:sz w:val="18"/>
                    <w:szCs w:val="18"/>
                    <w:lang w:eastAsia="fr-FR"/>
                  </w:rPr>
                </w:pPr>
                <w:r w:rsidRPr="00350EB0">
                  <w:rPr>
                    <w:rFonts w:eastAsia="Times New Roman" w:cs="Calibri"/>
                    <w:b/>
                    <w:bCs/>
                    <w:sz w:val="18"/>
                    <w:szCs w:val="18"/>
                    <w:lang w:eastAsia="fr-FR"/>
                  </w:rPr>
                  <w:t>Flux nets de trésoreries affectés aux opérations d’investissement</w:t>
                </w:r>
              </w:p>
            </w:tc>
            <w:tc>
              <w:tcPr>
                <w:tcW w:w="1418" w:type="dxa"/>
                <w:tcBorders>
                  <w:top w:val="nil"/>
                  <w:left w:val="nil"/>
                  <w:bottom w:val="single" w:sz="4" w:space="0" w:color="000000"/>
                  <w:right w:val="nil"/>
                </w:tcBorders>
                <w:shd w:val="clear" w:color="000000" w:fill="E7E6E6"/>
                <w:noWrap/>
                <w:hideMark/>
              </w:tcPr>
              <w:p w14:paraId="515D44A8" w14:textId="77777777" w:rsidR="0041512C" w:rsidRPr="00350EB0" w:rsidRDefault="0041512C" w:rsidP="00D14D81">
                <w:pPr>
                  <w:spacing w:after="0" w:line="240" w:lineRule="auto"/>
                  <w:jc w:val="right"/>
                  <w:rPr>
                    <w:rFonts w:eastAsia="Times New Roman" w:cs="Calibri"/>
                    <w:b/>
                    <w:bCs/>
                    <w:sz w:val="18"/>
                    <w:szCs w:val="18"/>
                    <w:lang w:eastAsia="fr-FR"/>
                  </w:rPr>
                </w:pPr>
                <w:r w:rsidRPr="00350EB0">
                  <w:rPr>
                    <w:rFonts w:eastAsia="Times New Roman" w:cs="Calibri"/>
                    <w:b/>
                    <w:bCs/>
                    <w:sz w:val="18"/>
                    <w:szCs w:val="18"/>
                    <w:lang w:eastAsia="fr-FR"/>
                  </w:rPr>
                  <w:t>(156,8)</w:t>
                </w:r>
              </w:p>
            </w:tc>
            <w:tc>
              <w:tcPr>
                <w:tcW w:w="1417" w:type="dxa"/>
                <w:tcBorders>
                  <w:top w:val="nil"/>
                  <w:left w:val="nil"/>
                  <w:bottom w:val="single" w:sz="4" w:space="0" w:color="000000"/>
                  <w:right w:val="nil"/>
                </w:tcBorders>
                <w:shd w:val="clear" w:color="000000" w:fill="E7E6E6"/>
                <w:noWrap/>
                <w:hideMark/>
              </w:tcPr>
              <w:p w14:paraId="021FC7D6" w14:textId="77777777" w:rsidR="0041512C" w:rsidRPr="00350EB0" w:rsidRDefault="0041512C" w:rsidP="00D14D81">
                <w:pPr>
                  <w:spacing w:after="0" w:line="240" w:lineRule="auto"/>
                  <w:jc w:val="right"/>
                  <w:rPr>
                    <w:rFonts w:eastAsia="Times New Roman" w:cs="Calibri"/>
                    <w:b/>
                    <w:bCs/>
                    <w:color w:val="000E9C"/>
                    <w:sz w:val="18"/>
                    <w:szCs w:val="18"/>
                    <w:lang w:eastAsia="fr-FR"/>
                  </w:rPr>
                </w:pPr>
                <w:r w:rsidRPr="00350EB0">
                  <w:rPr>
                    <w:rFonts w:eastAsia="Times New Roman" w:cs="Calibri"/>
                    <w:b/>
                    <w:bCs/>
                    <w:color w:val="000E9C"/>
                    <w:sz w:val="18"/>
                    <w:szCs w:val="18"/>
                    <w:lang w:eastAsia="fr-FR"/>
                  </w:rPr>
                  <w:t>(225,5)</w:t>
                </w:r>
              </w:p>
            </w:tc>
          </w:tr>
          <w:tr w:rsidR="0041512C" w:rsidRPr="00350EB0" w14:paraId="7015ECB3" w14:textId="77777777" w:rsidTr="00D14D81">
            <w:trPr>
              <w:trHeight w:val="290"/>
            </w:trPr>
            <w:tc>
              <w:tcPr>
                <w:tcW w:w="5103" w:type="dxa"/>
                <w:tcBorders>
                  <w:top w:val="nil"/>
                  <w:left w:val="nil"/>
                  <w:bottom w:val="single" w:sz="4" w:space="0" w:color="auto"/>
                  <w:right w:val="nil"/>
                </w:tcBorders>
                <w:shd w:val="clear" w:color="000000" w:fill="E7E6E6"/>
                <w:hideMark/>
              </w:tcPr>
              <w:p w14:paraId="3AAB780D" w14:textId="77777777" w:rsidR="0041512C" w:rsidRPr="00350EB0" w:rsidRDefault="0041512C" w:rsidP="00D14D81">
                <w:pPr>
                  <w:spacing w:after="0" w:line="240" w:lineRule="auto"/>
                  <w:rPr>
                    <w:rFonts w:eastAsia="Times New Roman" w:cs="Calibri"/>
                    <w:b/>
                    <w:bCs/>
                    <w:sz w:val="18"/>
                    <w:szCs w:val="18"/>
                    <w:lang w:eastAsia="fr-FR"/>
                  </w:rPr>
                </w:pPr>
                <w:r w:rsidRPr="00350EB0">
                  <w:rPr>
                    <w:rFonts w:eastAsia="Times New Roman" w:cs="Calibri"/>
                    <w:b/>
                    <w:bCs/>
                    <w:sz w:val="18"/>
                    <w:szCs w:val="18"/>
                    <w:lang w:eastAsia="fr-FR"/>
                  </w:rPr>
                  <w:t>Flux de trésorerie liés aux opérations de financement</w:t>
                </w:r>
              </w:p>
            </w:tc>
            <w:tc>
              <w:tcPr>
                <w:tcW w:w="1418" w:type="dxa"/>
                <w:tcBorders>
                  <w:top w:val="nil"/>
                  <w:left w:val="nil"/>
                  <w:bottom w:val="single" w:sz="4" w:space="0" w:color="auto"/>
                  <w:right w:val="nil"/>
                </w:tcBorders>
                <w:shd w:val="clear" w:color="000000" w:fill="E7E6E6"/>
                <w:noWrap/>
                <w:hideMark/>
              </w:tcPr>
              <w:p w14:paraId="5F296409" w14:textId="77777777" w:rsidR="0041512C" w:rsidRPr="00350EB0" w:rsidRDefault="0041512C" w:rsidP="00D14D81">
                <w:pPr>
                  <w:spacing w:after="0" w:line="240" w:lineRule="auto"/>
                  <w:jc w:val="right"/>
                  <w:rPr>
                    <w:rFonts w:eastAsia="Times New Roman" w:cs="Calibri"/>
                    <w:b/>
                    <w:bCs/>
                    <w:sz w:val="18"/>
                    <w:szCs w:val="18"/>
                    <w:lang w:eastAsia="fr-FR"/>
                  </w:rPr>
                </w:pPr>
                <w:r w:rsidRPr="00350EB0">
                  <w:rPr>
                    <w:rFonts w:eastAsia="Times New Roman" w:cs="Calibri"/>
                    <w:b/>
                    <w:bCs/>
                    <w:sz w:val="18"/>
                    <w:szCs w:val="18"/>
                    <w:lang w:eastAsia="fr-FR"/>
                  </w:rPr>
                  <w:t>(43,0)</w:t>
                </w:r>
              </w:p>
            </w:tc>
            <w:tc>
              <w:tcPr>
                <w:tcW w:w="1417" w:type="dxa"/>
                <w:tcBorders>
                  <w:top w:val="nil"/>
                  <w:left w:val="nil"/>
                  <w:bottom w:val="single" w:sz="4" w:space="0" w:color="auto"/>
                  <w:right w:val="nil"/>
                </w:tcBorders>
                <w:shd w:val="clear" w:color="000000" w:fill="E7E6E6"/>
                <w:noWrap/>
                <w:hideMark/>
              </w:tcPr>
              <w:p w14:paraId="51EF9AE4" w14:textId="77777777" w:rsidR="0041512C" w:rsidRPr="00350EB0" w:rsidRDefault="0041512C" w:rsidP="00D14D81">
                <w:pPr>
                  <w:spacing w:after="0" w:line="240" w:lineRule="auto"/>
                  <w:jc w:val="right"/>
                  <w:rPr>
                    <w:rFonts w:eastAsia="Times New Roman" w:cs="Calibri"/>
                    <w:b/>
                    <w:bCs/>
                    <w:color w:val="000E9C"/>
                    <w:sz w:val="18"/>
                    <w:szCs w:val="18"/>
                    <w:lang w:eastAsia="fr-FR"/>
                  </w:rPr>
                </w:pPr>
                <w:r w:rsidRPr="00350EB0">
                  <w:rPr>
                    <w:rFonts w:eastAsia="Times New Roman" w:cs="Calibri"/>
                    <w:b/>
                    <w:bCs/>
                    <w:color w:val="000E9C"/>
                    <w:sz w:val="18"/>
                    <w:szCs w:val="18"/>
                    <w:lang w:eastAsia="fr-FR"/>
                  </w:rPr>
                  <w:t>123,7</w:t>
                </w:r>
              </w:p>
            </w:tc>
          </w:tr>
        </w:tbl>
        <w:p w14:paraId="242F74C1" w14:textId="4E2B7CF6" w:rsidR="0041512C" w:rsidRPr="00B264D1" w:rsidRDefault="0041512C" w:rsidP="0041512C">
          <w:pPr>
            <w:rPr>
              <w:rFonts w:asciiTheme="minorHAnsi" w:hAnsiTheme="minorHAnsi" w:cstheme="minorHAnsi"/>
              <w:b/>
              <w:bCs/>
              <w:sz w:val="20"/>
              <w:szCs w:val="20"/>
            </w:rPr>
          </w:pPr>
          <w:r w:rsidRPr="00B264D1">
            <w:rPr>
              <w:rFonts w:asciiTheme="minorHAnsi" w:hAnsiTheme="minorHAnsi" w:cstheme="minorHAnsi"/>
              <w:b/>
              <w:bCs/>
              <w:sz w:val="20"/>
              <w:szCs w:val="20"/>
            </w:rPr>
            <w:lastRenderedPageBreak/>
            <w:t>Flux de trésorerie liés à l’activité</w:t>
          </w:r>
        </w:p>
        <w:p w14:paraId="4B9ED9D8" w14:textId="77777777" w:rsidR="0041512C" w:rsidRPr="00B264D1" w:rsidRDefault="0041512C" w:rsidP="0041512C">
          <w:pPr>
            <w:jc w:val="both"/>
            <w:rPr>
              <w:rFonts w:asciiTheme="minorHAnsi" w:eastAsia="Calibri" w:hAnsiTheme="minorHAnsi" w:cstheme="minorHAnsi"/>
              <w:sz w:val="20"/>
              <w:szCs w:val="20"/>
              <w:lang w:val="fr"/>
            </w:rPr>
          </w:pPr>
          <w:r w:rsidRPr="00B264D1">
            <w:rPr>
              <w:rFonts w:asciiTheme="minorHAnsi" w:eastAsia="Calibri" w:hAnsiTheme="minorHAnsi" w:cstheme="minorHAnsi"/>
              <w:sz w:val="20"/>
              <w:szCs w:val="20"/>
              <w:lang w:val="fr"/>
            </w:rPr>
            <w:t xml:space="preserve">La capacité d’autofinancement </w:t>
          </w:r>
          <w:r>
            <w:rPr>
              <w:rFonts w:asciiTheme="minorHAnsi" w:eastAsia="Calibri" w:hAnsiTheme="minorHAnsi" w:cstheme="minorHAnsi"/>
              <w:sz w:val="20"/>
              <w:szCs w:val="20"/>
              <w:lang w:val="fr"/>
            </w:rPr>
            <w:t xml:space="preserve">a </w:t>
          </w:r>
          <w:r w:rsidRPr="00B264D1">
            <w:rPr>
              <w:rFonts w:asciiTheme="minorHAnsi" w:eastAsia="Calibri" w:hAnsiTheme="minorHAnsi" w:cstheme="minorHAnsi"/>
              <w:sz w:val="20"/>
              <w:szCs w:val="20"/>
              <w:lang w:val="fr"/>
            </w:rPr>
            <w:t>atteint 126,9 millions d’euros pour le premier semestre 2022 contre 136,7 millions d’euros pour le premier semestre 2021.</w:t>
          </w:r>
        </w:p>
        <w:p w14:paraId="2818031F" w14:textId="77777777" w:rsidR="0041512C" w:rsidRDefault="0041512C" w:rsidP="0041512C">
          <w:pPr>
            <w:jc w:val="both"/>
            <w:rPr>
              <w:rFonts w:asciiTheme="minorHAnsi" w:eastAsia="Calibri" w:hAnsiTheme="minorHAnsi" w:cstheme="minorHAnsi"/>
              <w:sz w:val="20"/>
              <w:szCs w:val="20"/>
              <w:lang w:val="fr"/>
            </w:rPr>
          </w:pPr>
          <w:r w:rsidRPr="00922FD4">
            <w:rPr>
              <w:rFonts w:asciiTheme="minorHAnsi" w:eastAsia="Calibri" w:hAnsiTheme="minorHAnsi" w:cstheme="minorHAnsi"/>
              <w:sz w:val="20"/>
              <w:szCs w:val="20"/>
              <w:lang w:val="fr"/>
            </w:rPr>
            <w:t>La variation du besoin en fonds de roulement intègre</w:t>
          </w:r>
          <w:r>
            <w:rPr>
              <w:rFonts w:asciiTheme="minorHAnsi" w:eastAsia="Calibri" w:hAnsiTheme="minorHAnsi" w:cstheme="minorHAnsi"/>
              <w:sz w:val="20"/>
              <w:szCs w:val="20"/>
              <w:lang w:val="fr"/>
            </w:rPr>
            <w:t> :</w:t>
          </w:r>
        </w:p>
        <w:p w14:paraId="3C3C72F6" w14:textId="77777777" w:rsidR="0041512C" w:rsidRPr="00D97812" w:rsidRDefault="0041512C" w:rsidP="0041512C">
          <w:pPr>
            <w:pStyle w:val="Paragraphedeliste"/>
            <w:numPr>
              <w:ilvl w:val="0"/>
              <w:numId w:val="29"/>
            </w:numPr>
            <w:jc w:val="both"/>
            <w:rPr>
              <w:rFonts w:asciiTheme="minorHAnsi" w:hAnsiTheme="minorHAnsi" w:cstheme="minorHAnsi"/>
              <w:sz w:val="20"/>
              <w:szCs w:val="20"/>
            </w:rPr>
          </w:pPr>
          <w:proofErr w:type="gramStart"/>
          <w:r w:rsidRPr="00D97812">
            <w:rPr>
              <w:rFonts w:asciiTheme="minorHAnsi" w:eastAsia="Calibri" w:hAnsiTheme="minorHAnsi" w:cstheme="minorHAnsi"/>
              <w:sz w:val="20"/>
              <w:szCs w:val="20"/>
              <w:lang w:val="fr"/>
            </w:rPr>
            <w:t>les</w:t>
          </w:r>
          <w:proofErr w:type="gramEnd"/>
          <w:r w:rsidRPr="00D97812">
            <w:rPr>
              <w:rFonts w:asciiTheme="minorHAnsi" w:eastAsia="Calibri" w:hAnsiTheme="minorHAnsi" w:cstheme="minorHAnsi"/>
              <w:sz w:val="20"/>
              <w:szCs w:val="20"/>
              <w:lang w:val="fr"/>
            </w:rPr>
            <w:t xml:space="preserve"> effets d’achats </w:t>
          </w:r>
          <w:r>
            <w:rPr>
              <w:rFonts w:asciiTheme="minorHAnsi" w:eastAsia="Calibri" w:hAnsiTheme="minorHAnsi" w:cstheme="minorHAnsi"/>
              <w:sz w:val="20"/>
              <w:szCs w:val="20"/>
              <w:lang w:val="fr"/>
            </w:rPr>
            <w:t>de composants</w:t>
          </w:r>
          <w:r w:rsidRPr="00D97812">
            <w:rPr>
              <w:rFonts w:asciiTheme="minorHAnsi" w:eastAsia="Calibri" w:hAnsiTheme="minorHAnsi" w:cstheme="minorHAnsi"/>
              <w:sz w:val="20"/>
              <w:szCs w:val="20"/>
              <w:lang w:val="fr"/>
            </w:rPr>
            <w:t xml:space="preserve"> plus importants et plus tôt qu’habituellement dans le semestre, </w:t>
          </w:r>
        </w:p>
        <w:p w14:paraId="761311C5" w14:textId="77777777" w:rsidR="0041512C" w:rsidRPr="00D97812" w:rsidRDefault="0041512C" w:rsidP="0041512C">
          <w:pPr>
            <w:pStyle w:val="Paragraphedeliste"/>
            <w:numPr>
              <w:ilvl w:val="0"/>
              <w:numId w:val="29"/>
            </w:numPr>
            <w:jc w:val="both"/>
            <w:rPr>
              <w:rFonts w:asciiTheme="minorHAnsi" w:hAnsiTheme="minorHAnsi" w:cstheme="minorHAnsi"/>
              <w:sz w:val="20"/>
              <w:szCs w:val="20"/>
            </w:rPr>
          </w:pPr>
          <w:r>
            <w:rPr>
              <w:rFonts w:asciiTheme="minorHAnsi" w:eastAsia="Calibri" w:hAnsiTheme="minorHAnsi" w:cstheme="minorHAnsi"/>
              <w:sz w:val="20"/>
              <w:szCs w:val="20"/>
            </w:rPr>
            <w:t xml:space="preserve">L’encaissement, en septembre 2021, </w:t>
          </w:r>
          <w:r w:rsidRPr="00D97812">
            <w:rPr>
              <w:rFonts w:asciiTheme="minorHAnsi" w:eastAsia="Calibri" w:hAnsiTheme="minorHAnsi" w:cstheme="minorHAnsi"/>
              <w:sz w:val="20"/>
              <w:szCs w:val="20"/>
              <w:lang w:val="fr"/>
            </w:rPr>
            <w:t>d’une indemnité d’assurance forfaitaire unique de 58 millions d’euros au titre des dommages causés par l’incendie de Strasbourg</w:t>
          </w:r>
          <w:r>
            <w:rPr>
              <w:rFonts w:asciiTheme="minorHAnsi" w:eastAsia="Calibri" w:hAnsiTheme="minorHAnsi" w:cstheme="minorHAnsi"/>
              <w:sz w:val="20"/>
              <w:szCs w:val="20"/>
              <w:lang w:val="fr"/>
            </w:rPr>
            <w:t xml:space="preserve"> comptabilisée en « Autres créances » au 31 Août 2021</w:t>
          </w:r>
          <w:r w:rsidRPr="00D97812">
            <w:rPr>
              <w:rFonts w:asciiTheme="minorHAnsi" w:eastAsia="Calibri" w:hAnsiTheme="minorHAnsi" w:cstheme="minorHAnsi"/>
              <w:sz w:val="20"/>
              <w:szCs w:val="20"/>
              <w:lang w:val="fr"/>
            </w:rPr>
            <w:t xml:space="preserve">, </w:t>
          </w:r>
        </w:p>
        <w:p w14:paraId="549D9A91" w14:textId="5908BCD1" w:rsidR="0041512C" w:rsidRPr="00D97812" w:rsidRDefault="0041512C" w:rsidP="0041512C">
          <w:pPr>
            <w:pStyle w:val="Paragraphedeliste"/>
            <w:numPr>
              <w:ilvl w:val="0"/>
              <w:numId w:val="29"/>
            </w:numPr>
            <w:jc w:val="both"/>
            <w:rPr>
              <w:rFonts w:asciiTheme="minorHAnsi" w:hAnsiTheme="minorHAnsi" w:cstheme="minorHAnsi"/>
              <w:sz w:val="20"/>
              <w:szCs w:val="20"/>
            </w:rPr>
          </w:pPr>
          <w:proofErr w:type="gramStart"/>
          <w:r>
            <w:rPr>
              <w:rFonts w:asciiTheme="minorHAnsi" w:eastAsia="Calibri" w:hAnsiTheme="minorHAnsi" w:cstheme="minorHAnsi"/>
              <w:sz w:val="20"/>
              <w:szCs w:val="20"/>
            </w:rPr>
            <w:t>le</w:t>
          </w:r>
          <w:proofErr w:type="gramEnd"/>
          <w:r>
            <w:rPr>
              <w:rFonts w:asciiTheme="minorHAnsi" w:eastAsia="Calibri" w:hAnsiTheme="minorHAnsi" w:cstheme="minorHAnsi"/>
              <w:sz w:val="20"/>
              <w:szCs w:val="20"/>
            </w:rPr>
            <w:t xml:space="preserve"> décaissement de </w:t>
          </w:r>
          <w:r w:rsidRPr="00D97812">
            <w:rPr>
              <w:rFonts w:asciiTheme="minorHAnsi" w:eastAsia="Calibri" w:hAnsiTheme="minorHAnsi" w:cstheme="minorHAnsi"/>
              <w:sz w:val="20"/>
              <w:szCs w:val="20"/>
              <w:lang w:val="fr"/>
            </w:rPr>
            <w:t>6 millions d’euros de frais liés aux paiements en actions</w:t>
          </w:r>
          <w:r>
            <w:rPr>
              <w:rFonts w:asciiTheme="minorHAnsi" w:eastAsia="Calibri" w:hAnsiTheme="minorHAnsi" w:cstheme="minorHAnsi"/>
              <w:sz w:val="20"/>
              <w:szCs w:val="20"/>
              <w:lang w:val="fr"/>
            </w:rPr>
            <w:t>, comptabilisé à hauteur de 6,3 millions d’euros en autres dettes,</w:t>
          </w:r>
        </w:p>
        <w:p w14:paraId="3D3F8B03" w14:textId="77777777" w:rsidR="0041512C" w:rsidRPr="00D97812" w:rsidRDefault="0041512C" w:rsidP="0041512C">
          <w:pPr>
            <w:pStyle w:val="Paragraphedeliste"/>
            <w:numPr>
              <w:ilvl w:val="0"/>
              <w:numId w:val="29"/>
            </w:numPr>
            <w:jc w:val="both"/>
            <w:rPr>
              <w:rFonts w:asciiTheme="minorHAnsi" w:hAnsiTheme="minorHAnsi" w:cstheme="minorHAnsi"/>
              <w:sz w:val="20"/>
              <w:szCs w:val="20"/>
            </w:rPr>
          </w:pPr>
          <w:proofErr w:type="gramStart"/>
          <w:r w:rsidRPr="00D97812">
            <w:rPr>
              <w:rFonts w:asciiTheme="minorHAnsi" w:eastAsia="Calibri" w:hAnsiTheme="minorHAnsi" w:cstheme="minorHAnsi"/>
              <w:sz w:val="20"/>
              <w:szCs w:val="20"/>
              <w:lang w:val="fr"/>
            </w:rPr>
            <w:t>ainsi</w:t>
          </w:r>
          <w:proofErr w:type="gramEnd"/>
          <w:r w:rsidRPr="00D97812">
            <w:rPr>
              <w:rFonts w:asciiTheme="minorHAnsi" w:eastAsia="Calibri" w:hAnsiTheme="minorHAnsi" w:cstheme="minorHAnsi"/>
              <w:sz w:val="20"/>
              <w:szCs w:val="20"/>
              <w:lang w:val="fr"/>
            </w:rPr>
            <w:t xml:space="preserve"> que l’effet calendaire d’exécution de la campagne de paiement hebdomadaire des fournisseurs observée au 31 août 2021.</w:t>
          </w:r>
        </w:p>
        <w:p w14:paraId="49C4BFDD" w14:textId="3F407DE9" w:rsidR="0041512C" w:rsidRDefault="0041512C" w:rsidP="0041512C">
          <w:pPr>
            <w:jc w:val="both"/>
            <w:rPr>
              <w:rFonts w:asciiTheme="minorHAnsi" w:hAnsiTheme="minorHAnsi" w:cstheme="minorHAnsi"/>
              <w:sz w:val="20"/>
              <w:szCs w:val="20"/>
            </w:rPr>
          </w:pPr>
          <w:r w:rsidRPr="00B264D1">
            <w:rPr>
              <w:rFonts w:asciiTheme="minorHAnsi" w:hAnsiTheme="minorHAnsi" w:cstheme="minorHAnsi"/>
              <w:sz w:val="20"/>
              <w:szCs w:val="20"/>
            </w:rPr>
            <w:t xml:space="preserve">Après prise en compte des variations du besoin en fonds de roulement et des paiements d’impôts, les flux de trésorerie provenant des activités opérationnelles passent de 134,8 millions d’euros sur le premier </w:t>
          </w:r>
          <w:r w:rsidR="00E628F8">
            <w:rPr>
              <w:rFonts w:asciiTheme="minorHAnsi" w:hAnsiTheme="minorHAnsi" w:cstheme="minorHAnsi"/>
              <w:sz w:val="20"/>
              <w:szCs w:val="20"/>
            </w:rPr>
            <w:t>se</w:t>
          </w:r>
          <w:r w:rsidR="00E628F8" w:rsidRPr="00B264D1">
            <w:rPr>
              <w:rFonts w:asciiTheme="minorHAnsi" w:hAnsiTheme="minorHAnsi" w:cstheme="minorHAnsi"/>
              <w:sz w:val="20"/>
              <w:szCs w:val="20"/>
            </w:rPr>
            <w:t xml:space="preserve">mestre </w:t>
          </w:r>
          <w:r w:rsidRPr="00B264D1">
            <w:rPr>
              <w:rFonts w:asciiTheme="minorHAnsi" w:hAnsiTheme="minorHAnsi" w:cstheme="minorHAnsi"/>
              <w:sz w:val="20"/>
              <w:szCs w:val="20"/>
            </w:rPr>
            <w:t xml:space="preserve">2021 à 146,1 millions d’euros sur le premier semestre 2022. </w:t>
          </w:r>
        </w:p>
        <w:p w14:paraId="7E30C857" w14:textId="77777777" w:rsidR="0041512C" w:rsidRDefault="0041512C" w:rsidP="0041512C">
          <w:pPr>
            <w:spacing w:after="0" w:line="240" w:lineRule="auto"/>
            <w:rPr>
              <w:rFonts w:asciiTheme="minorHAnsi" w:hAnsiTheme="minorHAnsi" w:cstheme="minorHAnsi"/>
              <w:b/>
              <w:bCs/>
              <w:sz w:val="20"/>
              <w:szCs w:val="20"/>
            </w:rPr>
          </w:pPr>
          <w:r w:rsidRPr="00B264D1">
            <w:rPr>
              <w:rFonts w:asciiTheme="minorHAnsi" w:hAnsiTheme="minorHAnsi" w:cstheme="minorHAnsi"/>
              <w:b/>
              <w:bCs/>
              <w:sz w:val="20"/>
              <w:szCs w:val="20"/>
            </w:rPr>
            <w:t>Flux de trésorerie liés aux opérations d’investissement</w:t>
          </w:r>
        </w:p>
        <w:p w14:paraId="3082B69B" w14:textId="77777777" w:rsidR="0041512C" w:rsidRPr="00B264D1" w:rsidRDefault="0041512C" w:rsidP="0041512C">
          <w:pPr>
            <w:spacing w:after="0" w:line="240" w:lineRule="auto"/>
            <w:rPr>
              <w:rFonts w:asciiTheme="minorHAnsi" w:hAnsiTheme="minorHAnsi" w:cstheme="minorHAnsi"/>
              <w:b/>
              <w:bCs/>
              <w:sz w:val="20"/>
              <w:szCs w:val="20"/>
            </w:rPr>
          </w:pPr>
        </w:p>
        <w:p w14:paraId="21A41BAC" w14:textId="19A834CD" w:rsidR="0041512C" w:rsidRPr="00B264D1" w:rsidRDefault="0041512C" w:rsidP="0041512C">
          <w:pPr>
            <w:jc w:val="both"/>
            <w:rPr>
              <w:rFonts w:asciiTheme="minorHAnsi" w:hAnsiTheme="minorHAnsi" w:cstheme="minorHAnsi"/>
              <w:sz w:val="20"/>
              <w:szCs w:val="20"/>
            </w:rPr>
          </w:pPr>
          <w:r w:rsidRPr="00B264D1">
            <w:rPr>
              <w:rFonts w:asciiTheme="minorHAnsi" w:hAnsiTheme="minorHAnsi" w:cstheme="minorHAnsi"/>
              <w:sz w:val="20"/>
              <w:szCs w:val="20"/>
            </w:rPr>
            <w:t xml:space="preserve">Les flux de trésorerie liés aux activités d’investissement ont atteint 225,5 millions d’euros sur le premier semestre </w:t>
          </w:r>
          <w:r w:rsidR="00687EEC" w:rsidRPr="00B264D1">
            <w:rPr>
              <w:rFonts w:asciiTheme="minorHAnsi" w:hAnsiTheme="minorHAnsi" w:cstheme="minorHAnsi"/>
              <w:sz w:val="20"/>
              <w:szCs w:val="20"/>
            </w:rPr>
            <w:t>202</w:t>
          </w:r>
          <w:r w:rsidR="00687EEC">
            <w:rPr>
              <w:rFonts w:asciiTheme="minorHAnsi" w:hAnsiTheme="minorHAnsi" w:cstheme="minorHAnsi"/>
              <w:sz w:val="20"/>
              <w:szCs w:val="20"/>
            </w:rPr>
            <w:t>2</w:t>
          </w:r>
          <w:r w:rsidRPr="00B264D1">
            <w:rPr>
              <w:rFonts w:asciiTheme="minorHAnsi" w:hAnsiTheme="minorHAnsi" w:cstheme="minorHAnsi"/>
              <w:sz w:val="20"/>
              <w:szCs w:val="20"/>
            </w:rPr>
            <w:t xml:space="preserve">, contre 156,8 millions d’euros au premier semestre </w:t>
          </w:r>
          <w:r w:rsidR="00687EEC" w:rsidRPr="00B264D1">
            <w:rPr>
              <w:rFonts w:asciiTheme="minorHAnsi" w:hAnsiTheme="minorHAnsi" w:cstheme="minorHAnsi"/>
              <w:sz w:val="20"/>
              <w:szCs w:val="20"/>
            </w:rPr>
            <w:t>202</w:t>
          </w:r>
          <w:r w:rsidR="00687EEC">
            <w:rPr>
              <w:rFonts w:asciiTheme="minorHAnsi" w:hAnsiTheme="minorHAnsi" w:cstheme="minorHAnsi"/>
              <w:sz w:val="20"/>
              <w:szCs w:val="20"/>
            </w:rPr>
            <w:t>1</w:t>
          </w:r>
          <w:r w:rsidRPr="00B264D1">
            <w:rPr>
              <w:rFonts w:asciiTheme="minorHAnsi" w:hAnsiTheme="minorHAnsi" w:cstheme="minorHAnsi"/>
              <w:sz w:val="20"/>
              <w:szCs w:val="20"/>
            </w:rPr>
            <w:t>. Ces flux représentent pour la quasi-totalité des dépenses d’investissement, qui sont décrites dans la section dédiée du présent document.</w:t>
          </w:r>
        </w:p>
        <w:p w14:paraId="2FC65447" w14:textId="77777777" w:rsidR="0041512C" w:rsidRPr="00B264D1" w:rsidRDefault="0041512C" w:rsidP="0041512C">
          <w:pPr>
            <w:spacing w:after="0" w:line="240" w:lineRule="auto"/>
            <w:jc w:val="both"/>
            <w:rPr>
              <w:rFonts w:asciiTheme="minorHAnsi" w:eastAsia="MS Mincho" w:hAnsiTheme="minorHAnsi" w:cstheme="minorHAnsi"/>
              <w:lang w:eastAsia="en-GB" w:bidi="en-GB"/>
            </w:rPr>
          </w:pPr>
        </w:p>
        <w:p w14:paraId="669BE382" w14:textId="77777777" w:rsidR="0041512C" w:rsidRPr="00B264D1" w:rsidRDefault="0041512C" w:rsidP="0041512C">
          <w:pPr>
            <w:rPr>
              <w:rFonts w:asciiTheme="minorHAnsi" w:hAnsiTheme="minorHAnsi" w:cstheme="minorHAnsi"/>
              <w:b/>
              <w:bCs/>
              <w:sz w:val="20"/>
              <w:szCs w:val="20"/>
            </w:rPr>
          </w:pPr>
          <w:r w:rsidRPr="00B264D1">
            <w:rPr>
              <w:rFonts w:asciiTheme="minorHAnsi" w:hAnsiTheme="minorHAnsi" w:cstheme="minorHAnsi"/>
              <w:b/>
              <w:bCs/>
              <w:sz w:val="20"/>
              <w:szCs w:val="20"/>
            </w:rPr>
            <w:t>Flux de trésorerie liés aux opérations de financement</w:t>
          </w:r>
        </w:p>
        <w:p w14:paraId="0573E984" w14:textId="77777777" w:rsidR="0041512C" w:rsidRPr="00B264D1" w:rsidRDefault="0041512C" w:rsidP="0041512C">
          <w:pPr>
            <w:jc w:val="both"/>
            <w:rPr>
              <w:rFonts w:asciiTheme="minorHAnsi" w:hAnsiTheme="minorHAnsi" w:cstheme="minorHAnsi"/>
              <w:sz w:val="20"/>
              <w:szCs w:val="20"/>
            </w:rPr>
          </w:pPr>
          <w:r w:rsidRPr="00B264D1">
            <w:rPr>
              <w:rFonts w:asciiTheme="minorHAnsi" w:hAnsiTheme="minorHAnsi" w:cstheme="minorHAnsi"/>
              <w:sz w:val="20"/>
              <w:szCs w:val="20"/>
            </w:rPr>
            <w:t>Au premier semestre 2022, les flux de trésorerie provenant des activités de financement s’élèvent à 123,7 millions d’euros, et se caractérisent majoritairement par :</w:t>
          </w:r>
        </w:p>
        <w:p w14:paraId="4AD22706" w14:textId="77777777" w:rsidR="0041512C" w:rsidRPr="00B264D1" w:rsidRDefault="0041512C" w:rsidP="0041512C">
          <w:pPr>
            <w:pStyle w:val="Paragraphedeliste"/>
            <w:numPr>
              <w:ilvl w:val="0"/>
              <w:numId w:val="22"/>
            </w:numPr>
            <w:jc w:val="both"/>
            <w:rPr>
              <w:rFonts w:asciiTheme="minorHAnsi" w:hAnsiTheme="minorHAnsi" w:cstheme="minorHAnsi"/>
              <w:sz w:val="20"/>
              <w:szCs w:val="20"/>
            </w:rPr>
          </w:pPr>
          <w:proofErr w:type="gramStart"/>
          <w:r w:rsidRPr="00B264D1">
            <w:rPr>
              <w:rFonts w:asciiTheme="minorHAnsi" w:hAnsiTheme="minorHAnsi" w:cstheme="minorHAnsi"/>
              <w:sz w:val="20"/>
              <w:szCs w:val="20"/>
            </w:rPr>
            <w:t>les</w:t>
          </w:r>
          <w:proofErr w:type="gramEnd"/>
          <w:r w:rsidRPr="00B264D1">
            <w:rPr>
              <w:rFonts w:asciiTheme="minorHAnsi" w:hAnsiTheme="minorHAnsi" w:cstheme="minorHAnsi"/>
              <w:sz w:val="20"/>
              <w:szCs w:val="20"/>
            </w:rPr>
            <w:t xml:space="preserve"> augmentations de capital en lien avec l’introduction en bourse et avec l’Offre d’actionnariat salarié pour un montant </w:t>
          </w:r>
          <w:r>
            <w:rPr>
              <w:rFonts w:asciiTheme="minorHAnsi" w:hAnsiTheme="minorHAnsi" w:cstheme="minorHAnsi"/>
              <w:sz w:val="20"/>
              <w:szCs w:val="20"/>
            </w:rPr>
            <w:t>total de 349,3</w:t>
          </w:r>
          <w:r w:rsidRPr="00B264D1">
            <w:rPr>
              <w:rFonts w:asciiTheme="minorHAnsi" w:hAnsiTheme="minorHAnsi" w:cstheme="minorHAnsi"/>
              <w:sz w:val="20"/>
              <w:szCs w:val="20"/>
            </w:rPr>
            <w:t xml:space="preserve"> millions d’euros</w:t>
          </w:r>
          <w:r>
            <w:rPr>
              <w:rFonts w:asciiTheme="minorHAnsi" w:hAnsiTheme="minorHAnsi" w:cstheme="minorHAnsi"/>
              <w:sz w:val="20"/>
              <w:szCs w:val="20"/>
            </w:rPr>
            <w:t>, net des frais d’introduction en bourse</w:t>
          </w:r>
          <w:r w:rsidRPr="00B264D1">
            <w:rPr>
              <w:rFonts w:asciiTheme="minorHAnsi" w:hAnsiTheme="minorHAnsi" w:cstheme="minorHAnsi"/>
              <w:sz w:val="20"/>
              <w:szCs w:val="20"/>
            </w:rPr>
            <w:t> ;</w:t>
          </w:r>
        </w:p>
        <w:p w14:paraId="7B2FE240" w14:textId="77777777" w:rsidR="0041512C" w:rsidRPr="00B264D1" w:rsidRDefault="0041512C" w:rsidP="0041512C">
          <w:pPr>
            <w:pStyle w:val="Paragraphedeliste"/>
            <w:numPr>
              <w:ilvl w:val="0"/>
              <w:numId w:val="22"/>
            </w:numPr>
            <w:jc w:val="both"/>
            <w:rPr>
              <w:rFonts w:asciiTheme="minorHAnsi" w:hAnsiTheme="minorHAnsi" w:cstheme="minorHAnsi"/>
              <w:sz w:val="20"/>
              <w:szCs w:val="20"/>
            </w:rPr>
          </w:pPr>
          <w:proofErr w:type="gramStart"/>
          <w:r w:rsidRPr="00B264D1">
            <w:rPr>
              <w:rFonts w:asciiTheme="minorHAnsi" w:hAnsiTheme="minorHAnsi" w:cstheme="minorHAnsi"/>
              <w:sz w:val="20"/>
              <w:szCs w:val="20"/>
            </w:rPr>
            <w:t>le</w:t>
          </w:r>
          <w:proofErr w:type="gramEnd"/>
          <w:r w:rsidRPr="00B264D1">
            <w:rPr>
              <w:rFonts w:asciiTheme="minorHAnsi" w:hAnsiTheme="minorHAnsi" w:cstheme="minorHAnsi"/>
              <w:sz w:val="20"/>
              <w:szCs w:val="20"/>
            </w:rPr>
            <w:t xml:space="preserve"> remboursement intégral du Contrat de Crédits antérieurs (Prêt à Terme et Facilité de Crédit Renouvelable), ainsi que des obligations Euro PP, pour un montant de 701,4 millions d’euros (hors intérêts) ;</w:t>
          </w:r>
        </w:p>
        <w:p w14:paraId="77079F9E" w14:textId="77777777" w:rsidR="0041512C" w:rsidRPr="00B264D1" w:rsidRDefault="0041512C" w:rsidP="0041512C">
          <w:pPr>
            <w:pStyle w:val="Paragraphedeliste"/>
            <w:numPr>
              <w:ilvl w:val="0"/>
              <w:numId w:val="22"/>
            </w:numPr>
            <w:jc w:val="both"/>
            <w:rPr>
              <w:rFonts w:asciiTheme="minorHAnsi" w:hAnsiTheme="minorHAnsi" w:cstheme="minorHAnsi"/>
              <w:sz w:val="20"/>
              <w:szCs w:val="20"/>
            </w:rPr>
          </w:pPr>
          <w:proofErr w:type="gramStart"/>
          <w:r>
            <w:rPr>
              <w:rFonts w:asciiTheme="minorHAnsi" w:hAnsiTheme="minorHAnsi" w:cstheme="minorHAnsi"/>
              <w:sz w:val="20"/>
              <w:szCs w:val="20"/>
            </w:rPr>
            <w:t>le</w:t>
          </w:r>
          <w:proofErr w:type="gramEnd"/>
          <w:r w:rsidRPr="00B264D1">
            <w:rPr>
              <w:rFonts w:asciiTheme="minorHAnsi" w:hAnsiTheme="minorHAnsi" w:cstheme="minorHAnsi"/>
              <w:sz w:val="20"/>
              <w:szCs w:val="20"/>
            </w:rPr>
            <w:t xml:space="preserve"> nouvel emprunt à terme de 500 millions d’euros (491,3 millions d’euros nets des frais d’emprunts)</w:t>
          </w:r>
          <w:r>
            <w:rPr>
              <w:rFonts w:asciiTheme="minorHAnsi" w:hAnsiTheme="minorHAnsi" w:cstheme="minorHAnsi"/>
              <w:sz w:val="20"/>
              <w:szCs w:val="20"/>
            </w:rPr>
            <w:t> ;</w:t>
          </w:r>
        </w:p>
        <w:p w14:paraId="7A835FAA" w14:textId="77777777" w:rsidR="0041512C" w:rsidRPr="00B264D1" w:rsidRDefault="0041512C" w:rsidP="0041512C">
          <w:pPr>
            <w:pStyle w:val="Paragraphedeliste"/>
            <w:numPr>
              <w:ilvl w:val="0"/>
              <w:numId w:val="22"/>
            </w:numPr>
            <w:jc w:val="both"/>
            <w:rPr>
              <w:rFonts w:asciiTheme="minorHAnsi" w:hAnsiTheme="minorHAnsi" w:cstheme="minorHAnsi"/>
              <w:sz w:val="20"/>
              <w:szCs w:val="20"/>
            </w:rPr>
          </w:pPr>
          <w:proofErr w:type="gramStart"/>
          <w:r w:rsidRPr="00B264D1">
            <w:rPr>
              <w:rFonts w:asciiTheme="minorHAnsi" w:hAnsiTheme="minorHAnsi" w:cstheme="minorHAnsi"/>
              <w:sz w:val="20"/>
              <w:szCs w:val="20"/>
            </w:rPr>
            <w:t>le</w:t>
          </w:r>
          <w:proofErr w:type="gramEnd"/>
          <w:r w:rsidRPr="00B264D1">
            <w:rPr>
              <w:rFonts w:asciiTheme="minorHAnsi" w:hAnsiTheme="minorHAnsi" w:cstheme="minorHAnsi"/>
              <w:sz w:val="20"/>
              <w:szCs w:val="20"/>
            </w:rPr>
            <w:t xml:space="preserve"> remboursement des dettes locatives à hauteur de 8,6 millions d’euros, et le paiement des intérêts de la dette à hauteur de 6,5 millions d’euros.</w:t>
          </w:r>
        </w:p>
        <w:p w14:paraId="1CF9F2EC" w14:textId="77777777" w:rsidR="0041512C" w:rsidRPr="00B264D1" w:rsidRDefault="0041512C" w:rsidP="0041512C">
          <w:pPr>
            <w:rPr>
              <w:rFonts w:asciiTheme="minorHAnsi" w:hAnsiTheme="minorHAnsi" w:cstheme="minorHAnsi"/>
            </w:rPr>
          </w:pPr>
        </w:p>
        <w:p w14:paraId="1A6CDD3C" w14:textId="77777777" w:rsidR="00016402" w:rsidRDefault="00016402">
          <w:pPr>
            <w:spacing w:after="0" w:line="240" w:lineRule="auto"/>
            <w:rPr>
              <w:rFonts w:asciiTheme="minorHAnsi" w:eastAsia="DengXian Light" w:hAnsiTheme="minorHAnsi" w:cstheme="minorHAnsi"/>
              <w:sz w:val="28"/>
              <w:szCs w:val="28"/>
            </w:rPr>
          </w:pPr>
          <w:r>
            <w:rPr>
              <w:rFonts w:asciiTheme="minorHAnsi" w:hAnsiTheme="minorHAnsi" w:cstheme="minorHAnsi"/>
              <w:sz w:val="28"/>
              <w:szCs w:val="28"/>
            </w:rPr>
            <w:br w:type="page"/>
          </w:r>
        </w:p>
        <w:p w14:paraId="3BE90C72" w14:textId="3792EBCD" w:rsidR="0041512C" w:rsidRPr="00B264D1" w:rsidRDefault="0041512C" w:rsidP="0041512C">
          <w:pPr>
            <w:pStyle w:val="Titre2"/>
            <w:numPr>
              <w:ilvl w:val="1"/>
              <w:numId w:val="20"/>
            </w:numPr>
            <w:spacing w:before="0"/>
            <w:ind w:left="567" w:hanging="567"/>
            <w:rPr>
              <w:rFonts w:asciiTheme="minorHAnsi" w:hAnsiTheme="minorHAnsi" w:cstheme="minorHAnsi"/>
              <w:color w:val="auto"/>
              <w:sz w:val="28"/>
              <w:szCs w:val="28"/>
            </w:rPr>
          </w:pPr>
          <w:bookmarkStart w:id="53" w:name="_Toc100684272"/>
          <w:bookmarkStart w:id="54" w:name="_Toc100689216"/>
          <w:bookmarkStart w:id="55" w:name="_Toc100689265"/>
          <w:r w:rsidRPr="00B264D1">
            <w:rPr>
              <w:rFonts w:asciiTheme="minorHAnsi" w:hAnsiTheme="minorHAnsi" w:cstheme="minorHAnsi"/>
              <w:color w:val="auto"/>
              <w:sz w:val="28"/>
              <w:szCs w:val="28"/>
            </w:rPr>
            <w:lastRenderedPageBreak/>
            <w:t>Endettement financier</w:t>
          </w:r>
          <w:bookmarkEnd w:id="53"/>
          <w:bookmarkEnd w:id="54"/>
          <w:bookmarkEnd w:id="55"/>
        </w:p>
        <w:p w14:paraId="768F3A8B" w14:textId="77777777" w:rsidR="0041512C" w:rsidRPr="00B264D1" w:rsidRDefault="0041512C" w:rsidP="0041512C">
          <w:pPr>
            <w:rPr>
              <w:rFonts w:asciiTheme="minorHAnsi" w:hAnsiTheme="minorHAnsi" w:cstheme="minorHAnsi"/>
            </w:rPr>
          </w:pPr>
        </w:p>
        <w:p w14:paraId="6FC5CB1F" w14:textId="77777777" w:rsidR="0041512C" w:rsidRPr="00B264D1" w:rsidRDefault="0041512C" w:rsidP="0041512C">
          <w:pPr>
            <w:jc w:val="both"/>
            <w:rPr>
              <w:rFonts w:asciiTheme="minorHAnsi" w:hAnsiTheme="minorHAnsi" w:cstheme="minorHAnsi"/>
              <w:sz w:val="20"/>
              <w:szCs w:val="20"/>
            </w:rPr>
          </w:pPr>
          <w:r w:rsidRPr="00B264D1">
            <w:rPr>
              <w:rFonts w:asciiTheme="minorHAnsi" w:hAnsiTheme="minorHAnsi" w:cstheme="minorHAnsi"/>
              <w:b/>
              <w:bCs/>
              <w:sz w:val="20"/>
              <w:szCs w:val="20"/>
            </w:rPr>
            <w:t xml:space="preserve">L’endettement net consolidé </w:t>
          </w:r>
          <w:r w:rsidRPr="00B264D1">
            <w:rPr>
              <w:rFonts w:asciiTheme="minorHAnsi" w:hAnsiTheme="minorHAnsi" w:cstheme="minorHAnsi"/>
              <w:sz w:val="20"/>
              <w:szCs w:val="20"/>
            </w:rPr>
            <w:t xml:space="preserve">au 28 février 2022 est de 445,9 millions d’euros contre 708,6 millions d’euros au </w:t>
          </w:r>
          <w:r>
            <w:rPr>
              <w:rFonts w:asciiTheme="minorHAnsi" w:hAnsiTheme="minorHAnsi" w:cstheme="minorHAnsi"/>
              <w:sz w:val="20"/>
              <w:szCs w:val="20"/>
            </w:rPr>
            <w:br/>
          </w:r>
          <w:r w:rsidRPr="00B264D1">
            <w:rPr>
              <w:rFonts w:asciiTheme="minorHAnsi" w:hAnsiTheme="minorHAnsi" w:cstheme="minorHAnsi"/>
              <w:sz w:val="20"/>
              <w:szCs w:val="20"/>
            </w:rPr>
            <w:t xml:space="preserve">31 août 2021. </w:t>
          </w:r>
        </w:p>
        <w:p w14:paraId="120E625F" w14:textId="60CDE086" w:rsidR="0041512C" w:rsidRPr="00B264D1" w:rsidRDefault="0041512C" w:rsidP="0041512C">
          <w:pPr>
            <w:jc w:val="both"/>
            <w:rPr>
              <w:rFonts w:asciiTheme="minorHAnsi" w:hAnsiTheme="minorHAnsi" w:cstheme="minorHAnsi"/>
              <w:sz w:val="20"/>
              <w:szCs w:val="20"/>
            </w:rPr>
          </w:pPr>
          <w:r w:rsidRPr="00B264D1">
            <w:rPr>
              <w:rFonts w:asciiTheme="minorHAnsi" w:hAnsiTheme="minorHAnsi" w:cstheme="minorHAnsi"/>
              <w:b/>
              <w:bCs/>
              <w:sz w:val="20"/>
              <w:szCs w:val="20"/>
            </w:rPr>
            <w:t>La baisse de l’endettement financier brut</w:t>
          </w:r>
          <w:r w:rsidRPr="00B264D1">
            <w:rPr>
              <w:rFonts w:asciiTheme="minorHAnsi" w:hAnsiTheme="minorHAnsi" w:cstheme="minorHAnsi"/>
              <w:sz w:val="20"/>
              <w:szCs w:val="20"/>
            </w:rPr>
            <w:t xml:space="preserve"> provient du remboursement intégral du Contrat de Crédits </w:t>
          </w:r>
          <w:r w:rsidR="007753D0">
            <w:rPr>
              <w:rFonts w:asciiTheme="minorHAnsi" w:hAnsiTheme="minorHAnsi" w:cstheme="minorHAnsi"/>
              <w:sz w:val="20"/>
              <w:szCs w:val="20"/>
            </w:rPr>
            <w:t xml:space="preserve">Senior </w:t>
          </w:r>
          <w:r w:rsidRPr="00B264D1">
            <w:rPr>
              <w:rFonts w:asciiTheme="minorHAnsi" w:hAnsiTheme="minorHAnsi" w:cstheme="minorHAnsi"/>
              <w:sz w:val="20"/>
              <w:szCs w:val="20"/>
            </w:rPr>
            <w:t>antérieurs (Prêt à Terme et Facilité de Crédit Renouvelable), ainsi que des obligations Euro PP, pour un montant de 705,2 millions d’euros (y compris intérêts de la dette), et à la mise en place d’un nouveau contrat de crédits senior d’un montant total en principal de 920 millions d’euros (la «</w:t>
          </w:r>
          <w:r>
            <w:rPr>
              <w:rFonts w:asciiTheme="minorHAnsi" w:hAnsiTheme="minorHAnsi" w:cstheme="minorHAnsi"/>
              <w:sz w:val="20"/>
              <w:szCs w:val="20"/>
            </w:rPr>
            <w:t xml:space="preserve"> </w:t>
          </w:r>
          <w:r w:rsidRPr="00B264D1">
            <w:rPr>
              <w:rFonts w:asciiTheme="minorHAnsi" w:hAnsiTheme="minorHAnsi" w:cstheme="minorHAnsi"/>
              <w:sz w:val="20"/>
              <w:szCs w:val="20"/>
            </w:rPr>
            <w:t>Nouvelle Dette</w:t>
          </w:r>
          <w:r>
            <w:rPr>
              <w:rFonts w:asciiTheme="minorHAnsi" w:hAnsiTheme="minorHAnsi" w:cstheme="minorHAnsi"/>
              <w:sz w:val="20"/>
              <w:szCs w:val="20"/>
            </w:rPr>
            <w:t xml:space="preserve"> </w:t>
          </w:r>
          <w:r w:rsidRPr="00B264D1">
            <w:rPr>
              <w:rFonts w:asciiTheme="minorHAnsi" w:hAnsiTheme="minorHAnsi" w:cstheme="minorHAnsi"/>
              <w:sz w:val="20"/>
              <w:szCs w:val="20"/>
            </w:rPr>
            <w:t xml:space="preserve">»), conclu </w:t>
          </w:r>
          <w:r w:rsidRPr="00B264D1">
            <w:rPr>
              <w:rFonts w:asciiTheme="minorHAnsi" w:eastAsia="Calibri" w:hAnsiTheme="minorHAnsi" w:cstheme="minorHAnsi"/>
              <w:sz w:val="20"/>
              <w:szCs w:val="20"/>
              <w:lang w:val="fr"/>
            </w:rPr>
            <w:t xml:space="preserve">le 24 septembre 2021 </w:t>
          </w:r>
          <w:r w:rsidRPr="00B264D1">
            <w:rPr>
              <w:rFonts w:asciiTheme="minorHAnsi" w:hAnsiTheme="minorHAnsi" w:cstheme="minorHAnsi"/>
              <w:sz w:val="20"/>
              <w:szCs w:val="20"/>
            </w:rPr>
            <w:t xml:space="preserve">en remplacement du Contrat de Crédits antérieurs. </w:t>
          </w:r>
        </w:p>
        <w:p w14:paraId="4CE07E99" w14:textId="77777777" w:rsidR="0041512C" w:rsidRPr="00B264D1" w:rsidRDefault="0041512C" w:rsidP="0041512C">
          <w:pPr>
            <w:jc w:val="both"/>
            <w:rPr>
              <w:rStyle w:val="tlid-translation"/>
              <w:rFonts w:asciiTheme="minorHAnsi" w:hAnsiTheme="minorHAnsi" w:cstheme="minorHAnsi"/>
              <w:sz w:val="20"/>
              <w:szCs w:val="20"/>
            </w:rPr>
          </w:pPr>
          <w:r w:rsidRPr="00B264D1">
            <w:rPr>
              <w:rFonts w:asciiTheme="minorHAnsi" w:hAnsiTheme="minorHAnsi" w:cstheme="minorHAnsi"/>
              <w:sz w:val="20"/>
              <w:szCs w:val="20"/>
            </w:rPr>
            <w:t>La Nouvelle Dette intègre un nouvel emprunt à terme de 500 millions d’euros (492,8 millions d’euros y compris les intérêts de la dette et nets des frais d’emprunts amortis) et la mise en place d’une nouvelle facilité de crédit renouvelable (RCF) pour une capacité maximale de 420 millions d’euros.</w:t>
          </w:r>
        </w:p>
        <w:p w14:paraId="5B65943D" w14:textId="432B50DE" w:rsidR="0041512C" w:rsidRDefault="0041512C" w:rsidP="0041512C">
          <w:pPr>
            <w:jc w:val="both"/>
            <w:rPr>
              <w:rStyle w:val="tlid-translation"/>
            </w:rPr>
          </w:pPr>
          <w:r w:rsidRPr="00B264D1">
            <w:rPr>
              <w:rFonts w:asciiTheme="minorHAnsi" w:hAnsiTheme="minorHAnsi" w:cstheme="minorHAnsi"/>
              <w:sz w:val="20"/>
              <w:szCs w:val="20"/>
            </w:rPr>
            <w:t>Au 28 février 2022, la marge appliquée est de 1,10% pour l’emprunt à terme. Par ailleurs, à cette même date, l</w:t>
          </w:r>
          <w:r w:rsidRPr="00B264D1">
            <w:rPr>
              <w:rStyle w:val="tlid-translation"/>
              <w:rFonts w:asciiTheme="minorHAnsi" w:hAnsiTheme="minorHAnsi" w:cstheme="minorHAnsi"/>
              <w:sz w:val="20"/>
              <w:szCs w:val="20"/>
            </w:rPr>
            <w:t>a RCF n’a fait l’objet d’aucun tirage.</w:t>
          </w:r>
        </w:p>
        <w:p w14:paraId="62F4CE23" w14:textId="77777777" w:rsidR="0041512C" w:rsidRPr="00B264D1" w:rsidRDefault="0041512C" w:rsidP="0041512C">
          <w:pPr>
            <w:jc w:val="both"/>
            <w:rPr>
              <w:rStyle w:val="tlid-translation"/>
              <w:rFonts w:asciiTheme="minorHAnsi" w:hAnsiTheme="minorHAnsi" w:cstheme="minorHAnsi"/>
              <w:sz w:val="20"/>
              <w:szCs w:val="20"/>
            </w:rPr>
          </w:pPr>
          <w:r w:rsidRPr="00B264D1">
            <w:rPr>
              <w:rStyle w:val="tlid-translation"/>
              <w:rFonts w:asciiTheme="minorHAnsi" w:hAnsiTheme="minorHAnsi" w:cstheme="minorHAnsi"/>
              <w:sz w:val="20"/>
              <w:szCs w:val="20"/>
            </w:rPr>
            <w:t>Le tableau suivant présente la dette financière brute et nette du Groupe au 28 février 2022 et au 31 août 2021 :</w:t>
          </w:r>
        </w:p>
        <w:tbl>
          <w:tblPr>
            <w:tblW w:w="8960" w:type="dxa"/>
            <w:tblCellMar>
              <w:left w:w="70" w:type="dxa"/>
              <w:right w:w="70" w:type="dxa"/>
            </w:tblCellMar>
            <w:tblLook w:val="04A0" w:firstRow="1" w:lastRow="0" w:firstColumn="1" w:lastColumn="0" w:noHBand="0" w:noVBand="1"/>
          </w:tblPr>
          <w:tblGrid>
            <w:gridCol w:w="3377"/>
            <w:gridCol w:w="1398"/>
            <w:gridCol w:w="1397"/>
            <w:gridCol w:w="1394"/>
            <w:gridCol w:w="1394"/>
          </w:tblGrid>
          <w:tr w:rsidR="0041512C" w:rsidRPr="00797688" w14:paraId="607E7323" w14:textId="77777777" w:rsidTr="00D14D81">
            <w:trPr>
              <w:trHeight w:val="290"/>
            </w:trPr>
            <w:tc>
              <w:tcPr>
                <w:tcW w:w="3377" w:type="dxa"/>
                <w:tcBorders>
                  <w:top w:val="nil"/>
                  <w:left w:val="nil"/>
                  <w:bottom w:val="single" w:sz="4" w:space="0" w:color="000E9C"/>
                  <w:right w:val="nil"/>
                </w:tcBorders>
                <w:shd w:val="clear" w:color="auto" w:fill="auto"/>
                <w:noWrap/>
                <w:hideMark/>
              </w:tcPr>
              <w:p w14:paraId="6494F6B8" w14:textId="77777777" w:rsidR="0041512C" w:rsidRPr="00797688" w:rsidRDefault="0041512C" w:rsidP="00D14D81">
                <w:pPr>
                  <w:spacing w:after="0" w:line="240" w:lineRule="auto"/>
                  <w:rPr>
                    <w:rFonts w:asciiTheme="minorHAnsi" w:eastAsia="Times New Roman" w:hAnsiTheme="minorHAnsi" w:cstheme="minorHAnsi"/>
                    <w:i/>
                    <w:iCs/>
                    <w:sz w:val="18"/>
                    <w:szCs w:val="18"/>
                    <w:lang w:eastAsia="fr-FR"/>
                  </w:rPr>
                </w:pPr>
                <w:r w:rsidRPr="00797688">
                  <w:rPr>
                    <w:rFonts w:asciiTheme="minorHAnsi" w:eastAsia="Times New Roman" w:hAnsiTheme="minorHAnsi" w:cstheme="minorHAnsi"/>
                    <w:i/>
                    <w:iCs/>
                    <w:sz w:val="18"/>
                    <w:szCs w:val="18"/>
                    <w:lang w:eastAsia="fr-FR"/>
                  </w:rPr>
                  <w:t>(</w:t>
                </w:r>
                <w:proofErr w:type="gramStart"/>
                <w:r w:rsidRPr="00797688">
                  <w:rPr>
                    <w:rFonts w:asciiTheme="minorHAnsi" w:eastAsia="Times New Roman" w:hAnsiTheme="minorHAnsi" w:cstheme="minorHAnsi"/>
                    <w:i/>
                    <w:iCs/>
                    <w:sz w:val="18"/>
                    <w:szCs w:val="18"/>
                    <w:lang w:eastAsia="fr-FR"/>
                  </w:rPr>
                  <w:t>en</w:t>
                </w:r>
                <w:proofErr w:type="gramEnd"/>
                <w:r w:rsidRPr="00797688">
                  <w:rPr>
                    <w:rFonts w:asciiTheme="minorHAnsi" w:eastAsia="Times New Roman" w:hAnsiTheme="minorHAnsi" w:cstheme="minorHAnsi"/>
                    <w:i/>
                    <w:iCs/>
                    <w:sz w:val="18"/>
                    <w:szCs w:val="18"/>
                    <w:lang w:eastAsia="fr-FR"/>
                  </w:rPr>
                  <w:t xml:space="preserve"> millions d'euros)</w:t>
                </w:r>
              </w:p>
            </w:tc>
            <w:tc>
              <w:tcPr>
                <w:tcW w:w="1398" w:type="dxa"/>
                <w:tcBorders>
                  <w:top w:val="nil"/>
                  <w:left w:val="nil"/>
                  <w:bottom w:val="single" w:sz="4" w:space="0" w:color="000E9C"/>
                  <w:right w:val="nil"/>
                </w:tcBorders>
                <w:shd w:val="clear" w:color="auto" w:fill="auto"/>
                <w:hideMark/>
              </w:tcPr>
              <w:p w14:paraId="41C9E129" w14:textId="77777777" w:rsidR="0041512C" w:rsidRPr="00797688" w:rsidRDefault="0041512C" w:rsidP="00D14D81">
                <w:pPr>
                  <w:spacing w:after="0" w:line="240" w:lineRule="auto"/>
                  <w:jc w:val="right"/>
                  <w:rPr>
                    <w:rFonts w:asciiTheme="minorHAnsi" w:eastAsia="Times New Roman" w:hAnsiTheme="minorHAnsi" w:cstheme="minorHAnsi"/>
                    <w:i/>
                    <w:iCs/>
                    <w:sz w:val="18"/>
                    <w:szCs w:val="18"/>
                    <w:lang w:eastAsia="fr-FR"/>
                  </w:rPr>
                </w:pPr>
                <w:r w:rsidRPr="00797688">
                  <w:rPr>
                    <w:rFonts w:asciiTheme="minorHAnsi" w:eastAsia="Times New Roman" w:hAnsiTheme="minorHAnsi" w:cstheme="minorHAnsi"/>
                    <w:i/>
                    <w:iCs/>
                    <w:sz w:val="18"/>
                    <w:szCs w:val="18"/>
                    <w:lang w:eastAsia="fr-FR"/>
                  </w:rPr>
                  <w:t>Taux d'intérêt</w:t>
                </w:r>
              </w:p>
            </w:tc>
            <w:tc>
              <w:tcPr>
                <w:tcW w:w="1397" w:type="dxa"/>
                <w:tcBorders>
                  <w:top w:val="nil"/>
                  <w:left w:val="nil"/>
                  <w:bottom w:val="single" w:sz="4" w:space="0" w:color="000E9C"/>
                  <w:right w:val="nil"/>
                </w:tcBorders>
                <w:shd w:val="clear" w:color="auto" w:fill="auto"/>
                <w:hideMark/>
              </w:tcPr>
              <w:p w14:paraId="78CFC672" w14:textId="77777777" w:rsidR="0041512C" w:rsidRPr="00797688" w:rsidRDefault="0041512C" w:rsidP="00D14D81">
                <w:pPr>
                  <w:spacing w:after="0" w:line="240" w:lineRule="auto"/>
                  <w:jc w:val="right"/>
                  <w:rPr>
                    <w:rFonts w:asciiTheme="minorHAnsi" w:eastAsia="Times New Roman" w:hAnsiTheme="minorHAnsi" w:cstheme="minorHAnsi"/>
                    <w:i/>
                    <w:iCs/>
                    <w:sz w:val="18"/>
                    <w:szCs w:val="18"/>
                    <w:lang w:eastAsia="fr-FR"/>
                  </w:rPr>
                </w:pPr>
                <w:r w:rsidRPr="00797688">
                  <w:rPr>
                    <w:rFonts w:asciiTheme="minorHAnsi" w:eastAsia="Times New Roman" w:hAnsiTheme="minorHAnsi" w:cstheme="minorHAnsi"/>
                    <w:i/>
                    <w:iCs/>
                    <w:sz w:val="18"/>
                    <w:szCs w:val="18"/>
                    <w:lang w:eastAsia="fr-FR"/>
                  </w:rPr>
                  <w:t>Maturité finale</w:t>
                </w:r>
              </w:p>
            </w:tc>
            <w:tc>
              <w:tcPr>
                <w:tcW w:w="1394" w:type="dxa"/>
                <w:tcBorders>
                  <w:top w:val="nil"/>
                  <w:left w:val="nil"/>
                  <w:bottom w:val="single" w:sz="4" w:space="0" w:color="000E9C"/>
                  <w:right w:val="nil"/>
                </w:tcBorders>
                <w:shd w:val="clear" w:color="auto" w:fill="auto"/>
                <w:hideMark/>
              </w:tcPr>
              <w:p w14:paraId="55FCFA79" w14:textId="77777777" w:rsidR="0041512C" w:rsidRPr="00797688" w:rsidRDefault="0041512C" w:rsidP="00D14D81">
                <w:pPr>
                  <w:spacing w:after="0" w:line="240" w:lineRule="auto"/>
                  <w:jc w:val="right"/>
                  <w:rPr>
                    <w:rFonts w:asciiTheme="minorHAnsi" w:eastAsia="Times New Roman" w:hAnsiTheme="minorHAnsi" w:cstheme="minorHAnsi"/>
                    <w:sz w:val="18"/>
                    <w:szCs w:val="18"/>
                    <w:lang w:eastAsia="fr-FR"/>
                  </w:rPr>
                </w:pPr>
                <w:r w:rsidRPr="00797688">
                  <w:rPr>
                    <w:rFonts w:asciiTheme="minorHAnsi" w:eastAsia="Times New Roman" w:hAnsiTheme="minorHAnsi" w:cstheme="minorHAnsi"/>
                    <w:sz w:val="18"/>
                    <w:szCs w:val="18"/>
                    <w:lang w:eastAsia="fr-FR"/>
                  </w:rPr>
                  <w:t>31 août 2021</w:t>
                </w:r>
              </w:p>
            </w:tc>
            <w:tc>
              <w:tcPr>
                <w:tcW w:w="1394" w:type="dxa"/>
                <w:tcBorders>
                  <w:top w:val="nil"/>
                  <w:left w:val="nil"/>
                  <w:bottom w:val="single" w:sz="4" w:space="0" w:color="000E9C"/>
                  <w:right w:val="nil"/>
                </w:tcBorders>
                <w:shd w:val="clear" w:color="000000" w:fill="E7E6E6"/>
                <w:hideMark/>
              </w:tcPr>
              <w:p w14:paraId="6521E5EC" w14:textId="77777777" w:rsidR="0041512C" w:rsidRPr="00797688" w:rsidRDefault="0041512C" w:rsidP="00D14D81">
                <w:pPr>
                  <w:spacing w:after="0" w:line="240" w:lineRule="auto"/>
                  <w:jc w:val="right"/>
                  <w:rPr>
                    <w:rFonts w:asciiTheme="minorHAnsi" w:eastAsia="Times New Roman" w:hAnsiTheme="minorHAnsi" w:cstheme="minorHAnsi"/>
                    <w:color w:val="000E9C"/>
                    <w:sz w:val="18"/>
                    <w:szCs w:val="18"/>
                    <w:lang w:eastAsia="fr-FR"/>
                  </w:rPr>
                </w:pPr>
                <w:r w:rsidRPr="00797688">
                  <w:rPr>
                    <w:rFonts w:asciiTheme="minorHAnsi" w:eastAsia="Times New Roman" w:hAnsiTheme="minorHAnsi" w:cstheme="minorHAnsi"/>
                    <w:color w:val="000E9C"/>
                    <w:sz w:val="18"/>
                    <w:szCs w:val="18"/>
                    <w:lang w:eastAsia="fr-FR"/>
                  </w:rPr>
                  <w:t>28 février 2022</w:t>
                </w:r>
              </w:p>
            </w:tc>
          </w:tr>
          <w:tr w:rsidR="0041512C" w:rsidRPr="00797688" w14:paraId="168824CA" w14:textId="77777777" w:rsidTr="00D14D81">
            <w:trPr>
              <w:trHeight w:val="290"/>
            </w:trPr>
            <w:tc>
              <w:tcPr>
                <w:tcW w:w="3377" w:type="dxa"/>
                <w:tcBorders>
                  <w:top w:val="nil"/>
                  <w:left w:val="nil"/>
                  <w:bottom w:val="nil"/>
                  <w:right w:val="nil"/>
                </w:tcBorders>
                <w:shd w:val="clear" w:color="auto" w:fill="auto"/>
                <w:noWrap/>
                <w:hideMark/>
              </w:tcPr>
              <w:p w14:paraId="6E13EED6" w14:textId="77777777" w:rsidR="0041512C" w:rsidRPr="00797688" w:rsidRDefault="0041512C" w:rsidP="00D14D81">
                <w:pPr>
                  <w:spacing w:after="0" w:line="240" w:lineRule="auto"/>
                  <w:rPr>
                    <w:rFonts w:asciiTheme="minorHAnsi" w:eastAsia="Times New Roman" w:hAnsiTheme="minorHAnsi" w:cstheme="minorHAnsi"/>
                    <w:color w:val="000000"/>
                    <w:sz w:val="18"/>
                    <w:szCs w:val="18"/>
                    <w:lang w:eastAsia="fr-FR"/>
                  </w:rPr>
                </w:pPr>
                <w:r w:rsidRPr="00797688">
                  <w:rPr>
                    <w:rFonts w:asciiTheme="minorHAnsi" w:eastAsia="Times New Roman" w:hAnsiTheme="minorHAnsi" w:cstheme="minorHAnsi"/>
                    <w:color w:val="000000"/>
                    <w:sz w:val="18"/>
                    <w:szCs w:val="18"/>
                    <w:lang w:eastAsia="fr-FR"/>
                  </w:rPr>
                  <w:t>Emprunt obligataire B</w:t>
                </w:r>
              </w:p>
            </w:tc>
            <w:tc>
              <w:tcPr>
                <w:tcW w:w="1398" w:type="dxa"/>
                <w:tcBorders>
                  <w:top w:val="nil"/>
                  <w:left w:val="nil"/>
                  <w:bottom w:val="nil"/>
                  <w:right w:val="nil"/>
                </w:tcBorders>
                <w:shd w:val="clear" w:color="auto" w:fill="auto"/>
                <w:noWrap/>
                <w:hideMark/>
              </w:tcPr>
              <w:p w14:paraId="0DBE81E1" w14:textId="77777777" w:rsidR="0041512C" w:rsidRPr="00797688" w:rsidRDefault="0041512C" w:rsidP="00D14D81">
                <w:pPr>
                  <w:spacing w:after="0" w:line="240" w:lineRule="auto"/>
                  <w:jc w:val="right"/>
                  <w:rPr>
                    <w:rFonts w:asciiTheme="minorHAnsi" w:eastAsia="Times New Roman" w:hAnsiTheme="minorHAnsi" w:cstheme="minorHAnsi"/>
                    <w:color w:val="000000"/>
                    <w:sz w:val="18"/>
                    <w:szCs w:val="18"/>
                    <w:lang w:eastAsia="fr-FR"/>
                  </w:rPr>
                </w:pPr>
                <w:r w:rsidRPr="00797688">
                  <w:rPr>
                    <w:rFonts w:asciiTheme="minorHAnsi" w:eastAsia="Times New Roman" w:hAnsiTheme="minorHAnsi" w:cstheme="minorHAnsi"/>
                    <w:color w:val="000000"/>
                    <w:sz w:val="18"/>
                    <w:szCs w:val="18"/>
                    <w:lang w:eastAsia="fr-FR"/>
                  </w:rPr>
                  <w:t>4,00%</w:t>
                </w:r>
              </w:p>
            </w:tc>
            <w:tc>
              <w:tcPr>
                <w:tcW w:w="1397" w:type="dxa"/>
                <w:tcBorders>
                  <w:top w:val="nil"/>
                  <w:left w:val="nil"/>
                  <w:bottom w:val="nil"/>
                  <w:right w:val="nil"/>
                </w:tcBorders>
                <w:shd w:val="clear" w:color="auto" w:fill="auto"/>
                <w:noWrap/>
                <w:hideMark/>
              </w:tcPr>
              <w:p w14:paraId="60894B36" w14:textId="77777777" w:rsidR="0041512C" w:rsidRPr="00797688" w:rsidRDefault="0041512C" w:rsidP="00D14D81">
                <w:pPr>
                  <w:spacing w:after="0" w:line="240" w:lineRule="auto"/>
                  <w:jc w:val="right"/>
                  <w:rPr>
                    <w:rFonts w:asciiTheme="minorHAnsi" w:eastAsia="Times New Roman" w:hAnsiTheme="minorHAnsi" w:cstheme="minorHAnsi"/>
                    <w:color w:val="000000"/>
                    <w:sz w:val="18"/>
                    <w:szCs w:val="18"/>
                    <w:lang w:eastAsia="fr-FR"/>
                  </w:rPr>
                </w:pPr>
                <w:r w:rsidRPr="00797688">
                  <w:rPr>
                    <w:rFonts w:asciiTheme="minorHAnsi" w:eastAsia="Times New Roman" w:hAnsiTheme="minorHAnsi" w:cstheme="minorHAnsi"/>
                    <w:color w:val="000000"/>
                    <w:sz w:val="18"/>
                    <w:szCs w:val="18"/>
                    <w:lang w:eastAsia="fr-FR"/>
                  </w:rPr>
                  <w:t>17/11/2021</w:t>
                </w:r>
              </w:p>
            </w:tc>
            <w:tc>
              <w:tcPr>
                <w:tcW w:w="1394" w:type="dxa"/>
                <w:tcBorders>
                  <w:top w:val="nil"/>
                  <w:left w:val="nil"/>
                  <w:bottom w:val="nil"/>
                  <w:right w:val="nil"/>
                </w:tcBorders>
                <w:shd w:val="clear" w:color="auto" w:fill="auto"/>
                <w:noWrap/>
                <w:hideMark/>
              </w:tcPr>
              <w:p w14:paraId="0E17327C" w14:textId="77777777" w:rsidR="0041512C" w:rsidRPr="00797688" w:rsidRDefault="0041512C" w:rsidP="00D14D81">
                <w:pPr>
                  <w:spacing w:after="0" w:line="240" w:lineRule="auto"/>
                  <w:jc w:val="right"/>
                  <w:rPr>
                    <w:rFonts w:asciiTheme="minorHAnsi" w:eastAsia="Times New Roman" w:hAnsiTheme="minorHAnsi" w:cstheme="minorHAnsi"/>
                    <w:color w:val="000000"/>
                    <w:sz w:val="18"/>
                    <w:szCs w:val="18"/>
                    <w:lang w:eastAsia="fr-FR"/>
                  </w:rPr>
                </w:pPr>
                <w:r w:rsidRPr="00797688">
                  <w:rPr>
                    <w:rFonts w:asciiTheme="minorHAnsi" w:eastAsia="Times New Roman" w:hAnsiTheme="minorHAnsi" w:cstheme="minorHAnsi"/>
                    <w:color w:val="000000"/>
                    <w:sz w:val="18"/>
                    <w:szCs w:val="18"/>
                    <w:lang w:eastAsia="fr-FR"/>
                  </w:rPr>
                  <w:t>58,8</w:t>
                </w:r>
              </w:p>
            </w:tc>
            <w:tc>
              <w:tcPr>
                <w:tcW w:w="1394" w:type="dxa"/>
                <w:tcBorders>
                  <w:top w:val="nil"/>
                  <w:left w:val="nil"/>
                  <w:bottom w:val="nil"/>
                  <w:right w:val="nil"/>
                </w:tcBorders>
                <w:shd w:val="clear" w:color="000000" w:fill="E7E6E6"/>
                <w:noWrap/>
                <w:hideMark/>
              </w:tcPr>
              <w:p w14:paraId="2AF866B0" w14:textId="77777777" w:rsidR="0041512C" w:rsidRPr="00797688" w:rsidRDefault="0041512C" w:rsidP="00D14D81">
                <w:pPr>
                  <w:spacing w:after="0" w:line="240" w:lineRule="auto"/>
                  <w:jc w:val="right"/>
                  <w:rPr>
                    <w:rFonts w:asciiTheme="minorHAnsi" w:eastAsia="Times New Roman" w:hAnsiTheme="minorHAnsi" w:cstheme="minorHAnsi"/>
                    <w:color w:val="000E9C"/>
                    <w:sz w:val="18"/>
                    <w:szCs w:val="18"/>
                    <w:lang w:eastAsia="fr-FR"/>
                  </w:rPr>
                </w:pPr>
                <w:r w:rsidRPr="00797688">
                  <w:rPr>
                    <w:rFonts w:asciiTheme="minorHAnsi" w:eastAsia="Times New Roman" w:hAnsiTheme="minorHAnsi" w:cstheme="minorHAnsi"/>
                    <w:color w:val="000E9C"/>
                    <w:sz w:val="18"/>
                    <w:szCs w:val="18"/>
                    <w:lang w:eastAsia="fr-FR"/>
                  </w:rPr>
                  <w:t>-</w:t>
                </w:r>
              </w:p>
            </w:tc>
          </w:tr>
          <w:tr w:rsidR="0041512C" w:rsidRPr="00797688" w14:paraId="7794D2F3" w14:textId="77777777" w:rsidTr="00D14D81">
            <w:trPr>
              <w:trHeight w:val="290"/>
            </w:trPr>
            <w:tc>
              <w:tcPr>
                <w:tcW w:w="3377" w:type="dxa"/>
                <w:tcBorders>
                  <w:top w:val="nil"/>
                  <w:left w:val="nil"/>
                  <w:bottom w:val="nil"/>
                  <w:right w:val="nil"/>
                </w:tcBorders>
                <w:shd w:val="clear" w:color="auto" w:fill="auto"/>
                <w:noWrap/>
                <w:hideMark/>
              </w:tcPr>
              <w:p w14:paraId="7FF80B5B" w14:textId="77777777" w:rsidR="0041512C" w:rsidRPr="00797688" w:rsidRDefault="0041512C" w:rsidP="00D14D81">
                <w:pPr>
                  <w:spacing w:after="0" w:line="240" w:lineRule="auto"/>
                  <w:rPr>
                    <w:rFonts w:asciiTheme="minorHAnsi" w:eastAsia="Times New Roman" w:hAnsiTheme="minorHAnsi" w:cstheme="minorHAnsi"/>
                    <w:color w:val="000000"/>
                    <w:sz w:val="18"/>
                    <w:szCs w:val="18"/>
                    <w:lang w:eastAsia="fr-FR"/>
                  </w:rPr>
                </w:pPr>
                <w:r w:rsidRPr="00797688">
                  <w:rPr>
                    <w:rFonts w:asciiTheme="minorHAnsi" w:eastAsia="Times New Roman" w:hAnsiTheme="minorHAnsi" w:cstheme="minorHAnsi"/>
                    <w:color w:val="000000"/>
                    <w:sz w:val="18"/>
                    <w:szCs w:val="18"/>
                    <w:lang w:eastAsia="fr-FR"/>
                  </w:rPr>
                  <w:t>Emprunt obligataire C</w:t>
                </w:r>
              </w:p>
            </w:tc>
            <w:tc>
              <w:tcPr>
                <w:tcW w:w="1398" w:type="dxa"/>
                <w:tcBorders>
                  <w:top w:val="nil"/>
                  <w:left w:val="nil"/>
                  <w:bottom w:val="nil"/>
                  <w:right w:val="nil"/>
                </w:tcBorders>
                <w:shd w:val="clear" w:color="auto" w:fill="auto"/>
                <w:noWrap/>
                <w:hideMark/>
              </w:tcPr>
              <w:p w14:paraId="69D8A82E" w14:textId="77777777" w:rsidR="0041512C" w:rsidRPr="00797688" w:rsidRDefault="0041512C" w:rsidP="00D14D81">
                <w:pPr>
                  <w:spacing w:after="0" w:line="240" w:lineRule="auto"/>
                  <w:jc w:val="right"/>
                  <w:rPr>
                    <w:rFonts w:asciiTheme="minorHAnsi" w:eastAsia="Times New Roman" w:hAnsiTheme="minorHAnsi" w:cstheme="minorHAnsi"/>
                    <w:color w:val="000000"/>
                    <w:sz w:val="18"/>
                    <w:szCs w:val="18"/>
                    <w:lang w:eastAsia="fr-FR"/>
                  </w:rPr>
                </w:pPr>
                <w:r w:rsidRPr="00797688">
                  <w:rPr>
                    <w:rFonts w:asciiTheme="minorHAnsi" w:eastAsia="Times New Roman" w:hAnsiTheme="minorHAnsi" w:cstheme="minorHAnsi"/>
                    <w:color w:val="000000"/>
                    <w:sz w:val="18"/>
                    <w:szCs w:val="18"/>
                    <w:lang w:eastAsia="fr-FR"/>
                  </w:rPr>
                  <w:t>4,13%</w:t>
                </w:r>
              </w:p>
            </w:tc>
            <w:tc>
              <w:tcPr>
                <w:tcW w:w="1397" w:type="dxa"/>
                <w:tcBorders>
                  <w:top w:val="nil"/>
                  <w:left w:val="nil"/>
                  <w:bottom w:val="nil"/>
                  <w:right w:val="nil"/>
                </w:tcBorders>
                <w:shd w:val="clear" w:color="auto" w:fill="auto"/>
                <w:noWrap/>
                <w:hideMark/>
              </w:tcPr>
              <w:p w14:paraId="37B8CBF2" w14:textId="77777777" w:rsidR="0041512C" w:rsidRPr="00797688" w:rsidRDefault="0041512C" w:rsidP="00D14D81">
                <w:pPr>
                  <w:spacing w:after="0" w:line="240" w:lineRule="auto"/>
                  <w:jc w:val="right"/>
                  <w:rPr>
                    <w:rFonts w:asciiTheme="minorHAnsi" w:eastAsia="Times New Roman" w:hAnsiTheme="minorHAnsi" w:cstheme="minorHAnsi"/>
                    <w:color w:val="000000"/>
                    <w:sz w:val="18"/>
                    <w:szCs w:val="18"/>
                    <w:lang w:eastAsia="fr-FR"/>
                  </w:rPr>
                </w:pPr>
                <w:r w:rsidRPr="00797688">
                  <w:rPr>
                    <w:rFonts w:asciiTheme="minorHAnsi" w:eastAsia="Times New Roman" w:hAnsiTheme="minorHAnsi" w:cstheme="minorHAnsi"/>
                    <w:color w:val="000000"/>
                    <w:sz w:val="18"/>
                    <w:szCs w:val="18"/>
                    <w:lang w:eastAsia="fr-FR"/>
                  </w:rPr>
                  <w:t>27/05/2022</w:t>
                </w:r>
              </w:p>
            </w:tc>
            <w:tc>
              <w:tcPr>
                <w:tcW w:w="1394" w:type="dxa"/>
                <w:tcBorders>
                  <w:top w:val="nil"/>
                  <w:left w:val="nil"/>
                  <w:bottom w:val="nil"/>
                  <w:right w:val="nil"/>
                </w:tcBorders>
                <w:shd w:val="clear" w:color="auto" w:fill="auto"/>
                <w:noWrap/>
                <w:hideMark/>
              </w:tcPr>
              <w:p w14:paraId="4774D795" w14:textId="77777777" w:rsidR="0041512C" w:rsidRPr="00797688" w:rsidRDefault="0041512C" w:rsidP="00D14D81">
                <w:pPr>
                  <w:spacing w:after="0" w:line="240" w:lineRule="auto"/>
                  <w:jc w:val="right"/>
                  <w:rPr>
                    <w:rFonts w:asciiTheme="minorHAnsi" w:eastAsia="Times New Roman" w:hAnsiTheme="minorHAnsi" w:cstheme="minorHAnsi"/>
                    <w:color w:val="000000"/>
                    <w:sz w:val="18"/>
                    <w:szCs w:val="18"/>
                    <w:lang w:eastAsia="fr-FR"/>
                  </w:rPr>
                </w:pPr>
                <w:r w:rsidRPr="00797688">
                  <w:rPr>
                    <w:rFonts w:asciiTheme="minorHAnsi" w:eastAsia="Times New Roman" w:hAnsiTheme="minorHAnsi" w:cstheme="minorHAnsi"/>
                    <w:color w:val="000000"/>
                    <w:sz w:val="18"/>
                    <w:szCs w:val="18"/>
                    <w:lang w:eastAsia="fr-FR"/>
                  </w:rPr>
                  <w:t>10,3</w:t>
                </w:r>
              </w:p>
            </w:tc>
            <w:tc>
              <w:tcPr>
                <w:tcW w:w="1394" w:type="dxa"/>
                <w:tcBorders>
                  <w:top w:val="nil"/>
                  <w:left w:val="nil"/>
                  <w:bottom w:val="nil"/>
                  <w:right w:val="nil"/>
                </w:tcBorders>
                <w:shd w:val="clear" w:color="000000" w:fill="E7E6E6"/>
                <w:noWrap/>
                <w:hideMark/>
              </w:tcPr>
              <w:p w14:paraId="687F52B5" w14:textId="77777777" w:rsidR="0041512C" w:rsidRPr="00797688" w:rsidRDefault="0041512C" w:rsidP="00D14D81">
                <w:pPr>
                  <w:spacing w:after="0" w:line="240" w:lineRule="auto"/>
                  <w:jc w:val="right"/>
                  <w:rPr>
                    <w:rFonts w:asciiTheme="minorHAnsi" w:eastAsia="Times New Roman" w:hAnsiTheme="minorHAnsi" w:cstheme="minorHAnsi"/>
                    <w:color w:val="000E9C"/>
                    <w:sz w:val="18"/>
                    <w:szCs w:val="18"/>
                    <w:lang w:eastAsia="fr-FR"/>
                  </w:rPr>
                </w:pPr>
                <w:r w:rsidRPr="00797688">
                  <w:rPr>
                    <w:rFonts w:asciiTheme="minorHAnsi" w:eastAsia="Times New Roman" w:hAnsiTheme="minorHAnsi" w:cstheme="minorHAnsi"/>
                    <w:color w:val="000E9C"/>
                    <w:sz w:val="18"/>
                    <w:szCs w:val="18"/>
                    <w:lang w:eastAsia="fr-FR"/>
                  </w:rPr>
                  <w:t>-</w:t>
                </w:r>
              </w:p>
            </w:tc>
          </w:tr>
          <w:tr w:rsidR="0041512C" w:rsidRPr="00797688" w14:paraId="0C7C5920" w14:textId="77777777" w:rsidTr="00D14D81">
            <w:trPr>
              <w:trHeight w:val="290"/>
            </w:trPr>
            <w:tc>
              <w:tcPr>
                <w:tcW w:w="3377" w:type="dxa"/>
                <w:tcBorders>
                  <w:top w:val="nil"/>
                  <w:left w:val="nil"/>
                  <w:bottom w:val="nil"/>
                  <w:right w:val="nil"/>
                </w:tcBorders>
                <w:shd w:val="clear" w:color="auto" w:fill="auto"/>
                <w:noWrap/>
                <w:hideMark/>
              </w:tcPr>
              <w:p w14:paraId="236DB562" w14:textId="77777777" w:rsidR="0041512C" w:rsidRPr="00797688" w:rsidRDefault="0041512C" w:rsidP="00D14D81">
                <w:pPr>
                  <w:spacing w:after="0" w:line="240" w:lineRule="auto"/>
                  <w:rPr>
                    <w:rFonts w:asciiTheme="minorHAnsi" w:eastAsia="Times New Roman" w:hAnsiTheme="minorHAnsi" w:cstheme="minorHAnsi"/>
                    <w:color w:val="000000"/>
                    <w:sz w:val="18"/>
                    <w:szCs w:val="18"/>
                    <w:lang w:eastAsia="fr-FR"/>
                  </w:rPr>
                </w:pPr>
                <w:r w:rsidRPr="00797688">
                  <w:rPr>
                    <w:rFonts w:asciiTheme="minorHAnsi" w:eastAsia="Times New Roman" w:hAnsiTheme="minorHAnsi" w:cstheme="minorHAnsi"/>
                    <w:color w:val="000000"/>
                    <w:sz w:val="18"/>
                    <w:szCs w:val="18"/>
                    <w:lang w:eastAsia="fr-FR"/>
                  </w:rPr>
                  <w:t>Facilité à terme</w:t>
                </w:r>
              </w:p>
            </w:tc>
            <w:tc>
              <w:tcPr>
                <w:tcW w:w="1398" w:type="dxa"/>
                <w:tcBorders>
                  <w:top w:val="nil"/>
                  <w:left w:val="nil"/>
                  <w:bottom w:val="nil"/>
                  <w:right w:val="nil"/>
                </w:tcBorders>
                <w:shd w:val="clear" w:color="auto" w:fill="auto"/>
                <w:noWrap/>
                <w:vAlign w:val="center"/>
                <w:hideMark/>
              </w:tcPr>
              <w:p w14:paraId="42D422E1" w14:textId="77777777" w:rsidR="0041512C" w:rsidRPr="00797688" w:rsidRDefault="0041512C" w:rsidP="00D14D81">
                <w:pPr>
                  <w:spacing w:after="0" w:line="240" w:lineRule="auto"/>
                  <w:rPr>
                    <w:rFonts w:asciiTheme="minorHAnsi" w:eastAsia="Times New Roman" w:hAnsiTheme="minorHAnsi" w:cstheme="minorHAnsi"/>
                    <w:color w:val="000000"/>
                    <w:sz w:val="18"/>
                    <w:szCs w:val="18"/>
                    <w:lang w:eastAsia="fr-FR"/>
                  </w:rPr>
                </w:pPr>
                <w:r w:rsidRPr="00797688">
                  <w:rPr>
                    <w:rFonts w:asciiTheme="minorHAnsi" w:eastAsia="Times New Roman" w:hAnsiTheme="minorHAnsi" w:cstheme="minorHAnsi"/>
                    <w:color w:val="000000"/>
                    <w:sz w:val="18"/>
                    <w:szCs w:val="18"/>
                    <w:lang w:eastAsia="fr-FR"/>
                  </w:rPr>
                  <w:t>IBOR + marge</w:t>
                </w:r>
              </w:p>
            </w:tc>
            <w:tc>
              <w:tcPr>
                <w:tcW w:w="1397" w:type="dxa"/>
                <w:tcBorders>
                  <w:top w:val="nil"/>
                  <w:left w:val="nil"/>
                  <w:bottom w:val="nil"/>
                  <w:right w:val="nil"/>
                </w:tcBorders>
                <w:shd w:val="clear" w:color="auto" w:fill="auto"/>
                <w:noWrap/>
                <w:hideMark/>
              </w:tcPr>
              <w:p w14:paraId="5F4AE701" w14:textId="77777777" w:rsidR="0041512C" w:rsidRPr="00797688" w:rsidRDefault="0041512C" w:rsidP="00D14D81">
                <w:pPr>
                  <w:spacing w:after="0" w:line="240" w:lineRule="auto"/>
                  <w:jc w:val="right"/>
                  <w:rPr>
                    <w:rFonts w:asciiTheme="minorHAnsi" w:eastAsia="Times New Roman" w:hAnsiTheme="minorHAnsi" w:cstheme="minorHAnsi"/>
                    <w:color w:val="000000"/>
                    <w:sz w:val="18"/>
                    <w:szCs w:val="18"/>
                    <w:lang w:eastAsia="fr-FR"/>
                  </w:rPr>
                </w:pPr>
                <w:r w:rsidRPr="00797688">
                  <w:rPr>
                    <w:rFonts w:asciiTheme="minorHAnsi" w:eastAsia="Times New Roman" w:hAnsiTheme="minorHAnsi" w:cstheme="minorHAnsi"/>
                    <w:color w:val="000000"/>
                    <w:sz w:val="18"/>
                    <w:szCs w:val="18"/>
                    <w:lang w:eastAsia="fr-FR"/>
                  </w:rPr>
                  <w:t>04/12/2026</w:t>
                </w:r>
              </w:p>
            </w:tc>
            <w:tc>
              <w:tcPr>
                <w:tcW w:w="1394" w:type="dxa"/>
                <w:tcBorders>
                  <w:top w:val="nil"/>
                  <w:left w:val="nil"/>
                  <w:bottom w:val="nil"/>
                  <w:right w:val="nil"/>
                </w:tcBorders>
                <w:shd w:val="clear" w:color="auto" w:fill="auto"/>
                <w:noWrap/>
                <w:hideMark/>
              </w:tcPr>
              <w:p w14:paraId="578D0653" w14:textId="77777777" w:rsidR="0041512C" w:rsidRPr="00797688" w:rsidRDefault="0041512C" w:rsidP="00D14D81">
                <w:pPr>
                  <w:spacing w:after="0" w:line="240" w:lineRule="auto"/>
                  <w:jc w:val="right"/>
                  <w:rPr>
                    <w:rFonts w:asciiTheme="minorHAnsi" w:eastAsia="Times New Roman" w:hAnsiTheme="minorHAnsi" w:cstheme="minorHAnsi"/>
                    <w:color w:val="000000"/>
                    <w:sz w:val="18"/>
                    <w:szCs w:val="18"/>
                    <w:lang w:eastAsia="fr-FR"/>
                  </w:rPr>
                </w:pPr>
                <w:r w:rsidRPr="00797688">
                  <w:rPr>
                    <w:rFonts w:asciiTheme="minorHAnsi" w:eastAsia="Times New Roman" w:hAnsiTheme="minorHAnsi" w:cstheme="minorHAnsi"/>
                    <w:color w:val="000000"/>
                    <w:sz w:val="18"/>
                    <w:szCs w:val="18"/>
                    <w:lang w:eastAsia="fr-FR"/>
                  </w:rPr>
                  <w:t>400,3</w:t>
                </w:r>
              </w:p>
            </w:tc>
            <w:tc>
              <w:tcPr>
                <w:tcW w:w="1394" w:type="dxa"/>
                <w:tcBorders>
                  <w:top w:val="nil"/>
                  <w:left w:val="nil"/>
                  <w:bottom w:val="nil"/>
                  <w:right w:val="nil"/>
                </w:tcBorders>
                <w:shd w:val="clear" w:color="000000" w:fill="E7E6E6"/>
                <w:noWrap/>
                <w:hideMark/>
              </w:tcPr>
              <w:p w14:paraId="58388CBF" w14:textId="77777777" w:rsidR="0041512C" w:rsidRPr="00797688" w:rsidRDefault="0041512C" w:rsidP="00D14D81">
                <w:pPr>
                  <w:spacing w:after="0" w:line="240" w:lineRule="auto"/>
                  <w:jc w:val="right"/>
                  <w:rPr>
                    <w:rFonts w:asciiTheme="minorHAnsi" w:eastAsia="Times New Roman" w:hAnsiTheme="minorHAnsi" w:cstheme="minorHAnsi"/>
                    <w:color w:val="000E9C"/>
                    <w:sz w:val="18"/>
                    <w:szCs w:val="18"/>
                    <w:lang w:eastAsia="fr-FR"/>
                  </w:rPr>
                </w:pPr>
                <w:r w:rsidRPr="00797688">
                  <w:rPr>
                    <w:rFonts w:asciiTheme="minorHAnsi" w:eastAsia="Times New Roman" w:hAnsiTheme="minorHAnsi" w:cstheme="minorHAnsi"/>
                    <w:color w:val="000E9C"/>
                    <w:sz w:val="18"/>
                    <w:szCs w:val="18"/>
                    <w:lang w:eastAsia="fr-FR"/>
                  </w:rPr>
                  <w:t>-</w:t>
                </w:r>
              </w:p>
            </w:tc>
          </w:tr>
          <w:tr w:rsidR="0041512C" w:rsidRPr="00797688" w14:paraId="688F82F0" w14:textId="77777777" w:rsidTr="00D14D81">
            <w:trPr>
              <w:trHeight w:val="290"/>
            </w:trPr>
            <w:tc>
              <w:tcPr>
                <w:tcW w:w="3377" w:type="dxa"/>
                <w:tcBorders>
                  <w:top w:val="nil"/>
                  <w:left w:val="nil"/>
                  <w:bottom w:val="nil"/>
                  <w:right w:val="nil"/>
                </w:tcBorders>
                <w:shd w:val="clear" w:color="auto" w:fill="auto"/>
                <w:noWrap/>
                <w:hideMark/>
              </w:tcPr>
              <w:p w14:paraId="1973DD05" w14:textId="77777777" w:rsidR="0041512C" w:rsidRPr="00797688" w:rsidRDefault="0041512C" w:rsidP="00D14D81">
                <w:pPr>
                  <w:spacing w:after="0" w:line="240" w:lineRule="auto"/>
                  <w:rPr>
                    <w:rFonts w:asciiTheme="minorHAnsi" w:eastAsia="Times New Roman" w:hAnsiTheme="minorHAnsi" w:cstheme="minorHAnsi"/>
                    <w:color w:val="000000"/>
                    <w:sz w:val="18"/>
                    <w:szCs w:val="18"/>
                    <w:lang w:eastAsia="fr-FR"/>
                  </w:rPr>
                </w:pPr>
                <w:r w:rsidRPr="00797688">
                  <w:rPr>
                    <w:rFonts w:asciiTheme="minorHAnsi" w:eastAsia="Times New Roman" w:hAnsiTheme="minorHAnsi" w:cstheme="minorHAnsi"/>
                    <w:color w:val="000000"/>
                    <w:sz w:val="18"/>
                    <w:szCs w:val="18"/>
                    <w:lang w:eastAsia="fr-FR"/>
                  </w:rPr>
                  <w:t>Facilité à terme</w:t>
                </w:r>
              </w:p>
            </w:tc>
            <w:tc>
              <w:tcPr>
                <w:tcW w:w="1398" w:type="dxa"/>
                <w:tcBorders>
                  <w:top w:val="nil"/>
                  <w:left w:val="nil"/>
                  <w:bottom w:val="nil"/>
                  <w:right w:val="nil"/>
                </w:tcBorders>
                <w:shd w:val="clear" w:color="auto" w:fill="auto"/>
                <w:noWrap/>
                <w:vAlign w:val="center"/>
                <w:hideMark/>
              </w:tcPr>
              <w:p w14:paraId="0CF2CBBB" w14:textId="77777777" w:rsidR="0041512C" w:rsidRPr="00797688" w:rsidRDefault="0041512C" w:rsidP="00D14D81">
                <w:pPr>
                  <w:spacing w:after="0" w:line="240" w:lineRule="auto"/>
                  <w:rPr>
                    <w:rFonts w:asciiTheme="minorHAnsi" w:eastAsia="Times New Roman" w:hAnsiTheme="minorHAnsi" w:cstheme="minorHAnsi"/>
                    <w:color w:val="000000"/>
                    <w:sz w:val="18"/>
                    <w:szCs w:val="18"/>
                    <w:lang w:eastAsia="fr-FR"/>
                  </w:rPr>
                </w:pPr>
                <w:r w:rsidRPr="00797688">
                  <w:rPr>
                    <w:rFonts w:asciiTheme="minorHAnsi" w:eastAsia="Times New Roman" w:hAnsiTheme="minorHAnsi" w:cstheme="minorHAnsi"/>
                    <w:color w:val="000000"/>
                    <w:sz w:val="18"/>
                    <w:szCs w:val="18"/>
                    <w:lang w:eastAsia="fr-FR"/>
                  </w:rPr>
                  <w:t>IBOR + marge</w:t>
                </w:r>
              </w:p>
            </w:tc>
            <w:tc>
              <w:tcPr>
                <w:tcW w:w="1397" w:type="dxa"/>
                <w:tcBorders>
                  <w:top w:val="nil"/>
                  <w:left w:val="nil"/>
                  <w:bottom w:val="nil"/>
                  <w:right w:val="nil"/>
                </w:tcBorders>
                <w:shd w:val="clear" w:color="auto" w:fill="auto"/>
                <w:noWrap/>
                <w:hideMark/>
              </w:tcPr>
              <w:p w14:paraId="597E8047" w14:textId="77777777" w:rsidR="0041512C" w:rsidRPr="00797688" w:rsidRDefault="0041512C" w:rsidP="00D14D81">
                <w:pPr>
                  <w:spacing w:after="0" w:line="240" w:lineRule="auto"/>
                  <w:jc w:val="right"/>
                  <w:rPr>
                    <w:rFonts w:asciiTheme="minorHAnsi" w:eastAsia="Times New Roman" w:hAnsiTheme="minorHAnsi" w:cstheme="minorHAnsi"/>
                    <w:color w:val="000000"/>
                    <w:sz w:val="18"/>
                    <w:szCs w:val="18"/>
                    <w:lang w:eastAsia="fr-FR"/>
                  </w:rPr>
                </w:pPr>
                <w:r w:rsidRPr="00797688">
                  <w:rPr>
                    <w:rFonts w:asciiTheme="minorHAnsi" w:eastAsia="Times New Roman" w:hAnsiTheme="minorHAnsi" w:cstheme="minorHAnsi"/>
                    <w:color w:val="000000"/>
                    <w:sz w:val="18"/>
                    <w:szCs w:val="18"/>
                    <w:lang w:eastAsia="fr-FR"/>
                  </w:rPr>
                  <w:t>24/10/2026</w:t>
                </w:r>
              </w:p>
            </w:tc>
            <w:tc>
              <w:tcPr>
                <w:tcW w:w="1394" w:type="dxa"/>
                <w:tcBorders>
                  <w:top w:val="nil"/>
                  <w:left w:val="nil"/>
                  <w:bottom w:val="nil"/>
                  <w:right w:val="nil"/>
                </w:tcBorders>
                <w:shd w:val="clear" w:color="auto" w:fill="auto"/>
                <w:noWrap/>
                <w:hideMark/>
              </w:tcPr>
              <w:p w14:paraId="650BF83C" w14:textId="77777777" w:rsidR="0041512C" w:rsidRPr="00797688" w:rsidRDefault="0041512C" w:rsidP="00D14D81">
                <w:pPr>
                  <w:spacing w:after="0" w:line="240" w:lineRule="auto"/>
                  <w:jc w:val="right"/>
                  <w:rPr>
                    <w:rFonts w:asciiTheme="minorHAnsi" w:eastAsia="Times New Roman" w:hAnsiTheme="minorHAnsi" w:cstheme="minorHAnsi"/>
                    <w:color w:val="000000"/>
                    <w:sz w:val="18"/>
                    <w:szCs w:val="18"/>
                    <w:lang w:eastAsia="fr-FR"/>
                  </w:rPr>
                </w:pPr>
                <w:r w:rsidRPr="00797688">
                  <w:rPr>
                    <w:rFonts w:asciiTheme="minorHAnsi" w:eastAsia="Times New Roman" w:hAnsiTheme="minorHAnsi" w:cstheme="minorHAnsi"/>
                    <w:color w:val="000000"/>
                    <w:sz w:val="18"/>
                    <w:szCs w:val="18"/>
                    <w:lang w:eastAsia="fr-FR"/>
                  </w:rPr>
                  <w:t>-</w:t>
                </w:r>
              </w:p>
            </w:tc>
            <w:tc>
              <w:tcPr>
                <w:tcW w:w="1394" w:type="dxa"/>
                <w:tcBorders>
                  <w:top w:val="nil"/>
                  <w:left w:val="nil"/>
                  <w:bottom w:val="nil"/>
                  <w:right w:val="nil"/>
                </w:tcBorders>
                <w:shd w:val="clear" w:color="000000" w:fill="E7E6E6"/>
                <w:noWrap/>
                <w:hideMark/>
              </w:tcPr>
              <w:p w14:paraId="173F0AD6" w14:textId="77777777" w:rsidR="0041512C" w:rsidRPr="00797688" w:rsidRDefault="0041512C" w:rsidP="00D14D81">
                <w:pPr>
                  <w:spacing w:after="0" w:line="240" w:lineRule="auto"/>
                  <w:jc w:val="right"/>
                  <w:rPr>
                    <w:rFonts w:asciiTheme="minorHAnsi" w:eastAsia="Times New Roman" w:hAnsiTheme="minorHAnsi" w:cstheme="minorHAnsi"/>
                    <w:color w:val="000E9C"/>
                    <w:sz w:val="18"/>
                    <w:szCs w:val="18"/>
                    <w:lang w:eastAsia="fr-FR"/>
                  </w:rPr>
                </w:pPr>
                <w:r w:rsidRPr="00797688">
                  <w:rPr>
                    <w:rFonts w:asciiTheme="minorHAnsi" w:eastAsia="Times New Roman" w:hAnsiTheme="minorHAnsi" w:cstheme="minorHAnsi"/>
                    <w:color w:val="000E9C"/>
                    <w:sz w:val="18"/>
                    <w:szCs w:val="18"/>
                    <w:lang w:eastAsia="fr-FR"/>
                  </w:rPr>
                  <w:t>492,8</w:t>
                </w:r>
              </w:p>
            </w:tc>
          </w:tr>
          <w:tr w:rsidR="0041512C" w:rsidRPr="00797688" w14:paraId="09C755DE" w14:textId="77777777" w:rsidTr="00D14D81">
            <w:trPr>
              <w:trHeight w:val="290"/>
            </w:trPr>
            <w:tc>
              <w:tcPr>
                <w:tcW w:w="3377" w:type="dxa"/>
                <w:tcBorders>
                  <w:top w:val="nil"/>
                  <w:left w:val="nil"/>
                  <w:bottom w:val="nil"/>
                  <w:right w:val="nil"/>
                </w:tcBorders>
                <w:shd w:val="clear" w:color="auto" w:fill="auto"/>
                <w:noWrap/>
                <w:hideMark/>
              </w:tcPr>
              <w:p w14:paraId="649F312A" w14:textId="77777777" w:rsidR="0041512C" w:rsidRPr="00797688" w:rsidRDefault="0041512C" w:rsidP="00D14D81">
                <w:pPr>
                  <w:spacing w:after="0" w:line="240" w:lineRule="auto"/>
                  <w:rPr>
                    <w:rFonts w:asciiTheme="minorHAnsi" w:eastAsia="Times New Roman" w:hAnsiTheme="minorHAnsi" w:cstheme="minorHAnsi"/>
                    <w:color w:val="000000"/>
                    <w:sz w:val="18"/>
                    <w:szCs w:val="18"/>
                    <w:lang w:eastAsia="fr-FR"/>
                  </w:rPr>
                </w:pPr>
                <w:r w:rsidRPr="00797688">
                  <w:rPr>
                    <w:rFonts w:asciiTheme="minorHAnsi" w:eastAsia="Times New Roman" w:hAnsiTheme="minorHAnsi" w:cstheme="minorHAnsi"/>
                    <w:color w:val="000000"/>
                    <w:sz w:val="18"/>
                    <w:szCs w:val="18"/>
                    <w:lang w:eastAsia="fr-FR"/>
                  </w:rPr>
                  <w:t>Facilité de crédit renouvelable</w:t>
                </w:r>
              </w:p>
            </w:tc>
            <w:tc>
              <w:tcPr>
                <w:tcW w:w="1398" w:type="dxa"/>
                <w:tcBorders>
                  <w:top w:val="nil"/>
                  <w:left w:val="nil"/>
                  <w:bottom w:val="nil"/>
                  <w:right w:val="nil"/>
                </w:tcBorders>
                <w:shd w:val="clear" w:color="auto" w:fill="auto"/>
                <w:noWrap/>
                <w:vAlign w:val="center"/>
                <w:hideMark/>
              </w:tcPr>
              <w:p w14:paraId="4A2DFB63" w14:textId="77777777" w:rsidR="0041512C" w:rsidRPr="00797688" w:rsidRDefault="0041512C" w:rsidP="00D14D81">
                <w:pPr>
                  <w:spacing w:after="0" w:line="240" w:lineRule="auto"/>
                  <w:rPr>
                    <w:rFonts w:asciiTheme="minorHAnsi" w:eastAsia="Times New Roman" w:hAnsiTheme="minorHAnsi" w:cstheme="minorHAnsi"/>
                    <w:color w:val="000000"/>
                    <w:sz w:val="18"/>
                    <w:szCs w:val="18"/>
                    <w:lang w:eastAsia="fr-FR"/>
                  </w:rPr>
                </w:pPr>
                <w:r w:rsidRPr="00797688">
                  <w:rPr>
                    <w:rFonts w:asciiTheme="minorHAnsi" w:eastAsia="Times New Roman" w:hAnsiTheme="minorHAnsi" w:cstheme="minorHAnsi"/>
                    <w:color w:val="000000"/>
                    <w:sz w:val="18"/>
                    <w:szCs w:val="18"/>
                    <w:lang w:eastAsia="fr-FR"/>
                  </w:rPr>
                  <w:t>IBOR + marge</w:t>
                </w:r>
              </w:p>
            </w:tc>
            <w:tc>
              <w:tcPr>
                <w:tcW w:w="1397" w:type="dxa"/>
                <w:tcBorders>
                  <w:top w:val="nil"/>
                  <w:left w:val="nil"/>
                  <w:bottom w:val="nil"/>
                  <w:right w:val="nil"/>
                </w:tcBorders>
                <w:shd w:val="clear" w:color="auto" w:fill="auto"/>
                <w:noWrap/>
                <w:hideMark/>
              </w:tcPr>
              <w:p w14:paraId="6111EAB7" w14:textId="77777777" w:rsidR="0041512C" w:rsidRPr="00797688" w:rsidRDefault="0041512C" w:rsidP="00D14D81">
                <w:pPr>
                  <w:spacing w:after="0" w:line="240" w:lineRule="auto"/>
                  <w:jc w:val="right"/>
                  <w:rPr>
                    <w:rFonts w:asciiTheme="minorHAnsi" w:eastAsia="Times New Roman" w:hAnsiTheme="minorHAnsi" w:cstheme="minorHAnsi"/>
                    <w:color w:val="000000"/>
                    <w:sz w:val="18"/>
                    <w:szCs w:val="18"/>
                    <w:lang w:eastAsia="fr-FR"/>
                  </w:rPr>
                </w:pPr>
                <w:r w:rsidRPr="00797688">
                  <w:rPr>
                    <w:rFonts w:asciiTheme="minorHAnsi" w:eastAsia="Times New Roman" w:hAnsiTheme="minorHAnsi" w:cstheme="minorHAnsi"/>
                    <w:color w:val="000000"/>
                    <w:sz w:val="18"/>
                    <w:szCs w:val="18"/>
                    <w:lang w:eastAsia="fr-FR"/>
                  </w:rPr>
                  <w:t>04/12/2025</w:t>
                </w:r>
              </w:p>
            </w:tc>
            <w:tc>
              <w:tcPr>
                <w:tcW w:w="1394" w:type="dxa"/>
                <w:tcBorders>
                  <w:top w:val="nil"/>
                  <w:left w:val="nil"/>
                  <w:bottom w:val="nil"/>
                  <w:right w:val="nil"/>
                </w:tcBorders>
                <w:shd w:val="clear" w:color="auto" w:fill="auto"/>
                <w:noWrap/>
                <w:hideMark/>
              </w:tcPr>
              <w:p w14:paraId="076661F3" w14:textId="77777777" w:rsidR="0041512C" w:rsidRPr="00797688" w:rsidRDefault="0041512C" w:rsidP="00D14D81">
                <w:pPr>
                  <w:spacing w:after="0" w:line="240" w:lineRule="auto"/>
                  <w:jc w:val="right"/>
                  <w:rPr>
                    <w:rFonts w:asciiTheme="minorHAnsi" w:eastAsia="Times New Roman" w:hAnsiTheme="minorHAnsi" w:cstheme="minorHAnsi"/>
                    <w:color w:val="000000"/>
                    <w:sz w:val="18"/>
                    <w:szCs w:val="18"/>
                    <w:lang w:eastAsia="fr-FR"/>
                  </w:rPr>
                </w:pPr>
                <w:r w:rsidRPr="00797688">
                  <w:rPr>
                    <w:rFonts w:asciiTheme="minorHAnsi" w:eastAsia="Times New Roman" w:hAnsiTheme="minorHAnsi" w:cstheme="minorHAnsi"/>
                    <w:color w:val="000000"/>
                    <w:sz w:val="18"/>
                    <w:szCs w:val="18"/>
                    <w:lang w:eastAsia="fr-FR"/>
                  </w:rPr>
                  <w:t>234,0</w:t>
                </w:r>
              </w:p>
            </w:tc>
            <w:tc>
              <w:tcPr>
                <w:tcW w:w="1394" w:type="dxa"/>
                <w:tcBorders>
                  <w:top w:val="nil"/>
                  <w:left w:val="nil"/>
                  <w:bottom w:val="nil"/>
                  <w:right w:val="nil"/>
                </w:tcBorders>
                <w:shd w:val="clear" w:color="000000" w:fill="E7E6E6"/>
                <w:noWrap/>
                <w:hideMark/>
              </w:tcPr>
              <w:p w14:paraId="7DC8573A" w14:textId="77777777" w:rsidR="0041512C" w:rsidRPr="00797688" w:rsidRDefault="0041512C" w:rsidP="00D14D81">
                <w:pPr>
                  <w:spacing w:after="0" w:line="240" w:lineRule="auto"/>
                  <w:jc w:val="right"/>
                  <w:rPr>
                    <w:rFonts w:asciiTheme="minorHAnsi" w:eastAsia="Times New Roman" w:hAnsiTheme="minorHAnsi" w:cstheme="minorHAnsi"/>
                    <w:color w:val="000E9C"/>
                    <w:sz w:val="18"/>
                    <w:szCs w:val="18"/>
                    <w:lang w:eastAsia="fr-FR"/>
                  </w:rPr>
                </w:pPr>
                <w:r w:rsidRPr="00797688">
                  <w:rPr>
                    <w:rFonts w:asciiTheme="minorHAnsi" w:eastAsia="Times New Roman" w:hAnsiTheme="minorHAnsi" w:cstheme="minorHAnsi"/>
                    <w:color w:val="000E9C"/>
                    <w:sz w:val="18"/>
                    <w:szCs w:val="18"/>
                    <w:lang w:eastAsia="fr-FR"/>
                  </w:rPr>
                  <w:t>-</w:t>
                </w:r>
              </w:p>
            </w:tc>
          </w:tr>
          <w:tr w:rsidR="0041512C" w:rsidRPr="00797688" w14:paraId="4966B1C2" w14:textId="77777777" w:rsidTr="00D14D81">
            <w:trPr>
              <w:trHeight w:val="520"/>
            </w:trPr>
            <w:tc>
              <w:tcPr>
                <w:tcW w:w="3377" w:type="dxa"/>
                <w:tcBorders>
                  <w:top w:val="nil"/>
                  <w:left w:val="nil"/>
                  <w:bottom w:val="nil"/>
                  <w:right w:val="nil"/>
                </w:tcBorders>
                <w:shd w:val="clear" w:color="auto" w:fill="auto"/>
                <w:noWrap/>
                <w:hideMark/>
              </w:tcPr>
              <w:p w14:paraId="3F35DAA0" w14:textId="77777777" w:rsidR="0041512C" w:rsidRPr="00797688" w:rsidRDefault="0041512C" w:rsidP="00D14D81">
                <w:pPr>
                  <w:spacing w:after="0" w:line="240" w:lineRule="auto"/>
                  <w:rPr>
                    <w:rFonts w:asciiTheme="minorHAnsi" w:eastAsia="Times New Roman" w:hAnsiTheme="minorHAnsi" w:cstheme="minorHAnsi"/>
                    <w:color w:val="000000"/>
                    <w:sz w:val="18"/>
                    <w:szCs w:val="18"/>
                    <w:lang w:eastAsia="fr-FR"/>
                  </w:rPr>
                </w:pPr>
                <w:r w:rsidRPr="00797688">
                  <w:rPr>
                    <w:rFonts w:asciiTheme="minorHAnsi" w:eastAsia="Times New Roman" w:hAnsiTheme="minorHAnsi" w:cstheme="minorHAnsi"/>
                    <w:color w:val="000000"/>
                    <w:sz w:val="18"/>
                    <w:szCs w:val="18"/>
                    <w:lang w:eastAsia="fr-FR"/>
                  </w:rPr>
                  <w:t>Prêt à terme B (prêt BPI)</w:t>
                </w:r>
              </w:p>
            </w:tc>
            <w:tc>
              <w:tcPr>
                <w:tcW w:w="1398" w:type="dxa"/>
                <w:tcBorders>
                  <w:top w:val="nil"/>
                  <w:left w:val="nil"/>
                  <w:bottom w:val="nil"/>
                  <w:right w:val="nil"/>
                </w:tcBorders>
                <w:shd w:val="clear" w:color="auto" w:fill="auto"/>
                <w:noWrap/>
                <w:hideMark/>
              </w:tcPr>
              <w:p w14:paraId="1010EFB7" w14:textId="77777777" w:rsidR="0041512C" w:rsidRPr="00797688" w:rsidRDefault="0041512C" w:rsidP="00D14D81">
                <w:pPr>
                  <w:spacing w:after="0" w:line="240" w:lineRule="auto"/>
                  <w:jc w:val="right"/>
                  <w:rPr>
                    <w:rFonts w:asciiTheme="minorHAnsi" w:eastAsia="Times New Roman" w:hAnsiTheme="minorHAnsi" w:cstheme="minorHAnsi"/>
                    <w:color w:val="000000"/>
                    <w:sz w:val="18"/>
                    <w:szCs w:val="18"/>
                    <w:lang w:eastAsia="fr-FR"/>
                  </w:rPr>
                </w:pPr>
                <w:r w:rsidRPr="00797688">
                  <w:rPr>
                    <w:rFonts w:asciiTheme="minorHAnsi" w:eastAsia="Times New Roman" w:hAnsiTheme="minorHAnsi" w:cstheme="minorHAnsi"/>
                    <w:color w:val="000000"/>
                    <w:sz w:val="18"/>
                    <w:szCs w:val="18"/>
                    <w:lang w:eastAsia="fr-FR"/>
                  </w:rPr>
                  <w:t>0,96%</w:t>
                </w:r>
              </w:p>
            </w:tc>
            <w:tc>
              <w:tcPr>
                <w:tcW w:w="1397" w:type="dxa"/>
                <w:tcBorders>
                  <w:top w:val="nil"/>
                  <w:left w:val="nil"/>
                  <w:bottom w:val="nil"/>
                  <w:right w:val="nil"/>
                </w:tcBorders>
                <w:shd w:val="clear" w:color="auto" w:fill="auto"/>
                <w:hideMark/>
              </w:tcPr>
              <w:p w14:paraId="74C8ECCF" w14:textId="77777777" w:rsidR="0041512C" w:rsidRPr="00797688" w:rsidRDefault="0041512C" w:rsidP="00D14D81">
                <w:pPr>
                  <w:spacing w:after="0" w:line="240" w:lineRule="auto"/>
                  <w:jc w:val="right"/>
                  <w:rPr>
                    <w:rFonts w:asciiTheme="minorHAnsi" w:eastAsia="Times New Roman" w:hAnsiTheme="minorHAnsi" w:cstheme="minorHAnsi"/>
                    <w:color w:val="000000"/>
                    <w:sz w:val="18"/>
                    <w:szCs w:val="18"/>
                    <w:lang w:eastAsia="fr-FR"/>
                  </w:rPr>
                </w:pPr>
                <w:r w:rsidRPr="00797688">
                  <w:rPr>
                    <w:rFonts w:asciiTheme="minorHAnsi" w:eastAsia="Times New Roman" w:hAnsiTheme="minorHAnsi" w:cstheme="minorHAnsi"/>
                    <w:color w:val="000000"/>
                    <w:sz w:val="18"/>
                    <w:szCs w:val="18"/>
                    <w:lang w:eastAsia="fr-FR"/>
                  </w:rPr>
                  <w:t>31/10/2021-31/03/2026</w:t>
                </w:r>
              </w:p>
            </w:tc>
            <w:tc>
              <w:tcPr>
                <w:tcW w:w="1394" w:type="dxa"/>
                <w:tcBorders>
                  <w:top w:val="nil"/>
                  <w:left w:val="nil"/>
                  <w:bottom w:val="nil"/>
                  <w:right w:val="nil"/>
                </w:tcBorders>
                <w:shd w:val="clear" w:color="auto" w:fill="auto"/>
                <w:noWrap/>
                <w:hideMark/>
              </w:tcPr>
              <w:p w14:paraId="5B31BD47" w14:textId="77777777" w:rsidR="0041512C" w:rsidRPr="00797688" w:rsidRDefault="0041512C" w:rsidP="00D14D81">
                <w:pPr>
                  <w:spacing w:after="0" w:line="240" w:lineRule="auto"/>
                  <w:jc w:val="right"/>
                  <w:rPr>
                    <w:rFonts w:asciiTheme="minorHAnsi" w:eastAsia="Times New Roman" w:hAnsiTheme="minorHAnsi" w:cstheme="minorHAnsi"/>
                    <w:color w:val="000000"/>
                    <w:sz w:val="18"/>
                    <w:szCs w:val="18"/>
                    <w:lang w:eastAsia="fr-FR"/>
                  </w:rPr>
                </w:pPr>
                <w:r w:rsidRPr="00797688">
                  <w:rPr>
                    <w:rFonts w:asciiTheme="minorHAnsi" w:eastAsia="Times New Roman" w:hAnsiTheme="minorHAnsi" w:cstheme="minorHAnsi"/>
                    <w:color w:val="000000"/>
                    <w:sz w:val="18"/>
                    <w:szCs w:val="18"/>
                    <w:lang w:eastAsia="fr-FR"/>
                  </w:rPr>
                  <w:t>0,5</w:t>
                </w:r>
              </w:p>
            </w:tc>
            <w:tc>
              <w:tcPr>
                <w:tcW w:w="1394" w:type="dxa"/>
                <w:tcBorders>
                  <w:top w:val="nil"/>
                  <w:left w:val="nil"/>
                  <w:bottom w:val="nil"/>
                  <w:right w:val="nil"/>
                </w:tcBorders>
                <w:shd w:val="clear" w:color="000000" w:fill="E7E6E6"/>
                <w:noWrap/>
                <w:hideMark/>
              </w:tcPr>
              <w:p w14:paraId="1E374535" w14:textId="77777777" w:rsidR="0041512C" w:rsidRPr="00797688" w:rsidRDefault="0041512C" w:rsidP="00D14D81">
                <w:pPr>
                  <w:spacing w:after="0" w:line="240" w:lineRule="auto"/>
                  <w:jc w:val="right"/>
                  <w:rPr>
                    <w:rFonts w:asciiTheme="minorHAnsi" w:eastAsia="Times New Roman" w:hAnsiTheme="minorHAnsi" w:cstheme="minorHAnsi"/>
                    <w:color w:val="000E9C"/>
                    <w:sz w:val="18"/>
                    <w:szCs w:val="18"/>
                    <w:lang w:eastAsia="fr-FR"/>
                  </w:rPr>
                </w:pPr>
                <w:r w:rsidRPr="00797688">
                  <w:rPr>
                    <w:rFonts w:asciiTheme="minorHAnsi" w:eastAsia="Times New Roman" w:hAnsiTheme="minorHAnsi" w:cstheme="minorHAnsi"/>
                    <w:color w:val="000E9C"/>
                    <w:sz w:val="18"/>
                    <w:szCs w:val="18"/>
                    <w:lang w:eastAsia="fr-FR"/>
                  </w:rPr>
                  <w:t>0,4</w:t>
                </w:r>
              </w:p>
            </w:tc>
          </w:tr>
          <w:tr w:rsidR="0041512C" w:rsidRPr="00797688" w14:paraId="3D5DEF52" w14:textId="77777777" w:rsidTr="00D14D81">
            <w:trPr>
              <w:trHeight w:val="290"/>
            </w:trPr>
            <w:tc>
              <w:tcPr>
                <w:tcW w:w="3377" w:type="dxa"/>
                <w:tcBorders>
                  <w:top w:val="nil"/>
                  <w:left w:val="nil"/>
                  <w:bottom w:val="nil"/>
                  <w:right w:val="nil"/>
                </w:tcBorders>
                <w:shd w:val="clear" w:color="auto" w:fill="auto"/>
                <w:noWrap/>
                <w:hideMark/>
              </w:tcPr>
              <w:p w14:paraId="03BE3F77" w14:textId="77777777" w:rsidR="0041512C" w:rsidRPr="00797688" w:rsidRDefault="0041512C" w:rsidP="00D14D81">
                <w:pPr>
                  <w:spacing w:after="0" w:line="240" w:lineRule="auto"/>
                  <w:rPr>
                    <w:rFonts w:asciiTheme="minorHAnsi" w:eastAsia="Times New Roman" w:hAnsiTheme="minorHAnsi" w:cstheme="minorHAnsi"/>
                    <w:color w:val="000000"/>
                    <w:sz w:val="18"/>
                    <w:szCs w:val="18"/>
                    <w:lang w:eastAsia="fr-FR"/>
                  </w:rPr>
                </w:pPr>
                <w:r w:rsidRPr="00797688">
                  <w:rPr>
                    <w:rFonts w:asciiTheme="minorHAnsi" w:eastAsia="Times New Roman" w:hAnsiTheme="minorHAnsi" w:cstheme="minorHAnsi"/>
                    <w:color w:val="000000"/>
                    <w:sz w:val="18"/>
                    <w:szCs w:val="18"/>
                    <w:lang w:eastAsia="fr-FR"/>
                  </w:rPr>
                  <w:t>Prêt vert (BPI)</w:t>
                </w:r>
              </w:p>
            </w:tc>
            <w:tc>
              <w:tcPr>
                <w:tcW w:w="1398" w:type="dxa"/>
                <w:tcBorders>
                  <w:top w:val="nil"/>
                  <w:left w:val="nil"/>
                  <w:bottom w:val="nil"/>
                  <w:right w:val="nil"/>
                </w:tcBorders>
                <w:shd w:val="clear" w:color="auto" w:fill="auto"/>
                <w:noWrap/>
                <w:hideMark/>
              </w:tcPr>
              <w:p w14:paraId="34955F7E" w14:textId="77777777" w:rsidR="0041512C" w:rsidRPr="00797688" w:rsidRDefault="0041512C" w:rsidP="00D14D81">
                <w:pPr>
                  <w:spacing w:after="0" w:line="240" w:lineRule="auto"/>
                  <w:jc w:val="right"/>
                  <w:rPr>
                    <w:rFonts w:asciiTheme="minorHAnsi" w:eastAsia="Times New Roman" w:hAnsiTheme="minorHAnsi" w:cstheme="minorHAnsi"/>
                    <w:color w:val="000000"/>
                    <w:sz w:val="18"/>
                    <w:szCs w:val="18"/>
                    <w:lang w:eastAsia="fr-FR"/>
                  </w:rPr>
                </w:pPr>
                <w:r w:rsidRPr="00797688">
                  <w:rPr>
                    <w:rFonts w:asciiTheme="minorHAnsi" w:eastAsia="Times New Roman" w:hAnsiTheme="minorHAnsi" w:cstheme="minorHAnsi"/>
                    <w:color w:val="000000"/>
                    <w:sz w:val="18"/>
                    <w:szCs w:val="18"/>
                    <w:lang w:eastAsia="fr-FR"/>
                  </w:rPr>
                  <w:t>0,98%</w:t>
                </w:r>
              </w:p>
            </w:tc>
            <w:tc>
              <w:tcPr>
                <w:tcW w:w="1397" w:type="dxa"/>
                <w:tcBorders>
                  <w:top w:val="nil"/>
                  <w:left w:val="nil"/>
                  <w:bottom w:val="nil"/>
                  <w:right w:val="nil"/>
                </w:tcBorders>
                <w:shd w:val="clear" w:color="auto" w:fill="auto"/>
                <w:hideMark/>
              </w:tcPr>
              <w:p w14:paraId="617D4581" w14:textId="77777777" w:rsidR="0041512C" w:rsidRPr="00797688" w:rsidRDefault="0041512C" w:rsidP="00D14D81">
                <w:pPr>
                  <w:spacing w:after="0" w:line="240" w:lineRule="auto"/>
                  <w:jc w:val="right"/>
                  <w:rPr>
                    <w:rFonts w:asciiTheme="minorHAnsi" w:eastAsia="Times New Roman" w:hAnsiTheme="minorHAnsi" w:cstheme="minorHAnsi"/>
                    <w:color w:val="000000"/>
                    <w:sz w:val="18"/>
                    <w:szCs w:val="18"/>
                    <w:lang w:eastAsia="fr-FR"/>
                  </w:rPr>
                </w:pPr>
                <w:r w:rsidRPr="00797688">
                  <w:rPr>
                    <w:rFonts w:asciiTheme="minorHAnsi" w:eastAsia="Times New Roman" w:hAnsiTheme="minorHAnsi" w:cstheme="minorHAnsi"/>
                    <w:color w:val="000000"/>
                    <w:sz w:val="18"/>
                    <w:szCs w:val="18"/>
                    <w:lang w:eastAsia="fr-FR"/>
                  </w:rPr>
                  <w:t>30/06/2028</w:t>
                </w:r>
              </w:p>
            </w:tc>
            <w:tc>
              <w:tcPr>
                <w:tcW w:w="1394" w:type="dxa"/>
                <w:tcBorders>
                  <w:top w:val="nil"/>
                  <w:left w:val="nil"/>
                  <w:bottom w:val="nil"/>
                  <w:right w:val="nil"/>
                </w:tcBorders>
                <w:shd w:val="clear" w:color="auto" w:fill="auto"/>
                <w:noWrap/>
                <w:hideMark/>
              </w:tcPr>
              <w:p w14:paraId="1DE052D0" w14:textId="77777777" w:rsidR="0041512C" w:rsidRPr="00797688" w:rsidRDefault="0041512C" w:rsidP="00D14D81">
                <w:pPr>
                  <w:spacing w:after="0" w:line="240" w:lineRule="auto"/>
                  <w:jc w:val="right"/>
                  <w:rPr>
                    <w:rFonts w:asciiTheme="minorHAnsi" w:eastAsia="Times New Roman" w:hAnsiTheme="minorHAnsi" w:cstheme="minorHAnsi"/>
                    <w:color w:val="000000"/>
                    <w:sz w:val="18"/>
                    <w:szCs w:val="18"/>
                    <w:lang w:eastAsia="fr-FR"/>
                  </w:rPr>
                </w:pPr>
                <w:r w:rsidRPr="00797688">
                  <w:rPr>
                    <w:rFonts w:asciiTheme="minorHAnsi" w:eastAsia="Times New Roman" w:hAnsiTheme="minorHAnsi" w:cstheme="minorHAnsi"/>
                    <w:color w:val="000000"/>
                    <w:sz w:val="18"/>
                    <w:szCs w:val="18"/>
                    <w:lang w:eastAsia="fr-FR"/>
                  </w:rPr>
                  <w:t>5,0</w:t>
                </w:r>
              </w:p>
            </w:tc>
            <w:tc>
              <w:tcPr>
                <w:tcW w:w="1394" w:type="dxa"/>
                <w:tcBorders>
                  <w:top w:val="nil"/>
                  <w:left w:val="nil"/>
                  <w:bottom w:val="nil"/>
                  <w:right w:val="nil"/>
                </w:tcBorders>
                <w:shd w:val="clear" w:color="000000" w:fill="E7E6E6"/>
                <w:noWrap/>
                <w:hideMark/>
              </w:tcPr>
              <w:p w14:paraId="41D5AD16" w14:textId="77777777" w:rsidR="0041512C" w:rsidRPr="00797688" w:rsidRDefault="0041512C" w:rsidP="00D14D81">
                <w:pPr>
                  <w:spacing w:after="0" w:line="240" w:lineRule="auto"/>
                  <w:jc w:val="right"/>
                  <w:rPr>
                    <w:rFonts w:asciiTheme="minorHAnsi" w:eastAsia="Times New Roman" w:hAnsiTheme="minorHAnsi" w:cstheme="minorHAnsi"/>
                    <w:color w:val="000E9C"/>
                    <w:sz w:val="18"/>
                    <w:szCs w:val="18"/>
                    <w:lang w:eastAsia="fr-FR"/>
                  </w:rPr>
                </w:pPr>
                <w:r w:rsidRPr="00797688">
                  <w:rPr>
                    <w:rFonts w:asciiTheme="minorHAnsi" w:eastAsia="Times New Roman" w:hAnsiTheme="minorHAnsi" w:cstheme="minorHAnsi"/>
                    <w:color w:val="000E9C"/>
                    <w:sz w:val="18"/>
                    <w:szCs w:val="18"/>
                    <w:lang w:eastAsia="fr-FR"/>
                  </w:rPr>
                  <w:t>5,0</w:t>
                </w:r>
              </w:p>
            </w:tc>
          </w:tr>
          <w:tr w:rsidR="0041512C" w:rsidRPr="00797688" w14:paraId="23EF9B27" w14:textId="77777777" w:rsidTr="00D14D81">
            <w:trPr>
              <w:trHeight w:val="290"/>
            </w:trPr>
            <w:tc>
              <w:tcPr>
                <w:tcW w:w="3377" w:type="dxa"/>
                <w:tcBorders>
                  <w:top w:val="single" w:sz="4" w:space="0" w:color="000E9C"/>
                  <w:left w:val="nil"/>
                  <w:bottom w:val="single" w:sz="4" w:space="0" w:color="000E9C"/>
                  <w:right w:val="nil"/>
                </w:tcBorders>
                <w:shd w:val="clear" w:color="auto" w:fill="auto"/>
                <w:noWrap/>
                <w:vAlign w:val="center"/>
                <w:hideMark/>
              </w:tcPr>
              <w:p w14:paraId="57B2FDD2" w14:textId="77777777" w:rsidR="0041512C" w:rsidRPr="00797688" w:rsidRDefault="0041512C" w:rsidP="00D14D81">
                <w:pPr>
                  <w:spacing w:after="0" w:line="240" w:lineRule="auto"/>
                  <w:rPr>
                    <w:rFonts w:asciiTheme="minorHAnsi" w:eastAsia="Times New Roman" w:hAnsiTheme="minorHAnsi" w:cstheme="minorHAnsi"/>
                    <w:b/>
                    <w:bCs/>
                    <w:color w:val="000E9C"/>
                    <w:sz w:val="18"/>
                    <w:szCs w:val="18"/>
                    <w:lang w:eastAsia="fr-FR"/>
                  </w:rPr>
                </w:pPr>
                <w:r w:rsidRPr="00797688">
                  <w:rPr>
                    <w:rFonts w:asciiTheme="minorHAnsi" w:eastAsia="Times New Roman" w:hAnsiTheme="minorHAnsi" w:cstheme="minorHAnsi"/>
                    <w:b/>
                    <w:bCs/>
                    <w:color w:val="000E9C"/>
                    <w:sz w:val="18"/>
                    <w:szCs w:val="18"/>
                    <w:lang w:eastAsia="fr-FR"/>
                  </w:rPr>
                  <w:t>Total des dettes financières</w:t>
                </w:r>
              </w:p>
            </w:tc>
            <w:tc>
              <w:tcPr>
                <w:tcW w:w="1398" w:type="dxa"/>
                <w:tcBorders>
                  <w:top w:val="single" w:sz="4" w:space="0" w:color="000E9C"/>
                  <w:left w:val="nil"/>
                  <w:bottom w:val="single" w:sz="4" w:space="0" w:color="000E9C"/>
                  <w:right w:val="nil"/>
                </w:tcBorders>
                <w:shd w:val="clear" w:color="auto" w:fill="auto"/>
                <w:noWrap/>
                <w:hideMark/>
              </w:tcPr>
              <w:p w14:paraId="08C043C0" w14:textId="77777777" w:rsidR="0041512C" w:rsidRPr="00797688" w:rsidRDefault="0041512C" w:rsidP="00D14D81">
                <w:pPr>
                  <w:spacing w:after="0" w:line="240" w:lineRule="auto"/>
                  <w:rPr>
                    <w:rFonts w:asciiTheme="minorHAnsi" w:eastAsia="Times New Roman" w:hAnsiTheme="minorHAnsi" w:cstheme="minorHAnsi"/>
                    <w:b/>
                    <w:bCs/>
                    <w:i/>
                    <w:iCs/>
                    <w:sz w:val="18"/>
                    <w:szCs w:val="18"/>
                    <w:lang w:eastAsia="fr-FR"/>
                  </w:rPr>
                </w:pPr>
                <w:r w:rsidRPr="00797688">
                  <w:rPr>
                    <w:rFonts w:asciiTheme="minorHAnsi" w:eastAsia="Times New Roman" w:hAnsiTheme="minorHAnsi" w:cstheme="minorHAnsi"/>
                    <w:b/>
                    <w:bCs/>
                    <w:i/>
                    <w:iCs/>
                    <w:sz w:val="18"/>
                    <w:szCs w:val="18"/>
                    <w:lang w:eastAsia="fr-FR"/>
                  </w:rPr>
                  <w:t> </w:t>
                </w:r>
              </w:p>
            </w:tc>
            <w:tc>
              <w:tcPr>
                <w:tcW w:w="1397" w:type="dxa"/>
                <w:tcBorders>
                  <w:top w:val="single" w:sz="4" w:space="0" w:color="000E9C"/>
                  <w:left w:val="nil"/>
                  <w:bottom w:val="single" w:sz="4" w:space="0" w:color="000E9C"/>
                  <w:right w:val="nil"/>
                </w:tcBorders>
                <w:shd w:val="clear" w:color="auto" w:fill="auto"/>
                <w:noWrap/>
                <w:hideMark/>
              </w:tcPr>
              <w:p w14:paraId="52F3C3C9" w14:textId="77777777" w:rsidR="0041512C" w:rsidRPr="00797688" w:rsidRDefault="0041512C" w:rsidP="00D14D81">
                <w:pPr>
                  <w:spacing w:after="0" w:line="240" w:lineRule="auto"/>
                  <w:rPr>
                    <w:rFonts w:asciiTheme="minorHAnsi" w:eastAsia="Times New Roman" w:hAnsiTheme="minorHAnsi" w:cstheme="minorHAnsi"/>
                    <w:b/>
                    <w:bCs/>
                    <w:i/>
                    <w:iCs/>
                    <w:sz w:val="18"/>
                    <w:szCs w:val="18"/>
                    <w:lang w:eastAsia="fr-FR"/>
                  </w:rPr>
                </w:pPr>
                <w:r w:rsidRPr="00797688">
                  <w:rPr>
                    <w:rFonts w:asciiTheme="minorHAnsi" w:eastAsia="Times New Roman" w:hAnsiTheme="minorHAnsi" w:cstheme="minorHAnsi"/>
                    <w:b/>
                    <w:bCs/>
                    <w:i/>
                    <w:iCs/>
                    <w:sz w:val="18"/>
                    <w:szCs w:val="18"/>
                    <w:lang w:eastAsia="fr-FR"/>
                  </w:rPr>
                  <w:t> </w:t>
                </w:r>
              </w:p>
            </w:tc>
            <w:tc>
              <w:tcPr>
                <w:tcW w:w="1394" w:type="dxa"/>
                <w:tcBorders>
                  <w:top w:val="single" w:sz="4" w:space="0" w:color="000E9C"/>
                  <w:left w:val="nil"/>
                  <w:bottom w:val="single" w:sz="4" w:space="0" w:color="000E9C"/>
                  <w:right w:val="nil"/>
                </w:tcBorders>
                <w:shd w:val="clear" w:color="auto" w:fill="auto"/>
                <w:noWrap/>
                <w:hideMark/>
              </w:tcPr>
              <w:p w14:paraId="6CAAE835" w14:textId="77777777" w:rsidR="0041512C" w:rsidRPr="00797688" w:rsidRDefault="0041512C" w:rsidP="00D14D81">
                <w:pPr>
                  <w:spacing w:after="0" w:line="240" w:lineRule="auto"/>
                  <w:jc w:val="right"/>
                  <w:rPr>
                    <w:rFonts w:asciiTheme="minorHAnsi" w:eastAsia="Times New Roman" w:hAnsiTheme="minorHAnsi" w:cstheme="minorHAnsi"/>
                    <w:b/>
                    <w:bCs/>
                    <w:color w:val="000000"/>
                    <w:sz w:val="18"/>
                    <w:szCs w:val="18"/>
                    <w:lang w:eastAsia="fr-FR"/>
                  </w:rPr>
                </w:pPr>
                <w:r w:rsidRPr="00797688">
                  <w:rPr>
                    <w:rFonts w:asciiTheme="minorHAnsi" w:eastAsia="Times New Roman" w:hAnsiTheme="minorHAnsi" w:cstheme="minorHAnsi"/>
                    <w:b/>
                    <w:bCs/>
                    <w:color w:val="000000"/>
                    <w:sz w:val="18"/>
                    <w:szCs w:val="18"/>
                    <w:lang w:eastAsia="fr-FR"/>
                  </w:rPr>
                  <w:t>709,0</w:t>
                </w:r>
              </w:p>
            </w:tc>
            <w:tc>
              <w:tcPr>
                <w:tcW w:w="1394" w:type="dxa"/>
                <w:tcBorders>
                  <w:top w:val="single" w:sz="4" w:space="0" w:color="000E9C"/>
                  <w:left w:val="nil"/>
                  <w:bottom w:val="single" w:sz="4" w:space="0" w:color="000E9C"/>
                  <w:right w:val="nil"/>
                </w:tcBorders>
                <w:shd w:val="clear" w:color="000000" w:fill="E7E6E6"/>
                <w:noWrap/>
                <w:hideMark/>
              </w:tcPr>
              <w:p w14:paraId="739B328F" w14:textId="77777777" w:rsidR="0041512C" w:rsidRPr="00797688" w:rsidRDefault="0041512C" w:rsidP="00D14D81">
                <w:pPr>
                  <w:spacing w:after="0" w:line="240" w:lineRule="auto"/>
                  <w:jc w:val="right"/>
                  <w:rPr>
                    <w:rFonts w:asciiTheme="minorHAnsi" w:eastAsia="Times New Roman" w:hAnsiTheme="minorHAnsi" w:cstheme="minorHAnsi"/>
                    <w:b/>
                    <w:bCs/>
                    <w:color w:val="000E9C"/>
                    <w:sz w:val="18"/>
                    <w:szCs w:val="18"/>
                    <w:lang w:eastAsia="fr-FR"/>
                  </w:rPr>
                </w:pPr>
                <w:r w:rsidRPr="00797688">
                  <w:rPr>
                    <w:rFonts w:asciiTheme="minorHAnsi" w:eastAsia="Times New Roman" w:hAnsiTheme="minorHAnsi" w:cstheme="minorHAnsi"/>
                    <w:b/>
                    <w:bCs/>
                    <w:color w:val="000E9C"/>
                    <w:sz w:val="18"/>
                    <w:szCs w:val="18"/>
                    <w:lang w:eastAsia="fr-FR"/>
                  </w:rPr>
                  <w:t>498,2</w:t>
                </w:r>
              </w:p>
            </w:tc>
          </w:tr>
          <w:tr w:rsidR="0041512C" w:rsidRPr="00797688" w14:paraId="6C064707" w14:textId="77777777" w:rsidTr="00D14D81">
            <w:trPr>
              <w:trHeight w:val="290"/>
            </w:trPr>
            <w:tc>
              <w:tcPr>
                <w:tcW w:w="3377" w:type="dxa"/>
                <w:tcBorders>
                  <w:top w:val="nil"/>
                  <w:left w:val="nil"/>
                  <w:bottom w:val="nil"/>
                  <w:right w:val="nil"/>
                </w:tcBorders>
                <w:shd w:val="clear" w:color="auto" w:fill="auto"/>
                <w:noWrap/>
                <w:vAlign w:val="center"/>
                <w:hideMark/>
              </w:tcPr>
              <w:p w14:paraId="3A1FDCBE" w14:textId="77777777" w:rsidR="0041512C" w:rsidRPr="00797688" w:rsidRDefault="0041512C" w:rsidP="00D14D81">
                <w:pPr>
                  <w:spacing w:after="0" w:line="240" w:lineRule="auto"/>
                  <w:rPr>
                    <w:rFonts w:asciiTheme="minorHAnsi" w:eastAsia="Times New Roman" w:hAnsiTheme="minorHAnsi" w:cstheme="minorHAnsi"/>
                    <w:color w:val="000000"/>
                    <w:sz w:val="18"/>
                    <w:szCs w:val="18"/>
                    <w:lang w:eastAsia="fr-FR"/>
                  </w:rPr>
                </w:pPr>
                <w:r w:rsidRPr="00797688">
                  <w:rPr>
                    <w:rFonts w:asciiTheme="minorHAnsi" w:eastAsia="Times New Roman" w:hAnsiTheme="minorHAnsi" w:cstheme="minorHAnsi"/>
                    <w:color w:val="000000"/>
                    <w:sz w:val="18"/>
                    <w:szCs w:val="18"/>
                    <w:lang w:eastAsia="fr-FR"/>
                  </w:rPr>
                  <w:t>Dettes locatives (IFRS 16)</w:t>
                </w:r>
              </w:p>
            </w:tc>
            <w:tc>
              <w:tcPr>
                <w:tcW w:w="1398" w:type="dxa"/>
                <w:tcBorders>
                  <w:top w:val="nil"/>
                  <w:left w:val="nil"/>
                  <w:bottom w:val="nil"/>
                  <w:right w:val="nil"/>
                </w:tcBorders>
                <w:shd w:val="clear" w:color="auto" w:fill="auto"/>
                <w:noWrap/>
                <w:hideMark/>
              </w:tcPr>
              <w:p w14:paraId="736439FD" w14:textId="77777777" w:rsidR="0041512C" w:rsidRPr="00797688" w:rsidRDefault="0041512C" w:rsidP="00D14D81">
                <w:pPr>
                  <w:spacing w:after="0" w:line="240" w:lineRule="auto"/>
                  <w:rPr>
                    <w:rFonts w:asciiTheme="minorHAnsi" w:eastAsia="Times New Roman" w:hAnsiTheme="minorHAnsi" w:cstheme="minorHAnsi"/>
                    <w:color w:val="000000"/>
                    <w:sz w:val="18"/>
                    <w:szCs w:val="18"/>
                    <w:lang w:eastAsia="fr-FR"/>
                  </w:rPr>
                </w:pPr>
              </w:p>
            </w:tc>
            <w:tc>
              <w:tcPr>
                <w:tcW w:w="1397" w:type="dxa"/>
                <w:tcBorders>
                  <w:top w:val="nil"/>
                  <w:left w:val="nil"/>
                  <w:bottom w:val="nil"/>
                  <w:right w:val="nil"/>
                </w:tcBorders>
                <w:shd w:val="clear" w:color="auto" w:fill="auto"/>
                <w:noWrap/>
                <w:hideMark/>
              </w:tcPr>
              <w:p w14:paraId="67119E5C" w14:textId="77777777" w:rsidR="0041512C" w:rsidRPr="00797688" w:rsidRDefault="0041512C" w:rsidP="00D14D81">
                <w:pPr>
                  <w:spacing w:after="0" w:line="240" w:lineRule="auto"/>
                  <w:rPr>
                    <w:rFonts w:asciiTheme="minorHAnsi" w:eastAsia="Times New Roman" w:hAnsiTheme="minorHAnsi" w:cstheme="minorHAnsi"/>
                    <w:sz w:val="18"/>
                    <w:szCs w:val="18"/>
                    <w:lang w:eastAsia="fr-FR"/>
                  </w:rPr>
                </w:pPr>
              </w:p>
            </w:tc>
            <w:tc>
              <w:tcPr>
                <w:tcW w:w="1394" w:type="dxa"/>
                <w:tcBorders>
                  <w:top w:val="nil"/>
                  <w:left w:val="nil"/>
                  <w:bottom w:val="nil"/>
                  <w:right w:val="nil"/>
                </w:tcBorders>
                <w:shd w:val="clear" w:color="auto" w:fill="auto"/>
                <w:noWrap/>
                <w:hideMark/>
              </w:tcPr>
              <w:p w14:paraId="29F52E94" w14:textId="77777777" w:rsidR="0041512C" w:rsidRPr="00797688" w:rsidRDefault="0041512C" w:rsidP="00D14D81">
                <w:pPr>
                  <w:spacing w:after="0" w:line="240" w:lineRule="auto"/>
                  <w:jc w:val="right"/>
                  <w:rPr>
                    <w:rFonts w:asciiTheme="minorHAnsi" w:eastAsia="Times New Roman" w:hAnsiTheme="minorHAnsi" w:cstheme="minorHAnsi"/>
                    <w:color w:val="000000"/>
                    <w:sz w:val="18"/>
                    <w:szCs w:val="18"/>
                    <w:lang w:eastAsia="fr-FR"/>
                  </w:rPr>
                </w:pPr>
                <w:r w:rsidRPr="00797688">
                  <w:rPr>
                    <w:rFonts w:asciiTheme="minorHAnsi" w:eastAsia="Times New Roman" w:hAnsiTheme="minorHAnsi" w:cstheme="minorHAnsi"/>
                    <w:color w:val="000000"/>
                    <w:sz w:val="18"/>
                    <w:szCs w:val="18"/>
                    <w:lang w:eastAsia="fr-FR"/>
                  </w:rPr>
                  <w:t>52,9</w:t>
                </w:r>
              </w:p>
            </w:tc>
            <w:tc>
              <w:tcPr>
                <w:tcW w:w="1394" w:type="dxa"/>
                <w:tcBorders>
                  <w:top w:val="nil"/>
                  <w:left w:val="nil"/>
                  <w:bottom w:val="nil"/>
                  <w:right w:val="nil"/>
                </w:tcBorders>
                <w:shd w:val="clear" w:color="000000" w:fill="E7E6E6"/>
                <w:noWrap/>
                <w:hideMark/>
              </w:tcPr>
              <w:p w14:paraId="3E08A09C" w14:textId="77777777" w:rsidR="0041512C" w:rsidRPr="00797688" w:rsidRDefault="0041512C" w:rsidP="00D14D81">
                <w:pPr>
                  <w:spacing w:after="0" w:line="240" w:lineRule="auto"/>
                  <w:jc w:val="right"/>
                  <w:rPr>
                    <w:rFonts w:asciiTheme="minorHAnsi" w:eastAsia="Times New Roman" w:hAnsiTheme="minorHAnsi" w:cstheme="minorHAnsi"/>
                    <w:color w:val="000E9C"/>
                    <w:sz w:val="18"/>
                    <w:szCs w:val="18"/>
                    <w:lang w:eastAsia="fr-FR"/>
                  </w:rPr>
                </w:pPr>
                <w:r w:rsidRPr="00797688">
                  <w:rPr>
                    <w:rFonts w:asciiTheme="minorHAnsi" w:eastAsia="Times New Roman" w:hAnsiTheme="minorHAnsi" w:cstheme="minorHAnsi"/>
                    <w:color w:val="000E9C"/>
                    <w:sz w:val="18"/>
                    <w:szCs w:val="18"/>
                    <w:lang w:eastAsia="fr-FR"/>
                  </w:rPr>
                  <w:t>46,0</w:t>
                </w:r>
              </w:p>
            </w:tc>
          </w:tr>
          <w:tr w:rsidR="0041512C" w:rsidRPr="00797688" w14:paraId="34C6A966" w14:textId="77777777" w:rsidTr="00D14D81">
            <w:trPr>
              <w:trHeight w:val="290"/>
            </w:trPr>
            <w:tc>
              <w:tcPr>
                <w:tcW w:w="3377" w:type="dxa"/>
                <w:tcBorders>
                  <w:top w:val="nil"/>
                  <w:left w:val="nil"/>
                  <w:bottom w:val="nil"/>
                  <w:right w:val="nil"/>
                </w:tcBorders>
                <w:shd w:val="clear" w:color="auto" w:fill="auto"/>
                <w:noWrap/>
                <w:vAlign w:val="center"/>
                <w:hideMark/>
              </w:tcPr>
              <w:p w14:paraId="47DFC6E3" w14:textId="77777777" w:rsidR="0041512C" w:rsidRPr="00797688" w:rsidRDefault="0041512C" w:rsidP="00D14D81">
                <w:pPr>
                  <w:spacing w:after="0" w:line="240" w:lineRule="auto"/>
                  <w:rPr>
                    <w:rFonts w:asciiTheme="minorHAnsi" w:eastAsia="Times New Roman" w:hAnsiTheme="minorHAnsi" w:cstheme="minorHAnsi"/>
                    <w:color w:val="000000"/>
                    <w:sz w:val="18"/>
                    <w:szCs w:val="18"/>
                    <w:lang w:eastAsia="fr-FR"/>
                  </w:rPr>
                </w:pPr>
                <w:r w:rsidRPr="00797688">
                  <w:rPr>
                    <w:rFonts w:asciiTheme="minorHAnsi" w:eastAsia="Times New Roman" w:hAnsiTheme="minorHAnsi" w:cstheme="minorHAnsi"/>
                    <w:color w:val="000000"/>
                    <w:sz w:val="18"/>
                    <w:szCs w:val="18"/>
                    <w:lang w:eastAsia="fr-FR"/>
                  </w:rPr>
                  <w:t>Découverts bancaires</w:t>
                </w:r>
              </w:p>
            </w:tc>
            <w:tc>
              <w:tcPr>
                <w:tcW w:w="1398" w:type="dxa"/>
                <w:tcBorders>
                  <w:top w:val="nil"/>
                  <w:left w:val="nil"/>
                  <w:bottom w:val="nil"/>
                  <w:right w:val="nil"/>
                </w:tcBorders>
                <w:shd w:val="clear" w:color="auto" w:fill="auto"/>
                <w:noWrap/>
                <w:hideMark/>
              </w:tcPr>
              <w:p w14:paraId="6EDDC94E" w14:textId="77777777" w:rsidR="0041512C" w:rsidRPr="00797688" w:rsidRDefault="0041512C" w:rsidP="00D14D81">
                <w:pPr>
                  <w:spacing w:after="0" w:line="240" w:lineRule="auto"/>
                  <w:rPr>
                    <w:rFonts w:asciiTheme="minorHAnsi" w:eastAsia="Times New Roman" w:hAnsiTheme="minorHAnsi" w:cstheme="minorHAnsi"/>
                    <w:color w:val="000000"/>
                    <w:sz w:val="18"/>
                    <w:szCs w:val="18"/>
                    <w:lang w:eastAsia="fr-FR"/>
                  </w:rPr>
                </w:pPr>
              </w:p>
            </w:tc>
            <w:tc>
              <w:tcPr>
                <w:tcW w:w="1397" w:type="dxa"/>
                <w:tcBorders>
                  <w:top w:val="nil"/>
                  <w:left w:val="nil"/>
                  <w:bottom w:val="single" w:sz="4" w:space="0" w:color="000E9C"/>
                  <w:right w:val="nil"/>
                </w:tcBorders>
                <w:shd w:val="clear" w:color="auto" w:fill="auto"/>
                <w:noWrap/>
                <w:hideMark/>
              </w:tcPr>
              <w:p w14:paraId="4D80A32E" w14:textId="77777777" w:rsidR="0041512C" w:rsidRPr="00797688" w:rsidRDefault="0041512C" w:rsidP="00D14D81">
                <w:pPr>
                  <w:spacing w:after="0" w:line="240" w:lineRule="auto"/>
                  <w:rPr>
                    <w:rFonts w:asciiTheme="minorHAnsi" w:eastAsia="Times New Roman" w:hAnsiTheme="minorHAnsi" w:cstheme="minorHAnsi"/>
                    <w:color w:val="000000"/>
                    <w:sz w:val="18"/>
                    <w:szCs w:val="18"/>
                    <w:lang w:eastAsia="fr-FR"/>
                  </w:rPr>
                </w:pPr>
                <w:r w:rsidRPr="00797688">
                  <w:rPr>
                    <w:rFonts w:asciiTheme="minorHAnsi" w:eastAsia="Times New Roman" w:hAnsiTheme="minorHAnsi" w:cstheme="minorHAnsi"/>
                    <w:color w:val="000000"/>
                    <w:sz w:val="18"/>
                    <w:szCs w:val="18"/>
                    <w:lang w:eastAsia="fr-FR"/>
                  </w:rPr>
                  <w:t> </w:t>
                </w:r>
              </w:p>
            </w:tc>
            <w:tc>
              <w:tcPr>
                <w:tcW w:w="1394" w:type="dxa"/>
                <w:tcBorders>
                  <w:top w:val="nil"/>
                  <w:left w:val="nil"/>
                  <w:bottom w:val="single" w:sz="4" w:space="0" w:color="000E9C"/>
                  <w:right w:val="nil"/>
                </w:tcBorders>
                <w:shd w:val="clear" w:color="auto" w:fill="auto"/>
                <w:noWrap/>
                <w:hideMark/>
              </w:tcPr>
              <w:p w14:paraId="5B0100A3" w14:textId="77777777" w:rsidR="0041512C" w:rsidRPr="00797688" w:rsidRDefault="0041512C" w:rsidP="00D14D81">
                <w:pPr>
                  <w:spacing w:after="0" w:line="240" w:lineRule="auto"/>
                  <w:jc w:val="right"/>
                  <w:rPr>
                    <w:rFonts w:asciiTheme="minorHAnsi" w:eastAsia="Times New Roman" w:hAnsiTheme="minorHAnsi" w:cstheme="minorHAnsi"/>
                    <w:color w:val="000000"/>
                    <w:sz w:val="18"/>
                    <w:szCs w:val="18"/>
                    <w:lang w:eastAsia="fr-FR"/>
                  </w:rPr>
                </w:pPr>
                <w:r w:rsidRPr="00797688">
                  <w:rPr>
                    <w:rFonts w:asciiTheme="minorHAnsi" w:eastAsia="Times New Roman" w:hAnsiTheme="minorHAnsi" w:cstheme="minorHAnsi"/>
                    <w:color w:val="000000"/>
                    <w:sz w:val="18"/>
                    <w:szCs w:val="18"/>
                    <w:lang w:eastAsia="fr-FR"/>
                  </w:rPr>
                  <w:t>0,3</w:t>
                </w:r>
              </w:p>
            </w:tc>
            <w:tc>
              <w:tcPr>
                <w:tcW w:w="1394" w:type="dxa"/>
                <w:tcBorders>
                  <w:top w:val="nil"/>
                  <w:left w:val="nil"/>
                  <w:bottom w:val="single" w:sz="4" w:space="0" w:color="000E9C"/>
                  <w:right w:val="nil"/>
                </w:tcBorders>
                <w:shd w:val="clear" w:color="000000" w:fill="E7E6E6"/>
                <w:noWrap/>
                <w:hideMark/>
              </w:tcPr>
              <w:p w14:paraId="508260C1" w14:textId="77777777" w:rsidR="0041512C" w:rsidRPr="00797688" w:rsidRDefault="0041512C" w:rsidP="00D14D81">
                <w:pPr>
                  <w:spacing w:after="0" w:line="240" w:lineRule="auto"/>
                  <w:jc w:val="right"/>
                  <w:rPr>
                    <w:rFonts w:asciiTheme="minorHAnsi" w:eastAsia="Times New Roman" w:hAnsiTheme="minorHAnsi" w:cstheme="minorHAnsi"/>
                    <w:color w:val="000E9C"/>
                    <w:sz w:val="18"/>
                    <w:szCs w:val="18"/>
                    <w:lang w:eastAsia="fr-FR"/>
                  </w:rPr>
                </w:pPr>
                <w:r w:rsidRPr="00797688">
                  <w:rPr>
                    <w:rFonts w:asciiTheme="minorHAnsi" w:eastAsia="Times New Roman" w:hAnsiTheme="minorHAnsi" w:cstheme="minorHAnsi"/>
                    <w:color w:val="000E9C"/>
                    <w:sz w:val="18"/>
                    <w:szCs w:val="18"/>
                    <w:lang w:eastAsia="fr-FR"/>
                  </w:rPr>
                  <w:t>0,9</w:t>
                </w:r>
              </w:p>
            </w:tc>
          </w:tr>
          <w:tr w:rsidR="0041512C" w:rsidRPr="00797688" w14:paraId="7F8E042D" w14:textId="77777777" w:rsidTr="00D14D81">
            <w:trPr>
              <w:trHeight w:val="290"/>
            </w:trPr>
            <w:tc>
              <w:tcPr>
                <w:tcW w:w="3377" w:type="dxa"/>
                <w:tcBorders>
                  <w:top w:val="single" w:sz="4" w:space="0" w:color="000E9C"/>
                  <w:left w:val="nil"/>
                  <w:bottom w:val="single" w:sz="4" w:space="0" w:color="000E9C"/>
                  <w:right w:val="nil"/>
                </w:tcBorders>
                <w:shd w:val="clear" w:color="auto" w:fill="auto"/>
                <w:noWrap/>
                <w:vAlign w:val="center"/>
                <w:hideMark/>
              </w:tcPr>
              <w:p w14:paraId="445D8D5D" w14:textId="77777777" w:rsidR="0041512C" w:rsidRPr="00797688" w:rsidRDefault="0041512C" w:rsidP="00D14D81">
                <w:pPr>
                  <w:spacing w:after="0" w:line="240" w:lineRule="auto"/>
                  <w:rPr>
                    <w:rFonts w:asciiTheme="minorHAnsi" w:eastAsia="Times New Roman" w:hAnsiTheme="minorHAnsi" w:cstheme="minorHAnsi"/>
                    <w:b/>
                    <w:bCs/>
                    <w:color w:val="000E9C"/>
                    <w:sz w:val="18"/>
                    <w:szCs w:val="18"/>
                    <w:lang w:eastAsia="fr-FR"/>
                  </w:rPr>
                </w:pPr>
                <w:r w:rsidRPr="00797688">
                  <w:rPr>
                    <w:rFonts w:asciiTheme="minorHAnsi" w:eastAsia="Times New Roman" w:hAnsiTheme="minorHAnsi" w:cstheme="minorHAnsi"/>
                    <w:b/>
                    <w:bCs/>
                    <w:color w:val="000E9C"/>
                    <w:sz w:val="18"/>
                    <w:szCs w:val="18"/>
                    <w:lang w:eastAsia="fr-FR"/>
                  </w:rPr>
                  <w:t>Dette financière totale</w:t>
                </w:r>
              </w:p>
            </w:tc>
            <w:tc>
              <w:tcPr>
                <w:tcW w:w="1398" w:type="dxa"/>
                <w:tcBorders>
                  <w:top w:val="single" w:sz="4" w:space="0" w:color="000E9C"/>
                  <w:left w:val="nil"/>
                  <w:bottom w:val="single" w:sz="4" w:space="0" w:color="000E9C"/>
                  <w:right w:val="nil"/>
                </w:tcBorders>
                <w:shd w:val="clear" w:color="auto" w:fill="auto"/>
                <w:noWrap/>
                <w:hideMark/>
              </w:tcPr>
              <w:p w14:paraId="5405046C" w14:textId="77777777" w:rsidR="0041512C" w:rsidRPr="00797688" w:rsidRDefault="0041512C" w:rsidP="00D14D81">
                <w:pPr>
                  <w:spacing w:after="0" w:line="240" w:lineRule="auto"/>
                  <w:rPr>
                    <w:rFonts w:asciiTheme="minorHAnsi" w:eastAsia="Times New Roman" w:hAnsiTheme="minorHAnsi" w:cstheme="minorHAnsi"/>
                    <w:b/>
                    <w:bCs/>
                    <w:color w:val="000E9C"/>
                    <w:sz w:val="18"/>
                    <w:szCs w:val="18"/>
                    <w:lang w:eastAsia="fr-FR"/>
                  </w:rPr>
                </w:pPr>
                <w:r w:rsidRPr="00797688">
                  <w:rPr>
                    <w:rFonts w:asciiTheme="minorHAnsi" w:eastAsia="Times New Roman" w:hAnsiTheme="minorHAnsi" w:cstheme="minorHAnsi"/>
                    <w:b/>
                    <w:bCs/>
                    <w:color w:val="000E9C"/>
                    <w:sz w:val="18"/>
                    <w:szCs w:val="18"/>
                    <w:lang w:eastAsia="fr-FR"/>
                  </w:rPr>
                  <w:t> </w:t>
                </w:r>
              </w:p>
            </w:tc>
            <w:tc>
              <w:tcPr>
                <w:tcW w:w="1397" w:type="dxa"/>
                <w:tcBorders>
                  <w:top w:val="nil"/>
                  <w:left w:val="nil"/>
                  <w:bottom w:val="single" w:sz="4" w:space="0" w:color="000E9C"/>
                  <w:right w:val="nil"/>
                </w:tcBorders>
                <w:shd w:val="clear" w:color="auto" w:fill="auto"/>
                <w:noWrap/>
                <w:hideMark/>
              </w:tcPr>
              <w:p w14:paraId="5F8782B1" w14:textId="77777777" w:rsidR="0041512C" w:rsidRPr="00797688" w:rsidRDefault="0041512C" w:rsidP="00D14D81">
                <w:pPr>
                  <w:spacing w:after="0" w:line="240" w:lineRule="auto"/>
                  <w:rPr>
                    <w:rFonts w:asciiTheme="minorHAnsi" w:eastAsia="Times New Roman" w:hAnsiTheme="minorHAnsi" w:cstheme="minorHAnsi"/>
                    <w:b/>
                    <w:bCs/>
                    <w:color w:val="000E9C"/>
                    <w:sz w:val="18"/>
                    <w:szCs w:val="18"/>
                    <w:lang w:eastAsia="fr-FR"/>
                  </w:rPr>
                </w:pPr>
                <w:r w:rsidRPr="00797688">
                  <w:rPr>
                    <w:rFonts w:asciiTheme="minorHAnsi" w:eastAsia="Times New Roman" w:hAnsiTheme="minorHAnsi" w:cstheme="minorHAnsi"/>
                    <w:b/>
                    <w:bCs/>
                    <w:color w:val="000E9C"/>
                    <w:sz w:val="18"/>
                    <w:szCs w:val="18"/>
                    <w:lang w:eastAsia="fr-FR"/>
                  </w:rPr>
                  <w:t> </w:t>
                </w:r>
              </w:p>
            </w:tc>
            <w:tc>
              <w:tcPr>
                <w:tcW w:w="1394" w:type="dxa"/>
                <w:tcBorders>
                  <w:top w:val="nil"/>
                  <w:left w:val="nil"/>
                  <w:bottom w:val="single" w:sz="4" w:space="0" w:color="000E9C"/>
                  <w:right w:val="nil"/>
                </w:tcBorders>
                <w:shd w:val="clear" w:color="auto" w:fill="auto"/>
                <w:noWrap/>
                <w:hideMark/>
              </w:tcPr>
              <w:p w14:paraId="6CADA9DF" w14:textId="77777777" w:rsidR="0041512C" w:rsidRPr="00797688" w:rsidRDefault="0041512C" w:rsidP="00D14D81">
                <w:pPr>
                  <w:spacing w:after="0" w:line="240" w:lineRule="auto"/>
                  <w:jc w:val="right"/>
                  <w:rPr>
                    <w:rFonts w:asciiTheme="minorHAnsi" w:eastAsia="Times New Roman" w:hAnsiTheme="minorHAnsi" w:cstheme="minorHAnsi"/>
                    <w:b/>
                    <w:bCs/>
                    <w:color w:val="000000"/>
                    <w:sz w:val="18"/>
                    <w:szCs w:val="18"/>
                    <w:lang w:eastAsia="fr-FR"/>
                  </w:rPr>
                </w:pPr>
                <w:r w:rsidRPr="00797688">
                  <w:rPr>
                    <w:rFonts w:asciiTheme="minorHAnsi" w:eastAsia="Times New Roman" w:hAnsiTheme="minorHAnsi" w:cstheme="minorHAnsi"/>
                    <w:b/>
                    <w:bCs/>
                    <w:color w:val="000000"/>
                    <w:sz w:val="18"/>
                    <w:szCs w:val="18"/>
                    <w:lang w:eastAsia="fr-FR"/>
                  </w:rPr>
                  <w:t>762,2</w:t>
                </w:r>
              </w:p>
            </w:tc>
            <w:tc>
              <w:tcPr>
                <w:tcW w:w="1394" w:type="dxa"/>
                <w:tcBorders>
                  <w:top w:val="nil"/>
                  <w:left w:val="nil"/>
                  <w:bottom w:val="single" w:sz="4" w:space="0" w:color="000E9C"/>
                  <w:right w:val="nil"/>
                </w:tcBorders>
                <w:shd w:val="clear" w:color="000000" w:fill="E7E6E6"/>
                <w:noWrap/>
                <w:hideMark/>
              </w:tcPr>
              <w:p w14:paraId="5D5ACD97" w14:textId="77777777" w:rsidR="0041512C" w:rsidRPr="00797688" w:rsidRDefault="0041512C" w:rsidP="00D14D81">
                <w:pPr>
                  <w:spacing w:after="0" w:line="240" w:lineRule="auto"/>
                  <w:jc w:val="right"/>
                  <w:rPr>
                    <w:rFonts w:asciiTheme="minorHAnsi" w:eastAsia="Times New Roman" w:hAnsiTheme="minorHAnsi" w:cstheme="minorHAnsi"/>
                    <w:b/>
                    <w:bCs/>
                    <w:color w:val="000E9C"/>
                    <w:sz w:val="18"/>
                    <w:szCs w:val="18"/>
                    <w:lang w:eastAsia="fr-FR"/>
                  </w:rPr>
                </w:pPr>
                <w:r w:rsidRPr="00797688">
                  <w:rPr>
                    <w:rFonts w:asciiTheme="minorHAnsi" w:eastAsia="Times New Roman" w:hAnsiTheme="minorHAnsi" w:cstheme="minorHAnsi"/>
                    <w:b/>
                    <w:bCs/>
                    <w:color w:val="000E9C"/>
                    <w:sz w:val="18"/>
                    <w:szCs w:val="18"/>
                    <w:lang w:eastAsia="fr-FR"/>
                  </w:rPr>
                  <w:t>545,1</w:t>
                </w:r>
              </w:p>
            </w:tc>
          </w:tr>
          <w:tr w:rsidR="0041512C" w:rsidRPr="00797688" w14:paraId="3D414559" w14:textId="77777777" w:rsidTr="00D14D81">
            <w:trPr>
              <w:trHeight w:val="290"/>
            </w:trPr>
            <w:tc>
              <w:tcPr>
                <w:tcW w:w="3377" w:type="dxa"/>
                <w:tcBorders>
                  <w:top w:val="nil"/>
                  <w:left w:val="nil"/>
                  <w:bottom w:val="nil"/>
                  <w:right w:val="nil"/>
                </w:tcBorders>
                <w:shd w:val="clear" w:color="auto" w:fill="auto"/>
                <w:noWrap/>
                <w:vAlign w:val="center"/>
                <w:hideMark/>
              </w:tcPr>
              <w:p w14:paraId="064328E3" w14:textId="77777777" w:rsidR="0041512C" w:rsidRPr="00797688" w:rsidRDefault="0041512C" w:rsidP="00D14D81">
                <w:pPr>
                  <w:spacing w:after="0" w:line="240" w:lineRule="auto"/>
                  <w:rPr>
                    <w:rFonts w:asciiTheme="minorHAnsi" w:eastAsia="Times New Roman" w:hAnsiTheme="minorHAnsi" w:cstheme="minorHAnsi"/>
                    <w:color w:val="000000"/>
                    <w:sz w:val="18"/>
                    <w:szCs w:val="18"/>
                    <w:lang w:eastAsia="fr-FR"/>
                  </w:rPr>
                </w:pPr>
                <w:r w:rsidRPr="00797688">
                  <w:rPr>
                    <w:rFonts w:asciiTheme="minorHAnsi" w:eastAsia="Times New Roman" w:hAnsiTheme="minorHAnsi" w:cstheme="minorHAnsi"/>
                    <w:color w:val="000000"/>
                    <w:sz w:val="18"/>
                    <w:szCs w:val="18"/>
                    <w:lang w:eastAsia="fr-FR"/>
                  </w:rPr>
                  <w:t>Trésorerie et équivalents de trésorerie</w:t>
                </w:r>
              </w:p>
            </w:tc>
            <w:tc>
              <w:tcPr>
                <w:tcW w:w="1398" w:type="dxa"/>
                <w:tcBorders>
                  <w:top w:val="nil"/>
                  <w:left w:val="nil"/>
                  <w:bottom w:val="nil"/>
                  <w:right w:val="nil"/>
                </w:tcBorders>
                <w:shd w:val="clear" w:color="auto" w:fill="auto"/>
                <w:noWrap/>
                <w:hideMark/>
              </w:tcPr>
              <w:p w14:paraId="59844DBA" w14:textId="77777777" w:rsidR="0041512C" w:rsidRPr="00797688" w:rsidRDefault="0041512C" w:rsidP="00D14D81">
                <w:pPr>
                  <w:spacing w:after="0" w:line="240" w:lineRule="auto"/>
                  <w:rPr>
                    <w:rFonts w:asciiTheme="minorHAnsi" w:eastAsia="Times New Roman" w:hAnsiTheme="minorHAnsi" w:cstheme="minorHAnsi"/>
                    <w:color w:val="000000"/>
                    <w:sz w:val="18"/>
                    <w:szCs w:val="18"/>
                    <w:lang w:eastAsia="fr-FR"/>
                  </w:rPr>
                </w:pPr>
              </w:p>
            </w:tc>
            <w:tc>
              <w:tcPr>
                <w:tcW w:w="1397" w:type="dxa"/>
                <w:tcBorders>
                  <w:top w:val="nil"/>
                  <w:left w:val="nil"/>
                  <w:bottom w:val="single" w:sz="4" w:space="0" w:color="000E9C"/>
                  <w:right w:val="nil"/>
                </w:tcBorders>
                <w:shd w:val="clear" w:color="auto" w:fill="auto"/>
                <w:noWrap/>
                <w:hideMark/>
              </w:tcPr>
              <w:p w14:paraId="43A6BA6D" w14:textId="77777777" w:rsidR="0041512C" w:rsidRPr="00797688" w:rsidRDefault="0041512C" w:rsidP="00D14D81">
                <w:pPr>
                  <w:spacing w:after="0" w:line="240" w:lineRule="auto"/>
                  <w:rPr>
                    <w:rFonts w:asciiTheme="minorHAnsi" w:eastAsia="Times New Roman" w:hAnsiTheme="minorHAnsi" w:cstheme="minorHAnsi"/>
                    <w:color w:val="000000"/>
                    <w:sz w:val="18"/>
                    <w:szCs w:val="18"/>
                    <w:lang w:eastAsia="fr-FR"/>
                  </w:rPr>
                </w:pPr>
                <w:r w:rsidRPr="00797688">
                  <w:rPr>
                    <w:rFonts w:asciiTheme="minorHAnsi" w:eastAsia="Times New Roman" w:hAnsiTheme="minorHAnsi" w:cstheme="minorHAnsi"/>
                    <w:color w:val="000000"/>
                    <w:sz w:val="18"/>
                    <w:szCs w:val="18"/>
                    <w:lang w:eastAsia="fr-FR"/>
                  </w:rPr>
                  <w:t> </w:t>
                </w:r>
              </w:p>
            </w:tc>
            <w:tc>
              <w:tcPr>
                <w:tcW w:w="1394" w:type="dxa"/>
                <w:tcBorders>
                  <w:top w:val="nil"/>
                  <w:left w:val="nil"/>
                  <w:bottom w:val="single" w:sz="4" w:space="0" w:color="000E9C"/>
                  <w:right w:val="nil"/>
                </w:tcBorders>
                <w:shd w:val="clear" w:color="auto" w:fill="auto"/>
                <w:noWrap/>
                <w:hideMark/>
              </w:tcPr>
              <w:p w14:paraId="6E4AC9FA" w14:textId="77777777" w:rsidR="0041512C" w:rsidRPr="00797688" w:rsidRDefault="0041512C" w:rsidP="00D14D81">
                <w:pPr>
                  <w:spacing w:after="0" w:line="240" w:lineRule="auto"/>
                  <w:jc w:val="right"/>
                  <w:rPr>
                    <w:rFonts w:asciiTheme="minorHAnsi" w:eastAsia="Times New Roman" w:hAnsiTheme="minorHAnsi" w:cstheme="minorHAnsi"/>
                    <w:color w:val="000000"/>
                    <w:sz w:val="18"/>
                    <w:szCs w:val="18"/>
                    <w:lang w:eastAsia="fr-FR"/>
                  </w:rPr>
                </w:pPr>
                <w:r w:rsidRPr="00797688">
                  <w:rPr>
                    <w:rFonts w:asciiTheme="minorHAnsi" w:eastAsia="Times New Roman" w:hAnsiTheme="minorHAnsi" w:cstheme="minorHAnsi"/>
                    <w:color w:val="000000"/>
                    <w:sz w:val="18"/>
                    <w:szCs w:val="18"/>
                    <w:lang w:eastAsia="fr-FR"/>
                  </w:rPr>
                  <w:t>(53,6)</w:t>
                </w:r>
              </w:p>
            </w:tc>
            <w:tc>
              <w:tcPr>
                <w:tcW w:w="1394" w:type="dxa"/>
                <w:tcBorders>
                  <w:top w:val="nil"/>
                  <w:left w:val="nil"/>
                  <w:bottom w:val="single" w:sz="4" w:space="0" w:color="000E9C"/>
                  <w:right w:val="nil"/>
                </w:tcBorders>
                <w:shd w:val="clear" w:color="000000" w:fill="E7E6E6"/>
                <w:noWrap/>
                <w:hideMark/>
              </w:tcPr>
              <w:p w14:paraId="4633689E" w14:textId="77777777" w:rsidR="0041512C" w:rsidRPr="00797688" w:rsidRDefault="0041512C" w:rsidP="00D14D81">
                <w:pPr>
                  <w:spacing w:after="0" w:line="240" w:lineRule="auto"/>
                  <w:jc w:val="right"/>
                  <w:rPr>
                    <w:rFonts w:asciiTheme="minorHAnsi" w:eastAsia="Times New Roman" w:hAnsiTheme="minorHAnsi" w:cstheme="minorHAnsi"/>
                    <w:color w:val="000E9C"/>
                    <w:sz w:val="18"/>
                    <w:szCs w:val="18"/>
                    <w:lang w:eastAsia="fr-FR"/>
                  </w:rPr>
                </w:pPr>
                <w:r w:rsidRPr="00797688">
                  <w:rPr>
                    <w:rFonts w:asciiTheme="minorHAnsi" w:eastAsia="Times New Roman" w:hAnsiTheme="minorHAnsi" w:cstheme="minorHAnsi"/>
                    <w:color w:val="000E9C"/>
                    <w:sz w:val="18"/>
                    <w:szCs w:val="18"/>
                    <w:lang w:eastAsia="fr-FR"/>
                  </w:rPr>
                  <w:t>(99,2)</w:t>
                </w:r>
              </w:p>
            </w:tc>
          </w:tr>
          <w:tr w:rsidR="0041512C" w:rsidRPr="00797688" w14:paraId="079340D1" w14:textId="77777777" w:rsidTr="00D14D81">
            <w:trPr>
              <w:trHeight w:val="290"/>
            </w:trPr>
            <w:tc>
              <w:tcPr>
                <w:tcW w:w="3377" w:type="dxa"/>
                <w:tcBorders>
                  <w:top w:val="single" w:sz="4" w:space="0" w:color="000E9C"/>
                  <w:left w:val="nil"/>
                  <w:bottom w:val="nil"/>
                  <w:right w:val="nil"/>
                </w:tcBorders>
                <w:shd w:val="clear" w:color="auto" w:fill="auto"/>
                <w:noWrap/>
                <w:vAlign w:val="center"/>
                <w:hideMark/>
              </w:tcPr>
              <w:p w14:paraId="0C0E39E8" w14:textId="77777777" w:rsidR="0041512C" w:rsidRPr="00797688" w:rsidRDefault="0041512C" w:rsidP="00D14D81">
                <w:pPr>
                  <w:spacing w:after="0" w:line="240" w:lineRule="auto"/>
                  <w:rPr>
                    <w:rFonts w:asciiTheme="minorHAnsi" w:eastAsia="Times New Roman" w:hAnsiTheme="minorHAnsi" w:cstheme="minorHAnsi"/>
                    <w:b/>
                    <w:bCs/>
                    <w:color w:val="000E9C"/>
                    <w:sz w:val="18"/>
                    <w:szCs w:val="18"/>
                    <w:lang w:eastAsia="fr-FR"/>
                  </w:rPr>
                </w:pPr>
                <w:r w:rsidRPr="00797688">
                  <w:rPr>
                    <w:rFonts w:asciiTheme="minorHAnsi" w:eastAsia="Times New Roman" w:hAnsiTheme="minorHAnsi" w:cstheme="minorHAnsi"/>
                    <w:b/>
                    <w:bCs/>
                    <w:color w:val="000E9C"/>
                    <w:sz w:val="18"/>
                    <w:szCs w:val="18"/>
                    <w:lang w:eastAsia="fr-FR"/>
                  </w:rPr>
                  <w:t>Dette financière nette</w:t>
                </w:r>
              </w:p>
            </w:tc>
            <w:tc>
              <w:tcPr>
                <w:tcW w:w="1398" w:type="dxa"/>
                <w:tcBorders>
                  <w:top w:val="single" w:sz="4" w:space="0" w:color="000E9C"/>
                  <w:left w:val="nil"/>
                  <w:bottom w:val="single" w:sz="4" w:space="0" w:color="000E9C"/>
                  <w:right w:val="nil"/>
                </w:tcBorders>
                <w:shd w:val="clear" w:color="auto" w:fill="auto"/>
                <w:noWrap/>
                <w:hideMark/>
              </w:tcPr>
              <w:p w14:paraId="18D03334" w14:textId="77777777" w:rsidR="0041512C" w:rsidRPr="00797688" w:rsidRDefault="0041512C" w:rsidP="00D14D81">
                <w:pPr>
                  <w:spacing w:after="0" w:line="240" w:lineRule="auto"/>
                  <w:rPr>
                    <w:rFonts w:asciiTheme="minorHAnsi" w:eastAsia="Times New Roman" w:hAnsiTheme="minorHAnsi" w:cstheme="minorHAnsi"/>
                    <w:b/>
                    <w:bCs/>
                    <w:color w:val="000E9C"/>
                    <w:sz w:val="18"/>
                    <w:szCs w:val="18"/>
                    <w:lang w:eastAsia="fr-FR"/>
                  </w:rPr>
                </w:pPr>
                <w:r w:rsidRPr="00797688">
                  <w:rPr>
                    <w:rFonts w:asciiTheme="minorHAnsi" w:eastAsia="Times New Roman" w:hAnsiTheme="minorHAnsi" w:cstheme="minorHAnsi"/>
                    <w:b/>
                    <w:bCs/>
                    <w:color w:val="000E9C"/>
                    <w:sz w:val="18"/>
                    <w:szCs w:val="18"/>
                    <w:lang w:eastAsia="fr-FR"/>
                  </w:rPr>
                  <w:t> </w:t>
                </w:r>
              </w:p>
            </w:tc>
            <w:tc>
              <w:tcPr>
                <w:tcW w:w="1397" w:type="dxa"/>
                <w:tcBorders>
                  <w:top w:val="nil"/>
                  <w:left w:val="nil"/>
                  <w:bottom w:val="single" w:sz="4" w:space="0" w:color="000E9C"/>
                  <w:right w:val="nil"/>
                </w:tcBorders>
                <w:shd w:val="clear" w:color="auto" w:fill="auto"/>
                <w:noWrap/>
                <w:hideMark/>
              </w:tcPr>
              <w:p w14:paraId="06491508" w14:textId="77777777" w:rsidR="0041512C" w:rsidRPr="00797688" w:rsidRDefault="0041512C" w:rsidP="00D14D81">
                <w:pPr>
                  <w:spacing w:after="0" w:line="240" w:lineRule="auto"/>
                  <w:rPr>
                    <w:rFonts w:asciiTheme="minorHAnsi" w:eastAsia="Times New Roman" w:hAnsiTheme="minorHAnsi" w:cstheme="minorHAnsi"/>
                    <w:b/>
                    <w:bCs/>
                    <w:color w:val="000E9C"/>
                    <w:sz w:val="18"/>
                    <w:szCs w:val="18"/>
                    <w:lang w:eastAsia="fr-FR"/>
                  </w:rPr>
                </w:pPr>
                <w:r w:rsidRPr="00797688">
                  <w:rPr>
                    <w:rFonts w:asciiTheme="minorHAnsi" w:eastAsia="Times New Roman" w:hAnsiTheme="minorHAnsi" w:cstheme="minorHAnsi"/>
                    <w:b/>
                    <w:bCs/>
                    <w:color w:val="000E9C"/>
                    <w:sz w:val="18"/>
                    <w:szCs w:val="18"/>
                    <w:lang w:eastAsia="fr-FR"/>
                  </w:rPr>
                  <w:t> </w:t>
                </w:r>
              </w:p>
            </w:tc>
            <w:tc>
              <w:tcPr>
                <w:tcW w:w="1394" w:type="dxa"/>
                <w:tcBorders>
                  <w:top w:val="nil"/>
                  <w:left w:val="nil"/>
                  <w:bottom w:val="single" w:sz="4" w:space="0" w:color="000E9C"/>
                  <w:right w:val="nil"/>
                </w:tcBorders>
                <w:shd w:val="clear" w:color="auto" w:fill="auto"/>
                <w:noWrap/>
                <w:hideMark/>
              </w:tcPr>
              <w:p w14:paraId="3CB87DCB" w14:textId="77777777" w:rsidR="0041512C" w:rsidRPr="00797688" w:rsidRDefault="0041512C" w:rsidP="00D14D81">
                <w:pPr>
                  <w:spacing w:after="0" w:line="240" w:lineRule="auto"/>
                  <w:jc w:val="right"/>
                  <w:rPr>
                    <w:rFonts w:asciiTheme="minorHAnsi" w:eastAsia="Times New Roman" w:hAnsiTheme="minorHAnsi" w:cstheme="minorHAnsi"/>
                    <w:b/>
                    <w:bCs/>
                    <w:color w:val="000000"/>
                    <w:sz w:val="18"/>
                    <w:szCs w:val="18"/>
                    <w:lang w:eastAsia="fr-FR"/>
                  </w:rPr>
                </w:pPr>
                <w:r w:rsidRPr="00797688">
                  <w:rPr>
                    <w:rFonts w:asciiTheme="minorHAnsi" w:eastAsia="Times New Roman" w:hAnsiTheme="minorHAnsi" w:cstheme="minorHAnsi"/>
                    <w:b/>
                    <w:bCs/>
                    <w:color w:val="000000"/>
                    <w:sz w:val="18"/>
                    <w:szCs w:val="18"/>
                    <w:lang w:eastAsia="fr-FR"/>
                  </w:rPr>
                  <w:t>708,6</w:t>
                </w:r>
              </w:p>
            </w:tc>
            <w:tc>
              <w:tcPr>
                <w:tcW w:w="1394" w:type="dxa"/>
                <w:tcBorders>
                  <w:top w:val="nil"/>
                  <w:left w:val="nil"/>
                  <w:bottom w:val="single" w:sz="4" w:space="0" w:color="000E9C"/>
                  <w:right w:val="nil"/>
                </w:tcBorders>
                <w:shd w:val="clear" w:color="000000" w:fill="E7E6E6"/>
                <w:noWrap/>
                <w:hideMark/>
              </w:tcPr>
              <w:p w14:paraId="0CBE9CD5" w14:textId="77777777" w:rsidR="0041512C" w:rsidRPr="00797688" w:rsidRDefault="0041512C" w:rsidP="00D14D81">
                <w:pPr>
                  <w:spacing w:after="0" w:line="240" w:lineRule="auto"/>
                  <w:jc w:val="right"/>
                  <w:rPr>
                    <w:rFonts w:asciiTheme="minorHAnsi" w:eastAsia="Times New Roman" w:hAnsiTheme="minorHAnsi" w:cstheme="minorHAnsi"/>
                    <w:b/>
                    <w:bCs/>
                    <w:color w:val="000E9C"/>
                    <w:sz w:val="18"/>
                    <w:szCs w:val="18"/>
                    <w:lang w:eastAsia="fr-FR"/>
                  </w:rPr>
                </w:pPr>
                <w:r w:rsidRPr="00797688">
                  <w:rPr>
                    <w:rFonts w:asciiTheme="minorHAnsi" w:eastAsia="Times New Roman" w:hAnsiTheme="minorHAnsi" w:cstheme="minorHAnsi"/>
                    <w:b/>
                    <w:bCs/>
                    <w:color w:val="000E9C"/>
                    <w:sz w:val="18"/>
                    <w:szCs w:val="18"/>
                    <w:lang w:eastAsia="fr-FR"/>
                  </w:rPr>
                  <w:t>445,9</w:t>
                </w:r>
              </w:p>
            </w:tc>
          </w:tr>
          <w:tr w:rsidR="0041512C" w:rsidRPr="00797688" w14:paraId="6D7E86DD" w14:textId="77777777" w:rsidTr="00D14D81">
            <w:trPr>
              <w:trHeight w:val="290"/>
            </w:trPr>
            <w:tc>
              <w:tcPr>
                <w:tcW w:w="3377" w:type="dxa"/>
                <w:tcBorders>
                  <w:top w:val="single" w:sz="4" w:space="0" w:color="000E9C"/>
                  <w:left w:val="nil"/>
                  <w:bottom w:val="single" w:sz="4" w:space="0" w:color="000E9C"/>
                  <w:right w:val="nil"/>
                </w:tcBorders>
                <w:shd w:val="clear" w:color="auto" w:fill="auto"/>
                <w:noWrap/>
                <w:vAlign w:val="center"/>
                <w:hideMark/>
              </w:tcPr>
              <w:p w14:paraId="372A5690" w14:textId="77777777" w:rsidR="0041512C" w:rsidRPr="00797688" w:rsidRDefault="0041512C" w:rsidP="00D14D81">
                <w:pPr>
                  <w:spacing w:after="0" w:line="240" w:lineRule="auto"/>
                  <w:rPr>
                    <w:rFonts w:asciiTheme="minorHAnsi" w:eastAsia="Times New Roman" w:hAnsiTheme="minorHAnsi" w:cstheme="minorHAnsi"/>
                    <w:b/>
                    <w:bCs/>
                    <w:color w:val="000E9C"/>
                    <w:sz w:val="18"/>
                    <w:szCs w:val="18"/>
                    <w:lang w:eastAsia="fr-FR"/>
                  </w:rPr>
                </w:pPr>
                <w:r w:rsidRPr="00797688">
                  <w:rPr>
                    <w:rFonts w:asciiTheme="minorHAnsi" w:eastAsia="Times New Roman" w:hAnsiTheme="minorHAnsi" w:cstheme="minorHAnsi"/>
                    <w:b/>
                    <w:bCs/>
                    <w:color w:val="000E9C"/>
                    <w:sz w:val="18"/>
                    <w:szCs w:val="18"/>
                    <w:lang w:eastAsia="fr-FR"/>
                  </w:rPr>
                  <w:t>Ratio de levier</w:t>
                </w:r>
              </w:p>
            </w:tc>
            <w:tc>
              <w:tcPr>
                <w:tcW w:w="1398" w:type="dxa"/>
                <w:tcBorders>
                  <w:top w:val="nil"/>
                  <w:left w:val="nil"/>
                  <w:bottom w:val="single" w:sz="4" w:space="0" w:color="000E9C"/>
                  <w:right w:val="nil"/>
                </w:tcBorders>
                <w:shd w:val="clear" w:color="auto" w:fill="auto"/>
                <w:noWrap/>
                <w:hideMark/>
              </w:tcPr>
              <w:p w14:paraId="6E479479" w14:textId="77777777" w:rsidR="0041512C" w:rsidRPr="00797688" w:rsidRDefault="0041512C" w:rsidP="00D14D81">
                <w:pPr>
                  <w:spacing w:after="0" w:line="240" w:lineRule="auto"/>
                  <w:rPr>
                    <w:rFonts w:asciiTheme="minorHAnsi" w:eastAsia="Times New Roman" w:hAnsiTheme="minorHAnsi" w:cstheme="minorHAnsi"/>
                    <w:b/>
                    <w:bCs/>
                    <w:color w:val="000E9C"/>
                    <w:sz w:val="18"/>
                    <w:szCs w:val="18"/>
                    <w:lang w:eastAsia="fr-FR"/>
                  </w:rPr>
                </w:pPr>
                <w:r w:rsidRPr="00797688">
                  <w:rPr>
                    <w:rFonts w:asciiTheme="minorHAnsi" w:eastAsia="Times New Roman" w:hAnsiTheme="minorHAnsi" w:cstheme="minorHAnsi"/>
                    <w:b/>
                    <w:bCs/>
                    <w:color w:val="000E9C"/>
                    <w:sz w:val="18"/>
                    <w:szCs w:val="18"/>
                    <w:lang w:eastAsia="fr-FR"/>
                  </w:rPr>
                  <w:t> </w:t>
                </w:r>
              </w:p>
            </w:tc>
            <w:tc>
              <w:tcPr>
                <w:tcW w:w="1397" w:type="dxa"/>
                <w:tcBorders>
                  <w:top w:val="nil"/>
                  <w:left w:val="nil"/>
                  <w:bottom w:val="single" w:sz="4" w:space="0" w:color="000E9C"/>
                  <w:right w:val="nil"/>
                </w:tcBorders>
                <w:shd w:val="clear" w:color="auto" w:fill="auto"/>
                <w:noWrap/>
                <w:hideMark/>
              </w:tcPr>
              <w:p w14:paraId="4B17CEB5" w14:textId="77777777" w:rsidR="0041512C" w:rsidRPr="00797688" w:rsidRDefault="0041512C" w:rsidP="00D14D81">
                <w:pPr>
                  <w:spacing w:after="0" w:line="240" w:lineRule="auto"/>
                  <w:rPr>
                    <w:rFonts w:asciiTheme="minorHAnsi" w:eastAsia="Times New Roman" w:hAnsiTheme="minorHAnsi" w:cstheme="minorHAnsi"/>
                    <w:b/>
                    <w:bCs/>
                    <w:color w:val="000E9C"/>
                    <w:sz w:val="18"/>
                    <w:szCs w:val="18"/>
                    <w:lang w:eastAsia="fr-FR"/>
                  </w:rPr>
                </w:pPr>
                <w:r w:rsidRPr="00797688">
                  <w:rPr>
                    <w:rFonts w:asciiTheme="minorHAnsi" w:eastAsia="Times New Roman" w:hAnsiTheme="minorHAnsi" w:cstheme="minorHAnsi"/>
                    <w:b/>
                    <w:bCs/>
                    <w:color w:val="000E9C"/>
                    <w:sz w:val="18"/>
                    <w:szCs w:val="18"/>
                    <w:lang w:eastAsia="fr-FR"/>
                  </w:rPr>
                  <w:t> </w:t>
                </w:r>
              </w:p>
            </w:tc>
            <w:tc>
              <w:tcPr>
                <w:tcW w:w="1394" w:type="dxa"/>
                <w:tcBorders>
                  <w:top w:val="nil"/>
                  <w:left w:val="nil"/>
                  <w:bottom w:val="single" w:sz="4" w:space="0" w:color="000E9C"/>
                  <w:right w:val="nil"/>
                </w:tcBorders>
                <w:shd w:val="clear" w:color="auto" w:fill="auto"/>
                <w:noWrap/>
                <w:hideMark/>
              </w:tcPr>
              <w:p w14:paraId="6B61CD31" w14:textId="77777777" w:rsidR="0041512C" w:rsidRPr="00797688" w:rsidRDefault="0041512C" w:rsidP="00D14D81">
                <w:pPr>
                  <w:spacing w:after="0" w:line="240" w:lineRule="auto"/>
                  <w:jc w:val="right"/>
                  <w:rPr>
                    <w:rFonts w:asciiTheme="minorHAnsi" w:eastAsia="Times New Roman" w:hAnsiTheme="minorHAnsi" w:cstheme="minorHAnsi"/>
                    <w:b/>
                    <w:bCs/>
                    <w:color w:val="000000"/>
                    <w:sz w:val="18"/>
                    <w:szCs w:val="18"/>
                    <w:lang w:eastAsia="fr-FR"/>
                  </w:rPr>
                </w:pPr>
                <w:r w:rsidRPr="00797688">
                  <w:rPr>
                    <w:rFonts w:asciiTheme="minorHAnsi" w:eastAsia="Times New Roman" w:hAnsiTheme="minorHAnsi" w:cstheme="minorHAnsi"/>
                    <w:b/>
                    <w:bCs/>
                    <w:color w:val="000000"/>
                    <w:sz w:val="18"/>
                    <w:szCs w:val="18"/>
                    <w:lang w:eastAsia="fr-FR"/>
                  </w:rPr>
                  <w:t>2,7</w:t>
                </w:r>
                <w:r>
                  <w:rPr>
                    <w:rFonts w:asciiTheme="minorHAnsi" w:eastAsia="Times New Roman" w:hAnsiTheme="minorHAnsi" w:cstheme="minorHAnsi"/>
                    <w:b/>
                    <w:bCs/>
                    <w:color w:val="000000"/>
                    <w:sz w:val="18"/>
                    <w:szCs w:val="18"/>
                    <w:lang w:eastAsia="fr-FR"/>
                  </w:rPr>
                  <w:t>0x</w:t>
                </w:r>
              </w:p>
            </w:tc>
            <w:tc>
              <w:tcPr>
                <w:tcW w:w="1394" w:type="dxa"/>
                <w:tcBorders>
                  <w:top w:val="nil"/>
                  <w:left w:val="nil"/>
                  <w:bottom w:val="single" w:sz="4" w:space="0" w:color="000E9C"/>
                  <w:right w:val="nil"/>
                </w:tcBorders>
                <w:shd w:val="clear" w:color="000000" w:fill="E7E6E6"/>
                <w:noWrap/>
                <w:hideMark/>
              </w:tcPr>
              <w:p w14:paraId="2209D008" w14:textId="77777777" w:rsidR="0041512C" w:rsidRPr="005C3947" w:rsidRDefault="0041512C" w:rsidP="00D14D81">
                <w:pPr>
                  <w:spacing w:after="0" w:line="240" w:lineRule="auto"/>
                  <w:jc w:val="right"/>
                  <w:rPr>
                    <w:rFonts w:asciiTheme="minorHAnsi" w:eastAsia="Times New Roman" w:hAnsiTheme="minorHAnsi" w:cstheme="minorHAnsi"/>
                    <w:b/>
                    <w:bCs/>
                    <w:color w:val="000E9C"/>
                    <w:sz w:val="18"/>
                    <w:szCs w:val="18"/>
                    <w:lang w:eastAsia="fr-FR"/>
                  </w:rPr>
                </w:pPr>
                <w:r w:rsidRPr="005C3947">
                  <w:rPr>
                    <w:rFonts w:asciiTheme="minorHAnsi" w:eastAsia="Times New Roman" w:hAnsiTheme="minorHAnsi" w:cstheme="minorHAnsi"/>
                    <w:b/>
                    <w:bCs/>
                    <w:color w:val="000E9C"/>
                    <w:sz w:val="18"/>
                    <w:szCs w:val="18"/>
                    <w:lang w:eastAsia="fr-FR"/>
                  </w:rPr>
                  <w:t>1,46x</w:t>
                </w:r>
              </w:p>
            </w:tc>
          </w:tr>
        </w:tbl>
        <w:p w14:paraId="2A08C2D3" w14:textId="77777777" w:rsidR="0041512C" w:rsidRPr="00B264D1" w:rsidRDefault="0041512C" w:rsidP="0041512C">
          <w:pPr>
            <w:rPr>
              <w:rFonts w:asciiTheme="minorHAnsi" w:hAnsiTheme="minorHAnsi" w:cstheme="minorHAnsi"/>
              <w:b/>
              <w:bCs/>
              <w:sz w:val="20"/>
              <w:szCs w:val="20"/>
            </w:rPr>
          </w:pPr>
        </w:p>
        <w:p w14:paraId="2D26D9EB" w14:textId="77777777" w:rsidR="0041512C" w:rsidRPr="00B264D1" w:rsidRDefault="0041512C" w:rsidP="0041512C">
          <w:pPr>
            <w:pStyle w:val="Titre2"/>
            <w:numPr>
              <w:ilvl w:val="1"/>
              <w:numId w:val="20"/>
            </w:numPr>
            <w:spacing w:before="0"/>
            <w:ind w:left="567" w:hanging="567"/>
            <w:rPr>
              <w:rFonts w:asciiTheme="minorHAnsi" w:hAnsiTheme="minorHAnsi" w:cstheme="minorHAnsi"/>
              <w:color w:val="auto"/>
              <w:sz w:val="28"/>
              <w:szCs w:val="28"/>
            </w:rPr>
          </w:pPr>
          <w:bookmarkStart w:id="56" w:name="_Toc100684273"/>
          <w:bookmarkStart w:id="57" w:name="_Toc100689217"/>
          <w:bookmarkStart w:id="58" w:name="_Toc100689266"/>
          <w:r w:rsidRPr="00B264D1">
            <w:rPr>
              <w:rFonts w:asciiTheme="minorHAnsi" w:hAnsiTheme="minorHAnsi" w:cstheme="minorHAnsi"/>
              <w:color w:val="auto"/>
              <w:sz w:val="28"/>
              <w:szCs w:val="28"/>
            </w:rPr>
            <w:t>Capitaux propres</w:t>
          </w:r>
          <w:bookmarkEnd w:id="56"/>
          <w:bookmarkEnd w:id="57"/>
          <w:bookmarkEnd w:id="58"/>
        </w:p>
        <w:p w14:paraId="4682C7DD" w14:textId="77777777" w:rsidR="0041512C" w:rsidRPr="00B264D1" w:rsidRDefault="0041512C" w:rsidP="0041512C">
          <w:pPr>
            <w:rPr>
              <w:rFonts w:asciiTheme="minorHAnsi" w:hAnsiTheme="minorHAnsi" w:cstheme="minorHAnsi"/>
            </w:rPr>
          </w:pPr>
        </w:p>
        <w:p w14:paraId="223A4BAB" w14:textId="77777777" w:rsidR="0041512C" w:rsidRPr="00B264D1" w:rsidRDefault="0041512C" w:rsidP="0041512C">
          <w:pPr>
            <w:jc w:val="both"/>
            <w:rPr>
              <w:rFonts w:asciiTheme="minorHAnsi" w:hAnsiTheme="minorHAnsi" w:cstheme="minorHAnsi"/>
              <w:sz w:val="20"/>
              <w:szCs w:val="20"/>
            </w:rPr>
          </w:pPr>
          <w:r w:rsidRPr="00B264D1">
            <w:rPr>
              <w:rFonts w:asciiTheme="minorHAnsi" w:hAnsiTheme="minorHAnsi" w:cstheme="minorHAnsi"/>
              <w:b/>
              <w:bCs/>
              <w:sz w:val="20"/>
              <w:szCs w:val="20"/>
            </w:rPr>
            <w:t>La situation nette de l’ensemble consolidé</w:t>
          </w:r>
          <w:r w:rsidRPr="00B264D1">
            <w:rPr>
              <w:rFonts w:asciiTheme="minorHAnsi" w:hAnsiTheme="minorHAnsi" w:cstheme="minorHAnsi"/>
              <w:sz w:val="20"/>
              <w:szCs w:val="20"/>
            </w:rPr>
            <w:t xml:space="preserve"> au 28 février 2022 ressort à 457,9 millions d’euros, en hausse de </w:t>
          </w:r>
          <w:r w:rsidRPr="00B264D1">
            <w:rPr>
              <w:rFonts w:asciiTheme="minorHAnsi" w:hAnsiTheme="minorHAnsi" w:cstheme="minorHAnsi"/>
              <w:sz w:val="20"/>
              <w:szCs w:val="20"/>
            </w:rPr>
            <w:br/>
            <w:t xml:space="preserve">349,1 millions d’euros par rapport au 31 août 2021, du fait, principalement : </w:t>
          </w:r>
        </w:p>
        <w:p w14:paraId="3175A58E" w14:textId="77777777" w:rsidR="0041512C" w:rsidRPr="00B264D1" w:rsidRDefault="0041512C" w:rsidP="0041512C">
          <w:pPr>
            <w:pStyle w:val="Paragraphedeliste"/>
            <w:numPr>
              <w:ilvl w:val="0"/>
              <w:numId w:val="22"/>
            </w:numPr>
            <w:jc w:val="both"/>
            <w:rPr>
              <w:rFonts w:asciiTheme="minorHAnsi" w:hAnsiTheme="minorHAnsi" w:cstheme="minorHAnsi"/>
              <w:sz w:val="20"/>
              <w:szCs w:val="20"/>
            </w:rPr>
          </w:pPr>
          <w:r w:rsidRPr="00B264D1">
            <w:rPr>
              <w:rFonts w:asciiTheme="minorHAnsi" w:hAnsiTheme="minorHAnsi" w:cstheme="minorHAnsi"/>
              <w:sz w:val="20"/>
              <w:szCs w:val="20"/>
            </w:rPr>
            <w:t>De l’augmentation de capital en lien avec l’introduction en bourse, pour un montant de 350 millions d’euros (340,2 millions d’euros nets des frais directement imputés à la prime d’émission) ;</w:t>
          </w:r>
        </w:p>
        <w:p w14:paraId="095D088A" w14:textId="77777777" w:rsidR="0041512C" w:rsidRPr="00B264D1" w:rsidRDefault="0041512C" w:rsidP="0041512C">
          <w:pPr>
            <w:pStyle w:val="Paragraphedeliste"/>
            <w:numPr>
              <w:ilvl w:val="0"/>
              <w:numId w:val="22"/>
            </w:numPr>
            <w:jc w:val="both"/>
            <w:rPr>
              <w:rFonts w:asciiTheme="minorHAnsi" w:hAnsiTheme="minorHAnsi" w:cstheme="minorHAnsi"/>
              <w:sz w:val="20"/>
              <w:szCs w:val="20"/>
            </w:rPr>
          </w:pPr>
          <w:r w:rsidRPr="00B264D1">
            <w:rPr>
              <w:rFonts w:asciiTheme="minorHAnsi" w:hAnsiTheme="minorHAnsi" w:cstheme="minorHAnsi"/>
              <w:sz w:val="20"/>
              <w:szCs w:val="20"/>
            </w:rPr>
            <w:t>De l’augmentation de capital en lien avec l’Offre d’actionnariat salarié (« ESP 2021 ») du Groupe pour un montant de 9,8 millions d’euros (dont 0,7 million d’euros par incorporation de réserves</w:t>
          </w:r>
          <w:proofErr w:type="gramStart"/>
          <w:r w:rsidRPr="00B264D1">
            <w:rPr>
              <w:rFonts w:asciiTheme="minorHAnsi" w:hAnsiTheme="minorHAnsi" w:cstheme="minorHAnsi"/>
              <w:sz w:val="20"/>
              <w:szCs w:val="20"/>
            </w:rPr>
            <w:t>);</w:t>
          </w:r>
          <w:proofErr w:type="gramEnd"/>
        </w:p>
        <w:p w14:paraId="511D4257" w14:textId="77777777" w:rsidR="0041512C" w:rsidRPr="00B264D1" w:rsidRDefault="0041512C" w:rsidP="0041512C">
          <w:pPr>
            <w:pStyle w:val="Paragraphedeliste"/>
            <w:numPr>
              <w:ilvl w:val="0"/>
              <w:numId w:val="22"/>
            </w:numPr>
            <w:jc w:val="both"/>
            <w:rPr>
              <w:rFonts w:asciiTheme="minorHAnsi" w:hAnsiTheme="minorHAnsi" w:cstheme="minorHAnsi"/>
              <w:sz w:val="20"/>
              <w:szCs w:val="20"/>
            </w:rPr>
          </w:pPr>
          <w:r w:rsidRPr="00B264D1">
            <w:rPr>
              <w:rFonts w:asciiTheme="minorHAnsi" w:hAnsiTheme="minorHAnsi" w:cstheme="minorHAnsi"/>
              <w:sz w:val="20"/>
              <w:szCs w:val="20"/>
            </w:rPr>
            <w:t>De l’effet des plans de rémunération réglés en instruments de capitaux propres (attributions d’actions gratuites et « ESP 2021 ») pour 19,8 millions d’euros ;</w:t>
          </w:r>
        </w:p>
        <w:p w14:paraId="53E164F7" w14:textId="60503708" w:rsidR="0041512C" w:rsidRPr="005B62C1" w:rsidRDefault="0041512C" w:rsidP="005B62C1">
          <w:pPr>
            <w:pStyle w:val="Paragraphedeliste"/>
            <w:numPr>
              <w:ilvl w:val="0"/>
              <w:numId w:val="22"/>
            </w:numPr>
            <w:jc w:val="both"/>
            <w:rPr>
              <w:rFonts w:asciiTheme="minorHAnsi" w:hAnsiTheme="minorHAnsi" w:cstheme="minorHAnsi"/>
              <w:sz w:val="20"/>
              <w:szCs w:val="20"/>
            </w:rPr>
          </w:pPr>
          <w:r w:rsidRPr="00B264D1">
            <w:rPr>
              <w:rFonts w:asciiTheme="minorHAnsi" w:hAnsiTheme="minorHAnsi" w:cstheme="minorHAnsi"/>
              <w:sz w:val="20"/>
              <w:szCs w:val="20"/>
            </w:rPr>
            <w:t>De l’impact du résultat global tel que détaillé dans les comptes consolidés semestriels résumés pour un montant de (19,7) millions d’euros.</w:t>
          </w:r>
        </w:p>
        <w:p w14:paraId="65939CB4" w14:textId="5AEB1ED6" w:rsidR="00147839" w:rsidRDefault="00147839">
          <w:pPr>
            <w:spacing w:after="0" w:line="240" w:lineRule="auto"/>
            <w:rPr>
              <w:rFonts w:asciiTheme="minorHAnsi" w:eastAsia="DengXian Light" w:hAnsiTheme="minorHAnsi" w:cstheme="minorHAnsi"/>
              <w:color w:val="000E9A"/>
              <w:sz w:val="28"/>
              <w:szCs w:val="28"/>
            </w:rPr>
          </w:pPr>
        </w:p>
        <w:p w14:paraId="08EB27FB" w14:textId="005C0760" w:rsidR="0041512C" w:rsidRPr="00B264D1" w:rsidRDefault="0041512C" w:rsidP="0041512C">
          <w:pPr>
            <w:pStyle w:val="Titre1"/>
            <w:numPr>
              <w:ilvl w:val="0"/>
              <w:numId w:val="11"/>
            </w:numPr>
            <w:spacing w:before="240" w:after="0"/>
            <w:ind w:left="426" w:right="-74" w:hanging="568"/>
            <w:rPr>
              <w:rFonts w:asciiTheme="minorHAnsi" w:hAnsiTheme="minorHAnsi" w:cstheme="minorHAnsi"/>
              <w:color w:val="000E9A"/>
              <w:sz w:val="28"/>
              <w:szCs w:val="28"/>
            </w:rPr>
          </w:pPr>
          <w:bookmarkStart w:id="59" w:name="_Toc100684274"/>
          <w:bookmarkStart w:id="60" w:name="_Toc100689218"/>
          <w:bookmarkStart w:id="61" w:name="_Toc100689267"/>
          <w:r w:rsidRPr="00B264D1">
            <w:rPr>
              <w:rFonts w:asciiTheme="minorHAnsi" w:hAnsiTheme="minorHAnsi" w:cstheme="minorHAnsi"/>
              <w:color w:val="000E9A"/>
              <w:sz w:val="28"/>
              <w:szCs w:val="28"/>
            </w:rPr>
            <w:t>Informations complémentaires</w:t>
          </w:r>
          <w:bookmarkEnd w:id="59"/>
          <w:bookmarkEnd w:id="60"/>
          <w:bookmarkEnd w:id="61"/>
        </w:p>
        <w:p w14:paraId="40699044" w14:textId="77777777" w:rsidR="0041512C" w:rsidRPr="00B264D1" w:rsidRDefault="0041512C" w:rsidP="0041512C">
          <w:pPr>
            <w:rPr>
              <w:rFonts w:asciiTheme="minorHAnsi" w:hAnsiTheme="minorHAnsi" w:cstheme="minorHAnsi"/>
            </w:rPr>
          </w:pPr>
        </w:p>
        <w:p w14:paraId="2CD05081" w14:textId="77777777" w:rsidR="0041512C" w:rsidRPr="00472ADC" w:rsidRDefault="0041512C" w:rsidP="0041512C">
          <w:pPr>
            <w:spacing w:after="0" w:line="240" w:lineRule="auto"/>
            <w:rPr>
              <w:rFonts w:asciiTheme="minorHAnsi" w:hAnsiTheme="minorHAnsi" w:cstheme="minorHAnsi"/>
              <w:b/>
              <w:bCs/>
              <w:sz w:val="20"/>
              <w:szCs w:val="20"/>
            </w:rPr>
          </w:pPr>
          <w:r w:rsidRPr="00472ADC">
            <w:rPr>
              <w:rFonts w:asciiTheme="minorHAnsi" w:hAnsiTheme="minorHAnsi" w:cstheme="minorHAnsi"/>
              <w:b/>
              <w:bCs/>
              <w:sz w:val="20"/>
              <w:szCs w:val="20"/>
            </w:rPr>
            <w:t>Situation liée à l’incident de Strasbourg</w:t>
          </w:r>
        </w:p>
        <w:p w14:paraId="4EAD297F" w14:textId="77777777" w:rsidR="0041512C" w:rsidRDefault="0041512C" w:rsidP="0041512C">
          <w:pPr>
            <w:autoSpaceDE w:val="0"/>
            <w:autoSpaceDN w:val="0"/>
            <w:adjustRightInd w:val="0"/>
            <w:spacing w:after="0" w:line="240" w:lineRule="auto"/>
            <w:jc w:val="both"/>
            <w:rPr>
              <w:rFonts w:asciiTheme="minorHAnsi" w:hAnsiTheme="minorHAnsi" w:cstheme="minorHAnsi"/>
              <w:sz w:val="20"/>
              <w:szCs w:val="20"/>
            </w:rPr>
          </w:pPr>
        </w:p>
        <w:p w14:paraId="641DD5A9" w14:textId="77777777" w:rsidR="0041512C" w:rsidRPr="00E80C01" w:rsidRDefault="0041512C" w:rsidP="0041512C">
          <w:pPr>
            <w:autoSpaceDE w:val="0"/>
            <w:autoSpaceDN w:val="0"/>
            <w:adjustRightInd w:val="0"/>
            <w:spacing w:after="0" w:line="240" w:lineRule="auto"/>
            <w:jc w:val="both"/>
            <w:rPr>
              <w:rFonts w:asciiTheme="minorHAnsi" w:hAnsiTheme="minorHAnsi" w:cstheme="minorHAnsi"/>
              <w:sz w:val="20"/>
              <w:szCs w:val="20"/>
            </w:rPr>
          </w:pPr>
          <w:r w:rsidRPr="00E80C01">
            <w:rPr>
              <w:rFonts w:asciiTheme="minorHAnsi" w:hAnsiTheme="minorHAnsi" w:cstheme="minorHAnsi"/>
              <w:sz w:val="20"/>
              <w:szCs w:val="20"/>
            </w:rPr>
            <w:t>Au 28 février 2022</w:t>
          </w:r>
          <w:r>
            <w:rPr>
              <w:rFonts w:asciiTheme="minorHAnsi" w:hAnsiTheme="minorHAnsi" w:cstheme="minorHAnsi"/>
              <w:sz w:val="20"/>
              <w:szCs w:val="20"/>
            </w:rPr>
            <w:t xml:space="preserve"> et depuis la survenance de l’incident de Strasbourg</w:t>
          </w:r>
          <w:r w:rsidRPr="00E80C01">
            <w:rPr>
              <w:rFonts w:asciiTheme="minorHAnsi" w:hAnsiTheme="minorHAnsi" w:cstheme="minorHAnsi"/>
              <w:sz w:val="20"/>
              <w:szCs w:val="20"/>
            </w:rPr>
            <w:t>, OVHcloud a</w:t>
          </w:r>
          <w:r>
            <w:rPr>
              <w:rFonts w:asciiTheme="minorHAnsi" w:hAnsiTheme="minorHAnsi" w:cstheme="minorHAnsi"/>
              <w:sz w:val="20"/>
              <w:szCs w:val="20"/>
            </w:rPr>
            <w:t>vait</w:t>
          </w:r>
          <w:r w:rsidRPr="00E80C01">
            <w:rPr>
              <w:rFonts w:asciiTheme="minorHAnsi" w:hAnsiTheme="minorHAnsi" w:cstheme="minorHAnsi"/>
              <w:sz w:val="20"/>
              <w:szCs w:val="20"/>
            </w:rPr>
            <w:t xml:space="preserve"> re</w:t>
          </w:r>
          <w:r w:rsidRPr="00E80C01">
            <w:rPr>
              <w:rFonts w:asciiTheme="minorHAnsi" w:hAnsiTheme="minorHAnsi" w:cstheme="minorHAnsi" w:hint="eastAsia"/>
              <w:sz w:val="20"/>
              <w:szCs w:val="20"/>
            </w:rPr>
            <w:t>ç</w:t>
          </w:r>
          <w:r w:rsidRPr="00E80C01">
            <w:rPr>
              <w:rFonts w:asciiTheme="minorHAnsi" w:hAnsiTheme="minorHAnsi" w:cstheme="minorHAnsi"/>
              <w:sz w:val="20"/>
              <w:szCs w:val="20"/>
            </w:rPr>
            <w:t>u 410 réclamations et demandes d</w:t>
          </w:r>
          <w:r w:rsidRPr="00E80C01">
            <w:rPr>
              <w:rFonts w:asciiTheme="minorHAnsi" w:hAnsiTheme="minorHAnsi" w:cstheme="minorHAnsi" w:hint="eastAsia"/>
              <w:sz w:val="20"/>
              <w:szCs w:val="20"/>
            </w:rPr>
            <w:t>’</w:t>
          </w:r>
          <w:r w:rsidRPr="00E80C01">
            <w:rPr>
              <w:rFonts w:asciiTheme="minorHAnsi" w:hAnsiTheme="minorHAnsi" w:cstheme="minorHAnsi"/>
              <w:sz w:val="20"/>
              <w:szCs w:val="20"/>
            </w:rPr>
            <w:t>information de la part de clients all</w:t>
          </w:r>
          <w:r>
            <w:rPr>
              <w:rFonts w:asciiTheme="minorHAnsi" w:hAnsiTheme="minorHAnsi" w:cstheme="minorHAnsi"/>
              <w:sz w:val="20"/>
              <w:szCs w:val="20"/>
            </w:rPr>
            <w:t>é</w:t>
          </w:r>
          <w:r w:rsidRPr="00E80C01">
            <w:rPr>
              <w:rFonts w:asciiTheme="minorHAnsi" w:hAnsiTheme="minorHAnsi" w:cstheme="minorHAnsi"/>
              <w:sz w:val="20"/>
              <w:szCs w:val="20"/>
            </w:rPr>
            <w:t>gu</w:t>
          </w:r>
          <w:r>
            <w:rPr>
              <w:rFonts w:asciiTheme="minorHAnsi" w:hAnsiTheme="minorHAnsi" w:cstheme="minorHAnsi"/>
              <w:sz w:val="20"/>
              <w:szCs w:val="20"/>
            </w:rPr>
            <w:t>a</w:t>
          </w:r>
          <w:r w:rsidRPr="00E80C01">
            <w:rPr>
              <w:rFonts w:asciiTheme="minorHAnsi" w:hAnsiTheme="minorHAnsi" w:cstheme="minorHAnsi"/>
              <w:sz w:val="20"/>
              <w:szCs w:val="20"/>
            </w:rPr>
            <w:t xml:space="preserve">nt </w:t>
          </w:r>
          <w:r>
            <w:rPr>
              <w:rFonts w:asciiTheme="minorHAnsi" w:hAnsiTheme="minorHAnsi" w:cstheme="minorHAnsi"/>
              <w:sz w:val="20"/>
              <w:szCs w:val="20"/>
            </w:rPr>
            <w:t>avoir été</w:t>
          </w:r>
          <w:r w:rsidRPr="00E80C01">
            <w:rPr>
              <w:rFonts w:asciiTheme="minorHAnsi" w:hAnsiTheme="minorHAnsi" w:cstheme="minorHAnsi"/>
              <w:sz w:val="20"/>
              <w:szCs w:val="20"/>
            </w:rPr>
            <w:t xml:space="preserve"> affect</w:t>
          </w:r>
          <w:r w:rsidRPr="00E80C01">
            <w:rPr>
              <w:rFonts w:asciiTheme="minorHAnsi" w:hAnsiTheme="minorHAnsi" w:cstheme="minorHAnsi" w:hint="eastAsia"/>
              <w:sz w:val="20"/>
              <w:szCs w:val="20"/>
            </w:rPr>
            <w:t>é</w:t>
          </w:r>
          <w:r w:rsidRPr="00E80C01">
            <w:rPr>
              <w:rFonts w:asciiTheme="minorHAnsi" w:hAnsiTheme="minorHAnsi" w:cstheme="minorHAnsi"/>
              <w:sz w:val="20"/>
              <w:szCs w:val="20"/>
            </w:rPr>
            <w:t>s par l</w:t>
          </w:r>
          <w:r w:rsidRPr="00E80C01">
            <w:rPr>
              <w:rFonts w:asciiTheme="minorHAnsi" w:hAnsiTheme="minorHAnsi" w:cstheme="minorHAnsi" w:hint="eastAsia"/>
              <w:sz w:val="20"/>
              <w:szCs w:val="20"/>
            </w:rPr>
            <w:t>’</w:t>
          </w:r>
          <w:r w:rsidRPr="00E80C01">
            <w:rPr>
              <w:rFonts w:asciiTheme="minorHAnsi" w:hAnsiTheme="minorHAnsi" w:cstheme="minorHAnsi"/>
              <w:sz w:val="20"/>
              <w:szCs w:val="20"/>
            </w:rPr>
            <w:t>incident de Strasbourg, dont une part importante re</w:t>
          </w:r>
          <w:r w:rsidRPr="00E80C01">
            <w:rPr>
              <w:rFonts w:asciiTheme="minorHAnsi" w:hAnsiTheme="minorHAnsi" w:cstheme="minorHAnsi" w:hint="eastAsia"/>
              <w:sz w:val="20"/>
              <w:szCs w:val="20"/>
            </w:rPr>
            <w:t>ç</w:t>
          </w:r>
          <w:r w:rsidRPr="00E80C01">
            <w:rPr>
              <w:rFonts w:asciiTheme="minorHAnsi" w:hAnsiTheme="minorHAnsi" w:cstheme="minorHAnsi"/>
              <w:sz w:val="20"/>
              <w:szCs w:val="20"/>
            </w:rPr>
            <w:t>ue dans les trois premiers mois suivant l</w:t>
          </w:r>
          <w:r w:rsidRPr="00E80C01">
            <w:rPr>
              <w:rFonts w:asciiTheme="minorHAnsi" w:hAnsiTheme="minorHAnsi" w:cstheme="minorHAnsi" w:hint="eastAsia"/>
              <w:sz w:val="20"/>
              <w:szCs w:val="20"/>
            </w:rPr>
            <w:t>’</w:t>
          </w:r>
          <w:r w:rsidRPr="00E80C01">
            <w:rPr>
              <w:rFonts w:asciiTheme="minorHAnsi" w:hAnsiTheme="minorHAnsi" w:cstheme="minorHAnsi" w:hint="eastAsia"/>
              <w:sz w:val="20"/>
              <w:szCs w:val="20"/>
            </w:rPr>
            <w:t>i</w:t>
          </w:r>
          <w:r w:rsidRPr="00E80C01">
            <w:rPr>
              <w:rFonts w:asciiTheme="minorHAnsi" w:hAnsiTheme="minorHAnsi" w:cstheme="minorHAnsi"/>
              <w:sz w:val="20"/>
              <w:szCs w:val="20"/>
            </w:rPr>
            <w:t>ncendie. Les clients, situ</w:t>
          </w:r>
          <w:r w:rsidRPr="00E80C01">
            <w:rPr>
              <w:rFonts w:asciiTheme="minorHAnsi" w:hAnsiTheme="minorHAnsi" w:cstheme="minorHAnsi" w:hint="eastAsia"/>
              <w:sz w:val="20"/>
              <w:szCs w:val="20"/>
            </w:rPr>
            <w:t>é</w:t>
          </w:r>
          <w:r w:rsidRPr="00E80C01">
            <w:rPr>
              <w:rFonts w:asciiTheme="minorHAnsi" w:hAnsiTheme="minorHAnsi" w:cstheme="minorHAnsi"/>
              <w:sz w:val="20"/>
              <w:szCs w:val="20"/>
            </w:rPr>
            <w:t>s principalement en France et dans une moindre mesure dans d</w:t>
          </w:r>
          <w:r w:rsidRPr="00E80C01">
            <w:rPr>
              <w:rFonts w:asciiTheme="minorHAnsi" w:hAnsiTheme="minorHAnsi" w:cstheme="minorHAnsi" w:hint="eastAsia"/>
              <w:sz w:val="20"/>
              <w:szCs w:val="20"/>
            </w:rPr>
            <w:t>’</w:t>
          </w:r>
          <w:r w:rsidRPr="00E80C01">
            <w:rPr>
              <w:rFonts w:asciiTheme="minorHAnsi" w:hAnsiTheme="minorHAnsi" w:cstheme="minorHAnsi" w:hint="eastAsia"/>
              <w:sz w:val="20"/>
              <w:szCs w:val="20"/>
            </w:rPr>
            <w:t>a</w:t>
          </w:r>
          <w:r w:rsidRPr="00E80C01">
            <w:rPr>
              <w:rFonts w:asciiTheme="minorHAnsi" w:hAnsiTheme="minorHAnsi" w:cstheme="minorHAnsi"/>
              <w:sz w:val="20"/>
              <w:szCs w:val="20"/>
            </w:rPr>
            <w:t>utres pays d</w:t>
          </w:r>
          <w:r w:rsidRPr="00E80C01">
            <w:rPr>
              <w:rFonts w:asciiTheme="minorHAnsi" w:hAnsiTheme="minorHAnsi" w:cstheme="minorHAnsi" w:hint="eastAsia"/>
              <w:sz w:val="20"/>
              <w:szCs w:val="20"/>
            </w:rPr>
            <w:t>’</w:t>
          </w:r>
          <w:r w:rsidRPr="00E80C01">
            <w:rPr>
              <w:rFonts w:asciiTheme="minorHAnsi" w:hAnsiTheme="minorHAnsi" w:cstheme="minorHAnsi"/>
              <w:sz w:val="20"/>
              <w:szCs w:val="20"/>
            </w:rPr>
            <w:t>Europe et dans la r</w:t>
          </w:r>
          <w:r w:rsidRPr="00E80C01">
            <w:rPr>
              <w:rFonts w:asciiTheme="minorHAnsi" w:hAnsiTheme="minorHAnsi" w:cstheme="minorHAnsi" w:hint="eastAsia"/>
              <w:sz w:val="20"/>
              <w:szCs w:val="20"/>
            </w:rPr>
            <w:t>é</w:t>
          </w:r>
          <w:r w:rsidRPr="00E80C01">
            <w:rPr>
              <w:rFonts w:asciiTheme="minorHAnsi" w:hAnsiTheme="minorHAnsi" w:cstheme="minorHAnsi"/>
              <w:sz w:val="20"/>
              <w:szCs w:val="20"/>
            </w:rPr>
            <w:t xml:space="preserve">gion EMEA, demandent des informations sur les données stockées sur les serveurs OVHcloud, la récupération des données éventuellement perdues et, dans certains cas, un dédommagement pécuniaire. Les demandes de dédommagement sont en général pour des montants individuels faibles, ou ne sont pas chiffrées. </w:t>
          </w:r>
        </w:p>
        <w:p w14:paraId="679A9D24" w14:textId="77777777" w:rsidR="0041512C" w:rsidRPr="00E80C01" w:rsidRDefault="0041512C" w:rsidP="0041512C">
          <w:pPr>
            <w:autoSpaceDE w:val="0"/>
            <w:autoSpaceDN w:val="0"/>
            <w:adjustRightInd w:val="0"/>
            <w:spacing w:after="0" w:line="240" w:lineRule="auto"/>
            <w:jc w:val="both"/>
            <w:rPr>
              <w:rFonts w:asciiTheme="minorHAnsi" w:hAnsiTheme="minorHAnsi" w:cstheme="minorHAnsi"/>
              <w:sz w:val="20"/>
              <w:szCs w:val="20"/>
            </w:rPr>
          </w:pPr>
          <w:r w:rsidRPr="00E80C01">
            <w:rPr>
              <w:rFonts w:asciiTheme="minorHAnsi" w:hAnsiTheme="minorHAnsi" w:cstheme="minorHAnsi"/>
              <w:sz w:val="20"/>
              <w:szCs w:val="20"/>
            </w:rPr>
            <w:t>OVHcloud estime que, dans une part importante de cas, les demandes des clients sont infondées, et que dans la plupart des autres cas les gestes commerciaux déjà accordés spontanément aux clients compensent</w:t>
          </w:r>
          <w:r>
            <w:rPr>
              <w:rFonts w:asciiTheme="minorHAnsi" w:hAnsiTheme="minorHAnsi" w:cstheme="minorHAnsi"/>
              <w:sz w:val="20"/>
              <w:szCs w:val="20"/>
            </w:rPr>
            <w:t xml:space="preserve"> </w:t>
          </w:r>
          <w:r w:rsidRPr="00E80C01">
            <w:rPr>
              <w:rFonts w:asciiTheme="minorHAnsi" w:hAnsiTheme="minorHAnsi" w:cstheme="minorHAnsi"/>
              <w:sz w:val="20"/>
              <w:szCs w:val="20"/>
            </w:rPr>
            <w:t xml:space="preserve">largement les </w:t>
          </w:r>
          <w:r w:rsidRPr="00E80C01">
            <w:rPr>
              <w:rFonts w:asciiTheme="minorHAnsi" w:hAnsiTheme="minorHAnsi" w:cstheme="minorHAnsi" w:hint="eastAsia"/>
              <w:sz w:val="20"/>
              <w:szCs w:val="20"/>
            </w:rPr>
            <w:t>é</w:t>
          </w:r>
          <w:r w:rsidRPr="00E80C01">
            <w:rPr>
              <w:rFonts w:asciiTheme="minorHAnsi" w:hAnsiTheme="minorHAnsi" w:cstheme="minorHAnsi"/>
              <w:sz w:val="20"/>
              <w:szCs w:val="20"/>
            </w:rPr>
            <w:t>ventuels pr</w:t>
          </w:r>
          <w:r w:rsidRPr="00E80C01">
            <w:rPr>
              <w:rFonts w:asciiTheme="minorHAnsi" w:hAnsiTheme="minorHAnsi" w:cstheme="minorHAnsi" w:hint="eastAsia"/>
              <w:sz w:val="20"/>
              <w:szCs w:val="20"/>
            </w:rPr>
            <w:t>é</w:t>
          </w:r>
          <w:r w:rsidRPr="00E80C01">
            <w:rPr>
              <w:rFonts w:asciiTheme="minorHAnsi" w:hAnsiTheme="minorHAnsi" w:cstheme="minorHAnsi"/>
              <w:sz w:val="20"/>
              <w:szCs w:val="20"/>
            </w:rPr>
            <w:t>judices subis par les clients. OVHcloud s</w:t>
          </w:r>
          <w:r w:rsidRPr="00E80C01">
            <w:rPr>
              <w:rFonts w:asciiTheme="minorHAnsi" w:hAnsiTheme="minorHAnsi" w:cstheme="minorHAnsi" w:hint="eastAsia"/>
              <w:sz w:val="20"/>
              <w:szCs w:val="20"/>
            </w:rPr>
            <w:t>’</w:t>
          </w:r>
          <w:r w:rsidRPr="00E80C01">
            <w:rPr>
              <w:rFonts w:asciiTheme="minorHAnsi" w:hAnsiTheme="minorHAnsi" w:cstheme="minorHAnsi"/>
              <w:sz w:val="20"/>
              <w:szCs w:val="20"/>
            </w:rPr>
            <w:t>est attach</w:t>
          </w:r>
          <w:r w:rsidRPr="00E80C01">
            <w:rPr>
              <w:rFonts w:asciiTheme="minorHAnsi" w:hAnsiTheme="minorHAnsi" w:cstheme="minorHAnsi" w:hint="eastAsia"/>
              <w:sz w:val="20"/>
              <w:szCs w:val="20"/>
            </w:rPr>
            <w:t>é</w:t>
          </w:r>
          <w:r w:rsidRPr="00E80C01">
            <w:rPr>
              <w:rFonts w:asciiTheme="minorHAnsi" w:hAnsiTheme="minorHAnsi" w:cstheme="minorHAnsi"/>
              <w:sz w:val="20"/>
              <w:szCs w:val="20"/>
            </w:rPr>
            <w:t xml:space="preserve"> </w:t>
          </w:r>
          <w:r w:rsidRPr="00E80C01">
            <w:rPr>
              <w:rFonts w:asciiTheme="minorHAnsi" w:hAnsiTheme="minorHAnsi" w:cstheme="minorHAnsi" w:hint="eastAsia"/>
              <w:sz w:val="20"/>
              <w:szCs w:val="20"/>
            </w:rPr>
            <w:t>à</w:t>
          </w:r>
          <w:r w:rsidRPr="00E80C01">
            <w:rPr>
              <w:rFonts w:asciiTheme="minorHAnsi" w:hAnsiTheme="minorHAnsi" w:cstheme="minorHAnsi"/>
              <w:sz w:val="20"/>
              <w:szCs w:val="20"/>
            </w:rPr>
            <w:t xml:space="preserve"> trouver un accord amiable pour régler les demandes des clients lorsque cela était possible. A la date du présent document, 6 dossiers </w:t>
          </w:r>
          <w:r>
            <w:rPr>
              <w:rFonts w:asciiTheme="minorHAnsi" w:hAnsiTheme="minorHAnsi" w:cstheme="minorHAnsi"/>
              <w:sz w:val="20"/>
              <w:szCs w:val="20"/>
            </w:rPr>
            <w:t xml:space="preserve">seulement en </w:t>
          </w:r>
          <w:r w:rsidRPr="00E80C01">
            <w:rPr>
              <w:rFonts w:asciiTheme="minorHAnsi" w:hAnsiTheme="minorHAnsi" w:cstheme="minorHAnsi"/>
              <w:sz w:val="20"/>
              <w:szCs w:val="20"/>
            </w:rPr>
            <w:t>sont au stade contentieux.</w:t>
          </w:r>
        </w:p>
        <w:p w14:paraId="318B6BBC" w14:textId="77777777" w:rsidR="0041512C" w:rsidRPr="00E80C01" w:rsidRDefault="0041512C" w:rsidP="0041512C">
          <w:pPr>
            <w:autoSpaceDE w:val="0"/>
            <w:autoSpaceDN w:val="0"/>
            <w:adjustRightInd w:val="0"/>
            <w:spacing w:after="0" w:line="240" w:lineRule="auto"/>
            <w:jc w:val="both"/>
            <w:rPr>
              <w:rFonts w:asciiTheme="minorHAnsi" w:hAnsiTheme="minorHAnsi" w:cstheme="minorHAnsi"/>
              <w:sz w:val="20"/>
              <w:szCs w:val="20"/>
            </w:rPr>
          </w:pPr>
          <w:r w:rsidRPr="00E80C01">
            <w:rPr>
              <w:rFonts w:asciiTheme="minorHAnsi" w:hAnsiTheme="minorHAnsi" w:cstheme="minorHAnsi"/>
              <w:sz w:val="20"/>
              <w:szCs w:val="20"/>
            </w:rPr>
            <w:t xml:space="preserve">Il est possible </w:t>
          </w:r>
          <w:proofErr w:type="spellStart"/>
          <w:r w:rsidRPr="00E80C01">
            <w:rPr>
              <w:rFonts w:asciiTheme="minorHAnsi" w:hAnsiTheme="minorHAnsi" w:cstheme="minorHAnsi"/>
              <w:sz w:val="20"/>
              <w:szCs w:val="20"/>
            </w:rPr>
            <w:t>qu</w:t>
          </w:r>
          <w:proofErr w:type="spellEnd"/>
          <w:r w:rsidRPr="00E80C01">
            <w:rPr>
              <w:rFonts w:asciiTheme="minorHAnsi" w:hAnsiTheme="minorHAnsi" w:cstheme="minorHAnsi" w:hint="eastAsia"/>
              <w:sz w:val="20"/>
              <w:szCs w:val="20"/>
            </w:rPr>
            <w:t>’</w:t>
          </w:r>
          <w:r w:rsidRPr="00E80C01">
            <w:rPr>
              <w:rFonts w:asciiTheme="minorHAnsi" w:hAnsiTheme="minorHAnsi" w:cstheme="minorHAnsi"/>
              <w:sz w:val="20"/>
              <w:szCs w:val="20"/>
            </w:rPr>
            <w:t>OVHcloud soit tenue de verser certaines sommes dans le cadre d</w:t>
          </w:r>
          <w:r w:rsidRPr="00E80C01">
            <w:rPr>
              <w:rFonts w:asciiTheme="minorHAnsi" w:hAnsiTheme="minorHAnsi" w:cstheme="minorHAnsi" w:hint="eastAsia"/>
              <w:sz w:val="20"/>
              <w:szCs w:val="20"/>
            </w:rPr>
            <w:t>’</w:t>
          </w:r>
          <w:r w:rsidRPr="00E80C01">
            <w:rPr>
              <w:rFonts w:asciiTheme="minorHAnsi" w:hAnsiTheme="minorHAnsi" w:cstheme="minorHAnsi"/>
              <w:sz w:val="20"/>
              <w:szCs w:val="20"/>
            </w:rPr>
            <w:t xml:space="preserve">accords transactionnels, ou à la suite des contentieux. Par ailleurs, OVHcloud encourt certains coûts liés à la gestion de ces discussions. A ce titre, </w:t>
          </w:r>
          <w:r>
            <w:rPr>
              <w:rFonts w:asciiTheme="minorHAnsi" w:hAnsiTheme="minorHAnsi" w:cstheme="minorHAnsi"/>
              <w:sz w:val="20"/>
              <w:szCs w:val="20"/>
            </w:rPr>
            <w:t>la provision</w:t>
          </w:r>
          <w:r w:rsidRPr="00E80C01">
            <w:rPr>
              <w:rFonts w:asciiTheme="minorHAnsi" w:hAnsiTheme="minorHAnsi" w:cstheme="minorHAnsi"/>
              <w:sz w:val="20"/>
              <w:szCs w:val="20"/>
            </w:rPr>
            <w:t xml:space="preserve"> destin</w:t>
          </w:r>
          <w:r w:rsidRPr="00E80C01">
            <w:rPr>
              <w:rFonts w:asciiTheme="minorHAnsi" w:hAnsiTheme="minorHAnsi" w:cstheme="minorHAnsi" w:hint="eastAsia"/>
              <w:sz w:val="20"/>
              <w:szCs w:val="20"/>
            </w:rPr>
            <w:t>é</w:t>
          </w:r>
          <w:r w:rsidRPr="00E80C01">
            <w:rPr>
              <w:rFonts w:asciiTheme="minorHAnsi" w:hAnsiTheme="minorHAnsi" w:cstheme="minorHAnsi"/>
              <w:sz w:val="20"/>
              <w:szCs w:val="20"/>
            </w:rPr>
            <w:t xml:space="preserve">e </w:t>
          </w:r>
          <w:r w:rsidRPr="00E80C01">
            <w:rPr>
              <w:rFonts w:asciiTheme="minorHAnsi" w:hAnsiTheme="minorHAnsi" w:cstheme="minorHAnsi" w:hint="eastAsia"/>
              <w:sz w:val="20"/>
              <w:szCs w:val="20"/>
            </w:rPr>
            <w:t>à</w:t>
          </w:r>
          <w:r w:rsidRPr="00E80C01">
            <w:rPr>
              <w:rFonts w:asciiTheme="minorHAnsi" w:hAnsiTheme="minorHAnsi" w:cstheme="minorHAnsi"/>
              <w:sz w:val="20"/>
              <w:szCs w:val="20"/>
            </w:rPr>
            <w:t xml:space="preserve"> couvrir l</w:t>
          </w:r>
          <w:r w:rsidRPr="00E80C01">
            <w:rPr>
              <w:rFonts w:asciiTheme="minorHAnsi" w:hAnsiTheme="minorHAnsi" w:cstheme="minorHAnsi" w:hint="eastAsia"/>
              <w:sz w:val="20"/>
              <w:szCs w:val="20"/>
            </w:rPr>
            <w:t>’</w:t>
          </w:r>
          <w:r w:rsidRPr="00E80C01">
            <w:rPr>
              <w:rFonts w:asciiTheme="minorHAnsi" w:hAnsiTheme="minorHAnsi" w:cstheme="minorHAnsi"/>
              <w:sz w:val="20"/>
              <w:szCs w:val="20"/>
            </w:rPr>
            <w:t>ensemble des effets du sinistre, dont notamment les frais d</w:t>
          </w:r>
          <w:r w:rsidRPr="00E80C01">
            <w:rPr>
              <w:rFonts w:asciiTheme="minorHAnsi" w:hAnsiTheme="minorHAnsi" w:cstheme="minorHAnsi" w:hint="eastAsia"/>
              <w:sz w:val="20"/>
              <w:szCs w:val="20"/>
            </w:rPr>
            <w:t>’</w:t>
          </w:r>
          <w:r w:rsidRPr="00E80C01">
            <w:rPr>
              <w:rFonts w:asciiTheme="minorHAnsi" w:hAnsiTheme="minorHAnsi" w:cstheme="minorHAnsi"/>
              <w:sz w:val="20"/>
              <w:szCs w:val="20"/>
            </w:rPr>
            <w:t>expertise et les risques de réclamation de certains clients</w:t>
          </w:r>
          <w:r>
            <w:rPr>
              <w:rFonts w:asciiTheme="minorHAnsi" w:hAnsiTheme="minorHAnsi" w:cstheme="minorHAnsi"/>
              <w:sz w:val="20"/>
              <w:szCs w:val="20"/>
            </w:rPr>
            <w:t>, s’élève à 26,4 millions d’euros au 28 février 2022</w:t>
          </w:r>
          <w:r w:rsidRPr="00E80C01">
            <w:rPr>
              <w:rFonts w:asciiTheme="minorHAnsi" w:hAnsiTheme="minorHAnsi" w:cstheme="minorHAnsi"/>
              <w:sz w:val="20"/>
              <w:szCs w:val="20"/>
            </w:rPr>
            <w:t xml:space="preserve">. La provision a été déterminée en lien avec les conseils de la Société, après </w:t>
          </w:r>
          <w:r w:rsidRPr="00E80C01">
            <w:rPr>
              <w:rFonts w:asciiTheme="minorHAnsi" w:hAnsiTheme="minorHAnsi" w:cstheme="minorHAnsi" w:hint="eastAsia"/>
              <w:sz w:val="20"/>
              <w:szCs w:val="20"/>
            </w:rPr>
            <w:t>é</w:t>
          </w:r>
          <w:r w:rsidRPr="00E80C01">
            <w:rPr>
              <w:rFonts w:asciiTheme="minorHAnsi" w:hAnsiTheme="minorHAnsi" w:cstheme="minorHAnsi"/>
              <w:sz w:val="20"/>
              <w:szCs w:val="20"/>
            </w:rPr>
            <w:t>tude des r</w:t>
          </w:r>
          <w:r w:rsidRPr="00E80C01">
            <w:rPr>
              <w:rFonts w:asciiTheme="minorHAnsi" w:hAnsiTheme="minorHAnsi" w:cstheme="minorHAnsi" w:hint="eastAsia"/>
              <w:sz w:val="20"/>
              <w:szCs w:val="20"/>
            </w:rPr>
            <w:t>é</w:t>
          </w:r>
          <w:r w:rsidRPr="00E80C01">
            <w:rPr>
              <w:rFonts w:asciiTheme="minorHAnsi" w:hAnsiTheme="minorHAnsi" w:cstheme="minorHAnsi"/>
              <w:sz w:val="20"/>
              <w:szCs w:val="20"/>
            </w:rPr>
            <w:t>clamations des clients par cat</w:t>
          </w:r>
          <w:r w:rsidRPr="00E80C01">
            <w:rPr>
              <w:rFonts w:asciiTheme="minorHAnsi" w:hAnsiTheme="minorHAnsi" w:cstheme="minorHAnsi" w:hint="eastAsia"/>
              <w:sz w:val="20"/>
              <w:szCs w:val="20"/>
            </w:rPr>
            <w:t>é</w:t>
          </w:r>
          <w:r w:rsidRPr="00E80C01">
            <w:rPr>
              <w:rFonts w:asciiTheme="minorHAnsi" w:hAnsiTheme="minorHAnsi" w:cstheme="minorHAnsi"/>
              <w:sz w:val="20"/>
              <w:szCs w:val="20"/>
            </w:rPr>
            <w:t>gorie d</w:t>
          </w:r>
          <w:r w:rsidRPr="00E80C01">
            <w:rPr>
              <w:rFonts w:asciiTheme="minorHAnsi" w:hAnsiTheme="minorHAnsi" w:cstheme="minorHAnsi" w:hint="eastAsia"/>
              <w:sz w:val="20"/>
              <w:szCs w:val="20"/>
            </w:rPr>
            <w:t>’</w:t>
          </w:r>
          <w:r w:rsidRPr="00E80C01">
            <w:rPr>
              <w:rFonts w:asciiTheme="minorHAnsi" w:hAnsiTheme="minorHAnsi" w:cstheme="minorHAnsi"/>
              <w:sz w:val="20"/>
              <w:szCs w:val="20"/>
            </w:rPr>
            <w:t>exposition et ce bien que toutes les r</w:t>
          </w:r>
          <w:r w:rsidRPr="00E80C01">
            <w:rPr>
              <w:rFonts w:asciiTheme="minorHAnsi" w:hAnsiTheme="minorHAnsi" w:cstheme="minorHAnsi" w:hint="eastAsia"/>
              <w:sz w:val="20"/>
              <w:szCs w:val="20"/>
            </w:rPr>
            <w:t>é</w:t>
          </w:r>
          <w:r w:rsidRPr="00E80C01">
            <w:rPr>
              <w:rFonts w:asciiTheme="minorHAnsi" w:hAnsiTheme="minorHAnsi" w:cstheme="minorHAnsi"/>
              <w:sz w:val="20"/>
              <w:szCs w:val="20"/>
            </w:rPr>
            <w:t>clamations re</w:t>
          </w:r>
          <w:r w:rsidRPr="00E80C01">
            <w:rPr>
              <w:rFonts w:asciiTheme="minorHAnsi" w:hAnsiTheme="minorHAnsi" w:cstheme="minorHAnsi" w:hint="eastAsia"/>
              <w:sz w:val="20"/>
              <w:szCs w:val="20"/>
            </w:rPr>
            <w:t>ç</w:t>
          </w:r>
          <w:r w:rsidRPr="00E80C01">
            <w:rPr>
              <w:rFonts w:asciiTheme="minorHAnsi" w:hAnsiTheme="minorHAnsi" w:cstheme="minorHAnsi"/>
              <w:sz w:val="20"/>
              <w:szCs w:val="20"/>
            </w:rPr>
            <w:t>ues n</w:t>
          </w:r>
          <w:r w:rsidRPr="00E80C01">
            <w:rPr>
              <w:rFonts w:asciiTheme="minorHAnsi" w:hAnsiTheme="minorHAnsi" w:cstheme="minorHAnsi" w:hint="eastAsia"/>
              <w:sz w:val="20"/>
              <w:szCs w:val="20"/>
            </w:rPr>
            <w:t>’</w:t>
          </w:r>
          <w:r w:rsidRPr="00E80C01">
            <w:rPr>
              <w:rFonts w:asciiTheme="minorHAnsi" w:hAnsiTheme="minorHAnsi" w:cstheme="minorHAnsi"/>
              <w:sz w:val="20"/>
              <w:szCs w:val="20"/>
            </w:rPr>
            <w:t xml:space="preserve">aient pas encore </w:t>
          </w:r>
          <w:r w:rsidRPr="00E80C01">
            <w:rPr>
              <w:rFonts w:asciiTheme="minorHAnsi" w:hAnsiTheme="minorHAnsi" w:cstheme="minorHAnsi" w:hint="eastAsia"/>
              <w:sz w:val="20"/>
              <w:szCs w:val="20"/>
            </w:rPr>
            <w:t>é</w:t>
          </w:r>
          <w:r w:rsidRPr="00E80C01">
            <w:rPr>
              <w:rFonts w:asciiTheme="minorHAnsi" w:hAnsiTheme="minorHAnsi" w:cstheme="minorHAnsi"/>
              <w:sz w:val="20"/>
              <w:szCs w:val="20"/>
            </w:rPr>
            <w:t>t</w:t>
          </w:r>
          <w:r w:rsidRPr="00E80C01">
            <w:rPr>
              <w:rFonts w:asciiTheme="minorHAnsi" w:hAnsiTheme="minorHAnsi" w:cstheme="minorHAnsi" w:hint="eastAsia"/>
              <w:sz w:val="20"/>
              <w:szCs w:val="20"/>
            </w:rPr>
            <w:t>é</w:t>
          </w:r>
          <w:r w:rsidRPr="00E80C01">
            <w:rPr>
              <w:rFonts w:asciiTheme="minorHAnsi" w:hAnsiTheme="minorHAnsi" w:cstheme="minorHAnsi"/>
              <w:sz w:val="20"/>
              <w:szCs w:val="20"/>
            </w:rPr>
            <w:t xml:space="preserve"> transig</w:t>
          </w:r>
          <w:r w:rsidRPr="00E80C01">
            <w:rPr>
              <w:rFonts w:asciiTheme="minorHAnsi" w:hAnsiTheme="minorHAnsi" w:cstheme="minorHAnsi" w:hint="eastAsia"/>
              <w:sz w:val="20"/>
              <w:szCs w:val="20"/>
            </w:rPr>
            <w:t>é</w:t>
          </w:r>
          <w:r w:rsidRPr="00E80C01">
            <w:rPr>
              <w:rFonts w:asciiTheme="minorHAnsi" w:hAnsiTheme="minorHAnsi" w:cstheme="minorHAnsi"/>
              <w:sz w:val="20"/>
              <w:szCs w:val="20"/>
            </w:rPr>
            <w:t>es ou jug</w:t>
          </w:r>
          <w:r w:rsidRPr="00E80C01">
            <w:rPr>
              <w:rFonts w:asciiTheme="minorHAnsi" w:hAnsiTheme="minorHAnsi" w:cstheme="minorHAnsi" w:hint="eastAsia"/>
              <w:sz w:val="20"/>
              <w:szCs w:val="20"/>
            </w:rPr>
            <w:t>é</w:t>
          </w:r>
          <w:r w:rsidRPr="00E80C01">
            <w:rPr>
              <w:rFonts w:asciiTheme="minorHAnsi" w:hAnsiTheme="minorHAnsi" w:cstheme="minorHAnsi"/>
              <w:sz w:val="20"/>
              <w:szCs w:val="20"/>
            </w:rPr>
            <w:t>es. Les remboursements de la part des compagnies d</w:t>
          </w:r>
          <w:r w:rsidRPr="00E80C01">
            <w:rPr>
              <w:rFonts w:asciiTheme="minorHAnsi" w:hAnsiTheme="minorHAnsi" w:cstheme="minorHAnsi" w:hint="eastAsia"/>
              <w:sz w:val="20"/>
              <w:szCs w:val="20"/>
            </w:rPr>
            <w:t>’</w:t>
          </w:r>
          <w:r w:rsidRPr="00E80C01">
            <w:rPr>
              <w:rFonts w:asciiTheme="minorHAnsi" w:hAnsiTheme="minorHAnsi" w:cstheme="minorHAnsi"/>
              <w:sz w:val="20"/>
              <w:szCs w:val="20"/>
            </w:rPr>
            <w:t xml:space="preserve">assurance du Groupe relatives </w:t>
          </w:r>
          <w:r w:rsidRPr="00E80C01">
            <w:rPr>
              <w:rFonts w:asciiTheme="minorHAnsi" w:hAnsiTheme="minorHAnsi" w:cstheme="minorHAnsi" w:hint="eastAsia"/>
              <w:sz w:val="20"/>
              <w:szCs w:val="20"/>
            </w:rPr>
            <w:t>à</w:t>
          </w:r>
          <w:r w:rsidRPr="00E80C01">
            <w:rPr>
              <w:rFonts w:asciiTheme="minorHAnsi" w:hAnsiTheme="minorHAnsi" w:cstheme="minorHAnsi"/>
              <w:sz w:val="20"/>
              <w:szCs w:val="20"/>
            </w:rPr>
            <w:t xml:space="preserve"> la destruction des centres de donn</w:t>
          </w:r>
          <w:r w:rsidRPr="00E80C01">
            <w:rPr>
              <w:rFonts w:asciiTheme="minorHAnsi" w:hAnsiTheme="minorHAnsi" w:cstheme="minorHAnsi" w:hint="eastAsia"/>
              <w:sz w:val="20"/>
              <w:szCs w:val="20"/>
            </w:rPr>
            <w:t>é</w:t>
          </w:r>
          <w:r w:rsidRPr="00E80C01">
            <w:rPr>
              <w:rFonts w:asciiTheme="minorHAnsi" w:hAnsiTheme="minorHAnsi" w:cstheme="minorHAnsi"/>
              <w:sz w:val="20"/>
              <w:szCs w:val="20"/>
            </w:rPr>
            <w:t>es et aux co</w:t>
          </w:r>
          <w:r w:rsidRPr="00E80C01">
            <w:rPr>
              <w:rFonts w:asciiTheme="minorHAnsi" w:hAnsiTheme="minorHAnsi" w:cstheme="minorHAnsi" w:hint="eastAsia"/>
              <w:sz w:val="20"/>
              <w:szCs w:val="20"/>
            </w:rPr>
            <w:t>û</w:t>
          </w:r>
          <w:r w:rsidRPr="00E80C01">
            <w:rPr>
              <w:rFonts w:asciiTheme="minorHAnsi" w:hAnsiTheme="minorHAnsi" w:cstheme="minorHAnsi"/>
              <w:sz w:val="20"/>
              <w:szCs w:val="20"/>
            </w:rPr>
            <w:t>ts incr</w:t>
          </w:r>
          <w:r w:rsidRPr="00E80C01">
            <w:rPr>
              <w:rFonts w:asciiTheme="minorHAnsi" w:hAnsiTheme="minorHAnsi" w:cstheme="minorHAnsi" w:hint="eastAsia"/>
              <w:sz w:val="20"/>
              <w:szCs w:val="20"/>
            </w:rPr>
            <w:t>é</w:t>
          </w:r>
          <w:r w:rsidRPr="00E80C01">
            <w:rPr>
              <w:rFonts w:asciiTheme="minorHAnsi" w:hAnsiTheme="minorHAnsi" w:cstheme="minorHAnsi"/>
              <w:sz w:val="20"/>
              <w:szCs w:val="20"/>
            </w:rPr>
            <w:t xml:space="preserve">mentaux du sinistre </w:t>
          </w:r>
          <w:r>
            <w:rPr>
              <w:rFonts w:asciiTheme="minorHAnsi" w:hAnsiTheme="minorHAnsi" w:cstheme="minorHAnsi"/>
              <w:sz w:val="20"/>
              <w:szCs w:val="20"/>
            </w:rPr>
            <w:t>ont été encaissés au mois de septembre 2021.</w:t>
          </w:r>
        </w:p>
        <w:p w14:paraId="4CB0D63A" w14:textId="77777777" w:rsidR="0041512C" w:rsidRPr="00B264D1" w:rsidRDefault="0041512C" w:rsidP="0041512C">
          <w:pPr>
            <w:rPr>
              <w:rFonts w:asciiTheme="minorHAnsi" w:hAnsiTheme="minorHAnsi" w:cstheme="minorHAnsi"/>
            </w:rPr>
          </w:pPr>
        </w:p>
        <w:p w14:paraId="3FC90AD8" w14:textId="23CAA929" w:rsidR="0041512C" w:rsidRPr="005B62C1" w:rsidRDefault="0041512C" w:rsidP="005B62C1">
          <w:pPr>
            <w:spacing w:after="0" w:line="240" w:lineRule="auto"/>
            <w:rPr>
              <w:rFonts w:asciiTheme="minorHAnsi" w:hAnsiTheme="minorHAnsi" w:cstheme="minorHAnsi"/>
              <w:color w:val="000E9A"/>
              <w:sz w:val="32"/>
              <w:szCs w:val="32"/>
            </w:rPr>
          </w:pPr>
          <w:bookmarkStart w:id="62" w:name="_Hlk85809318"/>
        </w:p>
        <w:p w14:paraId="1EB1C807" w14:textId="77777777" w:rsidR="0041512C" w:rsidRPr="00B264D1" w:rsidRDefault="0041512C" w:rsidP="0041512C">
          <w:pPr>
            <w:spacing w:after="0" w:line="240" w:lineRule="auto"/>
            <w:rPr>
              <w:rFonts w:asciiTheme="minorHAnsi" w:hAnsiTheme="minorHAnsi" w:cstheme="minorHAnsi"/>
              <w:color w:val="000E9A"/>
              <w:sz w:val="32"/>
              <w:szCs w:val="32"/>
            </w:rPr>
          </w:pPr>
          <w:r w:rsidRPr="00B264D1">
            <w:rPr>
              <w:rFonts w:asciiTheme="minorHAnsi" w:hAnsiTheme="minorHAnsi" w:cstheme="minorHAnsi"/>
              <w:color w:val="000E9A"/>
              <w:sz w:val="32"/>
              <w:szCs w:val="32"/>
            </w:rPr>
            <w:br w:type="page"/>
          </w:r>
        </w:p>
        <w:p w14:paraId="4ABAF140" w14:textId="1C10BA2C" w:rsidR="0041512C" w:rsidRPr="00B264D1" w:rsidRDefault="0038038C" w:rsidP="0041512C">
          <w:pPr>
            <w:pStyle w:val="Titre1"/>
            <w:ind w:hanging="142"/>
            <w:rPr>
              <w:rFonts w:asciiTheme="minorHAnsi" w:hAnsiTheme="minorHAnsi" w:cstheme="minorHAnsi"/>
              <w:b/>
              <w:bCs/>
              <w:color w:val="000E9C"/>
              <w:sz w:val="32"/>
              <w:szCs w:val="32"/>
            </w:rPr>
          </w:pPr>
          <w:bookmarkStart w:id="63" w:name="_Toc100605207"/>
          <w:bookmarkStart w:id="64" w:name="_Toc100684193"/>
          <w:bookmarkStart w:id="65" w:name="_Toc100684275"/>
          <w:bookmarkStart w:id="66" w:name="_Toc100689219"/>
          <w:bookmarkStart w:id="67" w:name="_Toc100689268"/>
          <w:r w:rsidRPr="00F93CC3">
            <w:rPr>
              <w:noProof/>
            </w:rPr>
            <w:lastRenderedPageBreak/>
            <w:drawing>
              <wp:anchor distT="0" distB="0" distL="114300" distR="114300" simplePos="0" relativeHeight="251658240" behindDoc="0" locked="0" layoutInCell="1" allowOverlap="1" wp14:anchorId="460C6642" wp14:editId="48C2F549">
                <wp:simplePos x="0" y="0"/>
                <wp:positionH relativeFrom="page">
                  <wp:align>left</wp:align>
                </wp:positionH>
                <wp:positionV relativeFrom="paragraph">
                  <wp:posOffset>-1670322</wp:posOffset>
                </wp:positionV>
                <wp:extent cx="7560310" cy="4333240"/>
                <wp:effectExtent l="0" t="0" r="254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7560310" cy="4333240"/>
                        </a:xfrm>
                        <a:prstGeom prst="rect">
                          <a:avLst/>
                        </a:prstGeom>
                      </pic:spPr>
                    </pic:pic>
                  </a:graphicData>
                </a:graphic>
                <wp14:sizeRelH relativeFrom="margin">
                  <wp14:pctWidth>0</wp14:pctWidth>
                </wp14:sizeRelH>
                <wp14:sizeRelV relativeFrom="margin">
                  <wp14:pctHeight>0</wp14:pctHeight>
                </wp14:sizeRelV>
              </wp:anchor>
            </w:drawing>
          </w:r>
          <w:r w:rsidR="0041512C" w:rsidRPr="00B264D1">
            <w:rPr>
              <w:rFonts w:asciiTheme="minorHAnsi" w:hAnsiTheme="minorHAnsi" w:cstheme="minorHAnsi"/>
              <w:b/>
              <w:bCs/>
              <w:color w:val="000E9C"/>
              <w:sz w:val="32"/>
              <w:szCs w:val="32"/>
            </w:rPr>
            <w:t>Rapport des commissaires aux comptes</w:t>
          </w:r>
          <w:bookmarkEnd w:id="63"/>
          <w:bookmarkEnd w:id="64"/>
          <w:bookmarkEnd w:id="65"/>
          <w:bookmarkEnd w:id="66"/>
          <w:bookmarkEnd w:id="67"/>
        </w:p>
        <w:p w14:paraId="00C5FCBF" w14:textId="77777777" w:rsidR="0041512C" w:rsidRPr="00B264D1" w:rsidRDefault="0041512C" w:rsidP="0041512C">
          <w:pPr>
            <w:spacing w:after="240" w:line="240" w:lineRule="auto"/>
            <w:jc w:val="both"/>
            <w:rPr>
              <w:rFonts w:asciiTheme="minorHAnsi" w:hAnsiTheme="minorHAnsi" w:cstheme="minorHAnsi"/>
              <w:sz w:val="20"/>
              <w:szCs w:val="20"/>
              <w:highlight w:val="yellow"/>
            </w:rPr>
          </w:pPr>
        </w:p>
        <w:p w14:paraId="467DCC5B" w14:textId="77777777" w:rsidR="0041512C" w:rsidRPr="00B825C7" w:rsidRDefault="0041512C" w:rsidP="0041512C">
          <w:pPr>
            <w:pStyle w:val="TexteCP"/>
            <w:spacing w:before="240"/>
            <w:rPr>
              <w:rFonts w:asciiTheme="minorHAnsi" w:hAnsiTheme="minorHAnsi" w:cstheme="minorHAnsi"/>
              <w:b/>
              <w:bCs/>
              <w:highlight w:val="yellow"/>
            </w:rPr>
          </w:pPr>
          <w:r w:rsidRPr="00B825C7">
            <w:rPr>
              <w:rFonts w:asciiTheme="minorHAnsi" w:hAnsiTheme="minorHAnsi" w:cstheme="minorHAnsi"/>
              <w:b/>
              <w:bCs/>
              <w:highlight w:val="yellow"/>
            </w:rPr>
            <w:t>[</w:t>
          </w:r>
          <w:r>
            <w:rPr>
              <w:rFonts w:asciiTheme="minorHAnsi" w:hAnsiTheme="minorHAnsi" w:cstheme="minorHAnsi"/>
              <w:b/>
              <w:bCs/>
              <w:highlight w:val="yellow"/>
            </w:rPr>
            <w:t>A compléter</w:t>
          </w:r>
          <w:r w:rsidRPr="00B825C7">
            <w:rPr>
              <w:rFonts w:asciiTheme="minorHAnsi" w:hAnsiTheme="minorHAnsi" w:cstheme="minorHAnsi"/>
              <w:b/>
              <w:bCs/>
              <w:highlight w:val="yellow"/>
            </w:rPr>
            <w:t>]</w:t>
          </w:r>
        </w:p>
        <w:bookmarkEnd w:id="62"/>
        <w:bookmarkEnd w:id="0"/>
        <w:p w14:paraId="03195300" w14:textId="631595E6" w:rsidR="0041512C" w:rsidRDefault="0041512C">
          <w:pPr>
            <w:spacing w:after="0" w:line="240" w:lineRule="auto"/>
          </w:pPr>
        </w:p>
        <w:p w14:paraId="2E5AAC17" w14:textId="5E2712FF" w:rsidR="005D2F67" w:rsidRDefault="005D2F67"/>
        <w:p w14:paraId="1EE921B3" w14:textId="4C8446CE" w:rsidR="00D571B7" w:rsidRDefault="00D571B7">
          <w:pPr>
            <w:spacing w:after="0" w:line="240" w:lineRule="auto"/>
          </w:pPr>
        </w:p>
        <w:p w14:paraId="41D0F7F6" w14:textId="62FC29A4" w:rsidR="002056C9" w:rsidRDefault="002056C9" w:rsidP="002056C9"/>
        <w:sdt>
          <w:sdtPr>
            <w:id w:val="948357461"/>
            <w:docPartObj>
              <w:docPartGallery w:val="Cover Pages"/>
              <w:docPartUnique/>
            </w:docPartObj>
          </w:sdtPr>
          <w:sdtEndPr/>
          <w:sdtContent>
            <w:p w14:paraId="08C56313" w14:textId="77777777" w:rsidR="002056C9" w:rsidRDefault="002056C9" w:rsidP="002056C9"/>
            <w:p w14:paraId="1776870D" w14:textId="77777777" w:rsidR="002056C9" w:rsidRDefault="009C6A47" w:rsidP="002056C9">
              <w:pPr>
                <w:spacing w:after="0" w:line="240" w:lineRule="auto"/>
              </w:pPr>
            </w:p>
          </w:sdtContent>
        </w:sdt>
        <w:p w14:paraId="3927CB93" w14:textId="77777777" w:rsidR="002056C9" w:rsidRDefault="002056C9" w:rsidP="002056C9">
          <w:pPr>
            <w:spacing w:after="0" w:line="240" w:lineRule="auto"/>
          </w:pPr>
        </w:p>
        <w:p w14:paraId="46B995AD" w14:textId="77777777" w:rsidR="002056C9" w:rsidRDefault="002056C9" w:rsidP="002056C9">
          <w:pPr>
            <w:spacing w:after="0" w:line="240" w:lineRule="auto"/>
          </w:pPr>
        </w:p>
        <w:p w14:paraId="58AFEE6E" w14:textId="77777777" w:rsidR="002056C9" w:rsidRDefault="002056C9" w:rsidP="002056C9">
          <w:pPr>
            <w:spacing w:after="0" w:line="240" w:lineRule="auto"/>
          </w:pPr>
        </w:p>
        <w:p w14:paraId="705AD0F8" w14:textId="3508B242" w:rsidR="002056C9" w:rsidRDefault="002056C9" w:rsidP="002056C9">
          <w:pPr>
            <w:spacing w:after="0" w:line="240" w:lineRule="auto"/>
          </w:pPr>
        </w:p>
        <w:p w14:paraId="670FA038" w14:textId="4444EA9A" w:rsidR="002056C9" w:rsidRDefault="003C66D6" w:rsidP="002056C9">
          <w:pPr>
            <w:spacing w:after="0" w:line="240" w:lineRule="auto"/>
          </w:pPr>
          <w:r>
            <w:rPr>
              <w:noProof/>
            </w:rPr>
            <mc:AlternateContent>
              <mc:Choice Requires="wps">
                <w:drawing>
                  <wp:anchor distT="0" distB="0" distL="114300" distR="114300" simplePos="0" relativeHeight="251658242" behindDoc="0" locked="0" layoutInCell="1" allowOverlap="1" wp14:anchorId="39F85A64" wp14:editId="22E8DD6E">
                    <wp:simplePos x="0" y="0"/>
                    <wp:positionH relativeFrom="page">
                      <wp:align>left</wp:align>
                    </wp:positionH>
                    <wp:positionV relativeFrom="paragraph">
                      <wp:posOffset>303077</wp:posOffset>
                    </wp:positionV>
                    <wp:extent cx="7560310" cy="2409163"/>
                    <wp:effectExtent l="0" t="0" r="2540" b="0"/>
                    <wp:wrapNone/>
                    <wp:docPr id="13" name="Text Box 196"/>
                    <wp:cNvGraphicFramePr/>
                    <a:graphic xmlns:a="http://schemas.openxmlformats.org/drawingml/2006/main">
                      <a:graphicData uri="http://schemas.microsoft.com/office/word/2010/wordprocessingShape">
                        <wps:wsp>
                          <wps:cNvSpPr txBox="1"/>
                          <wps:spPr>
                            <a:xfrm>
                              <a:off x="0" y="0"/>
                              <a:ext cx="7560310" cy="2409163"/>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olor w:val="000E9C"/>
                                    <w:sz w:val="72"/>
                                    <w:szCs w:val="72"/>
                                  </w:rPr>
                                  <w:alias w:val="Title"/>
                                  <w:tag w:val=""/>
                                  <w:id w:val="1669436458"/>
                                  <w:dataBinding w:prefixMappings="xmlns:ns0='http://purl.org/dc/elements/1.1/' xmlns:ns1='http://schemas.openxmlformats.org/package/2006/metadata/core-properties' " w:xpath="/ns1:coreProperties[1]/ns0:title[1]" w:storeItemID="{6C3C8BC8-F283-45AE-878A-BAB7291924A1}"/>
                                  <w:text/>
                                </w:sdtPr>
                                <w:sdtEndPr/>
                                <w:sdtContent>
                                  <w:p w14:paraId="40A92005" w14:textId="37D2C454" w:rsidR="00D1320E" w:rsidRPr="0001318F" w:rsidRDefault="005D144A" w:rsidP="00BF739D">
                                    <w:pPr>
                                      <w:pStyle w:val="Sansinterligne"/>
                                      <w:shd w:val="clear" w:color="auto" w:fill="FFFFFF" w:themeFill="background1"/>
                                      <w:jc w:val="center"/>
                                      <w:rPr>
                                        <w:rFonts w:asciiTheme="majorHAnsi" w:eastAsiaTheme="majorEastAsia" w:hAnsiTheme="majorHAnsi" w:cstheme="majorBidi"/>
                                        <w:caps/>
                                        <w:color w:val="000E9C"/>
                                        <w:sz w:val="72"/>
                                        <w:szCs w:val="72"/>
                                      </w:rPr>
                                    </w:pPr>
                                    <w:r>
                                      <w:rPr>
                                        <w:rFonts w:asciiTheme="majorHAnsi" w:eastAsiaTheme="majorEastAsia" w:hAnsiTheme="majorHAnsi" w:cstheme="majorBidi"/>
                                        <w:color w:val="000E9C"/>
                                        <w:sz w:val="72"/>
                                        <w:szCs w:val="72"/>
                                      </w:rPr>
                                      <w:t>Comptes Consolidés Semestriels Résumés</w:t>
                                    </w:r>
                                  </w:p>
                                </w:sdtContent>
                              </w:sdt>
                              <w:p w14:paraId="333E3323" w14:textId="5E022776" w:rsidR="00D1320E" w:rsidRPr="00B32722" w:rsidRDefault="005D144A" w:rsidP="00BF739D">
                                <w:pPr>
                                  <w:pStyle w:val="Sansinterligne"/>
                                  <w:shd w:val="clear" w:color="auto" w:fill="FFFFFF" w:themeFill="background1"/>
                                  <w:jc w:val="center"/>
                                  <w:rPr>
                                    <w:rFonts w:asciiTheme="majorHAnsi" w:eastAsiaTheme="majorEastAsia" w:hAnsiTheme="majorHAnsi" w:cstheme="majorBidi"/>
                                    <w:color w:val="000E9C"/>
                                    <w:sz w:val="52"/>
                                    <w:szCs w:val="52"/>
                                  </w:rPr>
                                </w:pPr>
                                <w:r>
                                  <w:rPr>
                                    <w:rFonts w:asciiTheme="majorHAnsi" w:eastAsiaTheme="majorEastAsia" w:hAnsiTheme="majorHAnsi" w:cstheme="majorBidi"/>
                                    <w:color w:val="000E9C"/>
                                    <w:sz w:val="52"/>
                                    <w:szCs w:val="52"/>
                                  </w:rPr>
                                  <w:t xml:space="preserve">Au </w:t>
                                </w:r>
                                <w:r w:rsidR="00A875A2" w:rsidRPr="00B32722">
                                  <w:rPr>
                                    <w:rFonts w:asciiTheme="majorHAnsi" w:eastAsiaTheme="majorEastAsia" w:hAnsiTheme="majorHAnsi" w:cstheme="majorBidi"/>
                                    <w:color w:val="000E9C"/>
                                    <w:sz w:val="52"/>
                                    <w:szCs w:val="52"/>
                                  </w:rPr>
                                  <w:t>28 Février</w:t>
                                </w:r>
                                <w:r w:rsidR="00D1320E" w:rsidRPr="00B32722">
                                  <w:rPr>
                                    <w:rFonts w:asciiTheme="majorHAnsi" w:eastAsiaTheme="majorEastAsia" w:hAnsiTheme="majorHAnsi" w:cstheme="majorBidi"/>
                                    <w:color w:val="000E9C"/>
                                    <w:sz w:val="52"/>
                                    <w:szCs w:val="52"/>
                                  </w:rPr>
                                  <w:t xml:space="preserve"> 202</w:t>
                                </w:r>
                                <w:r w:rsidR="00A875A2" w:rsidRPr="00B32722">
                                  <w:rPr>
                                    <w:rFonts w:asciiTheme="majorHAnsi" w:eastAsiaTheme="majorEastAsia" w:hAnsiTheme="majorHAnsi" w:cstheme="majorBidi"/>
                                    <w:color w:val="000E9C"/>
                                    <w:sz w:val="52"/>
                                    <w:szCs w:val="52"/>
                                  </w:rPr>
                                  <w:t>2</w:t>
                                </w:r>
                              </w:p>
                              <w:p w14:paraId="743C9EF4" w14:textId="3CF67392" w:rsidR="00D1320E" w:rsidRPr="0001318F" w:rsidRDefault="00D1320E" w:rsidP="00BF739D">
                                <w:pPr>
                                  <w:pStyle w:val="Sansinterligne"/>
                                  <w:shd w:val="clear" w:color="auto" w:fill="FFFFFF" w:themeFill="background1"/>
                                  <w:jc w:val="center"/>
                                  <w:rPr>
                                    <w:rFonts w:asciiTheme="majorHAnsi" w:eastAsiaTheme="majorEastAsia" w:hAnsiTheme="majorHAnsi" w:cstheme="majorBidi"/>
                                    <w:color w:val="000E9C"/>
                                    <w:sz w:val="40"/>
                                    <w:szCs w:val="40"/>
                                  </w:rPr>
                                </w:pPr>
                                <w:r w:rsidRPr="0001318F">
                                  <w:rPr>
                                    <w:rFonts w:asciiTheme="majorHAnsi" w:eastAsiaTheme="majorEastAsia" w:hAnsiTheme="majorHAnsi" w:cstheme="majorBidi"/>
                                    <w:color w:val="000E9C"/>
                                    <w:sz w:val="40"/>
                                    <w:szCs w:val="40"/>
                                  </w:rPr>
                                  <w:t xml:space="preserve">OVH Groupe S.A. </w:t>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85A64" id="_x0000_s1027" type="#_x0000_t202" style="position:absolute;margin-left:0;margin-top:23.85pt;width:595.3pt;height:189.7pt;z-index:25165824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" fillcolor="white [3212]" stroked="f" strokeweight=".5pt">
                    <v:textbox inset="36pt,7.2pt,36pt,7.2pt">
                      <w:txbxContent>
                        <w:sdt>
                          <w:sdtPr>
                            <w:rPr>
                              <w:rFonts w:asciiTheme="majorHAnsi" w:eastAsiaTheme="majorEastAsia" w:hAnsiTheme="majorHAnsi" w:cstheme="majorBidi"/>
                              <w:color w:val="000E9C"/>
                              <w:sz w:val="72"/>
                              <w:szCs w:val="72"/>
                            </w:rPr>
                            <w:alias w:val="Title"/>
                            <w:tag w:val=""/>
                            <w:id w:val="1669436458"/>
                            <w:dataBinding w:prefixMappings="xmlns:ns0='http://purl.org/dc/elements/1.1/' xmlns:ns1='http://schemas.openxmlformats.org/package/2006/metadata/core-properties' " w:xpath="/ns1:coreProperties[1]/ns0:title[1]" w:storeItemID="{6C3C8BC8-F283-45AE-878A-BAB7291924A1}"/>
                            <w:text/>
                          </w:sdtPr>
                          <w:sdtEndPr/>
                          <w:sdtContent>
                            <w:p w14:paraId="40A92005" w14:textId="37D2C454" w:rsidR="00D1320E" w:rsidRPr="0001318F" w:rsidRDefault="005D144A" w:rsidP="00BF739D">
                              <w:pPr>
                                <w:pStyle w:val="Sansinterligne"/>
                                <w:shd w:val="clear" w:color="auto" w:fill="FFFFFF" w:themeFill="background1"/>
                                <w:jc w:val="center"/>
                                <w:rPr>
                                  <w:rFonts w:asciiTheme="majorHAnsi" w:eastAsiaTheme="majorEastAsia" w:hAnsiTheme="majorHAnsi" w:cstheme="majorBidi"/>
                                  <w:caps/>
                                  <w:color w:val="000E9C"/>
                                  <w:sz w:val="72"/>
                                  <w:szCs w:val="72"/>
                                </w:rPr>
                              </w:pPr>
                              <w:r>
                                <w:rPr>
                                  <w:rFonts w:asciiTheme="majorHAnsi" w:eastAsiaTheme="majorEastAsia" w:hAnsiTheme="majorHAnsi" w:cstheme="majorBidi"/>
                                  <w:color w:val="000E9C"/>
                                  <w:sz w:val="72"/>
                                  <w:szCs w:val="72"/>
                                </w:rPr>
                                <w:t>Comptes Consolidés Semestriels Résumés</w:t>
                              </w:r>
                            </w:p>
                          </w:sdtContent>
                        </w:sdt>
                        <w:p w14:paraId="333E3323" w14:textId="5E022776" w:rsidR="00D1320E" w:rsidRPr="00B32722" w:rsidRDefault="005D144A" w:rsidP="00BF739D">
                          <w:pPr>
                            <w:pStyle w:val="Sansinterligne"/>
                            <w:shd w:val="clear" w:color="auto" w:fill="FFFFFF" w:themeFill="background1"/>
                            <w:jc w:val="center"/>
                            <w:rPr>
                              <w:rFonts w:asciiTheme="majorHAnsi" w:eastAsiaTheme="majorEastAsia" w:hAnsiTheme="majorHAnsi" w:cstheme="majorBidi"/>
                              <w:color w:val="000E9C"/>
                              <w:sz w:val="52"/>
                              <w:szCs w:val="52"/>
                            </w:rPr>
                          </w:pPr>
                          <w:r>
                            <w:rPr>
                              <w:rFonts w:asciiTheme="majorHAnsi" w:eastAsiaTheme="majorEastAsia" w:hAnsiTheme="majorHAnsi" w:cstheme="majorBidi"/>
                              <w:color w:val="000E9C"/>
                              <w:sz w:val="52"/>
                              <w:szCs w:val="52"/>
                            </w:rPr>
                            <w:t xml:space="preserve">Au </w:t>
                          </w:r>
                          <w:r w:rsidR="00A875A2" w:rsidRPr="00B32722">
                            <w:rPr>
                              <w:rFonts w:asciiTheme="majorHAnsi" w:eastAsiaTheme="majorEastAsia" w:hAnsiTheme="majorHAnsi" w:cstheme="majorBidi"/>
                              <w:color w:val="000E9C"/>
                              <w:sz w:val="52"/>
                              <w:szCs w:val="52"/>
                            </w:rPr>
                            <w:t>28 Février</w:t>
                          </w:r>
                          <w:r w:rsidR="00D1320E" w:rsidRPr="00B32722">
                            <w:rPr>
                              <w:rFonts w:asciiTheme="majorHAnsi" w:eastAsiaTheme="majorEastAsia" w:hAnsiTheme="majorHAnsi" w:cstheme="majorBidi"/>
                              <w:color w:val="000E9C"/>
                              <w:sz w:val="52"/>
                              <w:szCs w:val="52"/>
                            </w:rPr>
                            <w:t xml:space="preserve"> 202</w:t>
                          </w:r>
                          <w:r w:rsidR="00A875A2" w:rsidRPr="00B32722">
                            <w:rPr>
                              <w:rFonts w:asciiTheme="majorHAnsi" w:eastAsiaTheme="majorEastAsia" w:hAnsiTheme="majorHAnsi" w:cstheme="majorBidi"/>
                              <w:color w:val="000E9C"/>
                              <w:sz w:val="52"/>
                              <w:szCs w:val="52"/>
                            </w:rPr>
                            <w:t>2</w:t>
                          </w:r>
                        </w:p>
                        <w:p w14:paraId="743C9EF4" w14:textId="3CF67392" w:rsidR="00D1320E" w:rsidRPr="0001318F" w:rsidRDefault="00D1320E" w:rsidP="00BF739D">
                          <w:pPr>
                            <w:pStyle w:val="Sansinterligne"/>
                            <w:shd w:val="clear" w:color="auto" w:fill="FFFFFF" w:themeFill="background1"/>
                            <w:jc w:val="center"/>
                            <w:rPr>
                              <w:rFonts w:asciiTheme="majorHAnsi" w:eastAsiaTheme="majorEastAsia" w:hAnsiTheme="majorHAnsi" w:cstheme="majorBidi"/>
                              <w:color w:val="000E9C"/>
                              <w:sz w:val="40"/>
                              <w:szCs w:val="40"/>
                            </w:rPr>
                          </w:pPr>
                          <w:r w:rsidRPr="0001318F">
                            <w:rPr>
                              <w:rFonts w:asciiTheme="majorHAnsi" w:eastAsiaTheme="majorEastAsia" w:hAnsiTheme="majorHAnsi" w:cstheme="majorBidi"/>
                              <w:color w:val="000E9C"/>
                              <w:sz w:val="40"/>
                              <w:szCs w:val="40"/>
                            </w:rPr>
                            <w:t xml:space="preserve">OVH Groupe S.A. </w:t>
                          </w:r>
                        </w:p>
                      </w:txbxContent>
                    </v:textbox>
                    <w10:wrap anchorx="page"/>
                  </v:shape>
                </w:pict>
              </mc:Fallback>
            </mc:AlternateContent>
          </w:r>
        </w:p>
        <w:p w14:paraId="5D82745C" w14:textId="320CEE46" w:rsidR="002056C9" w:rsidRDefault="002056C9" w:rsidP="002056C9">
          <w:pPr>
            <w:spacing w:after="0" w:line="240" w:lineRule="auto"/>
          </w:pPr>
        </w:p>
        <w:p w14:paraId="70B6DC77" w14:textId="1D9E27D5" w:rsidR="002056C9" w:rsidRDefault="002056C9" w:rsidP="002056C9">
          <w:pPr>
            <w:spacing w:after="0" w:line="240" w:lineRule="auto"/>
          </w:pPr>
        </w:p>
        <w:p w14:paraId="3234A26A" w14:textId="1E701FE6" w:rsidR="002056C9" w:rsidRDefault="002056C9" w:rsidP="002056C9">
          <w:pPr>
            <w:spacing w:after="0" w:line="240" w:lineRule="auto"/>
          </w:pPr>
        </w:p>
        <w:p w14:paraId="01AF5F31" w14:textId="3FE37FF7" w:rsidR="0038038C" w:rsidRDefault="0038038C" w:rsidP="002056C9">
          <w:pPr>
            <w:spacing w:after="0" w:line="240" w:lineRule="auto"/>
          </w:pPr>
        </w:p>
        <w:p w14:paraId="15B1042C" w14:textId="0D750E8A" w:rsidR="0038038C" w:rsidRDefault="0038038C" w:rsidP="002056C9">
          <w:pPr>
            <w:spacing w:after="0" w:line="240" w:lineRule="auto"/>
          </w:pPr>
        </w:p>
        <w:p w14:paraId="03F617B5" w14:textId="77777777" w:rsidR="00147839" w:rsidRDefault="00147839" w:rsidP="002056C9">
          <w:pPr>
            <w:spacing w:after="0" w:line="240" w:lineRule="auto"/>
          </w:pPr>
        </w:p>
        <w:p w14:paraId="269B9C01" w14:textId="68F001B2" w:rsidR="002056C9" w:rsidRDefault="002056C9" w:rsidP="002056C9">
          <w:pPr>
            <w:spacing w:after="0" w:line="240" w:lineRule="auto"/>
          </w:pPr>
        </w:p>
        <w:p w14:paraId="6806E6F7" w14:textId="5A1907CE" w:rsidR="002056C9" w:rsidRDefault="002056C9" w:rsidP="002056C9">
          <w:pPr>
            <w:spacing w:after="0" w:line="240" w:lineRule="auto"/>
          </w:pPr>
        </w:p>
        <w:p w14:paraId="19432082" w14:textId="7938C6EC" w:rsidR="005D2F67" w:rsidRDefault="00672987">
          <w:pPr>
            <w:spacing w:after="0" w:line="240" w:lineRule="auto"/>
          </w:pPr>
          <w:r>
            <w:rPr>
              <w:noProof/>
            </w:rPr>
            <mc:AlternateContent>
              <mc:Choice Requires="wps">
                <w:drawing>
                  <wp:anchor distT="0" distB="0" distL="114300" distR="114300" simplePos="0" relativeHeight="251658245" behindDoc="0" locked="0" layoutInCell="1" allowOverlap="1" wp14:anchorId="09815645" wp14:editId="2DDAC7E0">
                    <wp:simplePos x="0" y="0"/>
                    <wp:positionH relativeFrom="margin">
                      <wp:posOffset>5862823</wp:posOffset>
                    </wp:positionH>
                    <wp:positionV relativeFrom="paragraph">
                      <wp:posOffset>5275668</wp:posOffset>
                    </wp:positionV>
                    <wp:extent cx="331075" cy="173420"/>
                    <wp:effectExtent l="0" t="0" r="12065" b="17145"/>
                    <wp:wrapNone/>
                    <wp:docPr id="52" name="Rectangle 52"/>
                    <wp:cNvGraphicFramePr/>
                    <a:graphic xmlns:a="http://schemas.openxmlformats.org/drawingml/2006/main">
                      <a:graphicData uri="http://schemas.microsoft.com/office/word/2010/wordprocessingShape">
                        <wps:wsp>
                          <wps:cNvSpPr/>
                          <wps:spPr>
                            <a:xfrm>
                              <a:off x="0" y="0"/>
                              <a:ext cx="331075" cy="1734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DA2AA8" id="Rectangle 52" o:spid="_x0000_s1026" style="position:absolute;margin-left:461.65pt;margin-top:415.4pt;width:26.05pt;height:13.6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" fillcolor="white [3212]" strokecolor="white [3212]" strokeweight="1pt">
                    <w10:wrap anchorx="margin"/>
                  </v:rect>
                </w:pict>
              </mc:Fallback>
            </mc:AlternateContent>
          </w:r>
          <w:r>
            <w:rPr>
              <w:noProof/>
            </w:rPr>
            <w:drawing>
              <wp:anchor distT="0" distB="0" distL="114300" distR="114300" simplePos="0" relativeHeight="251658241" behindDoc="1" locked="0" layoutInCell="1" allowOverlap="1" wp14:anchorId="12F16953" wp14:editId="423383AD">
                <wp:simplePos x="0" y="0"/>
                <wp:positionH relativeFrom="page">
                  <wp:align>left</wp:align>
                </wp:positionH>
                <wp:positionV relativeFrom="paragraph">
                  <wp:posOffset>1884680</wp:posOffset>
                </wp:positionV>
                <wp:extent cx="7696200" cy="4271010"/>
                <wp:effectExtent l="19050" t="19050" r="19050" b="1524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696200" cy="427101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5D2F67">
            <w:br w:type="page"/>
          </w:r>
        </w:p>
      </w:sdtContent>
    </w:sdt>
    <w:p w14:paraId="142AE037" w14:textId="44EE9FFD" w:rsidR="0094309E" w:rsidRDefault="0094309E" w:rsidP="0094309E">
      <w:pPr>
        <w:pStyle w:val="Titre1"/>
        <w:ind w:hanging="142"/>
        <w:rPr>
          <w:rFonts w:asciiTheme="minorHAnsi" w:hAnsiTheme="minorHAnsi" w:cstheme="minorHAnsi"/>
          <w:b/>
          <w:bCs/>
          <w:color w:val="000E9C"/>
          <w:sz w:val="32"/>
          <w:szCs w:val="32"/>
        </w:rPr>
      </w:pPr>
      <w:bookmarkStart w:id="68" w:name="_Toc100684276"/>
      <w:bookmarkStart w:id="69" w:name="_Toc100689220"/>
      <w:bookmarkStart w:id="70" w:name="_Toc100689269"/>
      <w:r w:rsidRPr="00B264D1">
        <w:rPr>
          <w:rFonts w:asciiTheme="minorHAnsi" w:hAnsiTheme="minorHAnsi" w:cstheme="minorHAnsi"/>
          <w:b/>
          <w:bCs/>
          <w:color w:val="000E9C"/>
          <w:sz w:val="32"/>
          <w:szCs w:val="32"/>
        </w:rPr>
        <w:lastRenderedPageBreak/>
        <w:t>Comptes consolidés semestriels résumés</w:t>
      </w:r>
      <w:r w:rsidR="00445561">
        <w:rPr>
          <w:rFonts w:asciiTheme="minorHAnsi" w:hAnsiTheme="minorHAnsi" w:cstheme="minorHAnsi"/>
          <w:b/>
          <w:bCs/>
          <w:color w:val="000E9C"/>
          <w:sz w:val="32"/>
          <w:szCs w:val="32"/>
        </w:rPr>
        <w:t xml:space="preserve"> au 28 février 2022</w:t>
      </w:r>
      <w:bookmarkEnd w:id="68"/>
      <w:bookmarkEnd w:id="69"/>
      <w:bookmarkEnd w:id="70"/>
    </w:p>
    <w:p w14:paraId="2AE3FC24" w14:textId="7128ACFB" w:rsidR="001D0AB0" w:rsidRPr="00DA2B82" w:rsidRDefault="001D0AB0" w:rsidP="000C6D2E">
      <w:pPr>
        <w:rPr>
          <w:rFonts w:asciiTheme="minorHAnsi" w:hAnsiTheme="minorHAnsi" w:cstheme="minorHAnsi"/>
          <w:color w:val="000E9A"/>
          <w:sz w:val="28"/>
          <w:szCs w:val="28"/>
        </w:rPr>
      </w:pPr>
    </w:p>
    <w:p w14:paraId="4080FE90" w14:textId="53640107" w:rsidR="00761E71" w:rsidRPr="00DA2B82" w:rsidRDefault="00761E71" w:rsidP="000C6D2E">
      <w:pPr>
        <w:rPr>
          <w:rFonts w:asciiTheme="minorHAnsi" w:hAnsiTheme="minorHAnsi" w:cstheme="minorHAnsi"/>
          <w:color w:val="000E9A"/>
          <w:sz w:val="28"/>
          <w:szCs w:val="28"/>
        </w:rPr>
      </w:pPr>
    </w:p>
    <w:p w14:paraId="2DF9F80C" w14:textId="77777777" w:rsidR="00DA2B82" w:rsidRPr="00DA2B82" w:rsidRDefault="00DA2B82" w:rsidP="000C6D2E">
      <w:pPr>
        <w:rPr>
          <w:rFonts w:asciiTheme="minorHAnsi" w:hAnsiTheme="minorHAnsi" w:cstheme="minorHAnsi"/>
          <w:color w:val="000E9A"/>
          <w:sz w:val="28"/>
          <w:szCs w:val="28"/>
        </w:rPr>
      </w:pPr>
    </w:p>
    <w:tbl>
      <w:tblPr>
        <w:tblStyle w:val="Grilledutableau"/>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40"/>
        <w:gridCol w:w="1903"/>
      </w:tblGrid>
      <w:tr w:rsidR="00761E71" w:rsidRPr="00DA2B82" w14:paraId="10F9C5C8" w14:textId="77777777" w:rsidTr="005B62C1">
        <w:tc>
          <w:tcPr>
            <w:tcW w:w="7140" w:type="dxa"/>
          </w:tcPr>
          <w:p w14:paraId="37BB0C56" w14:textId="7736B86B" w:rsidR="00761E71" w:rsidRPr="00DA2B82" w:rsidRDefault="00761E71" w:rsidP="00DA2B82">
            <w:pPr>
              <w:ind w:left="-113"/>
              <w:rPr>
                <w:rFonts w:asciiTheme="minorHAnsi" w:hAnsiTheme="minorHAnsi" w:cstheme="minorHAnsi"/>
                <w:color w:val="000E9A"/>
                <w:sz w:val="28"/>
                <w:szCs w:val="28"/>
              </w:rPr>
            </w:pPr>
            <w:r w:rsidRPr="00DA2B82">
              <w:rPr>
                <w:rFonts w:asciiTheme="minorHAnsi" w:hAnsiTheme="minorHAnsi" w:cstheme="minorHAnsi"/>
                <w:color w:val="000E9A"/>
                <w:sz w:val="28"/>
                <w:szCs w:val="28"/>
              </w:rPr>
              <w:t>Compte de résultat consolidé</w:t>
            </w:r>
          </w:p>
        </w:tc>
        <w:tc>
          <w:tcPr>
            <w:tcW w:w="1903" w:type="dxa"/>
          </w:tcPr>
          <w:p w14:paraId="1DD50A53" w14:textId="77249F05" w:rsidR="00761E71" w:rsidRPr="00DA2B82" w:rsidRDefault="00D54E4E" w:rsidP="00DA2B82">
            <w:pPr>
              <w:ind w:left="-113"/>
              <w:jc w:val="right"/>
              <w:rPr>
                <w:rFonts w:asciiTheme="minorHAnsi" w:hAnsiTheme="minorHAnsi" w:cstheme="minorHAnsi"/>
                <w:color w:val="000E9A"/>
                <w:sz w:val="28"/>
                <w:szCs w:val="28"/>
              </w:rPr>
            </w:pPr>
            <w:r>
              <w:rPr>
                <w:rFonts w:asciiTheme="minorHAnsi" w:hAnsiTheme="minorHAnsi" w:cstheme="minorHAnsi"/>
                <w:color w:val="000E9A"/>
                <w:sz w:val="28"/>
                <w:szCs w:val="28"/>
              </w:rPr>
              <w:t>1</w:t>
            </w:r>
            <w:r w:rsidR="00813192">
              <w:rPr>
                <w:rFonts w:asciiTheme="minorHAnsi" w:hAnsiTheme="minorHAnsi" w:cstheme="minorHAnsi"/>
                <w:color w:val="000E9A"/>
                <w:sz w:val="28"/>
                <w:szCs w:val="28"/>
              </w:rPr>
              <w:t>4</w:t>
            </w:r>
          </w:p>
        </w:tc>
      </w:tr>
      <w:tr w:rsidR="00761E71" w:rsidRPr="00DA2B82" w14:paraId="43BF8026" w14:textId="77777777" w:rsidTr="005B62C1">
        <w:tc>
          <w:tcPr>
            <w:tcW w:w="7140" w:type="dxa"/>
          </w:tcPr>
          <w:p w14:paraId="592542E6" w14:textId="7B736FCC" w:rsidR="00761E71" w:rsidRPr="00DA2B82" w:rsidRDefault="00761E71" w:rsidP="00DA2B82">
            <w:pPr>
              <w:ind w:left="-113"/>
              <w:rPr>
                <w:rFonts w:asciiTheme="minorHAnsi" w:hAnsiTheme="minorHAnsi" w:cstheme="minorHAnsi"/>
                <w:color w:val="000E9A"/>
                <w:sz w:val="28"/>
                <w:szCs w:val="28"/>
              </w:rPr>
            </w:pPr>
            <w:r w:rsidRPr="00DA2B82">
              <w:rPr>
                <w:rFonts w:asciiTheme="minorHAnsi" w:hAnsiTheme="minorHAnsi" w:cstheme="minorHAnsi"/>
                <w:color w:val="000E9A"/>
                <w:sz w:val="28"/>
                <w:szCs w:val="28"/>
              </w:rPr>
              <w:t>Etat du résultat global consolidé</w:t>
            </w:r>
          </w:p>
        </w:tc>
        <w:tc>
          <w:tcPr>
            <w:tcW w:w="1903" w:type="dxa"/>
          </w:tcPr>
          <w:p w14:paraId="05846912" w14:textId="2BA27754" w:rsidR="00761E71" w:rsidRPr="00DA2B82" w:rsidRDefault="00D54E4E" w:rsidP="00DA2B82">
            <w:pPr>
              <w:ind w:left="-113"/>
              <w:jc w:val="right"/>
              <w:rPr>
                <w:rFonts w:asciiTheme="minorHAnsi" w:hAnsiTheme="minorHAnsi" w:cstheme="minorHAnsi"/>
                <w:color w:val="000E9A"/>
                <w:sz w:val="28"/>
                <w:szCs w:val="28"/>
              </w:rPr>
            </w:pPr>
            <w:r>
              <w:rPr>
                <w:rFonts w:asciiTheme="minorHAnsi" w:hAnsiTheme="minorHAnsi" w:cstheme="minorHAnsi"/>
                <w:color w:val="000E9A"/>
                <w:sz w:val="28"/>
                <w:szCs w:val="28"/>
              </w:rPr>
              <w:t>1</w:t>
            </w:r>
            <w:r w:rsidR="00813192">
              <w:rPr>
                <w:rFonts w:asciiTheme="minorHAnsi" w:hAnsiTheme="minorHAnsi" w:cstheme="minorHAnsi"/>
                <w:color w:val="000E9A"/>
                <w:sz w:val="28"/>
                <w:szCs w:val="28"/>
              </w:rPr>
              <w:t>5</w:t>
            </w:r>
          </w:p>
        </w:tc>
      </w:tr>
      <w:tr w:rsidR="00761E71" w:rsidRPr="00DA2B82" w14:paraId="3398A547" w14:textId="77777777" w:rsidTr="005B62C1">
        <w:tc>
          <w:tcPr>
            <w:tcW w:w="7140" w:type="dxa"/>
          </w:tcPr>
          <w:p w14:paraId="24A41CE1" w14:textId="172E7C72" w:rsidR="00761E71" w:rsidRPr="00DA2B82" w:rsidRDefault="00761E71" w:rsidP="00DA2B82">
            <w:pPr>
              <w:ind w:left="-113"/>
              <w:rPr>
                <w:rFonts w:asciiTheme="minorHAnsi" w:hAnsiTheme="minorHAnsi" w:cstheme="minorHAnsi"/>
                <w:color w:val="000E9A"/>
                <w:sz w:val="28"/>
                <w:szCs w:val="28"/>
              </w:rPr>
            </w:pPr>
            <w:r w:rsidRPr="00DA2B82">
              <w:rPr>
                <w:rFonts w:asciiTheme="minorHAnsi" w:hAnsiTheme="minorHAnsi" w:cstheme="minorHAnsi"/>
                <w:color w:val="000E9A"/>
                <w:sz w:val="28"/>
                <w:szCs w:val="28"/>
              </w:rPr>
              <w:t>Bilan consolidé</w:t>
            </w:r>
          </w:p>
        </w:tc>
        <w:tc>
          <w:tcPr>
            <w:tcW w:w="1903" w:type="dxa"/>
          </w:tcPr>
          <w:p w14:paraId="46F4ACDE" w14:textId="32636D48" w:rsidR="00761E71" w:rsidRPr="00DA2B82" w:rsidRDefault="00D54E4E" w:rsidP="00DA2B82">
            <w:pPr>
              <w:ind w:left="-113"/>
              <w:jc w:val="right"/>
              <w:rPr>
                <w:rFonts w:asciiTheme="minorHAnsi" w:hAnsiTheme="minorHAnsi" w:cstheme="minorHAnsi"/>
                <w:color w:val="000E9A"/>
                <w:sz w:val="28"/>
                <w:szCs w:val="28"/>
              </w:rPr>
            </w:pPr>
            <w:r>
              <w:rPr>
                <w:rFonts w:asciiTheme="minorHAnsi" w:hAnsiTheme="minorHAnsi" w:cstheme="minorHAnsi"/>
                <w:color w:val="000E9A"/>
                <w:sz w:val="28"/>
                <w:szCs w:val="28"/>
              </w:rPr>
              <w:t>1</w:t>
            </w:r>
            <w:r w:rsidR="00813192">
              <w:rPr>
                <w:rFonts w:asciiTheme="minorHAnsi" w:hAnsiTheme="minorHAnsi" w:cstheme="minorHAnsi"/>
                <w:color w:val="000E9A"/>
                <w:sz w:val="28"/>
                <w:szCs w:val="28"/>
              </w:rPr>
              <w:t>6</w:t>
            </w:r>
          </w:p>
        </w:tc>
      </w:tr>
      <w:tr w:rsidR="00761E71" w:rsidRPr="00DA2B82" w14:paraId="1CCE053F" w14:textId="77777777" w:rsidTr="005B62C1">
        <w:tc>
          <w:tcPr>
            <w:tcW w:w="7140" w:type="dxa"/>
          </w:tcPr>
          <w:p w14:paraId="02096C77" w14:textId="29DE4E90" w:rsidR="00761E71" w:rsidRPr="00DA2B82" w:rsidRDefault="00761E71" w:rsidP="00DA2B82">
            <w:pPr>
              <w:ind w:left="-113"/>
              <w:rPr>
                <w:rFonts w:asciiTheme="minorHAnsi" w:hAnsiTheme="minorHAnsi" w:cstheme="minorHAnsi"/>
                <w:color w:val="000E9A"/>
                <w:sz w:val="28"/>
                <w:szCs w:val="28"/>
              </w:rPr>
            </w:pPr>
            <w:r w:rsidRPr="00DA2B82">
              <w:rPr>
                <w:rFonts w:asciiTheme="minorHAnsi" w:hAnsiTheme="minorHAnsi" w:cstheme="minorHAnsi"/>
                <w:color w:val="000E9A"/>
                <w:sz w:val="28"/>
                <w:szCs w:val="28"/>
              </w:rPr>
              <w:t>Tableau des variations des capitaux propres consolidés</w:t>
            </w:r>
          </w:p>
        </w:tc>
        <w:tc>
          <w:tcPr>
            <w:tcW w:w="1903" w:type="dxa"/>
          </w:tcPr>
          <w:p w14:paraId="3E92B246" w14:textId="3E514226" w:rsidR="00761E71" w:rsidRPr="00DA2B82" w:rsidRDefault="009073E4" w:rsidP="00DA2B82">
            <w:pPr>
              <w:ind w:left="-113"/>
              <w:jc w:val="right"/>
              <w:rPr>
                <w:rFonts w:asciiTheme="minorHAnsi" w:hAnsiTheme="minorHAnsi" w:cstheme="minorHAnsi"/>
                <w:color w:val="000E9A"/>
                <w:sz w:val="28"/>
                <w:szCs w:val="28"/>
              </w:rPr>
            </w:pPr>
            <w:r>
              <w:rPr>
                <w:rFonts w:asciiTheme="minorHAnsi" w:hAnsiTheme="minorHAnsi" w:cstheme="minorHAnsi"/>
                <w:color w:val="000E9A"/>
                <w:sz w:val="28"/>
                <w:szCs w:val="28"/>
              </w:rPr>
              <w:t>1</w:t>
            </w:r>
            <w:r w:rsidR="00813192">
              <w:rPr>
                <w:rFonts w:asciiTheme="minorHAnsi" w:hAnsiTheme="minorHAnsi" w:cstheme="minorHAnsi"/>
                <w:color w:val="000E9A"/>
                <w:sz w:val="28"/>
                <w:szCs w:val="28"/>
              </w:rPr>
              <w:t>7</w:t>
            </w:r>
          </w:p>
        </w:tc>
      </w:tr>
      <w:tr w:rsidR="00761E71" w:rsidRPr="00DA2B82" w14:paraId="0C4DC122" w14:textId="77777777" w:rsidTr="005B62C1">
        <w:tc>
          <w:tcPr>
            <w:tcW w:w="7140" w:type="dxa"/>
          </w:tcPr>
          <w:p w14:paraId="26ABF5E4" w14:textId="0EBE6643" w:rsidR="00761E71" w:rsidRPr="00DA2B82" w:rsidRDefault="00761E71" w:rsidP="00DA2B82">
            <w:pPr>
              <w:ind w:left="-113"/>
              <w:rPr>
                <w:rFonts w:asciiTheme="minorHAnsi" w:hAnsiTheme="minorHAnsi" w:cstheme="minorHAnsi"/>
                <w:color w:val="000E9A"/>
                <w:sz w:val="28"/>
                <w:szCs w:val="28"/>
              </w:rPr>
            </w:pPr>
            <w:r w:rsidRPr="00DA2B82">
              <w:rPr>
                <w:rFonts w:asciiTheme="minorHAnsi" w:hAnsiTheme="minorHAnsi" w:cstheme="minorHAnsi"/>
                <w:color w:val="000E9A"/>
                <w:sz w:val="28"/>
                <w:szCs w:val="28"/>
              </w:rPr>
              <w:t>Tableau des flux de trésorerie consolidés</w:t>
            </w:r>
          </w:p>
        </w:tc>
        <w:tc>
          <w:tcPr>
            <w:tcW w:w="1903" w:type="dxa"/>
          </w:tcPr>
          <w:p w14:paraId="2E04E18E" w14:textId="58111EE2" w:rsidR="00761E71" w:rsidRPr="00DA2B82" w:rsidRDefault="009073E4" w:rsidP="00DA2B82">
            <w:pPr>
              <w:ind w:left="-113"/>
              <w:jc w:val="right"/>
              <w:rPr>
                <w:rFonts w:asciiTheme="minorHAnsi" w:hAnsiTheme="minorHAnsi" w:cstheme="minorHAnsi"/>
                <w:color w:val="000E9A"/>
                <w:sz w:val="28"/>
                <w:szCs w:val="28"/>
              </w:rPr>
            </w:pPr>
            <w:r>
              <w:rPr>
                <w:rFonts w:asciiTheme="minorHAnsi" w:hAnsiTheme="minorHAnsi" w:cstheme="minorHAnsi"/>
                <w:color w:val="000E9A"/>
                <w:sz w:val="28"/>
                <w:szCs w:val="28"/>
              </w:rPr>
              <w:t>1</w:t>
            </w:r>
            <w:r w:rsidR="00813192">
              <w:rPr>
                <w:rFonts w:asciiTheme="minorHAnsi" w:hAnsiTheme="minorHAnsi" w:cstheme="minorHAnsi"/>
                <w:color w:val="000E9A"/>
                <w:sz w:val="28"/>
                <w:szCs w:val="28"/>
              </w:rPr>
              <w:t>8</w:t>
            </w:r>
          </w:p>
        </w:tc>
      </w:tr>
    </w:tbl>
    <w:p w14:paraId="74575D9D" w14:textId="77777777" w:rsidR="00761E71" w:rsidRPr="00DA2B82" w:rsidRDefault="00761E71" w:rsidP="000C6D2E">
      <w:pPr>
        <w:rPr>
          <w:rFonts w:asciiTheme="minorHAnsi" w:hAnsiTheme="minorHAnsi" w:cstheme="minorHAnsi"/>
          <w:color w:val="000E9A"/>
          <w:sz w:val="28"/>
          <w:szCs w:val="28"/>
        </w:rPr>
      </w:pPr>
    </w:p>
    <w:p w14:paraId="28002BD2" w14:textId="7C0318C1" w:rsidR="001D0AB0" w:rsidRDefault="001D0AB0" w:rsidP="000C6D2E">
      <w:pPr>
        <w:rPr>
          <w:rFonts w:asciiTheme="majorHAnsi" w:hAnsiTheme="majorHAnsi" w:cstheme="majorHAnsi"/>
          <w:color w:val="000E9A"/>
          <w:sz w:val="28"/>
          <w:szCs w:val="28"/>
        </w:rPr>
      </w:pPr>
    </w:p>
    <w:p w14:paraId="1DD9A3B8" w14:textId="5DB0DB16" w:rsidR="00761E71" w:rsidRPr="00486F0C" w:rsidRDefault="00761E71" w:rsidP="000C6D2E">
      <w:pPr>
        <w:rPr>
          <w:rFonts w:asciiTheme="majorHAnsi" w:hAnsiTheme="majorHAnsi" w:cstheme="majorHAnsi"/>
          <w:color w:val="000E9A"/>
          <w:sz w:val="28"/>
          <w:szCs w:val="28"/>
        </w:rPr>
      </w:pPr>
    </w:p>
    <w:p w14:paraId="7CD65B81" w14:textId="6758C3FF" w:rsidR="0033038A" w:rsidRPr="0099106A" w:rsidRDefault="0033038A" w:rsidP="005617E9">
      <w:pPr>
        <w:pStyle w:val="zcontents"/>
        <w:adjustRightInd w:val="0"/>
        <w:spacing w:after="0"/>
        <w:rPr>
          <w:rFonts w:cs="Calibri"/>
          <w:b w:val="0"/>
          <w:sz w:val="24"/>
          <w:szCs w:val="24"/>
        </w:rPr>
      </w:pPr>
    </w:p>
    <w:p w14:paraId="7F471732" w14:textId="36602244" w:rsidR="00BA0CEE" w:rsidRPr="000568AC" w:rsidRDefault="00BA0CEE" w:rsidP="007F5C6A">
      <w:pPr>
        <w:pStyle w:val="TM1"/>
        <w:rPr>
          <w:lang w:eastAsia="fr-FR"/>
        </w:rPr>
      </w:pPr>
      <w:bookmarkStart w:id="71" w:name="_Toc40134071"/>
      <w:bookmarkStart w:id="72" w:name="_Toc40135713"/>
      <w:bookmarkStart w:id="73" w:name="_Toc40136252"/>
      <w:bookmarkStart w:id="74" w:name="_Toc40136358"/>
    </w:p>
    <w:p w14:paraId="1FB2247F" w14:textId="102EE066" w:rsidR="00AF2700" w:rsidRPr="000568AC" w:rsidRDefault="005568DE" w:rsidP="00C5264A">
      <w:pPr>
        <w:pStyle w:val="Titre1"/>
        <w:spacing w:before="120" w:after="0"/>
        <w:rPr>
          <w:rFonts w:asciiTheme="minorHAnsi" w:hAnsiTheme="minorHAnsi" w:cstheme="minorHAnsi"/>
          <w:b/>
          <w:bCs/>
          <w:sz w:val="20"/>
          <w:szCs w:val="20"/>
        </w:rPr>
      </w:pPr>
      <w:r w:rsidRPr="000568AC">
        <w:rPr>
          <w:rFonts w:asciiTheme="minorHAnsi" w:hAnsiTheme="minorHAnsi" w:cstheme="minorHAnsi"/>
          <w:b/>
          <w:bCs/>
          <w:sz w:val="20"/>
          <w:szCs w:val="20"/>
        </w:rPr>
        <w:br w:type="page"/>
      </w:r>
    </w:p>
    <w:p w14:paraId="326E57E9" w14:textId="66881253" w:rsidR="00ED6459" w:rsidRDefault="003E56B7" w:rsidP="004B6CD5">
      <w:pPr>
        <w:rPr>
          <w:color w:val="000E9A"/>
          <w:sz w:val="32"/>
          <w:szCs w:val="32"/>
        </w:rPr>
      </w:pPr>
      <w:r w:rsidRPr="004B6CD5">
        <w:rPr>
          <w:color w:val="000E9A"/>
          <w:sz w:val="32"/>
          <w:szCs w:val="32"/>
        </w:rPr>
        <w:lastRenderedPageBreak/>
        <w:t>Compte de résultat consolidé</w:t>
      </w:r>
    </w:p>
    <w:p w14:paraId="0D33F650" w14:textId="77777777" w:rsidR="008457EE" w:rsidRPr="004B6CD5" w:rsidRDefault="008457EE" w:rsidP="004B6CD5">
      <w:pPr>
        <w:rPr>
          <w:color w:val="000E9A"/>
          <w:sz w:val="32"/>
          <w:szCs w:val="32"/>
        </w:rPr>
      </w:pPr>
    </w:p>
    <w:p w14:paraId="2BE09E44" w14:textId="09CB59CD" w:rsidR="003936D8" w:rsidRDefault="005568DE" w:rsidP="00BB514C">
      <w:r w:rsidRPr="003E56B7">
        <w:t xml:space="preserve"> </w:t>
      </w:r>
      <w:bookmarkEnd w:id="71"/>
      <w:bookmarkEnd w:id="72"/>
      <w:bookmarkEnd w:id="73"/>
      <w:bookmarkEnd w:id="74"/>
      <w:r w:rsidR="00312A94" w:rsidRPr="00312A94">
        <w:rPr>
          <w:noProof/>
        </w:rPr>
        <w:drawing>
          <wp:inline distT="0" distB="0" distL="0" distR="0" wp14:anchorId="69B5930B" wp14:editId="5B6BE4E1">
            <wp:extent cx="5374408" cy="4051197"/>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85338" cy="4059436"/>
                    </a:xfrm>
                    <a:prstGeom prst="rect">
                      <a:avLst/>
                    </a:prstGeom>
                    <a:noFill/>
                    <a:ln>
                      <a:noFill/>
                    </a:ln>
                  </pic:spPr>
                </pic:pic>
              </a:graphicData>
            </a:graphic>
          </wp:inline>
        </w:drawing>
      </w:r>
    </w:p>
    <w:p w14:paraId="05C5E572" w14:textId="034A7C25" w:rsidR="001E5974" w:rsidRDefault="001E5974" w:rsidP="00BB514C"/>
    <w:p w14:paraId="618E8868" w14:textId="7E7AD632" w:rsidR="00827EC0" w:rsidRPr="00025161" w:rsidRDefault="006A7AB2" w:rsidP="00025161">
      <w:pPr>
        <w:spacing w:before="120" w:after="0"/>
        <w:jc w:val="both"/>
        <w:rPr>
          <w:sz w:val="20"/>
          <w:szCs w:val="20"/>
        </w:rPr>
      </w:pPr>
      <w:r w:rsidRPr="000D6B71">
        <w:rPr>
          <w:sz w:val="20"/>
          <w:szCs w:val="20"/>
          <w:vertAlign w:val="superscript"/>
        </w:rPr>
        <w:t>(</w:t>
      </w:r>
      <w:r w:rsidR="000D6B71" w:rsidRPr="000D6B71">
        <w:rPr>
          <w:sz w:val="20"/>
          <w:szCs w:val="20"/>
          <w:vertAlign w:val="superscript"/>
        </w:rPr>
        <w:t>1)</w:t>
      </w:r>
      <w:r w:rsidR="000D6B71">
        <w:rPr>
          <w:sz w:val="20"/>
          <w:szCs w:val="20"/>
        </w:rPr>
        <w:t xml:space="preserve"> </w:t>
      </w:r>
      <w:r w:rsidR="00827EC0" w:rsidRPr="00025161">
        <w:rPr>
          <w:sz w:val="20"/>
          <w:szCs w:val="20"/>
        </w:rPr>
        <w:t xml:space="preserve">L’indicateur d’EBITDA courant défini </w:t>
      </w:r>
      <w:r w:rsidR="00827EC0" w:rsidRPr="001F63B5">
        <w:rPr>
          <w:sz w:val="20"/>
          <w:szCs w:val="20"/>
        </w:rPr>
        <w:t>en Note 4.1</w:t>
      </w:r>
      <w:r w:rsidR="00827EC0" w:rsidRPr="00025161">
        <w:rPr>
          <w:sz w:val="20"/>
          <w:szCs w:val="20"/>
        </w:rPr>
        <w:t xml:space="preserve"> correspond au résultat opérationnel avant dotations aux</w:t>
      </w:r>
      <w:r w:rsidR="00025161" w:rsidRPr="00025161">
        <w:rPr>
          <w:sz w:val="20"/>
          <w:szCs w:val="20"/>
        </w:rPr>
        <w:t xml:space="preserve"> </w:t>
      </w:r>
      <w:r w:rsidR="00827EC0" w:rsidRPr="00025161">
        <w:rPr>
          <w:sz w:val="20"/>
          <w:szCs w:val="20"/>
        </w:rPr>
        <w:t xml:space="preserve">amortissements, et autres produits et charges </w:t>
      </w:r>
      <w:r w:rsidR="00603030">
        <w:rPr>
          <w:sz w:val="20"/>
          <w:szCs w:val="20"/>
        </w:rPr>
        <w:t>opérationnels</w:t>
      </w:r>
      <w:r w:rsidR="00827EC0" w:rsidRPr="00025161">
        <w:rPr>
          <w:sz w:val="20"/>
          <w:szCs w:val="20"/>
        </w:rPr>
        <w:t xml:space="preserve"> non courants (Note</w:t>
      </w:r>
      <w:r w:rsidR="00D23043">
        <w:rPr>
          <w:sz w:val="20"/>
          <w:szCs w:val="20"/>
        </w:rPr>
        <w:t xml:space="preserve"> 4.</w:t>
      </w:r>
      <w:r w:rsidR="004E0155">
        <w:rPr>
          <w:sz w:val="20"/>
          <w:szCs w:val="20"/>
        </w:rPr>
        <w:t>7</w:t>
      </w:r>
      <w:r w:rsidR="00827EC0" w:rsidRPr="00025161">
        <w:rPr>
          <w:sz w:val="20"/>
          <w:szCs w:val="20"/>
        </w:rPr>
        <w:t>).</w:t>
      </w:r>
    </w:p>
    <w:p w14:paraId="398234E8" w14:textId="77777777" w:rsidR="00025161" w:rsidRDefault="00025161" w:rsidP="002C6E43">
      <w:pPr>
        <w:spacing w:before="120" w:after="0"/>
        <w:rPr>
          <w:sz w:val="20"/>
          <w:szCs w:val="20"/>
          <w:highlight w:val="yellow"/>
        </w:rPr>
      </w:pPr>
      <w:bookmarkStart w:id="75" w:name="_Toc74917150"/>
      <w:bookmarkStart w:id="76" w:name="_Toc40134072"/>
      <w:bookmarkStart w:id="77" w:name="_Toc40135714"/>
      <w:bookmarkStart w:id="78" w:name="_Toc40136253"/>
      <w:bookmarkStart w:id="79" w:name="_Toc40136359"/>
      <w:bookmarkStart w:id="80" w:name="_Toc46319971"/>
    </w:p>
    <w:p w14:paraId="6F298B2B" w14:textId="77777777" w:rsidR="002C6E43" w:rsidRPr="009A680B" w:rsidRDefault="002C6E43" w:rsidP="002C6E43">
      <w:pPr>
        <w:pStyle w:val="Commentaire"/>
        <w:spacing w:before="120" w:after="0"/>
        <w:jc w:val="both"/>
      </w:pPr>
      <w:r w:rsidRPr="009A680B">
        <w:br w:type="page"/>
      </w:r>
    </w:p>
    <w:p w14:paraId="738B2C36" w14:textId="35CFED5D" w:rsidR="00EA572B" w:rsidRDefault="003E56B7" w:rsidP="00F84B4C">
      <w:r w:rsidRPr="001D0AB0">
        <w:rPr>
          <w:color w:val="000E9A"/>
          <w:sz w:val="32"/>
          <w:szCs w:val="32"/>
        </w:rPr>
        <w:lastRenderedPageBreak/>
        <w:t>Etat du résultat global consolidé</w:t>
      </w:r>
      <w:bookmarkStart w:id="81" w:name="_Toc40134073"/>
      <w:bookmarkStart w:id="82" w:name="_Toc40135715"/>
      <w:bookmarkStart w:id="83" w:name="_Toc40136254"/>
      <w:bookmarkStart w:id="84" w:name="_Toc40136360"/>
      <w:bookmarkEnd w:id="75"/>
      <w:bookmarkEnd w:id="76"/>
      <w:bookmarkEnd w:id="77"/>
      <w:bookmarkEnd w:id="78"/>
      <w:bookmarkEnd w:id="79"/>
      <w:bookmarkEnd w:id="80"/>
    </w:p>
    <w:p w14:paraId="5B525B74" w14:textId="5DC6DB77" w:rsidR="00EA572B" w:rsidRDefault="00AB6B00" w:rsidP="009A680B">
      <w:pPr>
        <w:pStyle w:val="Commentaire"/>
        <w:spacing w:before="120" w:after="0"/>
        <w:jc w:val="both"/>
      </w:pPr>
      <w:r w:rsidRPr="00AB6B00">
        <w:rPr>
          <w:noProof/>
        </w:rPr>
        <w:drawing>
          <wp:inline distT="0" distB="0" distL="0" distR="0" wp14:anchorId="0198E433" wp14:editId="46CDDA78">
            <wp:extent cx="5693134" cy="2067789"/>
            <wp:effectExtent l="0" t="0" r="3175"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94695" cy="2068356"/>
                    </a:xfrm>
                    <a:prstGeom prst="rect">
                      <a:avLst/>
                    </a:prstGeom>
                    <a:noFill/>
                    <a:ln>
                      <a:noFill/>
                    </a:ln>
                  </pic:spPr>
                </pic:pic>
              </a:graphicData>
            </a:graphic>
          </wp:inline>
        </w:drawing>
      </w:r>
    </w:p>
    <w:p w14:paraId="7A417379" w14:textId="77777777" w:rsidR="00635CC5" w:rsidRDefault="00635CC5">
      <w:pPr>
        <w:spacing w:after="0" w:line="240" w:lineRule="auto"/>
        <w:rPr>
          <w:rFonts w:eastAsia="DengXian Light" w:cs="Times New Roman"/>
          <w:b/>
          <w:bCs/>
          <w:color w:val="1F3864"/>
          <w:sz w:val="32"/>
          <w:szCs w:val="32"/>
        </w:rPr>
      </w:pPr>
      <w:bookmarkStart w:id="85" w:name="_Toc74917151"/>
      <w:r>
        <w:rPr>
          <w:b/>
          <w:bCs/>
          <w:sz w:val="32"/>
          <w:szCs w:val="32"/>
        </w:rPr>
        <w:br w:type="page"/>
      </w:r>
    </w:p>
    <w:p w14:paraId="0A2F205A" w14:textId="02D770EC" w:rsidR="002A636A" w:rsidRPr="001D0AB0" w:rsidRDefault="003E56B7" w:rsidP="004B6CD5">
      <w:pPr>
        <w:rPr>
          <w:color w:val="000E9A"/>
          <w:sz w:val="32"/>
          <w:szCs w:val="32"/>
        </w:rPr>
      </w:pPr>
      <w:r w:rsidRPr="001D0AB0">
        <w:rPr>
          <w:color w:val="000E9A"/>
          <w:sz w:val="32"/>
          <w:szCs w:val="32"/>
        </w:rPr>
        <w:lastRenderedPageBreak/>
        <w:t>Bilan consolidé</w:t>
      </w:r>
      <w:bookmarkEnd w:id="81"/>
      <w:bookmarkEnd w:id="82"/>
      <w:bookmarkEnd w:id="83"/>
      <w:bookmarkEnd w:id="84"/>
      <w:bookmarkEnd w:id="85"/>
    </w:p>
    <w:p w14:paraId="48B2B81A" w14:textId="77777777" w:rsidR="00206E71" w:rsidRDefault="00206E71" w:rsidP="005617E9">
      <w:pPr>
        <w:pStyle w:val="Corpsdetexte"/>
        <w:spacing w:after="0"/>
        <w:rPr>
          <w:rFonts w:cs="Calibri"/>
          <w:sz w:val="24"/>
          <w:szCs w:val="24"/>
        </w:rPr>
      </w:pPr>
    </w:p>
    <w:p w14:paraId="4CF8D0C5" w14:textId="55E1E38B" w:rsidR="008457EE" w:rsidRPr="0099106A" w:rsidRDefault="008457EE" w:rsidP="005617E9">
      <w:pPr>
        <w:pStyle w:val="Corpsdetexte"/>
        <w:spacing w:after="0"/>
        <w:rPr>
          <w:rFonts w:cs="Calibri"/>
          <w:sz w:val="24"/>
          <w:szCs w:val="24"/>
        </w:rPr>
        <w:sectPr w:rsidR="008457EE" w:rsidRPr="0099106A" w:rsidSect="005B62C1">
          <w:headerReference w:type="default" r:id="rId23"/>
          <w:pgSz w:w="11907" w:h="16840" w:code="9"/>
          <w:pgMar w:top="993" w:right="1134" w:bottom="851" w:left="1418" w:header="851" w:footer="370" w:gutter="454"/>
          <w:cols w:space="737"/>
          <w:docGrid w:linePitch="299"/>
        </w:sectPr>
      </w:pPr>
      <w:r w:rsidRPr="008457EE">
        <w:rPr>
          <w:noProof/>
        </w:rPr>
        <w:drawing>
          <wp:inline distT="0" distB="0" distL="0" distR="0" wp14:anchorId="41560E5C" wp14:editId="7CD3E809">
            <wp:extent cx="5679732" cy="6585972"/>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85886" cy="6593107"/>
                    </a:xfrm>
                    <a:prstGeom prst="rect">
                      <a:avLst/>
                    </a:prstGeom>
                    <a:noFill/>
                    <a:ln>
                      <a:noFill/>
                    </a:ln>
                  </pic:spPr>
                </pic:pic>
              </a:graphicData>
            </a:graphic>
          </wp:inline>
        </w:drawing>
      </w:r>
    </w:p>
    <w:p w14:paraId="2D9CC1B7" w14:textId="18F09CF3" w:rsidR="00394301" w:rsidRDefault="00D72B80" w:rsidP="004B6CD5">
      <w:pPr>
        <w:rPr>
          <w:color w:val="000E9A"/>
          <w:sz w:val="32"/>
          <w:szCs w:val="32"/>
        </w:rPr>
      </w:pPr>
      <w:bookmarkStart w:id="86" w:name="_Toc74917152"/>
      <w:bookmarkStart w:id="87" w:name="_Toc40134074"/>
      <w:bookmarkStart w:id="88" w:name="_Toc40135716"/>
      <w:bookmarkStart w:id="89" w:name="_Toc40136255"/>
      <w:bookmarkStart w:id="90" w:name="_Toc40136361"/>
      <w:bookmarkStart w:id="91" w:name="_Toc46319973"/>
      <w:r w:rsidRPr="001D0AB0">
        <w:rPr>
          <w:color w:val="000E9A"/>
          <w:sz w:val="32"/>
          <w:szCs w:val="32"/>
        </w:rPr>
        <w:lastRenderedPageBreak/>
        <w:t>Tableau des variations des capitaux propres</w:t>
      </w:r>
      <w:r w:rsidR="008E27C4" w:rsidRPr="001D0AB0">
        <w:rPr>
          <w:color w:val="000E9A"/>
          <w:sz w:val="32"/>
          <w:szCs w:val="32"/>
        </w:rPr>
        <w:t xml:space="preserve"> consolidés</w:t>
      </w:r>
      <w:bookmarkEnd w:id="86"/>
      <w:r w:rsidR="008E27C4" w:rsidRPr="001D0AB0">
        <w:rPr>
          <w:color w:val="000E9A"/>
          <w:sz w:val="32"/>
          <w:szCs w:val="32"/>
        </w:rPr>
        <w:t xml:space="preserve"> </w:t>
      </w:r>
      <w:bookmarkEnd w:id="87"/>
      <w:bookmarkEnd w:id="88"/>
      <w:bookmarkEnd w:id="89"/>
      <w:bookmarkEnd w:id="90"/>
      <w:bookmarkEnd w:id="91"/>
    </w:p>
    <w:p w14:paraId="45B06BA5" w14:textId="19943AE6" w:rsidR="002642F5" w:rsidRDefault="008457EE" w:rsidP="004B6CD5">
      <w:pPr>
        <w:rPr>
          <w:color w:val="000E9A"/>
          <w:sz w:val="32"/>
          <w:szCs w:val="32"/>
        </w:rPr>
      </w:pPr>
      <w:r w:rsidRPr="008457EE">
        <w:rPr>
          <w:noProof/>
        </w:rPr>
        <w:drawing>
          <wp:inline distT="0" distB="0" distL="0" distR="0" wp14:anchorId="5FB57418" wp14:editId="38F36F75">
            <wp:extent cx="7397895" cy="21945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415920" cy="2199907"/>
                    </a:xfrm>
                    <a:prstGeom prst="rect">
                      <a:avLst/>
                    </a:prstGeom>
                    <a:noFill/>
                    <a:ln>
                      <a:noFill/>
                    </a:ln>
                  </pic:spPr>
                </pic:pic>
              </a:graphicData>
            </a:graphic>
          </wp:inline>
        </w:drawing>
      </w:r>
    </w:p>
    <w:p w14:paraId="361AFA65" w14:textId="77777777" w:rsidR="00F56495" w:rsidRPr="00C77D7B" w:rsidRDefault="00F56495" w:rsidP="00F56495">
      <w:pPr>
        <w:spacing w:after="0"/>
        <w:rPr>
          <w:sz w:val="18"/>
          <w:szCs w:val="18"/>
        </w:rPr>
      </w:pPr>
      <w:r w:rsidRPr="00C77D7B">
        <w:rPr>
          <w:vertAlign w:val="superscript"/>
        </w:rPr>
        <w:t xml:space="preserve">(1) </w:t>
      </w:r>
      <w:r w:rsidRPr="00C77D7B">
        <w:rPr>
          <w:sz w:val="18"/>
          <w:szCs w:val="18"/>
        </w:rPr>
        <w:t xml:space="preserve">Augmentation de capital en lien avec l’introduction en bourse ainsi que </w:t>
      </w:r>
      <w:proofErr w:type="gramStart"/>
      <w:r w:rsidRPr="00C77D7B">
        <w:rPr>
          <w:sz w:val="18"/>
          <w:szCs w:val="18"/>
        </w:rPr>
        <w:t>l’ «</w:t>
      </w:r>
      <w:proofErr w:type="gramEnd"/>
      <w:r w:rsidRPr="00C77D7B">
        <w:rPr>
          <w:sz w:val="18"/>
          <w:szCs w:val="18"/>
        </w:rPr>
        <w:t> </w:t>
      </w:r>
      <w:proofErr w:type="spellStart"/>
      <w:r w:rsidRPr="00C77D7B">
        <w:rPr>
          <w:sz w:val="18"/>
          <w:szCs w:val="18"/>
        </w:rPr>
        <w:t>Employee</w:t>
      </w:r>
      <w:proofErr w:type="spellEnd"/>
      <w:r w:rsidRPr="00C77D7B">
        <w:rPr>
          <w:sz w:val="18"/>
          <w:szCs w:val="18"/>
        </w:rPr>
        <w:t xml:space="preserve"> </w:t>
      </w:r>
      <w:proofErr w:type="spellStart"/>
      <w:r w:rsidRPr="00C77D7B">
        <w:rPr>
          <w:sz w:val="18"/>
          <w:szCs w:val="18"/>
        </w:rPr>
        <w:t>Shareplan</w:t>
      </w:r>
      <w:proofErr w:type="spellEnd"/>
      <w:r w:rsidRPr="00C77D7B">
        <w:rPr>
          <w:sz w:val="18"/>
          <w:szCs w:val="18"/>
        </w:rPr>
        <w:t xml:space="preserve"> 2021 » (cf. Notes </w:t>
      </w:r>
      <w:r>
        <w:rPr>
          <w:sz w:val="18"/>
          <w:szCs w:val="18"/>
        </w:rPr>
        <w:t>2</w:t>
      </w:r>
      <w:r w:rsidRPr="00C77D7B">
        <w:rPr>
          <w:sz w:val="18"/>
          <w:szCs w:val="18"/>
        </w:rPr>
        <w:t xml:space="preserve"> et 4.15)</w:t>
      </w:r>
    </w:p>
    <w:p w14:paraId="4404BAC0" w14:textId="77777777" w:rsidR="00F56495" w:rsidRPr="00C77D7B" w:rsidRDefault="00F56495" w:rsidP="00F56495">
      <w:pPr>
        <w:spacing w:after="0"/>
        <w:rPr>
          <w:sz w:val="18"/>
          <w:szCs w:val="18"/>
        </w:rPr>
      </w:pPr>
      <w:r w:rsidRPr="00933324">
        <w:rPr>
          <w:vertAlign w:val="superscript"/>
        </w:rPr>
        <w:t xml:space="preserve">(2) </w:t>
      </w:r>
      <w:r w:rsidRPr="00C77D7B">
        <w:rPr>
          <w:sz w:val="18"/>
          <w:szCs w:val="18"/>
        </w:rPr>
        <w:t xml:space="preserve">Attribution </w:t>
      </w:r>
      <w:r w:rsidRPr="00933324">
        <w:rPr>
          <w:sz w:val="18"/>
          <w:szCs w:val="18"/>
        </w:rPr>
        <w:t xml:space="preserve">d’actions gratuites et actionnariat salarié </w:t>
      </w:r>
      <w:r w:rsidRPr="00C77D7B">
        <w:rPr>
          <w:sz w:val="18"/>
          <w:szCs w:val="18"/>
        </w:rPr>
        <w:t>(</w:t>
      </w:r>
      <w:r w:rsidRPr="00933324">
        <w:rPr>
          <w:sz w:val="18"/>
          <w:szCs w:val="18"/>
        </w:rPr>
        <w:t xml:space="preserve">cf. </w:t>
      </w:r>
      <w:r w:rsidRPr="00C77D7B">
        <w:rPr>
          <w:sz w:val="18"/>
          <w:szCs w:val="18"/>
        </w:rPr>
        <w:t>Note</w:t>
      </w:r>
      <w:r w:rsidRPr="00933324">
        <w:rPr>
          <w:sz w:val="18"/>
          <w:szCs w:val="18"/>
        </w:rPr>
        <w:t>s</w:t>
      </w:r>
      <w:r w:rsidRPr="00C77D7B">
        <w:rPr>
          <w:sz w:val="18"/>
          <w:szCs w:val="18"/>
        </w:rPr>
        <w:t xml:space="preserve"> 4.1</w:t>
      </w:r>
      <w:r w:rsidRPr="00933324">
        <w:rPr>
          <w:sz w:val="18"/>
          <w:szCs w:val="18"/>
        </w:rPr>
        <w:t>5</w:t>
      </w:r>
      <w:r w:rsidRPr="00C77D7B">
        <w:rPr>
          <w:sz w:val="18"/>
          <w:szCs w:val="18"/>
        </w:rPr>
        <w:t xml:space="preserve"> et 4.</w:t>
      </w:r>
      <w:r w:rsidRPr="00933324">
        <w:rPr>
          <w:sz w:val="18"/>
          <w:szCs w:val="18"/>
        </w:rPr>
        <w:t>20</w:t>
      </w:r>
      <w:r w:rsidRPr="00C77D7B">
        <w:rPr>
          <w:sz w:val="18"/>
          <w:szCs w:val="18"/>
        </w:rPr>
        <w:t>)</w:t>
      </w:r>
    </w:p>
    <w:p w14:paraId="3B281B96" w14:textId="38E23922" w:rsidR="00B34232" w:rsidRDefault="00F56495" w:rsidP="00C77D7B">
      <w:pPr>
        <w:rPr>
          <w:rFonts w:cs="Calibri"/>
        </w:rPr>
      </w:pPr>
      <w:r w:rsidRPr="00C77D7B">
        <w:rPr>
          <w:sz w:val="20"/>
          <w:szCs w:val="20"/>
          <w:vertAlign w:val="superscript"/>
        </w:rPr>
        <w:t>(3)</w:t>
      </w:r>
      <w:r w:rsidRPr="00933324">
        <w:rPr>
          <w:sz w:val="20"/>
          <w:szCs w:val="20"/>
        </w:rPr>
        <w:t xml:space="preserve"> </w:t>
      </w:r>
      <w:r w:rsidRPr="00C77D7B">
        <w:rPr>
          <w:sz w:val="18"/>
          <w:szCs w:val="18"/>
        </w:rPr>
        <w:t xml:space="preserve">Complément </w:t>
      </w:r>
      <w:r w:rsidRPr="00933324">
        <w:rPr>
          <w:sz w:val="18"/>
          <w:szCs w:val="18"/>
        </w:rPr>
        <w:t>de réserve légale</w:t>
      </w:r>
      <w:r w:rsidRPr="00C77D7B">
        <w:rPr>
          <w:sz w:val="18"/>
          <w:szCs w:val="18"/>
        </w:rPr>
        <w:t xml:space="preserve"> (</w:t>
      </w:r>
      <w:r w:rsidRPr="00933324">
        <w:rPr>
          <w:sz w:val="18"/>
          <w:szCs w:val="18"/>
        </w:rPr>
        <w:t xml:space="preserve">cf. </w:t>
      </w:r>
      <w:r w:rsidRPr="00C77D7B">
        <w:rPr>
          <w:sz w:val="18"/>
          <w:szCs w:val="18"/>
        </w:rPr>
        <w:t>Note 4.1</w:t>
      </w:r>
      <w:r w:rsidRPr="00933324">
        <w:rPr>
          <w:sz w:val="18"/>
          <w:szCs w:val="18"/>
        </w:rPr>
        <w:t>5</w:t>
      </w:r>
      <w:r w:rsidRPr="00C77D7B">
        <w:rPr>
          <w:sz w:val="18"/>
          <w:szCs w:val="18"/>
        </w:rPr>
        <w:t>)</w:t>
      </w:r>
    </w:p>
    <w:p w14:paraId="1517EBAE" w14:textId="3E4A74A1" w:rsidR="00203588" w:rsidRDefault="008457EE" w:rsidP="008357B3">
      <w:pPr>
        <w:jc w:val="both"/>
        <w:rPr>
          <w:rFonts w:cs="Calibri"/>
        </w:rPr>
      </w:pPr>
      <w:r w:rsidRPr="00227691">
        <w:rPr>
          <w:noProof/>
        </w:rPr>
        <w:drawing>
          <wp:inline distT="0" distB="0" distL="0" distR="0" wp14:anchorId="49690899" wp14:editId="76DF6734">
            <wp:extent cx="7431210" cy="198782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480387" cy="2000981"/>
                    </a:xfrm>
                    <a:prstGeom prst="rect">
                      <a:avLst/>
                    </a:prstGeom>
                    <a:noFill/>
                    <a:ln>
                      <a:noFill/>
                    </a:ln>
                  </pic:spPr>
                </pic:pic>
              </a:graphicData>
            </a:graphic>
          </wp:inline>
        </w:drawing>
      </w:r>
    </w:p>
    <w:p w14:paraId="78522E14" w14:textId="4B4C93F7" w:rsidR="00F56495" w:rsidRPr="00C77D7B" w:rsidRDefault="00F56495" w:rsidP="00C77D7B">
      <w:pPr>
        <w:spacing w:after="0"/>
        <w:rPr>
          <w:sz w:val="20"/>
          <w:szCs w:val="20"/>
        </w:rPr>
        <w:sectPr w:rsidR="00F56495" w:rsidRPr="00C77D7B" w:rsidSect="00341C3A">
          <w:pgSz w:w="16840" w:h="11907" w:orient="landscape" w:code="9"/>
          <w:pgMar w:top="567" w:right="1105" w:bottom="851" w:left="1361" w:header="851" w:footer="737" w:gutter="454"/>
          <w:cols w:space="737"/>
          <w:docGrid w:linePitch="299"/>
        </w:sectPr>
      </w:pPr>
    </w:p>
    <w:p w14:paraId="0596A024" w14:textId="46C48384" w:rsidR="00612508" w:rsidRPr="001D0AB0" w:rsidRDefault="003E56B7" w:rsidP="004B6CD5">
      <w:pPr>
        <w:rPr>
          <w:color w:val="000E9A"/>
          <w:sz w:val="32"/>
          <w:szCs w:val="32"/>
        </w:rPr>
      </w:pPr>
      <w:bookmarkStart w:id="92" w:name="_Toc74917153"/>
      <w:bookmarkStart w:id="93" w:name="_Toc40134075"/>
      <w:bookmarkStart w:id="94" w:name="_Toc40135717"/>
      <w:bookmarkStart w:id="95" w:name="_Toc40136256"/>
      <w:bookmarkStart w:id="96" w:name="_Toc40136362"/>
      <w:r w:rsidRPr="001D0AB0">
        <w:rPr>
          <w:color w:val="000E9A"/>
          <w:sz w:val="32"/>
          <w:szCs w:val="32"/>
        </w:rPr>
        <w:lastRenderedPageBreak/>
        <w:t>Tableau des flux de trésorerie consolidés</w:t>
      </w:r>
      <w:bookmarkEnd w:id="92"/>
      <w:r w:rsidR="005C7FDA" w:rsidRPr="001D0AB0">
        <w:rPr>
          <w:color w:val="000E9A"/>
          <w:sz w:val="32"/>
          <w:szCs w:val="32"/>
        </w:rPr>
        <w:t xml:space="preserve"> </w:t>
      </w:r>
      <w:bookmarkEnd w:id="93"/>
      <w:bookmarkEnd w:id="94"/>
      <w:bookmarkEnd w:id="95"/>
      <w:bookmarkEnd w:id="96"/>
    </w:p>
    <w:p w14:paraId="6F4102B7" w14:textId="388D081C" w:rsidR="0090774D" w:rsidRDefault="001D6050" w:rsidP="00DA2B82">
      <w:r w:rsidRPr="001D6050">
        <w:rPr>
          <w:noProof/>
        </w:rPr>
        <w:drawing>
          <wp:inline distT="0" distB="0" distL="0" distR="0" wp14:anchorId="1F3A8B5E" wp14:editId="042B6393">
            <wp:extent cx="5556144" cy="6905551"/>
            <wp:effectExtent l="0" t="0" r="698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62720" cy="6913724"/>
                    </a:xfrm>
                    <a:prstGeom prst="rect">
                      <a:avLst/>
                    </a:prstGeom>
                    <a:noFill/>
                    <a:ln>
                      <a:noFill/>
                    </a:ln>
                  </pic:spPr>
                </pic:pic>
              </a:graphicData>
            </a:graphic>
          </wp:inline>
        </w:drawing>
      </w:r>
      <w:r w:rsidRPr="001D6050" w:rsidDel="00AB6B00">
        <w:t xml:space="preserve"> </w:t>
      </w:r>
    </w:p>
    <w:p w14:paraId="703ADF27" w14:textId="0816D6F4" w:rsidR="00680272" w:rsidRPr="00D357E4" w:rsidRDefault="00075F60" w:rsidP="00DA2B82">
      <w:pPr>
        <w:rPr>
          <w:rFonts w:asciiTheme="minorHAnsi" w:hAnsiTheme="minorHAnsi" w:cstheme="minorHAnsi"/>
          <w:color w:val="000E9A"/>
          <w:sz w:val="36"/>
          <w:szCs w:val="36"/>
        </w:rPr>
      </w:pPr>
      <w:r w:rsidRPr="00D357E4">
        <w:br w:type="page"/>
      </w:r>
      <w:bookmarkStart w:id="97" w:name="_Toc40136364"/>
      <w:r w:rsidR="00D357E4" w:rsidRPr="00D357E4">
        <w:rPr>
          <w:rFonts w:asciiTheme="minorHAnsi" w:hAnsiTheme="minorHAnsi" w:cstheme="minorHAnsi"/>
          <w:color w:val="000E9A"/>
          <w:sz w:val="36"/>
          <w:szCs w:val="36"/>
        </w:rPr>
        <w:lastRenderedPageBreak/>
        <w:t>NOTES AUX COMPTES CONSOLIDES S</w:t>
      </w:r>
      <w:r w:rsidR="00D357E4">
        <w:rPr>
          <w:rFonts w:asciiTheme="minorHAnsi" w:hAnsiTheme="minorHAnsi" w:cstheme="minorHAnsi"/>
          <w:color w:val="000E9A"/>
          <w:sz w:val="36"/>
          <w:szCs w:val="36"/>
        </w:rPr>
        <w:t>EMESTRIELS RESUMES AU 28 FEVRIER 2022</w:t>
      </w:r>
    </w:p>
    <w:p w14:paraId="4825FF31" w14:textId="796FF5E2" w:rsidR="00DA2B82" w:rsidRPr="00D357E4" w:rsidRDefault="00DA2B82" w:rsidP="00DA2B82">
      <w:pPr>
        <w:rPr>
          <w:rFonts w:asciiTheme="minorHAnsi" w:hAnsiTheme="minorHAnsi" w:cstheme="minorHAnsi"/>
          <w:color w:val="000E9A"/>
          <w:sz w:val="36"/>
          <w:szCs w:val="36"/>
        </w:rPr>
      </w:pPr>
    </w:p>
    <w:p w14:paraId="2A8AE64A" w14:textId="77777777" w:rsidR="007F7AB8" w:rsidRDefault="007F7AB8" w:rsidP="00DA2B82">
      <w:pPr>
        <w:rPr>
          <w:rFonts w:asciiTheme="minorHAnsi" w:hAnsiTheme="minorHAnsi" w:cstheme="minorHAnsi"/>
          <w:color w:val="000E9A"/>
          <w:sz w:val="36"/>
          <w:szCs w:val="36"/>
        </w:rPr>
      </w:pPr>
    </w:p>
    <w:p w14:paraId="5FA4D740" w14:textId="559F0062" w:rsidR="00750305" w:rsidRDefault="007F7AB8" w:rsidP="00750305">
      <w:pPr>
        <w:pStyle w:val="TM1"/>
        <w:rPr>
          <w:rFonts w:asciiTheme="minorHAnsi" w:eastAsiaTheme="minorEastAsia" w:hAnsiTheme="minorHAnsi" w:cstheme="minorBidi"/>
          <w:color w:val="auto"/>
          <w:szCs w:val="22"/>
          <w:lang w:eastAsia="fr-FR"/>
        </w:rPr>
      </w:pPr>
      <w:r>
        <w:rPr>
          <w:rFonts w:asciiTheme="minorHAnsi" w:hAnsiTheme="minorHAnsi" w:cs="Calibri"/>
          <w:b/>
          <w:color w:val="000000" w:themeColor="text1"/>
          <w:sz w:val="24"/>
          <w:szCs w:val="24"/>
        </w:rPr>
        <w:fldChar w:fldCharType="begin"/>
      </w:r>
      <w:r>
        <w:rPr>
          <w:rFonts w:asciiTheme="minorHAnsi" w:hAnsiTheme="minorHAnsi" w:cs="Calibri"/>
          <w:b/>
          <w:color w:val="000000" w:themeColor="text1"/>
          <w:sz w:val="24"/>
          <w:szCs w:val="24"/>
        </w:rPr>
        <w:instrText xml:space="preserve"> TOC \o "1-2" \h \z \u </w:instrText>
      </w:r>
      <w:r>
        <w:rPr>
          <w:rFonts w:asciiTheme="minorHAnsi" w:hAnsiTheme="minorHAnsi" w:cs="Calibri"/>
          <w:b/>
          <w:color w:val="000000" w:themeColor="text1"/>
          <w:sz w:val="24"/>
          <w:szCs w:val="24"/>
        </w:rPr>
        <w:fldChar w:fldCharType="separate"/>
      </w:r>
    </w:p>
    <w:p w14:paraId="51E2A797" w14:textId="43B81A85" w:rsidR="00750305" w:rsidRDefault="009C6A47">
      <w:pPr>
        <w:pStyle w:val="TM1"/>
        <w:rPr>
          <w:rFonts w:asciiTheme="minorHAnsi" w:eastAsiaTheme="minorEastAsia" w:hAnsiTheme="minorHAnsi" w:cstheme="minorBidi"/>
          <w:color w:val="auto"/>
          <w:szCs w:val="22"/>
          <w:lang w:eastAsia="fr-FR"/>
        </w:rPr>
      </w:pPr>
      <w:hyperlink w:anchor="_Toc100689270" w:history="1">
        <w:r w:rsidR="00750305" w:rsidRPr="00F61B68">
          <w:rPr>
            <w:rStyle w:val="Lienhypertexte"/>
            <w:rFonts w:cstheme="minorHAnsi"/>
          </w:rPr>
          <w:t>1.</w:t>
        </w:r>
        <w:r w:rsidR="00750305">
          <w:rPr>
            <w:rFonts w:asciiTheme="minorHAnsi" w:eastAsiaTheme="minorEastAsia" w:hAnsiTheme="minorHAnsi" w:cstheme="minorBidi"/>
            <w:color w:val="auto"/>
            <w:szCs w:val="22"/>
            <w:lang w:eastAsia="fr-FR"/>
          </w:rPr>
          <w:tab/>
        </w:r>
        <w:r w:rsidR="00750305" w:rsidRPr="00F61B68">
          <w:rPr>
            <w:rStyle w:val="Lienhypertexte"/>
            <w:rFonts w:cstheme="minorHAnsi"/>
          </w:rPr>
          <w:t>Informations relatives au Groupe</w:t>
        </w:r>
        <w:r w:rsidR="00750305">
          <w:rPr>
            <w:webHidden/>
          </w:rPr>
          <w:tab/>
        </w:r>
        <w:r w:rsidR="00750305">
          <w:rPr>
            <w:webHidden/>
          </w:rPr>
          <w:fldChar w:fldCharType="begin"/>
        </w:r>
        <w:r w:rsidR="00750305">
          <w:rPr>
            <w:webHidden/>
          </w:rPr>
          <w:instrText xml:space="preserve"> PAGEREF _Toc100689270 \h </w:instrText>
        </w:r>
        <w:r w:rsidR="00750305">
          <w:rPr>
            <w:webHidden/>
          </w:rPr>
        </w:r>
        <w:r w:rsidR="00750305">
          <w:rPr>
            <w:webHidden/>
          </w:rPr>
          <w:fldChar w:fldCharType="separate"/>
        </w:r>
        <w:r>
          <w:rPr>
            <w:webHidden/>
          </w:rPr>
          <w:t>20</w:t>
        </w:r>
        <w:r w:rsidR="00750305">
          <w:rPr>
            <w:webHidden/>
          </w:rPr>
          <w:fldChar w:fldCharType="end"/>
        </w:r>
      </w:hyperlink>
    </w:p>
    <w:p w14:paraId="7F441C06" w14:textId="4EFCD2A0" w:rsidR="00750305" w:rsidRDefault="009C6A47">
      <w:pPr>
        <w:pStyle w:val="TM1"/>
        <w:rPr>
          <w:rFonts w:asciiTheme="minorHAnsi" w:eastAsiaTheme="minorEastAsia" w:hAnsiTheme="minorHAnsi" w:cstheme="minorBidi"/>
          <w:color w:val="auto"/>
          <w:szCs w:val="22"/>
          <w:lang w:eastAsia="fr-FR"/>
        </w:rPr>
      </w:pPr>
      <w:hyperlink w:anchor="_Toc100689271" w:history="1">
        <w:r w:rsidR="00750305" w:rsidRPr="00F61B68">
          <w:rPr>
            <w:rStyle w:val="Lienhypertexte"/>
            <w:rFonts w:cstheme="minorHAnsi"/>
          </w:rPr>
          <w:t>2.</w:t>
        </w:r>
        <w:r w:rsidR="00750305">
          <w:rPr>
            <w:rFonts w:asciiTheme="minorHAnsi" w:eastAsiaTheme="minorEastAsia" w:hAnsiTheme="minorHAnsi" w:cstheme="minorBidi"/>
            <w:color w:val="auto"/>
            <w:szCs w:val="22"/>
            <w:lang w:eastAsia="fr-FR"/>
          </w:rPr>
          <w:tab/>
        </w:r>
        <w:r w:rsidR="00750305" w:rsidRPr="00F61B68">
          <w:rPr>
            <w:rStyle w:val="Lienhypertexte"/>
            <w:rFonts w:cstheme="minorHAnsi"/>
          </w:rPr>
          <w:t>Evénements significatifs</w:t>
        </w:r>
        <w:r w:rsidR="00750305">
          <w:rPr>
            <w:webHidden/>
          </w:rPr>
          <w:tab/>
        </w:r>
        <w:r w:rsidR="00750305">
          <w:rPr>
            <w:webHidden/>
          </w:rPr>
          <w:fldChar w:fldCharType="begin"/>
        </w:r>
        <w:r w:rsidR="00750305">
          <w:rPr>
            <w:webHidden/>
          </w:rPr>
          <w:instrText xml:space="preserve"> PAGEREF _Toc100689271 \h </w:instrText>
        </w:r>
        <w:r w:rsidR="00750305">
          <w:rPr>
            <w:webHidden/>
          </w:rPr>
        </w:r>
        <w:r w:rsidR="00750305">
          <w:rPr>
            <w:webHidden/>
          </w:rPr>
          <w:fldChar w:fldCharType="separate"/>
        </w:r>
        <w:r>
          <w:rPr>
            <w:webHidden/>
          </w:rPr>
          <w:t>20</w:t>
        </w:r>
        <w:r w:rsidR="00750305">
          <w:rPr>
            <w:webHidden/>
          </w:rPr>
          <w:fldChar w:fldCharType="end"/>
        </w:r>
      </w:hyperlink>
    </w:p>
    <w:p w14:paraId="72F42004" w14:textId="4C0FD4A1" w:rsidR="00750305" w:rsidRDefault="009C6A47">
      <w:pPr>
        <w:pStyle w:val="TM1"/>
        <w:rPr>
          <w:rFonts w:asciiTheme="minorHAnsi" w:eastAsiaTheme="minorEastAsia" w:hAnsiTheme="minorHAnsi" w:cstheme="minorBidi"/>
          <w:color w:val="auto"/>
          <w:szCs w:val="22"/>
          <w:lang w:eastAsia="fr-FR"/>
        </w:rPr>
      </w:pPr>
      <w:hyperlink w:anchor="_Toc100689272" w:history="1">
        <w:r w:rsidR="00750305" w:rsidRPr="00F61B68">
          <w:rPr>
            <w:rStyle w:val="Lienhypertexte"/>
            <w:rFonts w:cstheme="minorHAnsi"/>
          </w:rPr>
          <w:t>3.</w:t>
        </w:r>
        <w:r w:rsidR="00750305">
          <w:rPr>
            <w:rFonts w:asciiTheme="minorHAnsi" w:eastAsiaTheme="minorEastAsia" w:hAnsiTheme="minorHAnsi" w:cstheme="minorBidi"/>
            <w:color w:val="auto"/>
            <w:szCs w:val="22"/>
            <w:lang w:eastAsia="fr-FR"/>
          </w:rPr>
          <w:tab/>
        </w:r>
        <w:r w:rsidR="00750305" w:rsidRPr="00F61B68">
          <w:rPr>
            <w:rStyle w:val="Lienhypertexte"/>
            <w:rFonts w:cstheme="minorHAnsi"/>
          </w:rPr>
          <w:t>Base de préparation des comptes consolidés semestriels résumés au 28 février 2022</w:t>
        </w:r>
        <w:r w:rsidR="00750305">
          <w:rPr>
            <w:webHidden/>
          </w:rPr>
          <w:tab/>
        </w:r>
        <w:r w:rsidR="00750305">
          <w:rPr>
            <w:webHidden/>
          </w:rPr>
          <w:fldChar w:fldCharType="begin"/>
        </w:r>
        <w:r w:rsidR="00750305">
          <w:rPr>
            <w:webHidden/>
          </w:rPr>
          <w:instrText xml:space="preserve"> PAGEREF _Toc100689272 \h </w:instrText>
        </w:r>
        <w:r w:rsidR="00750305">
          <w:rPr>
            <w:webHidden/>
          </w:rPr>
        </w:r>
        <w:r w:rsidR="00750305">
          <w:rPr>
            <w:webHidden/>
          </w:rPr>
          <w:fldChar w:fldCharType="separate"/>
        </w:r>
        <w:r>
          <w:rPr>
            <w:webHidden/>
          </w:rPr>
          <w:t>23</w:t>
        </w:r>
        <w:r w:rsidR="00750305">
          <w:rPr>
            <w:webHidden/>
          </w:rPr>
          <w:fldChar w:fldCharType="end"/>
        </w:r>
      </w:hyperlink>
    </w:p>
    <w:p w14:paraId="1A7D33D0" w14:textId="0A41FAEC" w:rsidR="00750305" w:rsidRDefault="009C6A47">
      <w:pPr>
        <w:pStyle w:val="TM1"/>
        <w:rPr>
          <w:rFonts w:asciiTheme="minorHAnsi" w:eastAsiaTheme="minorEastAsia" w:hAnsiTheme="minorHAnsi" w:cstheme="minorBidi"/>
          <w:color w:val="auto"/>
          <w:szCs w:val="22"/>
          <w:lang w:eastAsia="fr-FR"/>
        </w:rPr>
      </w:pPr>
      <w:hyperlink w:anchor="_Toc100689273" w:history="1">
        <w:r w:rsidR="00750305" w:rsidRPr="00F61B68">
          <w:rPr>
            <w:rStyle w:val="Lienhypertexte"/>
            <w:rFonts w:cstheme="minorHAnsi"/>
          </w:rPr>
          <w:t>4.</w:t>
        </w:r>
        <w:r w:rsidR="00750305">
          <w:rPr>
            <w:rFonts w:asciiTheme="minorHAnsi" w:eastAsiaTheme="minorEastAsia" w:hAnsiTheme="minorHAnsi" w:cstheme="minorBidi"/>
            <w:color w:val="auto"/>
            <w:szCs w:val="22"/>
            <w:lang w:eastAsia="fr-FR"/>
          </w:rPr>
          <w:tab/>
        </w:r>
        <w:r w:rsidR="00750305" w:rsidRPr="00F61B68">
          <w:rPr>
            <w:rStyle w:val="Lienhypertexte"/>
            <w:rFonts w:cstheme="minorHAnsi"/>
          </w:rPr>
          <w:t>Notes relatives aux états financiers consolidés semestriels résumés</w:t>
        </w:r>
        <w:r w:rsidR="00750305">
          <w:rPr>
            <w:webHidden/>
          </w:rPr>
          <w:tab/>
        </w:r>
        <w:r w:rsidR="00750305">
          <w:rPr>
            <w:webHidden/>
          </w:rPr>
          <w:fldChar w:fldCharType="begin"/>
        </w:r>
        <w:r w:rsidR="00750305">
          <w:rPr>
            <w:webHidden/>
          </w:rPr>
          <w:instrText xml:space="preserve"> PAGEREF _Toc100689273 \h </w:instrText>
        </w:r>
        <w:r w:rsidR="00750305">
          <w:rPr>
            <w:webHidden/>
          </w:rPr>
        </w:r>
        <w:r w:rsidR="00750305">
          <w:rPr>
            <w:webHidden/>
          </w:rPr>
          <w:fldChar w:fldCharType="separate"/>
        </w:r>
        <w:r>
          <w:rPr>
            <w:webHidden/>
          </w:rPr>
          <w:t>24</w:t>
        </w:r>
        <w:r w:rsidR="00750305">
          <w:rPr>
            <w:webHidden/>
          </w:rPr>
          <w:fldChar w:fldCharType="end"/>
        </w:r>
      </w:hyperlink>
    </w:p>
    <w:p w14:paraId="50397DDD" w14:textId="67568173" w:rsidR="00750305" w:rsidRDefault="009C6A47">
      <w:pPr>
        <w:pStyle w:val="TM2"/>
        <w:rPr>
          <w:rFonts w:asciiTheme="minorHAnsi" w:eastAsiaTheme="minorEastAsia" w:hAnsiTheme="minorHAnsi" w:cstheme="minorBidi"/>
          <w:bCs w:val="0"/>
          <w:sz w:val="22"/>
          <w:szCs w:val="22"/>
          <w:lang w:eastAsia="fr-FR"/>
        </w:rPr>
      </w:pPr>
      <w:hyperlink w:anchor="_Toc100689274" w:history="1">
        <w:r w:rsidR="00750305" w:rsidRPr="00F61B68">
          <w:rPr>
            <w:rStyle w:val="Lienhypertexte"/>
            <w:rFonts w:ascii="Calibri" w:hAnsi="Calibri"/>
          </w:rPr>
          <w:t>4.1</w:t>
        </w:r>
        <w:r w:rsidR="00750305">
          <w:rPr>
            <w:rFonts w:asciiTheme="minorHAnsi" w:eastAsiaTheme="minorEastAsia" w:hAnsiTheme="minorHAnsi" w:cstheme="minorBidi"/>
            <w:bCs w:val="0"/>
            <w:sz w:val="22"/>
            <w:szCs w:val="22"/>
            <w:lang w:eastAsia="fr-FR"/>
          </w:rPr>
          <w:tab/>
        </w:r>
        <w:r w:rsidR="00750305" w:rsidRPr="00F61B68">
          <w:rPr>
            <w:rStyle w:val="Lienhypertexte"/>
            <w:rFonts w:ascii="Calibri" w:hAnsi="Calibri"/>
          </w:rPr>
          <w:t>Information sectorielle</w:t>
        </w:r>
        <w:r w:rsidR="00750305">
          <w:rPr>
            <w:webHidden/>
          </w:rPr>
          <w:tab/>
        </w:r>
        <w:r w:rsidR="00750305">
          <w:rPr>
            <w:webHidden/>
          </w:rPr>
          <w:fldChar w:fldCharType="begin"/>
        </w:r>
        <w:r w:rsidR="00750305">
          <w:rPr>
            <w:webHidden/>
          </w:rPr>
          <w:instrText xml:space="preserve"> PAGEREF _Toc100689274 \h </w:instrText>
        </w:r>
        <w:r w:rsidR="00750305">
          <w:rPr>
            <w:webHidden/>
          </w:rPr>
        </w:r>
        <w:r w:rsidR="00750305">
          <w:rPr>
            <w:webHidden/>
          </w:rPr>
          <w:fldChar w:fldCharType="separate"/>
        </w:r>
        <w:r>
          <w:rPr>
            <w:webHidden/>
          </w:rPr>
          <w:t>24</w:t>
        </w:r>
        <w:r w:rsidR="00750305">
          <w:rPr>
            <w:webHidden/>
          </w:rPr>
          <w:fldChar w:fldCharType="end"/>
        </w:r>
      </w:hyperlink>
    </w:p>
    <w:p w14:paraId="489E762E" w14:textId="30D609D5" w:rsidR="00750305" w:rsidRDefault="009C6A47">
      <w:pPr>
        <w:pStyle w:val="TM2"/>
        <w:rPr>
          <w:rFonts w:asciiTheme="minorHAnsi" w:eastAsiaTheme="minorEastAsia" w:hAnsiTheme="minorHAnsi" w:cstheme="minorBidi"/>
          <w:bCs w:val="0"/>
          <w:sz w:val="22"/>
          <w:szCs w:val="22"/>
          <w:lang w:eastAsia="fr-FR"/>
        </w:rPr>
      </w:pPr>
      <w:hyperlink w:anchor="_Toc100689275" w:history="1">
        <w:r w:rsidR="00750305" w:rsidRPr="00F61B68">
          <w:rPr>
            <w:rStyle w:val="Lienhypertexte"/>
            <w:rFonts w:ascii="Calibri" w:hAnsi="Calibri"/>
          </w:rPr>
          <w:t>4.2</w:t>
        </w:r>
        <w:r w:rsidR="00750305">
          <w:rPr>
            <w:rFonts w:asciiTheme="minorHAnsi" w:eastAsiaTheme="minorEastAsia" w:hAnsiTheme="minorHAnsi" w:cstheme="minorBidi"/>
            <w:bCs w:val="0"/>
            <w:sz w:val="22"/>
            <w:szCs w:val="22"/>
            <w:lang w:eastAsia="fr-FR"/>
          </w:rPr>
          <w:tab/>
        </w:r>
        <w:r w:rsidR="00750305" w:rsidRPr="00F61B68">
          <w:rPr>
            <w:rStyle w:val="Lienhypertexte"/>
            <w:rFonts w:ascii="Calibri" w:hAnsi="Calibri"/>
          </w:rPr>
          <w:t>EBITDA ajusté</w:t>
        </w:r>
        <w:r w:rsidR="00750305">
          <w:rPr>
            <w:webHidden/>
          </w:rPr>
          <w:tab/>
        </w:r>
        <w:r w:rsidR="00750305">
          <w:rPr>
            <w:webHidden/>
          </w:rPr>
          <w:fldChar w:fldCharType="begin"/>
        </w:r>
        <w:r w:rsidR="00750305">
          <w:rPr>
            <w:webHidden/>
          </w:rPr>
          <w:instrText xml:space="preserve"> PAGEREF _Toc100689275 \h </w:instrText>
        </w:r>
        <w:r w:rsidR="00750305">
          <w:rPr>
            <w:webHidden/>
          </w:rPr>
        </w:r>
        <w:r w:rsidR="00750305">
          <w:rPr>
            <w:webHidden/>
          </w:rPr>
          <w:fldChar w:fldCharType="separate"/>
        </w:r>
        <w:r>
          <w:rPr>
            <w:webHidden/>
          </w:rPr>
          <w:t>26</w:t>
        </w:r>
        <w:r w:rsidR="00750305">
          <w:rPr>
            <w:webHidden/>
          </w:rPr>
          <w:fldChar w:fldCharType="end"/>
        </w:r>
      </w:hyperlink>
    </w:p>
    <w:p w14:paraId="022895F6" w14:textId="302F7BB6" w:rsidR="00750305" w:rsidRDefault="009C6A47">
      <w:pPr>
        <w:pStyle w:val="TM2"/>
        <w:rPr>
          <w:rFonts w:asciiTheme="minorHAnsi" w:eastAsiaTheme="minorEastAsia" w:hAnsiTheme="minorHAnsi" w:cstheme="minorBidi"/>
          <w:bCs w:val="0"/>
          <w:sz w:val="22"/>
          <w:szCs w:val="22"/>
          <w:lang w:eastAsia="fr-FR"/>
        </w:rPr>
      </w:pPr>
      <w:hyperlink w:anchor="_Toc100689276" w:history="1">
        <w:r w:rsidR="00750305" w:rsidRPr="00F61B68">
          <w:rPr>
            <w:rStyle w:val="Lienhypertexte"/>
            <w:rFonts w:ascii="Calibri" w:hAnsi="Calibri"/>
          </w:rPr>
          <w:t>4.3</w:t>
        </w:r>
        <w:r w:rsidR="00750305">
          <w:rPr>
            <w:rFonts w:asciiTheme="minorHAnsi" w:eastAsiaTheme="minorEastAsia" w:hAnsiTheme="minorHAnsi" w:cstheme="minorBidi"/>
            <w:bCs w:val="0"/>
            <w:sz w:val="22"/>
            <w:szCs w:val="22"/>
            <w:lang w:eastAsia="fr-FR"/>
          </w:rPr>
          <w:tab/>
        </w:r>
        <w:r w:rsidR="00750305" w:rsidRPr="00F61B68">
          <w:rPr>
            <w:rStyle w:val="Lienhypertexte"/>
            <w:rFonts w:ascii="Calibri" w:hAnsi="Calibri"/>
          </w:rPr>
          <w:t>Revenu</w:t>
        </w:r>
        <w:r w:rsidR="00750305">
          <w:rPr>
            <w:webHidden/>
          </w:rPr>
          <w:tab/>
        </w:r>
        <w:r w:rsidR="00750305">
          <w:rPr>
            <w:webHidden/>
          </w:rPr>
          <w:fldChar w:fldCharType="begin"/>
        </w:r>
        <w:r w:rsidR="00750305">
          <w:rPr>
            <w:webHidden/>
          </w:rPr>
          <w:instrText xml:space="preserve"> PAGEREF _Toc100689276 \h </w:instrText>
        </w:r>
        <w:r w:rsidR="00750305">
          <w:rPr>
            <w:webHidden/>
          </w:rPr>
        </w:r>
        <w:r w:rsidR="00750305">
          <w:rPr>
            <w:webHidden/>
          </w:rPr>
          <w:fldChar w:fldCharType="separate"/>
        </w:r>
        <w:r>
          <w:rPr>
            <w:webHidden/>
          </w:rPr>
          <w:t>26</w:t>
        </w:r>
        <w:r w:rsidR="00750305">
          <w:rPr>
            <w:webHidden/>
          </w:rPr>
          <w:fldChar w:fldCharType="end"/>
        </w:r>
      </w:hyperlink>
    </w:p>
    <w:p w14:paraId="6A0DAA46" w14:textId="135EB6BC" w:rsidR="00750305" w:rsidRDefault="009C6A47">
      <w:pPr>
        <w:pStyle w:val="TM2"/>
        <w:rPr>
          <w:rFonts w:asciiTheme="minorHAnsi" w:eastAsiaTheme="minorEastAsia" w:hAnsiTheme="minorHAnsi" w:cstheme="minorBidi"/>
          <w:bCs w:val="0"/>
          <w:sz w:val="22"/>
          <w:szCs w:val="22"/>
          <w:lang w:eastAsia="fr-FR"/>
        </w:rPr>
      </w:pPr>
      <w:hyperlink w:anchor="_Toc100689277" w:history="1">
        <w:r w:rsidR="00750305" w:rsidRPr="00F61B68">
          <w:rPr>
            <w:rStyle w:val="Lienhypertexte"/>
            <w:rFonts w:ascii="Calibri" w:hAnsi="Calibri"/>
          </w:rPr>
          <w:t>4.4</w:t>
        </w:r>
        <w:r w:rsidR="00750305">
          <w:rPr>
            <w:rFonts w:asciiTheme="minorHAnsi" w:eastAsiaTheme="minorEastAsia" w:hAnsiTheme="minorHAnsi" w:cstheme="minorBidi"/>
            <w:bCs w:val="0"/>
            <w:sz w:val="22"/>
            <w:szCs w:val="22"/>
            <w:lang w:eastAsia="fr-FR"/>
          </w:rPr>
          <w:tab/>
        </w:r>
        <w:r w:rsidR="00750305" w:rsidRPr="00F61B68">
          <w:rPr>
            <w:rStyle w:val="Lienhypertexte"/>
            <w:rFonts w:ascii="Calibri" w:hAnsi="Calibri"/>
          </w:rPr>
          <w:t>Charges de personnel</w:t>
        </w:r>
        <w:r w:rsidR="00750305">
          <w:rPr>
            <w:webHidden/>
          </w:rPr>
          <w:tab/>
        </w:r>
        <w:r w:rsidR="00750305">
          <w:rPr>
            <w:webHidden/>
          </w:rPr>
          <w:fldChar w:fldCharType="begin"/>
        </w:r>
        <w:r w:rsidR="00750305">
          <w:rPr>
            <w:webHidden/>
          </w:rPr>
          <w:instrText xml:space="preserve"> PAGEREF _Toc100689277 \h </w:instrText>
        </w:r>
        <w:r w:rsidR="00750305">
          <w:rPr>
            <w:webHidden/>
          </w:rPr>
        </w:r>
        <w:r w:rsidR="00750305">
          <w:rPr>
            <w:webHidden/>
          </w:rPr>
          <w:fldChar w:fldCharType="separate"/>
        </w:r>
        <w:r>
          <w:rPr>
            <w:webHidden/>
          </w:rPr>
          <w:t>27</w:t>
        </w:r>
        <w:r w:rsidR="00750305">
          <w:rPr>
            <w:webHidden/>
          </w:rPr>
          <w:fldChar w:fldCharType="end"/>
        </w:r>
      </w:hyperlink>
    </w:p>
    <w:p w14:paraId="294A2A35" w14:textId="75AA68AB" w:rsidR="00750305" w:rsidRDefault="009C6A47">
      <w:pPr>
        <w:pStyle w:val="TM2"/>
        <w:rPr>
          <w:rFonts w:asciiTheme="minorHAnsi" w:eastAsiaTheme="minorEastAsia" w:hAnsiTheme="minorHAnsi" w:cstheme="minorBidi"/>
          <w:bCs w:val="0"/>
          <w:sz w:val="22"/>
          <w:szCs w:val="22"/>
          <w:lang w:eastAsia="fr-FR"/>
        </w:rPr>
      </w:pPr>
      <w:hyperlink w:anchor="_Toc100689278" w:history="1">
        <w:r w:rsidR="00750305" w:rsidRPr="00F61B68">
          <w:rPr>
            <w:rStyle w:val="Lienhypertexte"/>
            <w:rFonts w:ascii="Calibri" w:hAnsi="Calibri"/>
          </w:rPr>
          <w:t>4.5</w:t>
        </w:r>
        <w:r w:rsidR="00750305">
          <w:rPr>
            <w:rFonts w:asciiTheme="minorHAnsi" w:eastAsiaTheme="minorEastAsia" w:hAnsiTheme="minorHAnsi" w:cstheme="minorBidi"/>
            <w:bCs w:val="0"/>
            <w:sz w:val="22"/>
            <w:szCs w:val="22"/>
            <w:lang w:eastAsia="fr-FR"/>
          </w:rPr>
          <w:tab/>
        </w:r>
        <w:r w:rsidR="00750305" w:rsidRPr="00F61B68">
          <w:rPr>
            <w:rStyle w:val="Lienhypertexte"/>
            <w:rFonts w:ascii="Calibri" w:hAnsi="Calibri"/>
          </w:rPr>
          <w:t>Charges opérationnelles</w:t>
        </w:r>
        <w:r w:rsidR="00750305">
          <w:rPr>
            <w:webHidden/>
          </w:rPr>
          <w:tab/>
        </w:r>
        <w:r w:rsidR="00750305">
          <w:rPr>
            <w:webHidden/>
          </w:rPr>
          <w:fldChar w:fldCharType="begin"/>
        </w:r>
        <w:r w:rsidR="00750305">
          <w:rPr>
            <w:webHidden/>
          </w:rPr>
          <w:instrText xml:space="preserve"> PAGEREF _Toc100689278 \h </w:instrText>
        </w:r>
        <w:r w:rsidR="00750305">
          <w:rPr>
            <w:webHidden/>
          </w:rPr>
        </w:r>
        <w:r w:rsidR="00750305">
          <w:rPr>
            <w:webHidden/>
          </w:rPr>
          <w:fldChar w:fldCharType="separate"/>
        </w:r>
        <w:r>
          <w:rPr>
            <w:webHidden/>
          </w:rPr>
          <w:t>27</w:t>
        </w:r>
        <w:r w:rsidR="00750305">
          <w:rPr>
            <w:webHidden/>
          </w:rPr>
          <w:fldChar w:fldCharType="end"/>
        </w:r>
      </w:hyperlink>
    </w:p>
    <w:p w14:paraId="1D41F784" w14:textId="7BC5DD4B" w:rsidR="00750305" w:rsidRDefault="009C6A47">
      <w:pPr>
        <w:pStyle w:val="TM2"/>
        <w:rPr>
          <w:rFonts w:asciiTheme="minorHAnsi" w:eastAsiaTheme="minorEastAsia" w:hAnsiTheme="minorHAnsi" w:cstheme="minorBidi"/>
          <w:bCs w:val="0"/>
          <w:sz w:val="22"/>
          <w:szCs w:val="22"/>
          <w:lang w:eastAsia="fr-FR"/>
        </w:rPr>
      </w:pPr>
      <w:hyperlink w:anchor="_Toc100689279" w:history="1">
        <w:r w:rsidR="00750305" w:rsidRPr="00F61B68">
          <w:rPr>
            <w:rStyle w:val="Lienhypertexte"/>
            <w:rFonts w:ascii="Calibri" w:hAnsi="Calibri"/>
          </w:rPr>
          <w:t>4.6</w:t>
        </w:r>
        <w:r w:rsidR="00750305">
          <w:rPr>
            <w:rFonts w:asciiTheme="minorHAnsi" w:eastAsiaTheme="minorEastAsia" w:hAnsiTheme="minorHAnsi" w:cstheme="minorBidi"/>
            <w:bCs w:val="0"/>
            <w:sz w:val="22"/>
            <w:szCs w:val="22"/>
            <w:lang w:eastAsia="fr-FR"/>
          </w:rPr>
          <w:tab/>
        </w:r>
        <w:r w:rsidR="00750305" w:rsidRPr="00F61B68">
          <w:rPr>
            <w:rStyle w:val="Lienhypertexte"/>
            <w:rFonts w:ascii="Calibri" w:hAnsi="Calibri"/>
          </w:rPr>
          <w:t>Dotations aux amortissements et dépréciations</w:t>
        </w:r>
        <w:r w:rsidR="00750305">
          <w:rPr>
            <w:webHidden/>
          </w:rPr>
          <w:tab/>
        </w:r>
        <w:r w:rsidR="00750305">
          <w:rPr>
            <w:webHidden/>
          </w:rPr>
          <w:fldChar w:fldCharType="begin"/>
        </w:r>
        <w:r w:rsidR="00750305">
          <w:rPr>
            <w:webHidden/>
          </w:rPr>
          <w:instrText xml:space="preserve"> PAGEREF _Toc100689279 \h </w:instrText>
        </w:r>
        <w:r w:rsidR="00750305">
          <w:rPr>
            <w:webHidden/>
          </w:rPr>
        </w:r>
        <w:r w:rsidR="00750305">
          <w:rPr>
            <w:webHidden/>
          </w:rPr>
          <w:fldChar w:fldCharType="separate"/>
        </w:r>
        <w:r>
          <w:rPr>
            <w:webHidden/>
          </w:rPr>
          <w:t>28</w:t>
        </w:r>
        <w:r w:rsidR="00750305">
          <w:rPr>
            <w:webHidden/>
          </w:rPr>
          <w:fldChar w:fldCharType="end"/>
        </w:r>
      </w:hyperlink>
    </w:p>
    <w:p w14:paraId="06C148A4" w14:textId="331E88B3" w:rsidR="00750305" w:rsidRDefault="009C6A47">
      <w:pPr>
        <w:pStyle w:val="TM2"/>
        <w:rPr>
          <w:rFonts w:asciiTheme="minorHAnsi" w:eastAsiaTheme="minorEastAsia" w:hAnsiTheme="minorHAnsi" w:cstheme="minorBidi"/>
          <w:bCs w:val="0"/>
          <w:sz w:val="22"/>
          <w:szCs w:val="22"/>
          <w:lang w:eastAsia="fr-FR"/>
        </w:rPr>
      </w:pPr>
      <w:hyperlink w:anchor="_Toc100689280" w:history="1">
        <w:r w:rsidR="00750305" w:rsidRPr="00F61B68">
          <w:rPr>
            <w:rStyle w:val="Lienhypertexte"/>
            <w:rFonts w:ascii="Calibri" w:hAnsi="Calibri"/>
          </w:rPr>
          <w:t>4.7</w:t>
        </w:r>
        <w:r w:rsidR="00750305">
          <w:rPr>
            <w:rFonts w:asciiTheme="minorHAnsi" w:eastAsiaTheme="minorEastAsia" w:hAnsiTheme="minorHAnsi" w:cstheme="minorBidi"/>
            <w:bCs w:val="0"/>
            <w:sz w:val="22"/>
            <w:szCs w:val="22"/>
            <w:lang w:eastAsia="fr-FR"/>
          </w:rPr>
          <w:tab/>
        </w:r>
        <w:r w:rsidR="00750305" w:rsidRPr="00F61B68">
          <w:rPr>
            <w:rStyle w:val="Lienhypertexte"/>
            <w:rFonts w:ascii="Calibri" w:hAnsi="Calibri"/>
          </w:rPr>
          <w:t>Autres produits et charges opérationnels non courants</w:t>
        </w:r>
        <w:r w:rsidR="00750305">
          <w:rPr>
            <w:webHidden/>
          </w:rPr>
          <w:tab/>
        </w:r>
        <w:r w:rsidR="00750305">
          <w:rPr>
            <w:webHidden/>
          </w:rPr>
          <w:fldChar w:fldCharType="begin"/>
        </w:r>
        <w:r w:rsidR="00750305">
          <w:rPr>
            <w:webHidden/>
          </w:rPr>
          <w:instrText xml:space="preserve"> PAGEREF _Toc100689280 \h </w:instrText>
        </w:r>
        <w:r w:rsidR="00750305">
          <w:rPr>
            <w:webHidden/>
          </w:rPr>
        </w:r>
        <w:r w:rsidR="00750305">
          <w:rPr>
            <w:webHidden/>
          </w:rPr>
          <w:fldChar w:fldCharType="separate"/>
        </w:r>
        <w:r>
          <w:rPr>
            <w:webHidden/>
          </w:rPr>
          <w:t>28</w:t>
        </w:r>
        <w:r w:rsidR="00750305">
          <w:rPr>
            <w:webHidden/>
          </w:rPr>
          <w:fldChar w:fldCharType="end"/>
        </w:r>
      </w:hyperlink>
    </w:p>
    <w:p w14:paraId="400C6C35" w14:textId="7E22011D" w:rsidR="00750305" w:rsidRDefault="009C6A47">
      <w:pPr>
        <w:pStyle w:val="TM2"/>
        <w:rPr>
          <w:rFonts w:asciiTheme="minorHAnsi" w:eastAsiaTheme="minorEastAsia" w:hAnsiTheme="minorHAnsi" w:cstheme="minorBidi"/>
          <w:bCs w:val="0"/>
          <w:sz w:val="22"/>
          <w:szCs w:val="22"/>
          <w:lang w:eastAsia="fr-FR"/>
        </w:rPr>
      </w:pPr>
      <w:hyperlink w:anchor="_Toc100689281" w:history="1">
        <w:r w:rsidR="00750305" w:rsidRPr="00F61B68">
          <w:rPr>
            <w:rStyle w:val="Lienhypertexte"/>
            <w:rFonts w:ascii="Calibri" w:hAnsi="Calibri"/>
          </w:rPr>
          <w:t>4.8</w:t>
        </w:r>
        <w:r w:rsidR="00750305">
          <w:rPr>
            <w:rFonts w:asciiTheme="minorHAnsi" w:eastAsiaTheme="minorEastAsia" w:hAnsiTheme="minorHAnsi" w:cstheme="minorBidi"/>
            <w:bCs w:val="0"/>
            <w:sz w:val="22"/>
            <w:szCs w:val="22"/>
            <w:lang w:eastAsia="fr-FR"/>
          </w:rPr>
          <w:tab/>
        </w:r>
        <w:r w:rsidR="00750305" w:rsidRPr="00F61B68">
          <w:rPr>
            <w:rStyle w:val="Lienhypertexte"/>
            <w:rFonts w:ascii="Calibri" w:hAnsi="Calibri"/>
          </w:rPr>
          <w:t>Résultat financier</w:t>
        </w:r>
        <w:r w:rsidR="00750305">
          <w:rPr>
            <w:webHidden/>
          </w:rPr>
          <w:tab/>
        </w:r>
        <w:r w:rsidR="00750305">
          <w:rPr>
            <w:webHidden/>
          </w:rPr>
          <w:fldChar w:fldCharType="begin"/>
        </w:r>
        <w:r w:rsidR="00750305">
          <w:rPr>
            <w:webHidden/>
          </w:rPr>
          <w:instrText xml:space="preserve"> PAGEREF _Toc100689281 \h </w:instrText>
        </w:r>
        <w:r w:rsidR="00750305">
          <w:rPr>
            <w:webHidden/>
          </w:rPr>
        </w:r>
        <w:r w:rsidR="00750305">
          <w:rPr>
            <w:webHidden/>
          </w:rPr>
          <w:fldChar w:fldCharType="separate"/>
        </w:r>
        <w:r>
          <w:rPr>
            <w:webHidden/>
          </w:rPr>
          <w:t>29</w:t>
        </w:r>
        <w:r w:rsidR="00750305">
          <w:rPr>
            <w:webHidden/>
          </w:rPr>
          <w:fldChar w:fldCharType="end"/>
        </w:r>
      </w:hyperlink>
    </w:p>
    <w:p w14:paraId="37A002AC" w14:textId="6732172E" w:rsidR="00750305" w:rsidRDefault="009C6A47">
      <w:pPr>
        <w:pStyle w:val="TM2"/>
        <w:rPr>
          <w:rFonts w:asciiTheme="minorHAnsi" w:eastAsiaTheme="minorEastAsia" w:hAnsiTheme="minorHAnsi" w:cstheme="minorBidi"/>
          <w:bCs w:val="0"/>
          <w:sz w:val="22"/>
          <w:szCs w:val="22"/>
          <w:lang w:eastAsia="fr-FR"/>
        </w:rPr>
      </w:pPr>
      <w:hyperlink w:anchor="_Toc100689282" w:history="1">
        <w:r w:rsidR="00750305" w:rsidRPr="00F61B68">
          <w:rPr>
            <w:rStyle w:val="Lienhypertexte"/>
            <w:rFonts w:ascii="Calibri" w:hAnsi="Calibri"/>
          </w:rPr>
          <w:t>4.9</w:t>
        </w:r>
        <w:r w:rsidR="00750305">
          <w:rPr>
            <w:rFonts w:asciiTheme="minorHAnsi" w:eastAsiaTheme="minorEastAsia" w:hAnsiTheme="minorHAnsi" w:cstheme="minorBidi"/>
            <w:bCs w:val="0"/>
            <w:sz w:val="22"/>
            <w:szCs w:val="22"/>
            <w:lang w:eastAsia="fr-FR"/>
          </w:rPr>
          <w:tab/>
        </w:r>
        <w:r w:rsidR="00750305" w:rsidRPr="00F61B68">
          <w:rPr>
            <w:rStyle w:val="Lienhypertexte"/>
            <w:rFonts w:ascii="Calibri" w:hAnsi="Calibri"/>
          </w:rPr>
          <w:t>Impôt sur le résultat</w:t>
        </w:r>
        <w:r w:rsidR="00750305">
          <w:rPr>
            <w:webHidden/>
          </w:rPr>
          <w:tab/>
        </w:r>
        <w:r w:rsidR="00750305">
          <w:rPr>
            <w:webHidden/>
          </w:rPr>
          <w:fldChar w:fldCharType="begin"/>
        </w:r>
        <w:r w:rsidR="00750305">
          <w:rPr>
            <w:webHidden/>
          </w:rPr>
          <w:instrText xml:space="preserve"> PAGEREF _Toc100689282 \h </w:instrText>
        </w:r>
        <w:r w:rsidR="00750305">
          <w:rPr>
            <w:webHidden/>
          </w:rPr>
        </w:r>
        <w:r w:rsidR="00750305">
          <w:rPr>
            <w:webHidden/>
          </w:rPr>
          <w:fldChar w:fldCharType="separate"/>
        </w:r>
        <w:r>
          <w:rPr>
            <w:webHidden/>
          </w:rPr>
          <w:t>30</w:t>
        </w:r>
        <w:r w:rsidR="00750305">
          <w:rPr>
            <w:webHidden/>
          </w:rPr>
          <w:fldChar w:fldCharType="end"/>
        </w:r>
      </w:hyperlink>
    </w:p>
    <w:p w14:paraId="10935D06" w14:textId="0BDC305C" w:rsidR="00750305" w:rsidRDefault="009C6A47">
      <w:pPr>
        <w:pStyle w:val="TM2"/>
        <w:rPr>
          <w:rFonts w:asciiTheme="minorHAnsi" w:eastAsiaTheme="minorEastAsia" w:hAnsiTheme="minorHAnsi" w:cstheme="minorBidi"/>
          <w:bCs w:val="0"/>
          <w:sz w:val="22"/>
          <w:szCs w:val="22"/>
          <w:lang w:eastAsia="fr-FR"/>
        </w:rPr>
      </w:pPr>
      <w:hyperlink w:anchor="_Toc100689283" w:history="1">
        <w:r w:rsidR="00750305" w:rsidRPr="00F61B68">
          <w:rPr>
            <w:rStyle w:val="Lienhypertexte"/>
            <w:rFonts w:ascii="Calibri" w:hAnsi="Calibri"/>
          </w:rPr>
          <w:t>4.10</w:t>
        </w:r>
        <w:r w:rsidR="00750305">
          <w:rPr>
            <w:rFonts w:asciiTheme="minorHAnsi" w:eastAsiaTheme="minorEastAsia" w:hAnsiTheme="minorHAnsi" w:cstheme="minorBidi"/>
            <w:bCs w:val="0"/>
            <w:sz w:val="22"/>
            <w:szCs w:val="22"/>
            <w:lang w:eastAsia="fr-FR"/>
          </w:rPr>
          <w:tab/>
        </w:r>
        <w:r w:rsidR="00750305" w:rsidRPr="00F61B68">
          <w:rPr>
            <w:rStyle w:val="Lienhypertexte"/>
            <w:rFonts w:ascii="Calibri" w:hAnsi="Calibri"/>
          </w:rPr>
          <w:t>Immobilisations incorporelles</w:t>
        </w:r>
        <w:r w:rsidR="00750305">
          <w:rPr>
            <w:webHidden/>
          </w:rPr>
          <w:tab/>
        </w:r>
        <w:r w:rsidR="00750305">
          <w:rPr>
            <w:webHidden/>
          </w:rPr>
          <w:fldChar w:fldCharType="begin"/>
        </w:r>
        <w:r w:rsidR="00750305">
          <w:rPr>
            <w:webHidden/>
          </w:rPr>
          <w:instrText xml:space="preserve"> PAGEREF _Toc100689283 \h </w:instrText>
        </w:r>
        <w:r w:rsidR="00750305">
          <w:rPr>
            <w:webHidden/>
          </w:rPr>
        </w:r>
        <w:r w:rsidR="00750305">
          <w:rPr>
            <w:webHidden/>
          </w:rPr>
          <w:fldChar w:fldCharType="separate"/>
        </w:r>
        <w:r>
          <w:rPr>
            <w:webHidden/>
          </w:rPr>
          <w:t>30</w:t>
        </w:r>
        <w:r w:rsidR="00750305">
          <w:rPr>
            <w:webHidden/>
          </w:rPr>
          <w:fldChar w:fldCharType="end"/>
        </w:r>
      </w:hyperlink>
    </w:p>
    <w:p w14:paraId="00646F2C" w14:textId="140BE843" w:rsidR="00750305" w:rsidRDefault="009C6A47">
      <w:pPr>
        <w:pStyle w:val="TM2"/>
        <w:rPr>
          <w:rFonts w:asciiTheme="minorHAnsi" w:eastAsiaTheme="minorEastAsia" w:hAnsiTheme="minorHAnsi" w:cstheme="minorBidi"/>
          <w:bCs w:val="0"/>
          <w:sz w:val="22"/>
          <w:szCs w:val="22"/>
          <w:lang w:eastAsia="fr-FR"/>
        </w:rPr>
      </w:pPr>
      <w:hyperlink w:anchor="_Toc100689284" w:history="1">
        <w:r w:rsidR="00750305" w:rsidRPr="00F61B68">
          <w:rPr>
            <w:rStyle w:val="Lienhypertexte"/>
            <w:rFonts w:ascii="Calibri" w:hAnsi="Calibri"/>
          </w:rPr>
          <w:t>4.11</w:t>
        </w:r>
        <w:r w:rsidR="00750305">
          <w:rPr>
            <w:rFonts w:asciiTheme="minorHAnsi" w:eastAsiaTheme="minorEastAsia" w:hAnsiTheme="minorHAnsi" w:cstheme="minorBidi"/>
            <w:bCs w:val="0"/>
            <w:sz w:val="22"/>
            <w:szCs w:val="22"/>
            <w:lang w:eastAsia="fr-FR"/>
          </w:rPr>
          <w:tab/>
        </w:r>
        <w:r w:rsidR="00750305" w:rsidRPr="00F61B68">
          <w:rPr>
            <w:rStyle w:val="Lienhypertexte"/>
            <w:rFonts w:ascii="Calibri" w:hAnsi="Calibri"/>
          </w:rPr>
          <w:t>Immobilisations corporelles</w:t>
        </w:r>
        <w:r w:rsidR="00750305">
          <w:rPr>
            <w:webHidden/>
          </w:rPr>
          <w:tab/>
        </w:r>
        <w:r w:rsidR="00750305">
          <w:rPr>
            <w:webHidden/>
          </w:rPr>
          <w:fldChar w:fldCharType="begin"/>
        </w:r>
        <w:r w:rsidR="00750305">
          <w:rPr>
            <w:webHidden/>
          </w:rPr>
          <w:instrText xml:space="preserve"> PAGEREF _Toc100689284 \h </w:instrText>
        </w:r>
        <w:r w:rsidR="00750305">
          <w:rPr>
            <w:webHidden/>
          </w:rPr>
        </w:r>
        <w:r w:rsidR="00750305">
          <w:rPr>
            <w:webHidden/>
          </w:rPr>
          <w:fldChar w:fldCharType="separate"/>
        </w:r>
        <w:r>
          <w:rPr>
            <w:webHidden/>
          </w:rPr>
          <w:t>32</w:t>
        </w:r>
        <w:r w:rsidR="00750305">
          <w:rPr>
            <w:webHidden/>
          </w:rPr>
          <w:fldChar w:fldCharType="end"/>
        </w:r>
      </w:hyperlink>
    </w:p>
    <w:p w14:paraId="2809A31C" w14:textId="71B0B982" w:rsidR="00750305" w:rsidRDefault="009C6A47">
      <w:pPr>
        <w:pStyle w:val="TM2"/>
        <w:rPr>
          <w:rFonts w:asciiTheme="minorHAnsi" w:eastAsiaTheme="minorEastAsia" w:hAnsiTheme="minorHAnsi" w:cstheme="minorBidi"/>
          <w:bCs w:val="0"/>
          <w:sz w:val="22"/>
          <w:szCs w:val="22"/>
          <w:lang w:eastAsia="fr-FR"/>
        </w:rPr>
      </w:pPr>
      <w:hyperlink w:anchor="_Toc100689285" w:history="1">
        <w:r w:rsidR="00750305" w:rsidRPr="00F61B68">
          <w:rPr>
            <w:rStyle w:val="Lienhypertexte"/>
            <w:rFonts w:ascii="Calibri" w:hAnsi="Calibri"/>
          </w:rPr>
          <w:t>4.12</w:t>
        </w:r>
        <w:r w:rsidR="00750305">
          <w:rPr>
            <w:rFonts w:asciiTheme="minorHAnsi" w:eastAsiaTheme="minorEastAsia" w:hAnsiTheme="minorHAnsi" w:cstheme="minorBidi"/>
            <w:bCs w:val="0"/>
            <w:sz w:val="22"/>
            <w:szCs w:val="22"/>
            <w:lang w:eastAsia="fr-FR"/>
          </w:rPr>
          <w:tab/>
        </w:r>
        <w:r w:rsidR="00750305" w:rsidRPr="00F61B68">
          <w:rPr>
            <w:rStyle w:val="Lienhypertexte"/>
            <w:rFonts w:ascii="Calibri" w:hAnsi="Calibri"/>
          </w:rPr>
          <w:t>Tests de dépréciation des Goodwill et immobilisations corporelles et incorporelles</w:t>
        </w:r>
        <w:r w:rsidR="00750305">
          <w:rPr>
            <w:webHidden/>
          </w:rPr>
          <w:tab/>
        </w:r>
        <w:r w:rsidR="00750305">
          <w:rPr>
            <w:webHidden/>
          </w:rPr>
          <w:fldChar w:fldCharType="begin"/>
        </w:r>
        <w:r w:rsidR="00750305">
          <w:rPr>
            <w:webHidden/>
          </w:rPr>
          <w:instrText xml:space="preserve"> PAGEREF _Toc100689285 \h </w:instrText>
        </w:r>
        <w:r w:rsidR="00750305">
          <w:rPr>
            <w:webHidden/>
          </w:rPr>
        </w:r>
        <w:r w:rsidR="00750305">
          <w:rPr>
            <w:webHidden/>
          </w:rPr>
          <w:fldChar w:fldCharType="separate"/>
        </w:r>
        <w:r>
          <w:rPr>
            <w:webHidden/>
          </w:rPr>
          <w:t>33</w:t>
        </w:r>
        <w:r w:rsidR="00750305">
          <w:rPr>
            <w:webHidden/>
          </w:rPr>
          <w:fldChar w:fldCharType="end"/>
        </w:r>
      </w:hyperlink>
    </w:p>
    <w:p w14:paraId="14C31E86" w14:textId="0BE9B90E" w:rsidR="00750305" w:rsidRDefault="009C6A47">
      <w:pPr>
        <w:pStyle w:val="TM2"/>
        <w:rPr>
          <w:rFonts w:asciiTheme="minorHAnsi" w:eastAsiaTheme="minorEastAsia" w:hAnsiTheme="minorHAnsi" w:cstheme="minorBidi"/>
          <w:bCs w:val="0"/>
          <w:sz w:val="22"/>
          <w:szCs w:val="22"/>
          <w:lang w:eastAsia="fr-FR"/>
        </w:rPr>
      </w:pPr>
      <w:hyperlink w:anchor="_Toc100689286" w:history="1">
        <w:r w:rsidR="00750305" w:rsidRPr="00F61B68">
          <w:rPr>
            <w:rStyle w:val="Lienhypertexte"/>
            <w:rFonts w:ascii="Calibri" w:hAnsi="Calibri"/>
          </w:rPr>
          <w:t>4.13</w:t>
        </w:r>
        <w:r w:rsidR="00750305">
          <w:rPr>
            <w:rFonts w:asciiTheme="minorHAnsi" w:eastAsiaTheme="minorEastAsia" w:hAnsiTheme="minorHAnsi" w:cstheme="minorBidi"/>
            <w:bCs w:val="0"/>
            <w:sz w:val="22"/>
            <w:szCs w:val="22"/>
            <w:lang w:eastAsia="fr-FR"/>
          </w:rPr>
          <w:tab/>
        </w:r>
        <w:r w:rsidR="00750305" w:rsidRPr="00F61B68">
          <w:rPr>
            <w:rStyle w:val="Lienhypertexte"/>
            <w:rFonts w:ascii="Calibri" w:hAnsi="Calibri"/>
          </w:rPr>
          <w:t>Clients</w:t>
        </w:r>
        <w:r w:rsidR="00750305">
          <w:rPr>
            <w:webHidden/>
          </w:rPr>
          <w:tab/>
        </w:r>
        <w:r w:rsidR="00750305">
          <w:rPr>
            <w:webHidden/>
          </w:rPr>
          <w:fldChar w:fldCharType="begin"/>
        </w:r>
        <w:r w:rsidR="00750305">
          <w:rPr>
            <w:webHidden/>
          </w:rPr>
          <w:instrText xml:space="preserve"> PAGEREF _Toc100689286 \h </w:instrText>
        </w:r>
        <w:r w:rsidR="00750305">
          <w:rPr>
            <w:webHidden/>
          </w:rPr>
        </w:r>
        <w:r w:rsidR="00750305">
          <w:rPr>
            <w:webHidden/>
          </w:rPr>
          <w:fldChar w:fldCharType="separate"/>
        </w:r>
        <w:r>
          <w:rPr>
            <w:webHidden/>
          </w:rPr>
          <w:t>33</w:t>
        </w:r>
        <w:r w:rsidR="00750305">
          <w:rPr>
            <w:webHidden/>
          </w:rPr>
          <w:fldChar w:fldCharType="end"/>
        </w:r>
      </w:hyperlink>
    </w:p>
    <w:p w14:paraId="1C76C922" w14:textId="129F4EF1" w:rsidR="00750305" w:rsidRDefault="009C6A47">
      <w:pPr>
        <w:pStyle w:val="TM2"/>
        <w:rPr>
          <w:rFonts w:asciiTheme="minorHAnsi" w:eastAsiaTheme="minorEastAsia" w:hAnsiTheme="minorHAnsi" w:cstheme="minorBidi"/>
          <w:bCs w:val="0"/>
          <w:sz w:val="22"/>
          <w:szCs w:val="22"/>
          <w:lang w:eastAsia="fr-FR"/>
        </w:rPr>
      </w:pPr>
      <w:hyperlink w:anchor="_Toc100689287" w:history="1">
        <w:r w:rsidR="00750305" w:rsidRPr="00F61B68">
          <w:rPr>
            <w:rStyle w:val="Lienhypertexte"/>
            <w:rFonts w:ascii="Calibri" w:hAnsi="Calibri"/>
          </w:rPr>
          <w:t>4.14</w:t>
        </w:r>
        <w:r w:rsidR="00750305">
          <w:rPr>
            <w:rFonts w:asciiTheme="minorHAnsi" w:eastAsiaTheme="minorEastAsia" w:hAnsiTheme="minorHAnsi" w:cstheme="minorBidi"/>
            <w:bCs w:val="0"/>
            <w:sz w:val="22"/>
            <w:szCs w:val="22"/>
            <w:lang w:eastAsia="fr-FR"/>
          </w:rPr>
          <w:tab/>
        </w:r>
        <w:r w:rsidR="00750305" w:rsidRPr="00F61B68">
          <w:rPr>
            <w:rStyle w:val="Lienhypertexte"/>
            <w:rFonts w:ascii="Calibri" w:hAnsi="Calibri"/>
          </w:rPr>
          <w:t>Autres créances et actifs courants</w:t>
        </w:r>
        <w:r w:rsidR="00750305">
          <w:rPr>
            <w:webHidden/>
          </w:rPr>
          <w:tab/>
        </w:r>
        <w:r w:rsidR="00750305">
          <w:rPr>
            <w:webHidden/>
          </w:rPr>
          <w:fldChar w:fldCharType="begin"/>
        </w:r>
        <w:r w:rsidR="00750305">
          <w:rPr>
            <w:webHidden/>
          </w:rPr>
          <w:instrText xml:space="preserve"> PAGEREF _Toc100689287 \h </w:instrText>
        </w:r>
        <w:r w:rsidR="00750305">
          <w:rPr>
            <w:webHidden/>
          </w:rPr>
        </w:r>
        <w:r w:rsidR="00750305">
          <w:rPr>
            <w:webHidden/>
          </w:rPr>
          <w:fldChar w:fldCharType="separate"/>
        </w:r>
        <w:r>
          <w:rPr>
            <w:webHidden/>
          </w:rPr>
          <w:t>33</w:t>
        </w:r>
        <w:r w:rsidR="00750305">
          <w:rPr>
            <w:webHidden/>
          </w:rPr>
          <w:fldChar w:fldCharType="end"/>
        </w:r>
      </w:hyperlink>
    </w:p>
    <w:p w14:paraId="140ED7A6" w14:textId="2A6B52D8" w:rsidR="00750305" w:rsidRDefault="009C6A47">
      <w:pPr>
        <w:pStyle w:val="TM2"/>
        <w:rPr>
          <w:rFonts w:asciiTheme="minorHAnsi" w:eastAsiaTheme="minorEastAsia" w:hAnsiTheme="minorHAnsi" w:cstheme="minorBidi"/>
          <w:bCs w:val="0"/>
          <w:sz w:val="22"/>
          <w:szCs w:val="22"/>
          <w:lang w:eastAsia="fr-FR"/>
        </w:rPr>
      </w:pPr>
      <w:hyperlink w:anchor="_Toc100689288" w:history="1">
        <w:r w:rsidR="00750305" w:rsidRPr="00F61B68">
          <w:rPr>
            <w:rStyle w:val="Lienhypertexte"/>
            <w:rFonts w:ascii="Calibri" w:hAnsi="Calibri"/>
          </w:rPr>
          <w:t>4.15</w:t>
        </w:r>
        <w:r w:rsidR="00750305">
          <w:rPr>
            <w:rFonts w:asciiTheme="minorHAnsi" w:eastAsiaTheme="minorEastAsia" w:hAnsiTheme="minorHAnsi" w:cstheme="minorBidi"/>
            <w:bCs w:val="0"/>
            <w:sz w:val="22"/>
            <w:szCs w:val="22"/>
            <w:lang w:eastAsia="fr-FR"/>
          </w:rPr>
          <w:tab/>
        </w:r>
        <w:r w:rsidR="00750305" w:rsidRPr="00F61B68">
          <w:rPr>
            <w:rStyle w:val="Lienhypertexte"/>
            <w:rFonts w:ascii="Calibri" w:hAnsi="Calibri"/>
          </w:rPr>
          <w:t>Capital</w:t>
        </w:r>
        <w:r w:rsidR="00750305">
          <w:rPr>
            <w:webHidden/>
          </w:rPr>
          <w:tab/>
        </w:r>
        <w:r w:rsidR="00750305">
          <w:rPr>
            <w:webHidden/>
          </w:rPr>
          <w:fldChar w:fldCharType="begin"/>
        </w:r>
        <w:r w:rsidR="00750305">
          <w:rPr>
            <w:webHidden/>
          </w:rPr>
          <w:instrText xml:space="preserve"> PAGEREF _Toc100689288 \h </w:instrText>
        </w:r>
        <w:r w:rsidR="00750305">
          <w:rPr>
            <w:webHidden/>
          </w:rPr>
        </w:r>
        <w:r w:rsidR="00750305">
          <w:rPr>
            <w:webHidden/>
          </w:rPr>
          <w:fldChar w:fldCharType="separate"/>
        </w:r>
        <w:r>
          <w:rPr>
            <w:webHidden/>
          </w:rPr>
          <w:t>33</w:t>
        </w:r>
        <w:r w:rsidR="00750305">
          <w:rPr>
            <w:webHidden/>
          </w:rPr>
          <w:fldChar w:fldCharType="end"/>
        </w:r>
      </w:hyperlink>
    </w:p>
    <w:p w14:paraId="1873BAEC" w14:textId="6536A9D0" w:rsidR="00750305" w:rsidRDefault="009C6A47">
      <w:pPr>
        <w:pStyle w:val="TM2"/>
        <w:rPr>
          <w:rFonts w:asciiTheme="minorHAnsi" w:eastAsiaTheme="minorEastAsia" w:hAnsiTheme="minorHAnsi" w:cstheme="minorBidi"/>
          <w:bCs w:val="0"/>
          <w:sz w:val="22"/>
          <w:szCs w:val="22"/>
          <w:lang w:eastAsia="fr-FR"/>
        </w:rPr>
      </w:pPr>
      <w:hyperlink w:anchor="_Toc100689289" w:history="1">
        <w:r w:rsidR="00750305" w:rsidRPr="00F61B68">
          <w:rPr>
            <w:rStyle w:val="Lienhypertexte"/>
            <w:rFonts w:ascii="Calibri" w:hAnsi="Calibri"/>
          </w:rPr>
          <w:t>4.16</w:t>
        </w:r>
        <w:r w:rsidR="00750305">
          <w:rPr>
            <w:rFonts w:asciiTheme="minorHAnsi" w:eastAsiaTheme="minorEastAsia" w:hAnsiTheme="minorHAnsi" w:cstheme="minorBidi"/>
            <w:bCs w:val="0"/>
            <w:sz w:val="22"/>
            <w:szCs w:val="22"/>
            <w:lang w:eastAsia="fr-FR"/>
          </w:rPr>
          <w:tab/>
        </w:r>
        <w:r w:rsidR="00750305" w:rsidRPr="00F61B68">
          <w:rPr>
            <w:rStyle w:val="Lienhypertexte"/>
            <w:rFonts w:ascii="Calibri" w:hAnsi="Calibri"/>
          </w:rPr>
          <w:t>Endettement net</w:t>
        </w:r>
        <w:r w:rsidR="00750305">
          <w:rPr>
            <w:webHidden/>
          </w:rPr>
          <w:tab/>
        </w:r>
        <w:r w:rsidR="00750305">
          <w:rPr>
            <w:webHidden/>
          </w:rPr>
          <w:fldChar w:fldCharType="begin"/>
        </w:r>
        <w:r w:rsidR="00750305">
          <w:rPr>
            <w:webHidden/>
          </w:rPr>
          <w:instrText xml:space="preserve"> PAGEREF _Toc100689289 \h </w:instrText>
        </w:r>
        <w:r w:rsidR="00750305">
          <w:rPr>
            <w:webHidden/>
          </w:rPr>
        </w:r>
        <w:r w:rsidR="00750305">
          <w:rPr>
            <w:webHidden/>
          </w:rPr>
          <w:fldChar w:fldCharType="separate"/>
        </w:r>
        <w:r>
          <w:rPr>
            <w:webHidden/>
          </w:rPr>
          <w:t>35</w:t>
        </w:r>
        <w:r w:rsidR="00750305">
          <w:rPr>
            <w:webHidden/>
          </w:rPr>
          <w:fldChar w:fldCharType="end"/>
        </w:r>
      </w:hyperlink>
    </w:p>
    <w:p w14:paraId="2AD6AB61" w14:textId="70DD512B" w:rsidR="00750305" w:rsidRDefault="009C6A47">
      <w:pPr>
        <w:pStyle w:val="TM2"/>
        <w:rPr>
          <w:rFonts w:asciiTheme="minorHAnsi" w:eastAsiaTheme="minorEastAsia" w:hAnsiTheme="minorHAnsi" w:cstheme="minorBidi"/>
          <w:bCs w:val="0"/>
          <w:sz w:val="22"/>
          <w:szCs w:val="22"/>
          <w:lang w:eastAsia="fr-FR"/>
        </w:rPr>
      </w:pPr>
      <w:hyperlink w:anchor="_Toc100689290" w:history="1">
        <w:r w:rsidR="00750305" w:rsidRPr="00F61B68">
          <w:rPr>
            <w:rStyle w:val="Lienhypertexte"/>
            <w:rFonts w:ascii="Calibri" w:hAnsi="Calibri"/>
          </w:rPr>
          <w:t>4.17</w:t>
        </w:r>
        <w:r w:rsidR="00750305">
          <w:rPr>
            <w:rFonts w:asciiTheme="minorHAnsi" w:eastAsiaTheme="minorEastAsia" w:hAnsiTheme="minorHAnsi" w:cstheme="minorBidi"/>
            <w:bCs w:val="0"/>
            <w:sz w:val="22"/>
            <w:szCs w:val="22"/>
            <w:lang w:eastAsia="fr-FR"/>
          </w:rPr>
          <w:tab/>
        </w:r>
        <w:r w:rsidR="00750305" w:rsidRPr="00F61B68">
          <w:rPr>
            <w:rStyle w:val="Lienhypertexte"/>
            <w:rFonts w:ascii="Calibri" w:hAnsi="Calibri"/>
          </w:rPr>
          <w:t>Instruments financiers et gestion du risque</w:t>
        </w:r>
        <w:r w:rsidR="00750305">
          <w:rPr>
            <w:webHidden/>
          </w:rPr>
          <w:tab/>
        </w:r>
        <w:r w:rsidR="00750305">
          <w:rPr>
            <w:webHidden/>
          </w:rPr>
          <w:fldChar w:fldCharType="begin"/>
        </w:r>
        <w:r w:rsidR="00750305">
          <w:rPr>
            <w:webHidden/>
          </w:rPr>
          <w:instrText xml:space="preserve"> PAGEREF _Toc100689290 \h </w:instrText>
        </w:r>
        <w:r w:rsidR="00750305">
          <w:rPr>
            <w:webHidden/>
          </w:rPr>
        </w:r>
        <w:r w:rsidR="00750305">
          <w:rPr>
            <w:webHidden/>
          </w:rPr>
          <w:fldChar w:fldCharType="separate"/>
        </w:r>
        <w:r>
          <w:rPr>
            <w:webHidden/>
          </w:rPr>
          <w:t>36</w:t>
        </w:r>
        <w:r w:rsidR="00750305">
          <w:rPr>
            <w:webHidden/>
          </w:rPr>
          <w:fldChar w:fldCharType="end"/>
        </w:r>
      </w:hyperlink>
    </w:p>
    <w:p w14:paraId="08797232" w14:textId="42D6B5F4" w:rsidR="00750305" w:rsidRDefault="009C6A47">
      <w:pPr>
        <w:pStyle w:val="TM2"/>
        <w:rPr>
          <w:rFonts w:asciiTheme="minorHAnsi" w:eastAsiaTheme="minorEastAsia" w:hAnsiTheme="minorHAnsi" w:cstheme="minorBidi"/>
          <w:bCs w:val="0"/>
          <w:sz w:val="22"/>
          <w:szCs w:val="22"/>
          <w:lang w:eastAsia="fr-FR"/>
        </w:rPr>
      </w:pPr>
      <w:hyperlink w:anchor="_Toc100689291" w:history="1">
        <w:r w:rsidR="00750305" w:rsidRPr="00F61B68">
          <w:rPr>
            <w:rStyle w:val="Lienhypertexte"/>
            <w:rFonts w:ascii="Calibri" w:hAnsi="Calibri"/>
          </w:rPr>
          <w:t>4.18</w:t>
        </w:r>
        <w:r w:rsidR="00750305">
          <w:rPr>
            <w:rFonts w:asciiTheme="minorHAnsi" w:eastAsiaTheme="minorEastAsia" w:hAnsiTheme="minorHAnsi" w:cstheme="minorBidi"/>
            <w:bCs w:val="0"/>
            <w:sz w:val="22"/>
            <w:szCs w:val="22"/>
            <w:lang w:eastAsia="fr-FR"/>
          </w:rPr>
          <w:tab/>
        </w:r>
        <w:r w:rsidR="00750305" w:rsidRPr="00F61B68">
          <w:rPr>
            <w:rStyle w:val="Lienhypertexte"/>
            <w:rFonts w:ascii="Calibri" w:hAnsi="Calibri"/>
          </w:rPr>
          <w:t>Provisions et passifs éventuels</w:t>
        </w:r>
        <w:r w:rsidR="00750305">
          <w:rPr>
            <w:webHidden/>
          </w:rPr>
          <w:tab/>
        </w:r>
        <w:r w:rsidR="00750305">
          <w:rPr>
            <w:webHidden/>
          </w:rPr>
          <w:fldChar w:fldCharType="begin"/>
        </w:r>
        <w:r w:rsidR="00750305">
          <w:rPr>
            <w:webHidden/>
          </w:rPr>
          <w:instrText xml:space="preserve"> PAGEREF _Toc100689291 \h </w:instrText>
        </w:r>
        <w:r w:rsidR="00750305">
          <w:rPr>
            <w:webHidden/>
          </w:rPr>
        </w:r>
        <w:r w:rsidR="00750305">
          <w:rPr>
            <w:webHidden/>
          </w:rPr>
          <w:fldChar w:fldCharType="separate"/>
        </w:r>
        <w:r>
          <w:rPr>
            <w:webHidden/>
          </w:rPr>
          <w:t>37</w:t>
        </w:r>
        <w:r w:rsidR="00750305">
          <w:rPr>
            <w:webHidden/>
          </w:rPr>
          <w:fldChar w:fldCharType="end"/>
        </w:r>
      </w:hyperlink>
    </w:p>
    <w:p w14:paraId="361EA65B" w14:textId="5D374602" w:rsidR="00750305" w:rsidRDefault="009C6A47">
      <w:pPr>
        <w:pStyle w:val="TM2"/>
        <w:rPr>
          <w:rFonts w:asciiTheme="minorHAnsi" w:eastAsiaTheme="minorEastAsia" w:hAnsiTheme="minorHAnsi" w:cstheme="minorBidi"/>
          <w:bCs w:val="0"/>
          <w:sz w:val="22"/>
          <w:szCs w:val="22"/>
          <w:lang w:eastAsia="fr-FR"/>
        </w:rPr>
      </w:pPr>
      <w:hyperlink w:anchor="_Toc100689292" w:history="1">
        <w:r w:rsidR="00750305" w:rsidRPr="00F61B68">
          <w:rPr>
            <w:rStyle w:val="Lienhypertexte"/>
            <w:rFonts w:ascii="Calibri" w:hAnsi="Calibri"/>
          </w:rPr>
          <w:t>4.19</w:t>
        </w:r>
        <w:r w:rsidR="00750305">
          <w:rPr>
            <w:rFonts w:asciiTheme="minorHAnsi" w:eastAsiaTheme="minorEastAsia" w:hAnsiTheme="minorHAnsi" w:cstheme="minorBidi"/>
            <w:bCs w:val="0"/>
            <w:sz w:val="22"/>
            <w:szCs w:val="22"/>
            <w:lang w:eastAsia="fr-FR"/>
          </w:rPr>
          <w:tab/>
        </w:r>
        <w:r w:rsidR="00750305" w:rsidRPr="00F61B68">
          <w:rPr>
            <w:rStyle w:val="Lienhypertexte"/>
            <w:rFonts w:ascii="Calibri" w:hAnsi="Calibri"/>
          </w:rPr>
          <w:t>Autres passifs courants et non courants</w:t>
        </w:r>
        <w:r w:rsidR="00750305">
          <w:rPr>
            <w:webHidden/>
          </w:rPr>
          <w:tab/>
        </w:r>
        <w:r w:rsidR="00750305">
          <w:rPr>
            <w:webHidden/>
          </w:rPr>
          <w:fldChar w:fldCharType="begin"/>
        </w:r>
        <w:r w:rsidR="00750305">
          <w:rPr>
            <w:webHidden/>
          </w:rPr>
          <w:instrText xml:space="preserve"> PAGEREF _Toc100689292 \h </w:instrText>
        </w:r>
        <w:r w:rsidR="00750305">
          <w:rPr>
            <w:webHidden/>
          </w:rPr>
        </w:r>
        <w:r w:rsidR="00750305">
          <w:rPr>
            <w:webHidden/>
          </w:rPr>
          <w:fldChar w:fldCharType="separate"/>
        </w:r>
        <w:r>
          <w:rPr>
            <w:webHidden/>
          </w:rPr>
          <w:t>38</w:t>
        </w:r>
        <w:r w:rsidR="00750305">
          <w:rPr>
            <w:webHidden/>
          </w:rPr>
          <w:fldChar w:fldCharType="end"/>
        </w:r>
      </w:hyperlink>
    </w:p>
    <w:p w14:paraId="50E0C1C1" w14:textId="1B3F94BF" w:rsidR="00750305" w:rsidRDefault="009C6A47">
      <w:pPr>
        <w:pStyle w:val="TM2"/>
        <w:rPr>
          <w:rFonts w:asciiTheme="minorHAnsi" w:eastAsiaTheme="minorEastAsia" w:hAnsiTheme="minorHAnsi" w:cstheme="minorBidi"/>
          <w:bCs w:val="0"/>
          <w:sz w:val="22"/>
          <w:szCs w:val="22"/>
          <w:lang w:eastAsia="fr-FR"/>
        </w:rPr>
      </w:pPr>
      <w:hyperlink w:anchor="_Toc100689293" w:history="1">
        <w:r w:rsidR="00750305" w:rsidRPr="00F61B68">
          <w:rPr>
            <w:rStyle w:val="Lienhypertexte"/>
            <w:rFonts w:ascii="Calibri" w:hAnsi="Calibri"/>
          </w:rPr>
          <w:t>4.20</w:t>
        </w:r>
        <w:r w:rsidR="00750305">
          <w:rPr>
            <w:rFonts w:asciiTheme="minorHAnsi" w:eastAsiaTheme="minorEastAsia" w:hAnsiTheme="minorHAnsi" w:cstheme="minorBidi"/>
            <w:bCs w:val="0"/>
            <w:sz w:val="22"/>
            <w:szCs w:val="22"/>
            <w:lang w:eastAsia="fr-FR"/>
          </w:rPr>
          <w:tab/>
        </w:r>
        <w:r w:rsidR="00750305" w:rsidRPr="00F61B68">
          <w:rPr>
            <w:rStyle w:val="Lienhypertexte"/>
            <w:rFonts w:ascii="Calibri" w:hAnsi="Calibri"/>
          </w:rPr>
          <w:t>Paiements en actions</w:t>
        </w:r>
        <w:r w:rsidR="00750305">
          <w:rPr>
            <w:webHidden/>
          </w:rPr>
          <w:tab/>
        </w:r>
        <w:r w:rsidR="00750305">
          <w:rPr>
            <w:webHidden/>
          </w:rPr>
          <w:fldChar w:fldCharType="begin"/>
        </w:r>
        <w:r w:rsidR="00750305">
          <w:rPr>
            <w:webHidden/>
          </w:rPr>
          <w:instrText xml:space="preserve"> PAGEREF _Toc100689293 \h </w:instrText>
        </w:r>
        <w:r w:rsidR="00750305">
          <w:rPr>
            <w:webHidden/>
          </w:rPr>
        </w:r>
        <w:r w:rsidR="00750305">
          <w:rPr>
            <w:webHidden/>
          </w:rPr>
          <w:fldChar w:fldCharType="separate"/>
        </w:r>
        <w:r>
          <w:rPr>
            <w:webHidden/>
          </w:rPr>
          <w:t>38</w:t>
        </w:r>
        <w:r w:rsidR="00750305">
          <w:rPr>
            <w:webHidden/>
          </w:rPr>
          <w:fldChar w:fldCharType="end"/>
        </w:r>
      </w:hyperlink>
    </w:p>
    <w:p w14:paraId="5975FB01" w14:textId="603AC389" w:rsidR="00750305" w:rsidRDefault="009C6A47">
      <w:pPr>
        <w:pStyle w:val="TM1"/>
        <w:rPr>
          <w:rFonts w:asciiTheme="minorHAnsi" w:eastAsiaTheme="minorEastAsia" w:hAnsiTheme="minorHAnsi" w:cstheme="minorBidi"/>
          <w:color w:val="auto"/>
          <w:szCs w:val="22"/>
          <w:lang w:eastAsia="fr-FR"/>
        </w:rPr>
      </w:pPr>
      <w:hyperlink w:anchor="_Toc100689294" w:history="1">
        <w:r w:rsidR="00750305" w:rsidRPr="00F61B68">
          <w:rPr>
            <w:rStyle w:val="Lienhypertexte"/>
            <w:rFonts w:cstheme="minorHAnsi"/>
          </w:rPr>
          <w:t>5.</w:t>
        </w:r>
        <w:r w:rsidR="00750305">
          <w:rPr>
            <w:rFonts w:asciiTheme="minorHAnsi" w:eastAsiaTheme="minorEastAsia" w:hAnsiTheme="minorHAnsi" w:cstheme="minorBidi"/>
            <w:color w:val="auto"/>
            <w:szCs w:val="22"/>
            <w:lang w:eastAsia="fr-FR"/>
          </w:rPr>
          <w:tab/>
        </w:r>
        <w:r w:rsidR="00750305" w:rsidRPr="00F61B68">
          <w:rPr>
            <w:rStyle w:val="Lienhypertexte"/>
            <w:rFonts w:cstheme="minorHAnsi"/>
          </w:rPr>
          <w:t>Autres informations</w:t>
        </w:r>
        <w:r w:rsidR="00750305">
          <w:rPr>
            <w:webHidden/>
          </w:rPr>
          <w:tab/>
        </w:r>
        <w:r w:rsidR="00750305">
          <w:rPr>
            <w:webHidden/>
          </w:rPr>
          <w:fldChar w:fldCharType="begin"/>
        </w:r>
        <w:r w:rsidR="00750305">
          <w:rPr>
            <w:webHidden/>
          </w:rPr>
          <w:instrText xml:space="preserve"> PAGEREF _Toc100689294 \h </w:instrText>
        </w:r>
        <w:r w:rsidR="00750305">
          <w:rPr>
            <w:webHidden/>
          </w:rPr>
        </w:r>
        <w:r w:rsidR="00750305">
          <w:rPr>
            <w:webHidden/>
          </w:rPr>
          <w:fldChar w:fldCharType="separate"/>
        </w:r>
        <w:r>
          <w:rPr>
            <w:webHidden/>
          </w:rPr>
          <w:t>39</w:t>
        </w:r>
        <w:r w:rsidR="00750305">
          <w:rPr>
            <w:webHidden/>
          </w:rPr>
          <w:fldChar w:fldCharType="end"/>
        </w:r>
      </w:hyperlink>
    </w:p>
    <w:p w14:paraId="647D6D63" w14:textId="5095DB74" w:rsidR="00DA2B82" w:rsidRPr="00DA2B82" w:rsidRDefault="007F7AB8" w:rsidP="007F7AB8">
      <w:pPr>
        <w:rPr>
          <w:rFonts w:asciiTheme="minorHAnsi" w:hAnsiTheme="minorHAnsi" w:cstheme="minorHAnsi"/>
          <w:color w:val="000E9A"/>
          <w:sz w:val="36"/>
          <w:szCs w:val="36"/>
        </w:rPr>
      </w:pPr>
      <w:r>
        <w:rPr>
          <w:rFonts w:asciiTheme="minorHAnsi" w:hAnsiTheme="minorHAnsi" w:cs="Calibri"/>
          <w:b/>
          <w:noProof/>
          <w:color w:val="000000" w:themeColor="text1"/>
          <w:sz w:val="24"/>
          <w:szCs w:val="24"/>
        </w:rPr>
        <w:fldChar w:fldCharType="end"/>
      </w:r>
    </w:p>
    <w:p w14:paraId="7E773C93" w14:textId="77777777" w:rsidR="009B0208" w:rsidRDefault="009B0208" w:rsidP="009B0208">
      <w:pPr>
        <w:pStyle w:val="Titre1"/>
        <w:spacing w:after="0"/>
        <w:rPr>
          <w:rFonts w:ascii="Calibri" w:hAnsi="Calibri"/>
          <w:b/>
          <w:bCs/>
          <w:color w:val="2F5496"/>
          <w:sz w:val="32"/>
          <w:szCs w:val="32"/>
        </w:rPr>
      </w:pPr>
    </w:p>
    <w:p w14:paraId="3F5BDDC2" w14:textId="265D306F" w:rsidR="009B0208" w:rsidRPr="00B90EF1" w:rsidRDefault="009B0208" w:rsidP="009B0208">
      <w:pPr>
        <w:sectPr w:rsidR="009B0208" w:rsidRPr="00B90EF1" w:rsidSect="00341C3A">
          <w:headerReference w:type="even" r:id="rId28"/>
          <w:headerReference w:type="default" r:id="rId29"/>
          <w:headerReference w:type="first" r:id="rId30"/>
          <w:footerReference w:type="first" r:id="rId31"/>
          <w:pgSz w:w="11906" w:h="16838"/>
          <w:pgMar w:top="426" w:right="849" w:bottom="1418" w:left="1418" w:header="709" w:footer="709" w:gutter="0"/>
          <w:cols w:space="566"/>
          <w:docGrid w:linePitch="360"/>
        </w:sectPr>
      </w:pPr>
    </w:p>
    <w:p w14:paraId="787F23AE" w14:textId="6C415243" w:rsidR="009B0208" w:rsidRDefault="00C062BF" w:rsidP="005B62C1">
      <w:pPr>
        <w:pStyle w:val="Titre1"/>
        <w:numPr>
          <w:ilvl w:val="0"/>
          <w:numId w:val="31"/>
        </w:numPr>
        <w:spacing w:before="240" w:after="0"/>
        <w:ind w:right="-74"/>
        <w:rPr>
          <w:rFonts w:asciiTheme="minorHAnsi" w:hAnsiTheme="minorHAnsi" w:cstheme="minorHAnsi"/>
          <w:color w:val="000E9A"/>
          <w:sz w:val="28"/>
          <w:szCs w:val="28"/>
        </w:rPr>
      </w:pPr>
      <w:bookmarkStart w:id="98" w:name="_Toc62888519"/>
      <w:bookmarkStart w:id="99" w:name="_Toc74917155"/>
      <w:bookmarkStart w:id="100" w:name="_Hlk55375517"/>
      <w:bookmarkStart w:id="101" w:name="_Toc100603602"/>
      <w:bookmarkStart w:id="102" w:name="_Toc100605209"/>
      <w:bookmarkStart w:id="103" w:name="_Toc100684195"/>
      <w:bookmarkStart w:id="104" w:name="_Toc100689221"/>
      <w:bookmarkStart w:id="105" w:name="_Toc100689270"/>
      <w:bookmarkEnd w:id="97"/>
      <w:r w:rsidRPr="00B97286">
        <w:rPr>
          <w:rFonts w:asciiTheme="minorHAnsi" w:hAnsiTheme="minorHAnsi" w:cstheme="minorHAnsi"/>
          <w:color w:val="000E9A"/>
          <w:sz w:val="28"/>
          <w:szCs w:val="28"/>
        </w:rPr>
        <w:lastRenderedPageBreak/>
        <w:t xml:space="preserve">Informations relatives </w:t>
      </w:r>
      <w:bookmarkEnd w:id="98"/>
      <w:r w:rsidR="00F00F41" w:rsidRPr="00B97286">
        <w:rPr>
          <w:rFonts w:asciiTheme="minorHAnsi" w:hAnsiTheme="minorHAnsi" w:cstheme="minorHAnsi"/>
          <w:color w:val="000E9A"/>
          <w:sz w:val="28"/>
          <w:szCs w:val="28"/>
        </w:rPr>
        <w:t>au Groupe</w:t>
      </w:r>
      <w:bookmarkEnd w:id="99"/>
      <w:bookmarkEnd w:id="100"/>
      <w:bookmarkEnd w:id="101"/>
      <w:bookmarkEnd w:id="102"/>
      <w:bookmarkEnd w:id="103"/>
      <w:bookmarkEnd w:id="104"/>
      <w:bookmarkEnd w:id="105"/>
    </w:p>
    <w:p w14:paraId="20FDCBDA" w14:textId="77777777" w:rsidR="002C341E" w:rsidRPr="002C341E" w:rsidRDefault="002C341E" w:rsidP="002C341E"/>
    <w:p w14:paraId="7DEF4576" w14:textId="1C1FD670" w:rsidR="00C062BF" w:rsidRDefault="00C029E9" w:rsidP="002C341E">
      <w:pPr>
        <w:pStyle w:val="Commentaire"/>
        <w:spacing w:before="120" w:after="0"/>
        <w:jc w:val="both"/>
      </w:pPr>
      <w:r>
        <w:t xml:space="preserve">Le </w:t>
      </w:r>
      <w:r w:rsidR="006D6EEC">
        <w:t>G</w:t>
      </w:r>
      <w:r>
        <w:t xml:space="preserve">roupe </w:t>
      </w:r>
      <w:r w:rsidR="004B3767" w:rsidRPr="002C341E">
        <w:t>OVHcloud est un acteur mondial et le leader européen du Cloud</w:t>
      </w:r>
      <w:r w:rsidR="00E72B6E">
        <w:t>, actif</w:t>
      </w:r>
      <w:r w:rsidR="00C865FA" w:rsidRPr="002C341E">
        <w:t xml:space="preserve"> sur</w:t>
      </w:r>
      <w:r w:rsidR="004B3767" w:rsidRPr="002C341E">
        <w:t xml:space="preserve"> </w:t>
      </w:r>
      <w:r w:rsidR="009E68C5" w:rsidRPr="002C341E">
        <w:t>5</w:t>
      </w:r>
      <w:r w:rsidR="004B3767" w:rsidRPr="002C341E">
        <w:t xml:space="preserve"> continents. Depuis </w:t>
      </w:r>
      <w:r w:rsidR="00201896" w:rsidRPr="002C341E">
        <w:t>plus de 20</w:t>
      </w:r>
      <w:r w:rsidR="004B3767" w:rsidRPr="002C341E">
        <w:t xml:space="preserve"> ans, le Groupe s’appuie sur un modèle intégré qui lui confère la maîtrise complète de sa chaîne de </w:t>
      </w:r>
      <w:r w:rsidR="00201896" w:rsidRPr="002C341E">
        <w:br/>
      </w:r>
      <w:r w:rsidR="004B3767" w:rsidRPr="002C341E">
        <w:t>valeur</w:t>
      </w:r>
      <w:r w:rsidR="00E72B6E">
        <w:t xml:space="preserve">, </w:t>
      </w:r>
      <w:r w:rsidR="004B3767" w:rsidRPr="002C341E">
        <w:t>de la conception de ses serveurs à</w:t>
      </w:r>
      <w:r w:rsidR="000220DB" w:rsidRPr="002C341E">
        <w:t xml:space="preserve"> celle des solutions de plateforme cloud qu’il met à la disposition de ses clients, en passant par</w:t>
      </w:r>
      <w:r w:rsidR="004B3767" w:rsidRPr="002C341E">
        <w:t xml:space="preserve"> la construction et </w:t>
      </w:r>
      <w:r w:rsidR="00AD161A">
        <w:t>le</w:t>
      </w:r>
      <w:r w:rsidR="00AD161A" w:rsidRPr="002C341E">
        <w:t xml:space="preserve"> </w:t>
      </w:r>
      <w:r w:rsidR="004B3767" w:rsidRPr="002C341E">
        <w:t xml:space="preserve">pilotage de </w:t>
      </w:r>
      <w:r w:rsidR="000220DB" w:rsidRPr="002C341E">
        <w:t>s</w:t>
      </w:r>
      <w:r w:rsidR="004B3767" w:rsidRPr="002C341E">
        <w:t xml:space="preserve">es </w:t>
      </w:r>
      <w:r w:rsidR="007973CF" w:rsidRPr="002C341E">
        <w:t>centres de données (« </w:t>
      </w:r>
      <w:r w:rsidR="00F00F41" w:rsidRPr="002C341E">
        <w:t>D</w:t>
      </w:r>
      <w:r w:rsidR="004B3767" w:rsidRPr="002C341E">
        <w:t>atacenters</w:t>
      </w:r>
      <w:r w:rsidR="007973CF" w:rsidRPr="002C341E">
        <w:t> »)</w:t>
      </w:r>
      <w:r w:rsidR="004B3767" w:rsidRPr="002C341E">
        <w:t xml:space="preserve"> </w:t>
      </w:r>
      <w:r w:rsidR="000220DB" w:rsidRPr="002C341E">
        <w:t xml:space="preserve">ou </w:t>
      </w:r>
      <w:r w:rsidR="004B3767" w:rsidRPr="002C341E">
        <w:t>l’orchestration de son réseau de fibre optique. Cette approche unique lui permet de couvrir en toute indépendance l’ensemble des usages de ses clients</w:t>
      </w:r>
      <w:r w:rsidR="009B40CB" w:rsidRPr="002C341E">
        <w:t>.</w:t>
      </w:r>
      <w:r w:rsidR="004B3767" w:rsidRPr="002C341E">
        <w:t xml:space="preserve"> </w:t>
      </w:r>
      <w:r w:rsidRPr="002C341E">
        <w:t xml:space="preserve">Le </w:t>
      </w:r>
      <w:r w:rsidR="00AD161A">
        <w:t>G</w:t>
      </w:r>
      <w:r w:rsidR="00AD161A" w:rsidRPr="002C341E">
        <w:t xml:space="preserve">roupe </w:t>
      </w:r>
      <w:r w:rsidR="004B3767" w:rsidRPr="002C341E">
        <w:t>propose aujourd’hui</w:t>
      </w:r>
      <w:r w:rsidR="00F146A8" w:rsidRPr="002C341E">
        <w:t xml:space="preserve"> à ses clients</w:t>
      </w:r>
      <w:r w:rsidR="004B3767" w:rsidRPr="002C341E">
        <w:t xml:space="preserve"> des solutions de dernière génération alliant performance, pré</w:t>
      </w:r>
      <w:r w:rsidR="000220DB" w:rsidRPr="002C341E">
        <w:t>visibilité</w:t>
      </w:r>
      <w:r w:rsidR="004B3767" w:rsidRPr="002C341E">
        <w:t xml:space="preserve"> des prix et une totale souveraineté sur leurs données pour accompagner leur croissance en toute liberté.</w:t>
      </w:r>
    </w:p>
    <w:p w14:paraId="2ECC4C20" w14:textId="77777777" w:rsidR="00131D13" w:rsidRPr="002C341E" w:rsidRDefault="00131D13" w:rsidP="002C341E">
      <w:pPr>
        <w:pStyle w:val="Commentaire"/>
        <w:spacing w:before="120" w:after="0"/>
        <w:jc w:val="both"/>
      </w:pPr>
    </w:p>
    <w:p w14:paraId="1A87A0E8" w14:textId="73BD2B73" w:rsidR="00131D13" w:rsidRDefault="001D6231" w:rsidP="007F515B">
      <w:pPr>
        <w:pStyle w:val="Commentaire"/>
        <w:spacing w:before="120" w:after="0"/>
        <w:jc w:val="both"/>
      </w:pPr>
      <w:r w:rsidRPr="001D6231">
        <w:t>Les termes « OVHcloud » et le « Groupe », tels qu’utilisés dans les comptes intermédiaires résumés, sauf précision contraire expresse, désignent la Société ainsi que ses filiales et participations directes et indirectes.</w:t>
      </w:r>
    </w:p>
    <w:p w14:paraId="75042EE3" w14:textId="5125B13D" w:rsidR="000E22F2" w:rsidRDefault="000E22F2" w:rsidP="00C062BF">
      <w:pPr>
        <w:pStyle w:val="Commentaire"/>
        <w:spacing w:before="120" w:after="0"/>
        <w:jc w:val="both"/>
      </w:pPr>
    </w:p>
    <w:p w14:paraId="2BDA557F" w14:textId="3B38C76D" w:rsidR="00A430B7" w:rsidRPr="00F84B4C" w:rsidRDefault="00A430B7" w:rsidP="0001318F">
      <w:pPr>
        <w:pStyle w:val="Commentaire"/>
        <w:jc w:val="both"/>
        <w:rPr>
          <w:u w:val="single"/>
        </w:rPr>
      </w:pPr>
      <w:bookmarkStart w:id="106" w:name="_Hlk86740870"/>
      <w:r w:rsidRPr="00403394">
        <w:t xml:space="preserve">Les états financiers consolidés </w:t>
      </w:r>
      <w:r w:rsidR="00C9044E">
        <w:rPr>
          <w:szCs w:val="20"/>
        </w:rPr>
        <w:t xml:space="preserve">semestriels résumés </w:t>
      </w:r>
      <w:r w:rsidRPr="00403394">
        <w:t xml:space="preserve">du Groupe </w:t>
      </w:r>
      <w:r w:rsidRPr="000176B8">
        <w:t xml:space="preserve">au </w:t>
      </w:r>
      <w:r w:rsidR="005877B7" w:rsidRPr="000176B8">
        <w:t>28</w:t>
      </w:r>
      <w:r w:rsidRPr="000176B8">
        <w:t xml:space="preserve"> </w:t>
      </w:r>
      <w:r w:rsidR="005877B7" w:rsidRPr="000176B8">
        <w:t>février</w:t>
      </w:r>
      <w:r w:rsidRPr="000176B8">
        <w:t xml:space="preserve"> 202</w:t>
      </w:r>
      <w:r w:rsidR="005877B7" w:rsidRPr="000176B8">
        <w:t>2</w:t>
      </w:r>
      <w:r w:rsidRPr="000176B8">
        <w:t xml:space="preserve"> ont été établis sous la responsabilité du Président du Groupe et ont été arrêtés par le Conseil d’</w:t>
      </w:r>
      <w:r w:rsidR="005B3688" w:rsidRPr="000176B8">
        <w:t>A</w:t>
      </w:r>
      <w:r w:rsidRPr="000176B8">
        <w:t xml:space="preserve">dministration en date du </w:t>
      </w:r>
      <w:r w:rsidR="000176B8" w:rsidRPr="000176B8">
        <w:t>13</w:t>
      </w:r>
      <w:r w:rsidRPr="000176B8">
        <w:t xml:space="preserve"> </w:t>
      </w:r>
      <w:r w:rsidR="000176B8" w:rsidRPr="000176B8">
        <w:t>avril</w:t>
      </w:r>
      <w:r w:rsidRPr="000176B8">
        <w:t xml:space="preserve"> 202</w:t>
      </w:r>
      <w:r w:rsidR="000176B8" w:rsidRPr="000176B8">
        <w:t>2</w:t>
      </w:r>
      <w:r w:rsidRPr="000176B8">
        <w:t>.</w:t>
      </w:r>
      <w:r w:rsidRPr="00F84B4C">
        <w:rPr>
          <w:u w:val="single"/>
        </w:rPr>
        <w:t xml:space="preserve"> </w:t>
      </w:r>
    </w:p>
    <w:bookmarkEnd w:id="106"/>
    <w:p w14:paraId="62AD426E" w14:textId="77777777" w:rsidR="00A430B7" w:rsidRDefault="00A430B7" w:rsidP="00C062BF">
      <w:pPr>
        <w:pStyle w:val="Commentaire"/>
        <w:spacing w:before="120" w:after="0"/>
        <w:jc w:val="both"/>
      </w:pPr>
    </w:p>
    <w:p w14:paraId="383F104C" w14:textId="4DEC0A38" w:rsidR="0095142D" w:rsidRDefault="00D2739F" w:rsidP="0095142D">
      <w:pPr>
        <w:pStyle w:val="Commentaire"/>
        <w:jc w:val="both"/>
      </w:pPr>
      <w:r w:rsidRPr="001E3E6E">
        <w:rPr>
          <w:szCs w:val="20"/>
        </w:rPr>
        <w:t xml:space="preserve">Les états financiers consolidés </w:t>
      </w:r>
      <w:r w:rsidR="00131D13">
        <w:rPr>
          <w:szCs w:val="20"/>
        </w:rPr>
        <w:t xml:space="preserve">semestriels résumés au 28 février 2022 </w:t>
      </w:r>
      <w:r w:rsidRPr="001E3E6E">
        <w:rPr>
          <w:szCs w:val="20"/>
        </w:rPr>
        <w:t>sont présentés en milliers d’euros (sauf mention contraire).</w:t>
      </w:r>
      <w:r w:rsidR="0095142D" w:rsidRPr="001E3E6E">
        <w:rPr>
          <w:szCs w:val="20"/>
        </w:rPr>
        <w:t xml:space="preserve"> </w:t>
      </w:r>
      <w:r w:rsidR="0095142D" w:rsidRPr="001E3E6E">
        <w:rPr>
          <w:rStyle w:val="tlid-translation"/>
          <w:szCs w:val="20"/>
        </w:rPr>
        <w:t>Les montants sont indiqués sans décimales et les arrondis au millier d’euros le plus proche peuvent, dans certains cas, conduire à des écarts non matériels au niveau des totaux et des sous-totaux figurant dans les tableaux.</w:t>
      </w:r>
    </w:p>
    <w:p w14:paraId="5D3A6BCA" w14:textId="77777777" w:rsidR="002C341E" w:rsidRDefault="002C341E" w:rsidP="003E4B9A">
      <w:pPr>
        <w:spacing w:after="0"/>
        <w:jc w:val="both"/>
        <w:rPr>
          <w:rFonts w:cs="Calibri"/>
          <w:sz w:val="20"/>
          <w:szCs w:val="20"/>
        </w:rPr>
      </w:pPr>
    </w:p>
    <w:p w14:paraId="0C3C8EEE" w14:textId="25757F24" w:rsidR="003F017A" w:rsidRPr="00BD7930" w:rsidRDefault="00174E3E" w:rsidP="0041512C">
      <w:pPr>
        <w:pStyle w:val="Titre1"/>
        <w:numPr>
          <w:ilvl w:val="0"/>
          <w:numId w:val="11"/>
        </w:numPr>
        <w:spacing w:before="240" w:after="0"/>
        <w:ind w:left="284" w:right="-74" w:hanging="284"/>
        <w:rPr>
          <w:rFonts w:asciiTheme="minorHAnsi" w:hAnsiTheme="minorHAnsi" w:cstheme="minorHAnsi"/>
          <w:color w:val="000E9A"/>
          <w:sz w:val="28"/>
          <w:szCs w:val="28"/>
        </w:rPr>
      </w:pPr>
      <w:bookmarkStart w:id="107" w:name="_Toc100603603"/>
      <w:bookmarkStart w:id="108" w:name="_Toc100605210"/>
      <w:bookmarkStart w:id="109" w:name="_Toc100684196"/>
      <w:bookmarkStart w:id="110" w:name="_Toc100689222"/>
      <w:bookmarkStart w:id="111" w:name="_Toc100689271"/>
      <w:bookmarkStart w:id="112" w:name="_Toc62888520"/>
      <w:bookmarkStart w:id="113" w:name="_Toc74917156"/>
      <w:bookmarkStart w:id="114" w:name="_Toc84351789"/>
      <w:bookmarkStart w:id="115" w:name="_Hlk55375586"/>
      <w:r>
        <w:rPr>
          <w:rFonts w:asciiTheme="minorHAnsi" w:hAnsiTheme="minorHAnsi" w:cstheme="minorHAnsi"/>
          <w:color w:val="000E9A"/>
          <w:sz w:val="28"/>
          <w:szCs w:val="28"/>
        </w:rPr>
        <w:t>E</w:t>
      </w:r>
      <w:r w:rsidR="003F017A" w:rsidRPr="00BD7930">
        <w:rPr>
          <w:rFonts w:asciiTheme="minorHAnsi" w:hAnsiTheme="minorHAnsi" w:cstheme="minorHAnsi"/>
          <w:color w:val="000E9A"/>
          <w:sz w:val="28"/>
          <w:szCs w:val="28"/>
        </w:rPr>
        <w:t>vénements significatifs</w:t>
      </w:r>
      <w:bookmarkEnd w:id="107"/>
      <w:bookmarkEnd w:id="108"/>
      <w:bookmarkEnd w:id="109"/>
      <w:bookmarkEnd w:id="110"/>
      <w:bookmarkEnd w:id="111"/>
      <w:r w:rsidR="003F017A" w:rsidRPr="00BD7930">
        <w:rPr>
          <w:rFonts w:asciiTheme="minorHAnsi" w:hAnsiTheme="minorHAnsi" w:cstheme="minorHAnsi"/>
          <w:color w:val="000E9A"/>
          <w:sz w:val="28"/>
          <w:szCs w:val="28"/>
        </w:rPr>
        <w:t xml:space="preserve"> </w:t>
      </w:r>
      <w:bookmarkEnd w:id="112"/>
      <w:bookmarkEnd w:id="113"/>
      <w:bookmarkEnd w:id="114"/>
    </w:p>
    <w:p w14:paraId="0A43FC42" w14:textId="77777777" w:rsidR="003F017A" w:rsidRPr="00BD7930" w:rsidRDefault="003F017A" w:rsidP="003F017A">
      <w:pPr>
        <w:spacing w:before="120" w:after="0"/>
        <w:rPr>
          <w:rFonts w:asciiTheme="minorHAnsi" w:hAnsiTheme="minorHAnsi" w:cstheme="minorHAnsi"/>
          <w:color w:val="2F5496"/>
        </w:rPr>
      </w:pPr>
    </w:p>
    <w:p w14:paraId="0E52AC36" w14:textId="5FAF6468" w:rsidR="002056FC" w:rsidRPr="00460CF3" w:rsidRDefault="00033034" w:rsidP="00BD7930">
      <w:pPr>
        <w:pStyle w:val="Style1"/>
        <w:numPr>
          <w:ilvl w:val="0"/>
          <w:numId w:val="0"/>
        </w:numPr>
        <w:tabs>
          <w:tab w:val="left" w:pos="567"/>
        </w:tabs>
        <w:outlineLvl w:val="9"/>
        <w:rPr>
          <w:rFonts w:asciiTheme="minorHAnsi" w:hAnsiTheme="minorHAnsi" w:cstheme="minorHAnsi"/>
          <w:b w:val="0"/>
          <w:bCs w:val="0"/>
          <w:color w:val="000E9A"/>
          <w:sz w:val="28"/>
          <w:szCs w:val="28"/>
          <w:u w:val="single"/>
        </w:rPr>
      </w:pPr>
      <w:bookmarkStart w:id="116" w:name="_Toc62888521"/>
      <w:bookmarkStart w:id="117" w:name="_Toc74917157"/>
      <w:r w:rsidRPr="00460CF3">
        <w:rPr>
          <w:rFonts w:asciiTheme="minorHAnsi" w:hAnsiTheme="minorHAnsi" w:cstheme="minorHAnsi"/>
          <w:b w:val="0"/>
          <w:bCs w:val="0"/>
          <w:color w:val="000E9A"/>
          <w:sz w:val="28"/>
          <w:szCs w:val="28"/>
          <w:u w:val="single"/>
        </w:rPr>
        <w:t>E</w:t>
      </w:r>
      <w:r w:rsidR="003F017A" w:rsidRPr="00460CF3">
        <w:rPr>
          <w:rFonts w:asciiTheme="minorHAnsi" w:hAnsiTheme="minorHAnsi" w:cstheme="minorHAnsi"/>
          <w:b w:val="0"/>
          <w:bCs w:val="0"/>
          <w:color w:val="000E9A"/>
          <w:sz w:val="28"/>
          <w:szCs w:val="28"/>
          <w:u w:val="single"/>
        </w:rPr>
        <w:t xml:space="preserve">vénements significatifs </w:t>
      </w:r>
      <w:bookmarkEnd w:id="116"/>
      <w:bookmarkEnd w:id="117"/>
      <w:r w:rsidR="005C41BC" w:rsidRPr="00460CF3">
        <w:rPr>
          <w:rFonts w:asciiTheme="minorHAnsi" w:hAnsiTheme="minorHAnsi" w:cstheme="minorHAnsi"/>
          <w:b w:val="0"/>
          <w:bCs w:val="0"/>
          <w:color w:val="000E9A"/>
          <w:sz w:val="28"/>
          <w:szCs w:val="28"/>
          <w:u w:val="single"/>
        </w:rPr>
        <w:t>survenus au cours d</w:t>
      </w:r>
      <w:r w:rsidR="0051117F" w:rsidRPr="00460CF3">
        <w:rPr>
          <w:rFonts w:asciiTheme="minorHAnsi" w:hAnsiTheme="minorHAnsi" w:cstheme="minorHAnsi"/>
          <w:b w:val="0"/>
          <w:bCs w:val="0"/>
          <w:color w:val="000E9A"/>
          <w:sz w:val="28"/>
          <w:szCs w:val="28"/>
          <w:u w:val="single"/>
        </w:rPr>
        <w:t xml:space="preserve">u premier semestre </w:t>
      </w:r>
      <w:r w:rsidR="005C41BC" w:rsidRPr="00460CF3">
        <w:rPr>
          <w:rFonts w:asciiTheme="minorHAnsi" w:hAnsiTheme="minorHAnsi" w:cstheme="minorHAnsi"/>
          <w:b w:val="0"/>
          <w:bCs w:val="0"/>
          <w:color w:val="000E9A"/>
          <w:sz w:val="28"/>
          <w:szCs w:val="28"/>
          <w:u w:val="single"/>
        </w:rPr>
        <w:t>202</w:t>
      </w:r>
      <w:r w:rsidR="00236550" w:rsidRPr="00460CF3">
        <w:rPr>
          <w:rFonts w:asciiTheme="minorHAnsi" w:hAnsiTheme="minorHAnsi" w:cstheme="minorHAnsi"/>
          <w:b w:val="0"/>
          <w:bCs w:val="0"/>
          <w:color w:val="000E9A"/>
          <w:sz w:val="28"/>
          <w:szCs w:val="28"/>
          <w:u w:val="single"/>
        </w:rPr>
        <w:t>2</w:t>
      </w:r>
    </w:p>
    <w:p w14:paraId="320D97B0" w14:textId="77777777" w:rsidR="0051117F" w:rsidRDefault="0051117F" w:rsidP="0051117F">
      <w:pPr>
        <w:spacing w:after="240"/>
        <w:rPr>
          <w:rFonts w:asciiTheme="minorHAnsi" w:hAnsiTheme="minorHAnsi" w:cstheme="minorHAnsi"/>
          <w:b/>
          <w:bCs/>
        </w:rPr>
      </w:pPr>
      <w:bookmarkStart w:id="118" w:name="_Toc62888527"/>
      <w:bookmarkStart w:id="119" w:name="_Toc74917158"/>
      <w:bookmarkStart w:id="120" w:name="_Hlk55376063"/>
      <w:bookmarkEnd w:id="115"/>
    </w:p>
    <w:p w14:paraId="79C559BB" w14:textId="4A6F7CA5" w:rsidR="0051117F" w:rsidRPr="00BD7930" w:rsidRDefault="0051117F" w:rsidP="0051117F">
      <w:pPr>
        <w:spacing w:after="240"/>
        <w:rPr>
          <w:rFonts w:asciiTheme="minorHAnsi" w:hAnsiTheme="minorHAnsi" w:cstheme="minorHAnsi"/>
          <w:b/>
          <w:bCs/>
        </w:rPr>
      </w:pPr>
      <w:r w:rsidRPr="00BD7930">
        <w:rPr>
          <w:rFonts w:asciiTheme="minorHAnsi" w:hAnsiTheme="minorHAnsi" w:cstheme="minorHAnsi"/>
          <w:b/>
          <w:bCs/>
        </w:rPr>
        <w:t xml:space="preserve">Introduction en bourse </w:t>
      </w:r>
    </w:p>
    <w:p w14:paraId="23105272" w14:textId="471D8880" w:rsidR="0051117F" w:rsidRDefault="0051117F" w:rsidP="0051117F">
      <w:pPr>
        <w:spacing w:after="240" w:line="240" w:lineRule="auto"/>
        <w:jc w:val="both"/>
        <w:rPr>
          <w:rStyle w:val="tlid-translation"/>
          <w:sz w:val="20"/>
          <w:szCs w:val="20"/>
        </w:rPr>
      </w:pPr>
      <w:bookmarkStart w:id="121" w:name="_Hlk98703853"/>
      <w:r>
        <w:rPr>
          <w:rStyle w:val="tlid-translation"/>
          <w:sz w:val="20"/>
          <w:szCs w:val="20"/>
        </w:rPr>
        <w:t>OVH Groupe S.A.</w:t>
      </w:r>
      <w:r w:rsidRPr="007E12D6">
        <w:rPr>
          <w:rStyle w:val="tlid-translation"/>
          <w:sz w:val="20"/>
          <w:szCs w:val="20"/>
        </w:rPr>
        <w:t xml:space="preserve"> s’est introduit</w:t>
      </w:r>
      <w:r>
        <w:rPr>
          <w:rStyle w:val="tlid-translation"/>
          <w:sz w:val="20"/>
          <w:szCs w:val="20"/>
        </w:rPr>
        <w:t>e</w:t>
      </w:r>
      <w:r w:rsidRPr="007E12D6">
        <w:rPr>
          <w:rStyle w:val="tlid-translation"/>
          <w:sz w:val="20"/>
          <w:szCs w:val="20"/>
        </w:rPr>
        <w:t xml:space="preserve"> en bourse le 15 octobre 2021 sur le </w:t>
      </w:r>
      <w:r>
        <w:rPr>
          <w:rStyle w:val="tlid-translation"/>
          <w:sz w:val="20"/>
          <w:szCs w:val="20"/>
        </w:rPr>
        <w:t xml:space="preserve">compartiment A du </w:t>
      </w:r>
      <w:r w:rsidRPr="007E12D6">
        <w:rPr>
          <w:rStyle w:val="tlid-translation"/>
          <w:sz w:val="20"/>
          <w:szCs w:val="20"/>
        </w:rPr>
        <w:t>marché réglementé d’Euronext à Paris afin de financer sa stratégie de croissance, dont notamment le financement de son expansion géographique</w:t>
      </w:r>
      <w:r>
        <w:rPr>
          <w:rStyle w:val="tlid-translation"/>
          <w:sz w:val="20"/>
          <w:szCs w:val="20"/>
        </w:rPr>
        <w:t>, de</w:t>
      </w:r>
      <w:r w:rsidRPr="007E12D6">
        <w:rPr>
          <w:rStyle w:val="tlid-translation"/>
          <w:sz w:val="20"/>
          <w:szCs w:val="20"/>
        </w:rPr>
        <w:t xml:space="preserve"> la construction des centres de données, du développement de</w:t>
      </w:r>
      <w:r>
        <w:rPr>
          <w:rStyle w:val="tlid-translation"/>
          <w:sz w:val="20"/>
          <w:szCs w:val="20"/>
        </w:rPr>
        <w:t xml:space="preserve"> </w:t>
      </w:r>
      <w:r w:rsidRPr="007E12D6">
        <w:rPr>
          <w:rStyle w:val="tlid-translation"/>
          <w:sz w:val="20"/>
          <w:szCs w:val="20"/>
        </w:rPr>
        <w:t>nouveaux produits et le cas échéant d</w:t>
      </w:r>
      <w:r>
        <w:rPr>
          <w:rStyle w:val="tlid-translation"/>
          <w:sz w:val="20"/>
          <w:szCs w:val="20"/>
        </w:rPr>
        <w:t>’</w:t>
      </w:r>
      <w:r w:rsidRPr="007E12D6">
        <w:rPr>
          <w:rStyle w:val="tlid-translation"/>
          <w:sz w:val="20"/>
          <w:szCs w:val="20"/>
        </w:rPr>
        <w:t>opérations de croissance externe. Le nombre total d’actions OVH</w:t>
      </w:r>
      <w:r>
        <w:rPr>
          <w:rStyle w:val="tlid-translation"/>
          <w:sz w:val="20"/>
          <w:szCs w:val="20"/>
        </w:rPr>
        <w:t>c</w:t>
      </w:r>
      <w:r w:rsidRPr="007E12D6">
        <w:rPr>
          <w:rStyle w:val="tlid-translation"/>
          <w:sz w:val="20"/>
          <w:szCs w:val="20"/>
        </w:rPr>
        <w:t xml:space="preserve">loud </w:t>
      </w:r>
      <w:r>
        <w:rPr>
          <w:rStyle w:val="tlid-translation"/>
          <w:sz w:val="20"/>
          <w:szCs w:val="20"/>
        </w:rPr>
        <w:t xml:space="preserve">nouvellement </w:t>
      </w:r>
      <w:r w:rsidRPr="007E12D6">
        <w:rPr>
          <w:rStyle w:val="tlid-translation"/>
          <w:sz w:val="20"/>
          <w:szCs w:val="20"/>
        </w:rPr>
        <w:t>émises dans le cadre de l’introduction en bourse est de 18 918 919</w:t>
      </w:r>
      <w:r>
        <w:rPr>
          <w:rStyle w:val="tlid-translation"/>
          <w:sz w:val="20"/>
          <w:szCs w:val="20"/>
        </w:rPr>
        <w:t xml:space="preserve"> à une valeur unitaire de 18,50€</w:t>
      </w:r>
      <w:r w:rsidRPr="007E12D6">
        <w:rPr>
          <w:rStyle w:val="tlid-translation"/>
          <w:sz w:val="20"/>
          <w:szCs w:val="20"/>
        </w:rPr>
        <w:t>, soit une offre primaire d</w:t>
      </w:r>
      <w:r>
        <w:rPr>
          <w:rStyle w:val="tlid-translation"/>
          <w:sz w:val="20"/>
          <w:szCs w:val="20"/>
        </w:rPr>
        <w:t>e</w:t>
      </w:r>
      <w:r>
        <w:rPr>
          <w:rStyle w:val="tlid-translation"/>
          <w:sz w:val="20"/>
          <w:szCs w:val="20"/>
        </w:rPr>
        <w:br/>
      </w:r>
      <w:r w:rsidRPr="007E12D6">
        <w:rPr>
          <w:rStyle w:val="tlid-translation"/>
          <w:sz w:val="20"/>
          <w:szCs w:val="20"/>
        </w:rPr>
        <w:t xml:space="preserve">350 millions d’euros. </w:t>
      </w:r>
    </w:p>
    <w:p w14:paraId="255E63A4" w14:textId="6D4488FD" w:rsidR="003C776F" w:rsidRPr="003C776F" w:rsidRDefault="003C776F" w:rsidP="003C776F">
      <w:pPr>
        <w:spacing w:after="240" w:line="240" w:lineRule="auto"/>
        <w:jc w:val="both"/>
        <w:rPr>
          <w:rStyle w:val="tlid-translation"/>
          <w:sz w:val="20"/>
          <w:szCs w:val="20"/>
        </w:rPr>
      </w:pPr>
      <w:r w:rsidRPr="003C776F">
        <w:rPr>
          <w:rStyle w:val="tlid-translation"/>
          <w:sz w:val="20"/>
          <w:szCs w:val="20"/>
        </w:rPr>
        <w:t>Le 18 janvier 2022,</w:t>
      </w:r>
      <w:r>
        <w:rPr>
          <w:rStyle w:val="tlid-translation"/>
          <w:sz w:val="20"/>
          <w:szCs w:val="20"/>
        </w:rPr>
        <w:t xml:space="preserve"> le Groupe</w:t>
      </w:r>
      <w:r w:rsidRPr="003C776F">
        <w:rPr>
          <w:rStyle w:val="tlid-translation"/>
          <w:sz w:val="20"/>
          <w:szCs w:val="20"/>
        </w:rPr>
        <w:t xml:space="preserve"> </w:t>
      </w:r>
      <w:r>
        <w:rPr>
          <w:rStyle w:val="tlid-translation"/>
          <w:sz w:val="20"/>
          <w:szCs w:val="20"/>
        </w:rPr>
        <w:t>a mis en place u</w:t>
      </w:r>
      <w:r w:rsidRPr="003C776F">
        <w:rPr>
          <w:rStyle w:val="tlid-translation"/>
          <w:sz w:val="20"/>
          <w:szCs w:val="20"/>
        </w:rPr>
        <w:t xml:space="preserve">n contrat de liquidité </w:t>
      </w:r>
      <w:r>
        <w:rPr>
          <w:rStyle w:val="tlid-translation"/>
          <w:sz w:val="20"/>
          <w:szCs w:val="20"/>
        </w:rPr>
        <w:t>ayant</w:t>
      </w:r>
      <w:r w:rsidRPr="003C776F">
        <w:rPr>
          <w:rStyle w:val="tlid-translation"/>
          <w:sz w:val="20"/>
          <w:szCs w:val="20"/>
        </w:rPr>
        <w:t xml:space="preserve"> pour objet l'animation des actions OVH Groupe sur Euronext Paris.</w:t>
      </w:r>
      <w:r w:rsidR="008943D7">
        <w:rPr>
          <w:rStyle w:val="tlid-translation"/>
          <w:sz w:val="20"/>
          <w:szCs w:val="20"/>
        </w:rPr>
        <w:t xml:space="preserve"> </w:t>
      </w:r>
      <w:r w:rsidR="008943D7" w:rsidRPr="008943D7">
        <w:rPr>
          <w:rStyle w:val="tlid-translation"/>
          <w:sz w:val="20"/>
          <w:szCs w:val="20"/>
        </w:rPr>
        <w:t xml:space="preserve">Pour la mise en œuvre de ce contrat, 5 </w:t>
      </w:r>
      <w:r w:rsidR="008943D7">
        <w:rPr>
          <w:rStyle w:val="tlid-translation"/>
          <w:sz w:val="20"/>
          <w:szCs w:val="20"/>
        </w:rPr>
        <w:t>millions d’</w:t>
      </w:r>
      <w:r w:rsidR="008943D7" w:rsidRPr="008943D7">
        <w:rPr>
          <w:rStyle w:val="tlid-translation"/>
          <w:sz w:val="20"/>
          <w:szCs w:val="20"/>
        </w:rPr>
        <w:t xml:space="preserve">euros en numéraire </w:t>
      </w:r>
      <w:r w:rsidR="009948C9">
        <w:rPr>
          <w:rStyle w:val="tlid-translation"/>
          <w:sz w:val="20"/>
          <w:szCs w:val="20"/>
        </w:rPr>
        <w:t xml:space="preserve">y </w:t>
      </w:r>
      <w:r w:rsidR="008943D7" w:rsidRPr="008943D7">
        <w:rPr>
          <w:rStyle w:val="tlid-translation"/>
          <w:sz w:val="20"/>
          <w:szCs w:val="20"/>
        </w:rPr>
        <w:t>ont été affectés</w:t>
      </w:r>
      <w:r w:rsidR="009948C9">
        <w:rPr>
          <w:rStyle w:val="tlid-translation"/>
          <w:sz w:val="20"/>
          <w:szCs w:val="20"/>
        </w:rPr>
        <w:t>.</w:t>
      </w:r>
    </w:p>
    <w:p w14:paraId="4437AE77" w14:textId="77777777" w:rsidR="0051117F" w:rsidRPr="00BD7930" w:rsidRDefault="0051117F" w:rsidP="0051117F">
      <w:pPr>
        <w:spacing w:after="240"/>
        <w:rPr>
          <w:rFonts w:asciiTheme="minorHAnsi" w:hAnsiTheme="minorHAnsi" w:cstheme="minorHAnsi"/>
          <w:b/>
          <w:bCs/>
        </w:rPr>
      </w:pPr>
      <w:r w:rsidRPr="00BD7930">
        <w:rPr>
          <w:rFonts w:asciiTheme="minorHAnsi" w:hAnsiTheme="minorHAnsi" w:cstheme="minorHAnsi"/>
          <w:b/>
          <w:bCs/>
        </w:rPr>
        <w:t xml:space="preserve">Refinancement </w:t>
      </w:r>
    </w:p>
    <w:p w14:paraId="272CD6E9" w14:textId="60DBCC5F" w:rsidR="0051117F" w:rsidRDefault="0051117F" w:rsidP="0051117F">
      <w:pPr>
        <w:jc w:val="both"/>
        <w:rPr>
          <w:rStyle w:val="tlid-translation"/>
          <w:sz w:val="20"/>
          <w:szCs w:val="20"/>
        </w:rPr>
      </w:pPr>
      <w:r>
        <w:rPr>
          <w:rStyle w:val="tlid-translation"/>
          <w:sz w:val="20"/>
          <w:szCs w:val="20"/>
        </w:rPr>
        <w:t xml:space="preserve">A la suite de </w:t>
      </w:r>
      <w:r w:rsidRPr="00E25951">
        <w:rPr>
          <w:rStyle w:val="tlid-translation"/>
          <w:sz w:val="20"/>
          <w:szCs w:val="20"/>
        </w:rPr>
        <w:t xml:space="preserve">son introduction en bourse, le Groupe a procédé, </w:t>
      </w:r>
      <w:r>
        <w:rPr>
          <w:rStyle w:val="tlid-translation"/>
          <w:sz w:val="20"/>
          <w:szCs w:val="20"/>
        </w:rPr>
        <w:t xml:space="preserve">le 25 octobre 2021, </w:t>
      </w:r>
      <w:r w:rsidRPr="00E25951">
        <w:rPr>
          <w:rStyle w:val="tlid-translation"/>
          <w:sz w:val="20"/>
          <w:szCs w:val="20"/>
        </w:rPr>
        <w:t xml:space="preserve">au remboursement intégral du Contrat de Crédits antérieurs (Prêt à Terme et Facilité de Crédit Renouvelable), ainsi que </w:t>
      </w:r>
      <w:r>
        <w:rPr>
          <w:rStyle w:val="tlid-translation"/>
          <w:sz w:val="20"/>
          <w:szCs w:val="20"/>
        </w:rPr>
        <w:t>d</w:t>
      </w:r>
      <w:r w:rsidRPr="00E25951">
        <w:rPr>
          <w:rStyle w:val="tlid-translation"/>
          <w:sz w:val="20"/>
          <w:szCs w:val="20"/>
        </w:rPr>
        <w:t xml:space="preserve">es obligations Euro PP, </w:t>
      </w:r>
      <w:r>
        <w:rPr>
          <w:rStyle w:val="tlid-translation"/>
          <w:sz w:val="20"/>
          <w:szCs w:val="20"/>
        </w:rPr>
        <w:t xml:space="preserve">pour un montant </w:t>
      </w:r>
      <w:r w:rsidRPr="00942D78">
        <w:rPr>
          <w:rStyle w:val="tlid-translation"/>
          <w:sz w:val="20"/>
          <w:szCs w:val="20"/>
        </w:rPr>
        <w:t>de 705,2 millions d’euros</w:t>
      </w:r>
      <w:r w:rsidR="00942D78" w:rsidRPr="00942D78">
        <w:rPr>
          <w:rStyle w:val="tlid-translation"/>
          <w:sz w:val="20"/>
          <w:szCs w:val="20"/>
        </w:rPr>
        <w:t xml:space="preserve"> (intérêts compris</w:t>
      </w:r>
      <w:r w:rsidR="00942D78">
        <w:rPr>
          <w:rStyle w:val="tlid-translation"/>
          <w:sz w:val="20"/>
          <w:szCs w:val="20"/>
        </w:rPr>
        <w:t>)</w:t>
      </w:r>
      <w:r w:rsidRPr="00926FBD">
        <w:rPr>
          <w:rStyle w:val="tlid-translation"/>
          <w:sz w:val="20"/>
          <w:szCs w:val="20"/>
        </w:rPr>
        <w:t xml:space="preserve">, </w:t>
      </w:r>
      <w:r w:rsidR="00ED5486">
        <w:rPr>
          <w:rStyle w:val="tlid-translation"/>
          <w:sz w:val="20"/>
          <w:szCs w:val="20"/>
        </w:rPr>
        <w:t>et</w:t>
      </w:r>
      <w:r w:rsidR="00ED5486" w:rsidRPr="00E25951">
        <w:rPr>
          <w:rStyle w:val="tlid-translation"/>
          <w:sz w:val="20"/>
          <w:szCs w:val="20"/>
        </w:rPr>
        <w:t xml:space="preserve"> </w:t>
      </w:r>
      <w:r w:rsidRPr="00E25951">
        <w:rPr>
          <w:rStyle w:val="tlid-translation"/>
          <w:sz w:val="20"/>
          <w:szCs w:val="20"/>
        </w:rPr>
        <w:t>à la mise en place d’un nouveau contrat de crédits senior</w:t>
      </w:r>
      <w:r>
        <w:rPr>
          <w:rStyle w:val="tlid-translation"/>
          <w:sz w:val="20"/>
          <w:szCs w:val="20"/>
        </w:rPr>
        <w:t xml:space="preserve"> </w:t>
      </w:r>
      <w:r w:rsidRPr="00E25951">
        <w:rPr>
          <w:rStyle w:val="tlid-translation"/>
          <w:sz w:val="20"/>
          <w:szCs w:val="20"/>
        </w:rPr>
        <w:t>d’un montant total en principal de 920 millions d’euros (la « Nouvelle Dette »), conclu en remplacement du Contrat de Crédits antérieurs.</w:t>
      </w:r>
      <w:bookmarkStart w:id="122" w:name="_Hlk86770995"/>
      <w:r w:rsidRPr="00E25951">
        <w:rPr>
          <w:rStyle w:val="tlid-translation"/>
          <w:sz w:val="20"/>
          <w:szCs w:val="20"/>
        </w:rPr>
        <w:t xml:space="preserve"> La Nouvelle Dette</w:t>
      </w:r>
      <w:r>
        <w:rPr>
          <w:rStyle w:val="tlid-translation"/>
          <w:sz w:val="20"/>
          <w:szCs w:val="20"/>
        </w:rPr>
        <w:t xml:space="preserve">, qui ne fait </w:t>
      </w:r>
      <w:r w:rsidRPr="00A47712">
        <w:rPr>
          <w:rStyle w:val="tlid-translation"/>
          <w:sz w:val="20"/>
          <w:szCs w:val="20"/>
        </w:rPr>
        <w:t xml:space="preserve">pas l’objet d’une garantie donnée par la </w:t>
      </w:r>
      <w:r w:rsidR="007772D7">
        <w:rPr>
          <w:rStyle w:val="tlid-translation"/>
          <w:sz w:val="20"/>
          <w:szCs w:val="20"/>
        </w:rPr>
        <w:t>S</w:t>
      </w:r>
      <w:r w:rsidR="007772D7" w:rsidRPr="00A47712">
        <w:rPr>
          <w:rStyle w:val="tlid-translation"/>
          <w:sz w:val="20"/>
          <w:szCs w:val="20"/>
        </w:rPr>
        <w:t>ociété</w:t>
      </w:r>
      <w:r>
        <w:rPr>
          <w:rStyle w:val="tlid-translation"/>
          <w:sz w:val="20"/>
          <w:szCs w:val="20"/>
        </w:rPr>
        <w:t>,</w:t>
      </w:r>
      <w:r w:rsidRPr="00E25951">
        <w:rPr>
          <w:rStyle w:val="tlid-translation"/>
          <w:sz w:val="20"/>
          <w:szCs w:val="20"/>
        </w:rPr>
        <w:t xml:space="preserve"> intègre </w:t>
      </w:r>
      <w:r w:rsidRPr="00E25951">
        <w:rPr>
          <w:rStyle w:val="tlid-translation"/>
          <w:sz w:val="20"/>
          <w:szCs w:val="20"/>
        </w:rPr>
        <w:lastRenderedPageBreak/>
        <w:t xml:space="preserve">un nouvel emprunt à terme de 500 millions d’euros </w:t>
      </w:r>
      <w:r>
        <w:rPr>
          <w:rStyle w:val="tlid-translation"/>
          <w:sz w:val="20"/>
          <w:szCs w:val="20"/>
        </w:rPr>
        <w:t xml:space="preserve">pour une durée de 5 ans </w:t>
      </w:r>
      <w:r w:rsidRPr="00E25951">
        <w:rPr>
          <w:rStyle w:val="tlid-translation"/>
          <w:sz w:val="20"/>
          <w:szCs w:val="20"/>
        </w:rPr>
        <w:t>et la mise en place d’une nouvelle facilité de crédit renouvelable (RCF) pour une capacité maximale de 420 millions d’euros</w:t>
      </w:r>
      <w:bookmarkEnd w:id="122"/>
      <w:r>
        <w:rPr>
          <w:rStyle w:val="tlid-translation"/>
          <w:sz w:val="20"/>
          <w:szCs w:val="20"/>
        </w:rPr>
        <w:t xml:space="preserve"> dont l’échéance initiale est fixée à 5 ans mais pouvant bénéficier de deux options d’extension d’une année supplémentaire. </w:t>
      </w:r>
      <w:r w:rsidR="00EB5487" w:rsidRPr="00EB5487">
        <w:rPr>
          <w:rStyle w:val="tlid-translation"/>
          <w:sz w:val="20"/>
          <w:szCs w:val="20"/>
        </w:rPr>
        <w:t>La RCF reste intégralement disponible à ce jour.</w:t>
      </w:r>
    </w:p>
    <w:p w14:paraId="7E3D6DA6" w14:textId="1E216115" w:rsidR="0051117F" w:rsidRPr="00E25951" w:rsidRDefault="00036E60" w:rsidP="0051117F">
      <w:pPr>
        <w:jc w:val="both"/>
        <w:rPr>
          <w:rStyle w:val="tlid-translation"/>
          <w:sz w:val="20"/>
          <w:szCs w:val="20"/>
        </w:rPr>
      </w:pPr>
      <w:r>
        <w:rPr>
          <w:rStyle w:val="tlid-translation"/>
          <w:sz w:val="20"/>
          <w:szCs w:val="20"/>
        </w:rPr>
        <w:t>A</w:t>
      </w:r>
      <w:r w:rsidR="0051117F" w:rsidRPr="00F436D6">
        <w:rPr>
          <w:rStyle w:val="tlid-translation"/>
          <w:sz w:val="20"/>
          <w:szCs w:val="20"/>
        </w:rPr>
        <w:t xml:space="preserve"> la date de déblocage des fonds, la marge appliquée </w:t>
      </w:r>
      <w:r>
        <w:rPr>
          <w:rStyle w:val="tlid-translation"/>
          <w:sz w:val="20"/>
          <w:szCs w:val="20"/>
        </w:rPr>
        <w:t>était</w:t>
      </w:r>
      <w:r w:rsidR="0051117F" w:rsidRPr="00F436D6">
        <w:rPr>
          <w:rStyle w:val="tlid-translation"/>
          <w:sz w:val="20"/>
          <w:szCs w:val="20"/>
        </w:rPr>
        <w:t xml:space="preserve"> de </w:t>
      </w:r>
      <w:r w:rsidR="0051117F" w:rsidRPr="00455B7A">
        <w:rPr>
          <w:rStyle w:val="tlid-translation"/>
          <w:sz w:val="20"/>
          <w:szCs w:val="20"/>
        </w:rPr>
        <w:t>1,10% pour l’emprunt à terme</w:t>
      </w:r>
      <w:r w:rsidR="00455B7A" w:rsidRPr="00455B7A">
        <w:rPr>
          <w:rStyle w:val="tlid-translation"/>
          <w:sz w:val="20"/>
          <w:szCs w:val="20"/>
        </w:rPr>
        <w:t>,</w:t>
      </w:r>
      <w:r w:rsidR="0051117F" w:rsidRPr="00455B7A">
        <w:rPr>
          <w:rStyle w:val="tlid-translation"/>
          <w:sz w:val="20"/>
          <w:szCs w:val="20"/>
        </w:rPr>
        <w:t xml:space="preserve"> contre 3,25% pour le précédent financement</w:t>
      </w:r>
      <w:r w:rsidR="00BA6BA1" w:rsidRPr="00455B7A">
        <w:rPr>
          <w:rStyle w:val="tlid-translation"/>
          <w:sz w:val="20"/>
          <w:szCs w:val="20"/>
        </w:rPr>
        <w:t>,</w:t>
      </w:r>
      <w:r w:rsidR="0051117F" w:rsidRPr="00455B7A">
        <w:rPr>
          <w:rStyle w:val="tlid-translation"/>
          <w:sz w:val="20"/>
          <w:szCs w:val="20"/>
        </w:rPr>
        <w:t xml:space="preserve"> et </w:t>
      </w:r>
      <w:r w:rsidR="00BA6BA1" w:rsidRPr="00455B7A">
        <w:rPr>
          <w:rStyle w:val="tlid-translation"/>
          <w:sz w:val="20"/>
          <w:szCs w:val="20"/>
        </w:rPr>
        <w:t>d</w:t>
      </w:r>
      <w:r w:rsidR="0051117F" w:rsidRPr="00455B7A">
        <w:rPr>
          <w:rStyle w:val="tlid-translation"/>
          <w:sz w:val="20"/>
          <w:szCs w:val="20"/>
        </w:rPr>
        <w:t>e 0,70% en cas de tirage sur le crédit renouvelable au lieu de</w:t>
      </w:r>
      <w:r w:rsidR="0051117F" w:rsidRPr="00F436D6">
        <w:rPr>
          <w:rStyle w:val="tlid-translation"/>
          <w:sz w:val="20"/>
          <w:szCs w:val="20"/>
        </w:rPr>
        <w:t xml:space="preserve"> 2,50% précédemment.</w:t>
      </w:r>
    </w:p>
    <w:p w14:paraId="15A484AD" w14:textId="77777777" w:rsidR="0051117F" w:rsidRPr="00BD7930" w:rsidRDefault="0051117F" w:rsidP="0051117F">
      <w:pPr>
        <w:spacing w:after="240"/>
        <w:rPr>
          <w:rFonts w:asciiTheme="minorHAnsi" w:hAnsiTheme="minorHAnsi" w:cstheme="minorHAnsi"/>
          <w:b/>
          <w:bCs/>
        </w:rPr>
      </w:pPr>
      <w:r w:rsidRPr="00BD7930">
        <w:rPr>
          <w:rFonts w:asciiTheme="minorHAnsi" w:hAnsiTheme="minorHAnsi" w:cstheme="minorHAnsi"/>
          <w:b/>
          <w:bCs/>
        </w:rPr>
        <w:t>Actionnariat de la Société</w:t>
      </w:r>
    </w:p>
    <w:p w14:paraId="63828EA1" w14:textId="6B3C54E4" w:rsidR="0051117F" w:rsidRPr="00661715" w:rsidRDefault="0051117F" w:rsidP="0051117F">
      <w:pPr>
        <w:spacing w:after="240" w:line="240" w:lineRule="auto"/>
        <w:jc w:val="both"/>
        <w:rPr>
          <w:sz w:val="20"/>
          <w:szCs w:val="20"/>
        </w:rPr>
      </w:pPr>
      <w:r w:rsidRPr="00661715">
        <w:rPr>
          <w:sz w:val="20"/>
          <w:szCs w:val="20"/>
        </w:rPr>
        <w:t xml:space="preserve">Les sociétés MANOVH et MENOVH, deux </w:t>
      </w:r>
      <w:r w:rsidRPr="003844EF">
        <w:rPr>
          <w:sz w:val="20"/>
          <w:szCs w:val="20"/>
        </w:rPr>
        <w:t xml:space="preserve">entités regroupant l’actionnariat salarié (managers et employés) du Groupe, ont fusionné </w:t>
      </w:r>
      <w:r w:rsidR="00F72E7D">
        <w:rPr>
          <w:sz w:val="20"/>
          <w:szCs w:val="20"/>
        </w:rPr>
        <w:t>avec</w:t>
      </w:r>
      <w:r w:rsidRPr="003844EF">
        <w:rPr>
          <w:sz w:val="20"/>
          <w:szCs w:val="20"/>
        </w:rPr>
        <w:t xml:space="preserve"> la Société le 18 octobre 2021, faisant des actionnaires de MANOVH et MENOVH des</w:t>
      </w:r>
      <w:r w:rsidRPr="00661715">
        <w:rPr>
          <w:sz w:val="20"/>
          <w:szCs w:val="20"/>
        </w:rPr>
        <w:t xml:space="preserve"> actionnaires directs de la Société.</w:t>
      </w:r>
    </w:p>
    <w:p w14:paraId="22A68FA8" w14:textId="61373735" w:rsidR="0051117F" w:rsidRPr="00B34C19" w:rsidRDefault="0051117F" w:rsidP="0051117F">
      <w:pPr>
        <w:spacing w:after="240" w:line="240" w:lineRule="auto"/>
        <w:jc w:val="both"/>
        <w:rPr>
          <w:rStyle w:val="tlid-translation"/>
          <w:sz w:val="20"/>
          <w:szCs w:val="20"/>
        </w:rPr>
      </w:pPr>
      <w:r w:rsidRPr="00B34C19">
        <w:rPr>
          <w:rStyle w:val="tlid-translation"/>
          <w:sz w:val="20"/>
          <w:szCs w:val="20"/>
        </w:rPr>
        <w:t xml:space="preserve">A la suite de la transformation de la Société en une </w:t>
      </w:r>
      <w:r w:rsidR="00F72E7D">
        <w:rPr>
          <w:rStyle w:val="tlid-translation"/>
          <w:sz w:val="20"/>
          <w:szCs w:val="20"/>
        </w:rPr>
        <w:t>S</w:t>
      </w:r>
      <w:r w:rsidRPr="00B34C19">
        <w:rPr>
          <w:rStyle w:val="tlid-translation"/>
          <w:sz w:val="20"/>
          <w:szCs w:val="20"/>
        </w:rPr>
        <w:t xml:space="preserve">ociété </w:t>
      </w:r>
      <w:r w:rsidR="00F72E7D">
        <w:rPr>
          <w:rStyle w:val="tlid-translation"/>
          <w:sz w:val="20"/>
          <w:szCs w:val="20"/>
        </w:rPr>
        <w:t>A</w:t>
      </w:r>
      <w:r w:rsidR="00F72E7D" w:rsidRPr="00B34C19">
        <w:rPr>
          <w:rStyle w:val="tlid-translation"/>
          <w:sz w:val="20"/>
          <w:szCs w:val="20"/>
        </w:rPr>
        <w:t xml:space="preserve">nonyme </w:t>
      </w:r>
      <w:r w:rsidRPr="00B34C19">
        <w:rPr>
          <w:rStyle w:val="tlid-translation"/>
          <w:sz w:val="20"/>
          <w:szCs w:val="20"/>
        </w:rPr>
        <w:t>à conseil d'administration</w:t>
      </w:r>
      <w:r>
        <w:rPr>
          <w:rStyle w:val="tlid-translation"/>
          <w:sz w:val="20"/>
          <w:szCs w:val="20"/>
        </w:rPr>
        <w:t xml:space="preserve"> (</w:t>
      </w:r>
      <w:r w:rsidRPr="00B34C19">
        <w:rPr>
          <w:rStyle w:val="tlid-translation"/>
          <w:sz w:val="20"/>
          <w:szCs w:val="20"/>
        </w:rPr>
        <w:t xml:space="preserve">survenue le </w:t>
      </w:r>
      <w:r>
        <w:rPr>
          <w:rStyle w:val="tlid-translation"/>
          <w:sz w:val="20"/>
          <w:szCs w:val="20"/>
        </w:rPr>
        <w:br/>
        <w:t>28 septembre</w:t>
      </w:r>
      <w:r w:rsidRPr="00B34C19">
        <w:rPr>
          <w:rStyle w:val="tlid-translation"/>
          <w:sz w:val="20"/>
          <w:szCs w:val="20"/>
        </w:rPr>
        <w:t xml:space="preserve"> 2021</w:t>
      </w:r>
      <w:r>
        <w:rPr>
          <w:rStyle w:val="tlid-translation"/>
          <w:sz w:val="20"/>
          <w:szCs w:val="20"/>
        </w:rPr>
        <w:t>), le 18 octobre 2021 toutes</w:t>
      </w:r>
      <w:r w:rsidRPr="00B34C19">
        <w:rPr>
          <w:rStyle w:val="tlid-translation"/>
          <w:sz w:val="20"/>
          <w:szCs w:val="20"/>
        </w:rPr>
        <w:t xml:space="preserve"> les </w:t>
      </w:r>
      <w:r>
        <w:rPr>
          <w:rStyle w:val="tlid-translation"/>
          <w:sz w:val="20"/>
          <w:szCs w:val="20"/>
        </w:rPr>
        <w:t>a</w:t>
      </w:r>
      <w:r w:rsidRPr="00B34C19">
        <w:rPr>
          <w:rStyle w:val="tlid-translation"/>
          <w:sz w:val="20"/>
          <w:szCs w:val="20"/>
        </w:rPr>
        <w:t xml:space="preserve">ctions de Préférence A et les </w:t>
      </w:r>
      <w:r>
        <w:rPr>
          <w:rStyle w:val="tlid-translation"/>
          <w:sz w:val="20"/>
          <w:szCs w:val="20"/>
        </w:rPr>
        <w:t>a</w:t>
      </w:r>
      <w:r w:rsidRPr="00B34C19">
        <w:rPr>
          <w:rStyle w:val="tlid-translation"/>
          <w:sz w:val="20"/>
          <w:szCs w:val="20"/>
        </w:rPr>
        <w:t xml:space="preserve">ctions de Préférence C </w:t>
      </w:r>
      <w:r>
        <w:rPr>
          <w:rStyle w:val="tlid-translation"/>
          <w:sz w:val="20"/>
          <w:szCs w:val="20"/>
        </w:rPr>
        <w:t xml:space="preserve">ont été </w:t>
      </w:r>
      <w:r w:rsidRPr="00B34C19">
        <w:rPr>
          <w:rStyle w:val="tlid-translation"/>
          <w:sz w:val="20"/>
          <w:szCs w:val="20"/>
        </w:rPr>
        <w:t xml:space="preserve">converties en </w:t>
      </w:r>
      <w:r>
        <w:rPr>
          <w:rStyle w:val="tlid-translation"/>
          <w:sz w:val="20"/>
          <w:szCs w:val="20"/>
        </w:rPr>
        <w:t>a</w:t>
      </w:r>
      <w:r w:rsidRPr="00B34C19">
        <w:rPr>
          <w:rStyle w:val="tlid-translation"/>
          <w:sz w:val="20"/>
          <w:szCs w:val="20"/>
        </w:rPr>
        <w:t>ctions Ordinaires de la Société</w:t>
      </w:r>
      <w:r>
        <w:rPr>
          <w:rStyle w:val="tlid-translation"/>
          <w:sz w:val="20"/>
          <w:szCs w:val="20"/>
        </w:rPr>
        <w:t>.</w:t>
      </w:r>
      <w:r w:rsidRPr="00B34C19">
        <w:rPr>
          <w:rStyle w:val="tlid-translation"/>
          <w:sz w:val="20"/>
          <w:szCs w:val="20"/>
        </w:rPr>
        <w:t xml:space="preserve"> Cette opération </w:t>
      </w:r>
      <w:r>
        <w:rPr>
          <w:rStyle w:val="tlid-translation"/>
          <w:sz w:val="20"/>
          <w:szCs w:val="20"/>
        </w:rPr>
        <w:t xml:space="preserve">n’affecte ni </w:t>
      </w:r>
      <w:r w:rsidRPr="00B34C19">
        <w:rPr>
          <w:rStyle w:val="tlid-translation"/>
          <w:sz w:val="20"/>
          <w:szCs w:val="20"/>
        </w:rPr>
        <w:t>les capitaux propres</w:t>
      </w:r>
      <w:r>
        <w:rPr>
          <w:rStyle w:val="tlid-translation"/>
          <w:sz w:val="20"/>
          <w:szCs w:val="20"/>
        </w:rPr>
        <w:t>, ni</w:t>
      </w:r>
      <w:r w:rsidR="0082596D">
        <w:rPr>
          <w:rStyle w:val="tlid-translation"/>
          <w:sz w:val="20"/>
          <w:szCs w:val="20"/>
        </w:rPr>
        <w:t xml:space="preserve"> le</w:t>
      </w:r>
      <w:r>
        <w:rPr>
          <w:rStyle w:val="tlid-translation"/>
          <w:sz w:val="20"/>
          <w:szCs w:val="20"/>
        </w:rPr>
        <w:t xml:space="preserve"> </w:t>
      </w:r>
      <w:r w:rsidRPr="00B34C19">
        <w:rPr>
          <w:rStyle w:val="tlid-translation"/>
          <w:sz w:val="20"/>
          <w:szCs w:val="20"/>
        </w:rPr>
        <w:t>compte de résultat, ni la trésorerie.</w:t>
      </w:r>
    </w:p>
    <w:p w14:paraId="6AE1D959" w14:textId="1E4DD4B5" w:rsidR="0051117F" w:rsidRDefault="0051117F" w:rsidP="0051117F">
      <w:pPr>
        <w:spacing w:after="240" w:line="240" w:lineRule="auto"/>
        <w:jc w:val="both"/>
        <w:rPr>
          <w:rStyle w:val="tlid-translation"/>
          <w:sz w:val="20"/>
          <w:szCs w:val="20"/>
        </w:rPr>
      </w:pPr>
      <w:r>
        <w:rPr>
          <w:rStyle w:val="tlid-translation"/>
          <w:sz w:val="20"/>
          <w:szCs w:val="20"/>
        </w:rPr>
        <w:t>Enfin, le Groupe a proposé à ses salariés de souscrire à une offre d’actionnariat réservée aux employés du Groupe (« </w:t>
      </w:r>
      <w:proofErr w:type="spellStart"/>
      <w:r>
        <w:rPr>
          <w:rStyle w:val="tlid-translation"/>
          <w:sz w:val="20"/>
          <w:szCs w:val="20"/>
        </w:rPr>
        <w:t>Employee</w:t>
      </w:r>
      <w:proofErr w:type="spellEnd"/>
      <w:r>
        <w:rPr>
          <w:rStyle w:val="tlid-translation"/>
          <w:sz w:val="20"/>
          <w:szCs w:val="20"/>
        </w:rPr>
        <w:t xml:space="preserve"> </w:t>
      </w:r>
      <w:proofErr w:type="spellStart"/>
      <w:r>
        <w:rPr>
          <w:rStyle w:val="tlid-translation"/>
          <w:sz w:val="20"/>
          <w:szCs w:val="20"/>
        </w:rPr>
        <w:t>Shareplan</w:t>
      </w:r>
      <w:proofErr w:type="spellEnd"/>
      <w:r>
        <w:rPr>
          <w:rStyle w:val="tlid-translation"/>
          <w:sz w:val="20"/>
          <w:szCs w:val="20"/>
        </w:rPr>
        <w:t xml:space="preserve"> 2021 » ou « ESP </w:t>
      </w:r>
      <w:proofErr w:type="gramStart"/>
      <w:r>
        <w:rPr>
          <w:rStyle w:val="tlid-translation"/>
          <w:sz w:val="20"/>
          <w:szCs w:val="20"/>
        </w:rPr>
        <w:t>2021»</w:t>
      </w:r>
      <w:proofErr w:type="gramEnd"/>
      <w:r>
        <w:rPr>
          <w:rStyle w:val="tlid-translation"/>
          <w:sz w:val="20"/>
          <w:szCs w:val="20"/>
        </w:rPr>
        <w:t xml:space="preserve">). </w:t>
      </w:r>
      <w:r w:rsidRPr="00511B66">
        <w:rPr>
          <w:rStyle w:val="tlid-translation"/>
          <w:sz w:val="20"/>
          <w:szCs w:val="20"/>
        </w:rPr>
        <w:t xml:space="preserve">Cette offre s’adresse aux employés du Groupe en France et à l’International, en tenant compte d’un abondement pris en charge par la Société et d’une décote de 30% accordée sur le prix des actions. Le Directeur Général de la Société a constaté le 9 novembre 2021, la réalisation de l’augmentation de capital au titre de cette offre d’actionnariat salarié pour un montant </w:t>
      </w:r>
      <w:r w:rsidRPr="00CC1E60">
        <w:rPr>
          <w:rStyle w:val="tlid-translation"/>
          <w:sz w:val="20"/>
          <w:szCs w:val="20"/>
        </w:rPr>
        <w:t xml:space="preserve">de </w:t>
      </w:r>
      <w:r w:rsidRPr="00F84B4C">
        <w:rPr>
          <w:rStyle w:val="tlid-translation"/>
          <w:sz w:val="20"/>
          <w:szCs w:val="20"/>
        </w:rPr>
        <w:t>9,8</w:t>
      </w:r>
      <w:r w:rsidRPr="00CC1E60">
        <w:rPr>
          <w:rStyle w:val="tlid-translation"/>
          <w:sz w:val="20"/>
          <w:szCs w:val="20"/>
        </w:rPr>
        <w:t xml:space="preserve"> millions d’euros</w:t>
      </w:r>
      <w:r w:rsidRPr="00511B66">
        <w:rPr>
          <w:rStyle w:val="tlid-translation"/>
          <w:sz w:val="20"/>
          <w:szCs w:val="20"/>
        </w:rPr>
        <w:t xml:space="preserve"> correspondant à l’émission </w:t>
      </w:r>
      <w:r w:rsidRPr="005B2B8B">
        <w:rPr>
          <w:rStyle w:val="tlid-translation"/>
          <w:sz w:val="20"/>
          <w:szCs w:val="20"/>
        </w:rPr>
        <w:t xml:space="preserve">de </w:t>
      </w:r>
      <w:r w:rsidRPr="00F84B4C">
        <w:rPr>
          <w:rStyle w:val="tlid-translation"/>
          <w:sz w:val="20"/>
          <w:szCs w:val="20"/>
        </w:rPr>
        <w:t>1 365 343</w:t>
      </w:r>
      <w:r w:rsidRPr="005B2B8B">
        <w:rPr>
          <w:rStyle w:val="tlid-translation"/>
          <w:sz w:val="20"/>
          <w:szCs w:val="20"/>
        </w:rPr>
        <w:t xml:space="preserve"> actions nouvelles. A la suite</w:t>
      </w:r>
      <w:r>
        <w:rPr>
          <w:rStyle w:val="tlid-translation"/>
          <w:sz w:val="20"/>
          <w:szCs w:val="20"/>
        </w:rPr>
        <w:t xml:space="preserve"> de cette offre,</w:t>
      </w:r>
      <w:r w:rsidR="00EC2187">
        <w:rPr>
          <w:rStyle w:val="tlid-translation"/>
          <w:sz w:val="20"/>
          <w:szCs w:val="20"/>
        </w:rPr>
        <w:t xml:space="preserve"> à la date d’octroi, </w:t>
      </w:r>
      <w:r>
        <w:rPr>
          <w:rStyle w:val="tlid-translation"/>
          <w:sz w:val="20"/>
          <w:szCs w:val="20"/>
        </w:rPr>
        <w:t xml:space="preserve">97,8% des salariés </w:t>
      </w:r>
      <w:r w:rsidR="00153B4E">
        <w:rPr>
          <w:rStyle w:val="tlid-translation"/>
          <w:sz w:val="20"/>
          <w:szCs w:val="20"/>
        </w:rPr>
        <w:t xml:space="preserve">éligibles </w:t>
      </w:r>
      <w:r>
        <w:rPr>
          <w:rStyle w:val="tlid-translation"/>
          <w:sz w:val="20"/>
          <w:szCs w:val="20"/>
        </w:rPr>
        <w:t xml:space="preserve">sont devenus actionnaires du Groupe. </w:t>
      </w:r>
    </w:p>
    <w:bookmarkEnd w:id="121"/>
    <w:p w14:paraId="770BC923" w14:textId="77777777" w:rsidR="005013F9" w:rsidRPr="005013F9" w:rsidRDefault="005013F9" w:rsidP="005013F9">
      <w:pPr>
        <w:spacing w:after="240"/>
        <w:rPr>
          <w:rFonts w:asciiTheme="minorHAnsi" w:hAnsiTheme="minorHAnsi" w:cstheme="minorHAnsi"/>
          <w:b/>
          <w:bCs/>
        </w:rPr>
      </w:pPr>
      <w:r w:rsidRPr="005013F9">
        <w:rPr>
          <w:rFonts w:asciiTheme="minorHAnsi" w:hAnsiTheme="minorHAnsi" w:cstheme="minorHAnsi"/>
          <w:b/>
          <w:bCs/>
        </w:rPr>
        <w:t>Situation en Ukraine</w:t>
      </w:r>
    </w:p>
    <w:p w14:paraId="1A304E69" w14:textId="7BC13F6A" w:rsidR="005013F9" w:rsidRPr="005013F9" w:rsidRDefault="005013F9" w:rsidP="005013F9">
      <w:pPr>
        <w:spacing w:after="240" w:line="240" w:lineRule="auto"/>
        <w:jc w:val="both"/>
        <w:rPr>
          <w:rStyle w:val="tlid-translation"/>
          <w:rFonts w:cs="Calibri"/>
          <w:sz w:val="20"/>
          <w:szCs w:val="20"/>
        </w:rPr>
      </w:pPr>
      <w:r w:rsidRPr="005013F9">
        <w:rPr>
          <w:rStyle w:val="tlid-translation"/>
          <w:sz w:val="20"/>
          <w:szCs w:val="20"/>
        </w:rPr>
        <w:t xml:space="preserve">Dans le contexte géopolitique dégradé entre la Russie et l’Ukraine, le </w:t>
      </w:r>
      <w:r w:rsidRPr="005013F9">
        <w:rPr>
          <w:rStyle w:val="tlid-translation"/>
          <w:rFonts w:cs="Calibri"/>
          <w:sz w:val="20"/>
          <w:szCs w:val="20"/>
        </w:rPr>
        <w:t>Groupe assure un suivi constant de ses activités en Russie, Biélorussie et Ukraine. Dans ce cadre, le Groupe précise qu’il respecte de façon rigoureuse les réglementations en vigueur.</w:t>
      </w:r>
    </w:p>
    <w:p w14:paraId="4A3CCE03" w14:textId="77777777" w:rsidR="005013F9" w:rsidRPr="005013F9" w:rsidRDefault="005013F9" w:rsidP="005013F9">
      <w:pPr>
        <w:spacing w:after="240" w:line="240" w:lineRule="auto"/>
        <w:jc w:val="both"/>
        <w:rPr>
          <w:rStyle w:val="tlid-translation"/>
          <w:rFonts w:cs="Calibri"/>
          <w:sz w:val="20"/>
          <w:szCs w:val="20"/>
        </w:rPr>
      </w:pPr>
      <w:r w:rsidRPr="005013F9">
        <w:rPr>
          <w:rStyle w:val="tlid-translation"/>
          <w:rFonts w:cs="Calibri"/>
          <w:sz w:val="20"/>
          <w:szCs w:val="20"/>
        </w:rPr>
        <w:t>Le Groupe précise par ailleurs que :</w:t>
      </w:r>
    </w:p>
    <w:p w14:paraId="19B827F4" w14:textId="7133A418" w:rsidR="005013F9" w:rsidRPr="005013F9" w:rsidRDefault="005013F9" w:rsidP="0041512C">
      <w:pPr>
        <w:pStyle w:val="Paragraphedeliste"/>
        <w:numPr>
          <w:ilvl w:val="0"/>
          <w:numId w:val="17"/>
        </w:numPr>
        <w:spacing w:before="120" w:after="0" w:line="240" w:lineRule="auto"/>
        <w:ind w:left="426" w:hanging="426"/>
        <w:jc w:val="both"/>
        <w:rPr>
          <w:rFonts w:cs="Calibri"/>
          <w:sz w:val="20"/>
          <w:szCs w:val="20"/>
        </w:rPr>
      </w:pPr>
      <w:proofErr w:type="gramStart"/>
      <w:r w:rsidRPr="005013F9">
        <w:rPr>
          <w:rFonts w:cs="Calibri"/>
          <w:sz w:val="20"/>
          <w:szCs w:val="20"/>
        </w:rPr>
        <w:t>le</w:t>
      </w:r>
      <w:proofErr w:type="gramEnd"/>
      <w:r w:rsidRPr="005013F9">
        <w:rPr>
          <w:rFonts w:cs="Calibri"/>
          <w:sz w:val="20"/>
          <w:szCs w:val="20"/>
        </w:rPr>
        <w:t xml:space="preserve"> chiffre d’affaires réalisé en Russie, Biélorussie et Ukraine représente </w:t>
      </w:r>
      <w:r w:rsidR="0024594B">
        <w:rPr>
          <w:rFonts w:cs="Calibri"/>
          <w:sz w:val="20"/>
          <w:szCs w:val="20"/>
        </w:rPr>
        <w:t>environ 1</w:t>
      </w:r>
      <w:r w:rsidR="00543284">
        <w:rPr>
          <w:rFonts w:cs="Calibri"/>
          <w:sz w:val="20"/>
          <w:szCs w:val="20"/>
        </w:rPr>
        <w:t>,</w:t>
      </w:r>
      <w:r w:rsidR="0024594B">
        <w:rPr>
          <w:rFonts w:cs="Calibri"/>
          <w:sz w:val="20"/>
          <w:szCs w:val="20"/>
        </w:rPr>
        <w:t>5</w:t>
      </w:r>
      <w:r w:rsidRPr="005013F9">
        <w:rPr>
          <w:rFonts w:cs="Calibri"/>
          <w:sz w:val="20"/>
          <w:szCs w:val="20"/>
        </w:rPr>
        <w:t xml:space="preserve">% </w:t>
      </w:r>
      <w:r w:rsidR="0024594B">
        <w:rPr>
          <w:rFonts w:cs="Calibri"/>
          <w:sz w:val="20"/>
          <w:szCs w:val="20"/>
        </w:rPr>
        <w:t>du</w:t>
      </w:r>
      <w:r w:rsidRPr="005013F9">
        <w:rPr>
          <w:rFonts w:cs="Calibri"/>
          <w:sz w:val="20"/>
          <w:szCs w:val="20"/>
        </w:rPr>
        <w:t xml:space="preserve"> chiffre d’affaires</w:t>
      </w:r>
      <w:r w:rsidR="0024594B">
        <w:rPr>
          <w:rFonts w:cs="Calibri"/>
          <w:sz w:val="20"/>
          <w:szCs w:val="20"/>
        </w:rPr>
        <w:t xml:space="preserve"> du Groupe</w:t>
      </w:r>
      <w:r w:rsidRPr="005013F9">
        <w:rPr>
          <w:rFonts w:cs="Calibri"/>
          <w:sz w:val="20"/>
          <w:szCs w:val="20"/>
        </w:rPr>
        <w:t xml:space="preserve"> au 28 février 2022 ;</w:t>
      </w:r>
    </w:p>
    <w:p w14:paraId="48E16D78" w14:textId="3203E6E9" w:rsidR="005013F9" w:rsidRPr="005013F9" w:rsidRDefault="005013F9" w:rsidP="0041512C">
      <w:pPr>
        <w:pStyle w:val="Paragraphedeliste"/>
        <w:numPr>
          <w:ilvl w:val="0"/>
          <w:numId w:val="17"/>
        </w:numPr>
        <w:spacing w:before="120" w:after="0" w:line="240" w:lineRule="auto"/>
        <w:ind w:left="426" w:hanging="426"/>
        <w:jc w:val="both"/>
        <w:rPr>
          <w:rFonts w:cs="Calibri"/>
          <w:sz w:val="20"/>
          <w:szCs w:val="20"/>
        </w:rPr>
      </w:pPr>
      <w:proofErr w:type="gramStart"/>
      <w:r w:rsidRPr="005013F9">
        <w:rPr>
          <w:rFonts w:cs="Calibri"/>
          <w:sz w:val="20"/>
          <w:szCs w:val="20"/>
        </w:rPr>
        <w:t>le</w:t>
      </w:r>
      <w:proofErr w:type="gramEnd"/>
      <w:r w:rsidRPr="005013F9">
        <w:rPr>
          <w:rFonts w:cs="Calibri"/>
          <w:sz w:val="20"/>
          <w:szCs w:val="20"/>
        </w:rPr>
        <w:t xml:space="preserve"> Groupe n’emploie pas de collaborateurs en Ukraine</w:t>
      </w:r>
      <w:r>
        <w:rPr>
          <w:rFonts w:cs="Calibri"/>
          <w:sz w:val="20"/>
          <w:szCs w:val="20"/>
        </w:rPr>
        <w:t>, ni en Russie ou en Biélorussie ;</w:t>
      </w:r>
    </w:p>
    <w:p w14:paraId="0B31666B" w14:textId="6C774F8F" w:rsidR="005013F9" w:rsidRPr="005013F9" w:rsidRDefault="005013F9" w:rsidP="0041512C">
      <w:pPr>
        <w:pStyle w:val="Paragraphedeliste"/>
        <w:numPr>
          <w:ilvl w:val="0"/>
          <w:numId w:val="17"/>
        </w:numPr>
        <w:spacing w:before="120" w:after="0" w:line="240" w:lineRule="auto"/>
        <w:ind w:left="426" w:hanging="426"/>
        <w:jc w:val="both"/>
        <w:rPr>
          <w:rFonts w:cs="Calibri"/>
          <w:sz w:val="20"/>
          <w:szCs w:val="20"/>
        </w:rPr>
      </w:pPr>
      <w:proofErr w:type="gramStart"/>
      <w:r w:rsidRPr="005013F9">
        <w:rPr>
          <w:rFonts w:cs="Calibri"/>
          <w:sz w:val="20"/>
          <w:szCs w:val="20"/>
        </w:rPr>
        <w:t>le</w:t>
      </w:r>
      <w:proofErr w:type="gramEnd"/>
      <w:r w:rsidRPr="005013F9">
        <w:rPr>
          <w:rFonts w:cs="Calibri"/>
          <w:sz w:val="20"/>
          <w:szCs w:val="20"/>
        </w:rPr>
        <w:t xml:space="preserve"> </w:t>
      </w:r>
      <w:r w:rsidR="00601990">
        <w:rPr>
          <w:rFonts w:cs="Calibri"/>
          <w:sz w:val="20"/>
          <w:szCs w:val="20"/>
        </w:rPr>
        <w:t xml:space="preserve">Groupe n’a pas </w:t>
      </w:r>
      <w:r w:rsidRPr="005013F9">
        <w:rPr>
          <w:rFonts w:cs="Calibri"/>
          <w:sz w:val="20"/>
          <w:szCs w:val="20"/>
        </w:rPr>
        <w:t>de prestataires (personne</w:t>
      </w:r>
      <w:r w:rsidR="00725481">
        <w:rPr>
          <w:rFonts w:cs="Calibri"/>
          <w:sz w:val="20"/>
          <w:szCs w:val="20"/>
        </w:rPr>
        <w:t>s</w:t>
      </w:r>
      <w:r w:rsidRPr="005013F9">
        <w:rPr>
          <w:rFonts w:cs="Calibri"/>
          <w:sz w:val="20"/>
          <w:szCs w:val="20"/>
        </w:rPr>
        <w:t xml:space="preserve"> physique</w:t>
      </w:r>
      <w:r w:rsidR="00725481">
        <w:rPr>
          <w:rFonts w:cs="Calibri"/>
          <w:sz w:val="20"/>
          <w:szCs w:val="20"/>
        </w:rPr>
        <w:t>s</w:t>
      </w:r>
      <w:r w:rsidRPr="005013F9">
        <w:rPr>
          <w:rFonts w:cs="Calibri"/>
          <w:sz w:val="20"/>
          <w:szCs w:val="20"/>
        </w:rPr>
        <w:t>) basés en Ukraine</w:t>
      </w:r>
      <w:r w:rsidR="00601990">
        <w:rPr>
          <w:rFonts w:cs="Calibri"/>
          <w:sz w:val="20"/>
          <w:szCs w:val="20"/>
        </w:rPr>
        <w:t> ;</w:t>
      </w:r>
    </w:p>
    <w:p w14:paraId="0132D7D7" w14:textId="652B0F19" w:rsidR="005013F9" w:rsidRPr="005013F9" w:rsidRDefault="005013F9" w:rsidP="0041512C">
      <w:pPr>
        <w:pStyle w:val="Paragraphedeliste"/>
        <w:numPr>
          <w:ilvl w:val="0"/>
          <w:numId w:val="17"/>
        </w:numPr>
        <w:spacing w:before="120" w:after="0" w:line="240" w:lineRule="auto"/>
        <w:ind w:left="426" w:hanging="426"/>
        <w:jc w:val="both"/>
        <w:rPr>
          <w:rFonts w:cs="Calibri"/>
          <w:sz w:val="20"/>
          <w:szCs w:val="20"/>
        </w:rPr>
      </w:pPr>
      <w:proofErr w:type="gramStart"/>
      <w:r w:rsidRPr="005013F9">
        <w:rPr>
          <w:rFonts w:cs="Calibri"/>
          <w:sz w:val="20"/>
          <w:szCs w:val="20"/>
        </w:rPr>
        <w:t>il</w:t>
      </w:r>
      <w:proofErr w:type="gramEnd"/>
      <w:r w:rsidRPr="005013F9">
        <w:rPr>
          <w:rFonts w:cs="Calibri"/>
          <w:sz w:val="20"/>
          <w:szCs w:val="20"/>
        </w:rPr>
        <w:t xml:space="preserve"> ne possède pas d’</w:t>
      </w:r>
      <w:r w:rsidR="00434F90">
        <w:rPr>
          <w:rFonts w:cs="Calibri"/>
          <w:sz w:val="20"/>
          <w:szCs w:val="20"/>
        </w:rPr>
        <w:t>i</w:t>
      </w:r>
      <w:r w:rsidRPr="005013F9">
        <w:rPr>
          <w:rFonts w:cs="Calibri"/>
          <w:sz w:val="20"/>
          <w:szCs w:val="20"/>
        </w:rPr>
        <w:t>nfrastructures dans ces 3 pays ;</w:t>
      </w:r>
    </w:p>
    <w:p w14:paraId="2774A8D1" w14:textId="3FEF1EF4" w:rsidR="006D4FC8" w:rsidRPr="005013F9" w:rsidRDefault="005013F9" w:rsidP="0041512C">
      <w:pPr>
        <w:pStyle w:val="Paragraphedeliste"/>
        <w:numPr>
          <w:ilvl w:val="0"/>
          <w:numId w:val="17"/>
        </w:numPr>
        <w:spacing w:before="120" w:after="0" w:line="240" w:lineRule="auto"/>
        <w:ind w:left="426" w:hanging="426"/>
        <w:jc w:val="both"/>
        <w:rPr>
          <w:b/>
          <w:color w:val="2F5496"/>
          <w:sz w:val="20"/>
          <w:szCs w:val="20"/>
        </w:rPr>
      </w:pPr>
      <w:proofErr w:type="gramStart"/>
      <w:r w:rsidRPr="005013F9">
        <w:rPr>
          <w:rFonts w:cs="Calibri"/>
          <w:sz w:val="20"/>
          <w:szCs w:val="20"/>
        </w:rPr>
        <w:t>il</w:t>
      </w:r>
      <w:proofErr w:type="gramEnd"/>
      <w:r w:rsidRPr="005013F9">
        <w:rPr>
          <w:rFonts w:cs="Calibri"/>
          <w:sz w:val="20"/>
          <w:szCs w:val="20"/>
        </w:rPr>
        <w:t xml:space="preserve"> </w:t>
      </w:r>
      <w:r w:rsidR="00CA0453">
        <w:rPr>
          <w:rFonts w:cs="Calibri"/>
          <w:sz w:val="20"/>
          <w:szCs w:val="20"/>
        </w:rPr>
        <w:t>n’existe pas de</w:t>
      </w:r>
      <w:r w:rsidRPr="005013F9">
        <w:rPr>
          <w:rFonts w:cs="Calibri"/>
          <w:sz w:val="20"/>
          <w:szCs w:val="20"/>
        </w:rPr>
        <w:t xml:space="preserve"> risque </w:t>
      </w:r>
      <w:r w:rsidR="00821499">
        <w:rPr>
          <w:rFonts w:cs="Calibri"/>
          <w:sz w:val="20"/>
          <w:szCs w:val="20"/>
        </w:rPr>
        <w:t>matériel</w:t>
      </w:r>
      <w:r w:rsidRPr="005013F9">
        <w:rPr>
          <w:rFonts w:cs="Calibri"/>
          <w:sz w:val="20"/>
          <w:szCs w:val="20"/>
        </w:rPr>
        <w:t xml:space="preserve"> de recouvrement des créances dues au 28 février 2022.</w:t>
      </w:r>
      <w:r w:rsidRPr="005013F9">
        <w:rPr>
          <w:rFonts w:cs="Calibri"/>
          <w:b/>
          <w:color w:val="2F5496"/>
          <w:sz w:val="20"/>
          <w:szCs w:val="20"/>
        </w:rPr>
        <w:t xml:space="preserve"> </w:t>
      </w:r>
    </w:p>
    <w:p w14:paraId="707AB264" w14:textId="77777777" w:rsidR="00213650" w:rsidRDefault="00213650" w:rsidP="00892207">
      <w:pPr>
        <w:spacing w:after="240"/>
        <w:rPr>
          <w:rFonts w:asciiTheme="minorHAnsi" w:hAnsiTheme="minorHAnsi" w:cstheme="minorHAnsi"/>
          <w:b/>
        </w:rPr>
      </w:pPr>
    </w:p>
    <w:p w14:paraId="228BE3A0" w14:textId="77777777" w:rsidR="00892207" w:rsidRDefault="00892207" w:rsidP="00892207">
      <w:pPr>
        <w:spacing w:after="240"/>
        <w:rPr>
          <w:rFonts w:asciiTheme="minorHAnsi" w:hAnsiTheme="minorHAnsi" w:cstheme="minorHAnsi"/>
          <w:b/>
          <w:bCs/>
        </w:rPr>
      </w:pPr>
      <w:r>
        <w:rPr>
          <w:rFonts w:asciiTheme="minorHAnsi" w:hAnsiTheme="minorHAnsi" w:cstheme="minorHAnsi"/>
          <w:b/>
          <w:bCs/>
        </w:rPr>
        <w:t>Incident de Strasbourg</w:t>
      </w:r>
    </w:p>
    <w:p w14:paraId="545CAB1D" w14:textId="0D983091" w:rsidR="00892207" w:rsidRDefault="00892207" w:rsidP="007B2AAC">
      <w:pPr>
        <w:spacing w:after="240"/>
        <w:jc w:val="both"/>
        <w:rPr>
          <w:rStyle w:val="tlid-translation"/>
          <w:sz w:val="20"/>
          <w:szCs w:val="20"/>
        </w:rPr>
      </w:pPr>
      <w:r w:rsidRPr="007B2AAC">
        <w:rPr>
          <w:rStyle w:val="tlid-translation"/>
          <w:sz w:val="20"/>
          <w:szCs w:val="20"/>
        </w:rPr>
        <w:t xml:space="preserve">Dans la nuit du 9 au 10 mars 2021, un incendie s’est déclaré dans l’un des 4 centres de données d’OVHcloud à Strasbourg, France. L’électricité ayant dû être coupée, le fonctionnement de tous les centres de données du site a été interrompu. Le centre de données dans lequel le feu s’est déclaré a été détruit et un deuxième centre de données </w:t>
      </w:r>
      <w:r w:rsidRPr="00892207">
        <w:rPr>
          <w:rStyle w:val="tlid-translation"/>
          <w:sz w:val="20"/>
          <w:szCs w:val="20"/>
        </w:rPr>
        <w:t>a été</w:t>
      </w:r>
      <w:r w:rsidRPr="007B2AAC">
        <w:rPr>
          <w:rStyle w:val="tlid-translation"/>
          <w:sz w:val="20"/>
          <w:szCs w:val="20"/>
        </w:rPr>
        <w:t xml:space="preserve"> démantelé. Aucun dommage humain ou corporel n’a été subi, mais plusieurs milliers de clients ont été affectés par l’interruption et certains ont perdu des données, la plupart d’entre eux n’ayant pas opté préalablement pour une solution de sauvegarde proposée par la Société.</w:t>
      </w:r>
      <w:r>
        <w:rPr>
          <w:rStyle w:val="tlid-translation"/>
          <w:b/>
          <w:bCs/>
          <w:sz w:val="20"/>
          <w:szCs w:val="20"/>
        </w:rPr>
        <w:t xml:space="preserve"> </w:t>
      </w:r>
    </w:p>
    <w:p w14:paraId="7216E791" w14:textId="0438D467" w:rsidR="00892207" w:rsidRPr="007B2AAC" w:rsidRDefault="00892207" w:rsidP="007B2AAC">
      <w:pPr>
        <w:pStyle w:val="Style1"/>
        <w:numPr>
          <w:ilvl w:val="0"/>
          <w:numId w:val="0"/>
        </w:numPr>
        <w:tabs>
          <w:tab w:val="left" w:pos="567"/>
        </w:tabs>
        <w:jc w:val="both"/>
        <w:outlineLvl w:val="9"/>
        <w:rPr>
          <w:rStyle w:val="tlid-translation"/>
          <w:rFonts w:eastAsia="DengXian" w:cs="Arial"/>
          <w:color w:val="auto"/>
          <w:sz w:val="20"/>
          <w:szCs w:val="20"/>
        </w:rPr>
      </w:pPr>
      <w:r w:rsidRPr="00892207">
        <w:rPr>
          <w:rStyle w:val="tlid-translation"/>
          <w:rFonts w:eastAsia="DengXian" w:cs="Arial"/>
          <w:b w:val="0"/>
          <w:bCs w:val="0"/>
          <w:color w:val="auto"/>
          <w:sz w:val="20"/>
          <w:szCs w:val="20"/>
        </w:rPr>
        <w:lastRenderedPageBreak/>
        <w:t xml:space="preserve">A titre de geste commercial, </w:t>
      </w:r>
      <w:r>
        <w:rPr>
          <w:rStyle w:val="tlid-translation"/>
          <w:rFonts w:eastAsia="DengXian" w:cs="Arial"/>
          <w:b w:val="0"/>
          <w:bCs w:val="0"/>
          <w:color w:val="auto"/>
          <w:sz w:val="20"/>
          <w:szCs w:val="20"/>
        </w:rPr>
        <w:t>le Groupe</w:t>
      </w:r>
      <w:r w:rsidRPr="00892207">
        <w:rPr>
          <w:rStyle w:val="tlid-translation"/>
          <w:rFonts w:eastAsia="DengXian" w:cs="Arial"/>
          <w:b w:val="0"/>
          <w:bCs w:val="0"/>
          <w:color w:val="auto"/>
          <w:sz w:val="20"/>
          <w:szCs w:val="20"/>
        </w:rPr>
        <w:t xml:space="preserve"> </w:t>
      </w:r>
      <w:r>
        <w:rPr>
          <w:rStyle w:val="tlid-translation"/>
          <w:rFonts w:eastAsia="DengXian" w:cs="Arial"/>
          <w:b w:val="0"/>
          <w:bCs w:val="0"/>
          <w:color w:val="auto"/>
          <w:sz w:val="20"/>
          <w:szCs w:val="20"/>
        </w:rPr>
        <w:t>a notamment</w:t>
      </w:r>
      <w:r w:rsidRPr="00892207">
        <w:rPr>
          <w:rStyle w:val="tlid-translation"/>
          <w:rFonts w:eastAsia="DengXian" w:cs="Arial"/>
          <w:b w:val="0"/>
          <w:bCs w:val="0"/>
          <w:color w:val="auto"/>
          <w:sz w:val="20"/>
          <w:szCs w:val="20"/>
        </w:rPr>
        <w:t xml:space="preserve"> émis des bons aux clients dont les services ont été affectés, leur permettant de bénéficier de services gratuits pendant un certain temps, pour un montant maximum de 27,8 millions d’euros (dont 20,0 millions d’euros </w:t>
      </w:r>
      <w:r>
        <w:rPr>
          <w:rStyle w:val="tlid-translation"/>
          <w:rFonts w:eastAsia="DengXian" w:cs="Arial"/>
          <w:b w:val="0"/>
          <w:bCs w:val="0"/>
          <w:color w:val="auto"/>
          <w:sz w:val="20"/>
          <w:szCs w:val="20"/>
        </w:rPr>
        <w:t>avaient été</w:t>
      </w:r>
      <w:r w:rsidRPr="00892207">
        <w:rPr>
          <w:rStyle w:val="tlid-translation"/>
          <w:rFonts w:eastAsia="DengXian" w:cs="Arial"/>
          <w:b w:val="0"/>
          <w:bCs w:val="0"/>
          <w:color w:val="auto"/>
          <w:sz w:val="20"/>
          <w:szCs w:val="20"/>
        </w:rPr>
        <w:t xml:space="preserve"> utilisés au 31 août 2021</w:t>
      </w:r>
      <w:r>
        <w:rPr>
          <w:rStyle w:val="tlid-translation"/>
          <w:rFonts w:eastAsia="DengXian" w:cs="Arial"/>
          <w:b w:val="0"/>
          <w:bCs w:val="0"/>
          <w:color w:val="auto"/>
          <w:sz w:val="20"/>
          <w:szCs w:val="20"/>
        </w:rPr>
        <w:t xml:space="preserve">, </w:t>
      </w:r>
      <w:r w:rsidR="008F707E">
        <w:rPr>
          <w:rStyle w:val="tlid-translation"/>
          <w:rFonts w:eastAsia="DengXian" w:cs="Arial"/>
          <w:b w:val="0"/>
          <w:bCs w:val="0"/>
          <w:color w:val="auto"/>
          <w:sz w:val="20"/>
          <w:szCs w:val="20"/>
        </w:rPr>
        <w:t xml:space="preserve">et 24,3 </w:t>
      </w:r>
      <w:r w:rsidR="008F707E" w:rsidRPr="00892207">
        <w:rPr>
          <w:rStyle w:val="tlid-translation"/>
          <w:rFonts w:eastAsia="DengXian" w:cs="Arial"/>
          <w:b w:val="0"/>
          <w:bCs w:val="0"/>
          <w:color w:val="auto"/>
          <w:sz w:val="20"/>
          <w:szCs w:val="20"/>
        </w:rPr>
        <w:t xml:space="preserve">millions d’euros </w:t>
      </w:r>
      <w:r w:rsidR="008F707E">
        <w:rPr>
          <w:rStyle w:val="tlid-translation"/>
          <w:rFonts w:eastAsia="DengXian" w:cs="Arial"/>
          <w:b w:val="0"/>
          <w:bCs w:val="0"/>
          <w:color w:val="auto"/>
          <w:sz w:val="20"/>
          <w:szCs w:val="20"/>
        </w:rPr>
        <w:t>avaient été</w:t>
      </w:r>
      <w:r w:rsidR="008F707E" w:rsidRPr="00892207">
        <w:rPr>
          <w:rStyle w:val="tlid-translation"/>
          <w:rFonts w:eastAsia="DengXian" w:cs="Arial"/>
          <w:b w:val="0"/>
          <w:bCs w:val="0"/>
          <w:color w:val="auto"/>
          <w:sz w:val="20"/>
          <w:szCs w:val="20"/>
        </w:rPr>
        <w:t xml:space="preserve"> utilisés au </w:t>
      </w:r>
      <w:r w:rsidR="008F707E">
        <w:rPr>
          <w:rStyle w:val="tlid-translation"/>
          <w:rFonts w:eastAsia="DengXian" w:cs="Arial"/>
          <w:b w:val="0"/>
          <w:bCs w:val="0"/>
          <w:color w:val="auto"/>
          <w:sz w:val="20"/>
          <w:szCs w:val="20"/>
        </w:rPr>
        <w:t>28 février 2022</w:t>
      </w:r>
      <w:r w:rsidRPr="00892207">
        <w:rPr>
          <w:rStyle w:val="tlid-translation"/>
          <w:rFonts w:eastAsia="DengXian" w:cs="Arial"/>
          <w:b w:val="0"/>
          <w:bCs w:val="0"/>
          <w:color w:val="auto"/>
          <w:sz w:val="20"/>
          <w:szCs w:val="20"/>
        </w:rPr>
        <w:t xml:space="preserve">).   </w:t>
      </w:r>
    </w:p>
    <w:p w14:paraId="4C54651B" w14:textId="77777777" w:rsidR="00892207" w:rsidRDefault="00892207" w:rsidP="00BD7930">
      <w:pPr>
        <w:pStyle w:val="Style1"/>
        <w:numPr>
          <w:ilvl w:val="0"/>
          <w:numId w:val="0"/>
        </w:numPr>
        <w:tabs>
          <w:tab w:val="left" w:pos="567"/>
        </w:tabs>
        <w:outlineLvl w:val="9"/>
        <w:rPr>
          <w:rFonts w:asciiTheme="minorHAnsi" w:hAnsiTheme="minorHAnsi" w:cstheme="minorHAnsi"/>
          <w:b w:val="0"/>
          <w:bCs w:val="0"/>
          <w:color w:val="000E9A"/>
          <w:sz w:val="28"/>
          <w:szCs w:val="28"/>
          <w:u w:val="single"/>
        </w:rPr>
      </w:pPr>
    </w:p>
    <w:p w14:paraId="5A4496A9" w14:textId="5CB797EC" w:rsidR="0019042E" w:rsidRPr="00460CF3" w:rsidRDefault="0019042E" w:rsidP="00BD7930">
      <w:pPr>
        <w:pStyle w:val="Style1"/>
        <w:numPr>
          <w:ilvl w:val="0"/>
          <w:numId w:val="0"/>
        </w:numPr>
        <w:tabs>
          <w:tab w:val="left" w:pos="567"/>
        </w:tabs>
        <w:outlineLvl w:val="9"/>
        <w:rPr>
          <w:rFonts w:asciiTheme="minorHAnsi" w:hAnsiTheme="minorHAnsi" w:cstheme="minorHAnsi"/>
          <w:b w:val="0"/>
          <w:bCs w:val="0"/>
          <w:color w:val="000E9A"/>
          <w:sz w:val="28"/>
          <w:szCs w:val="28"/>
          <w:u w:val="single"/>
        </w:rPr>
      </w:pPr>
      <w:r w:rsidRPr="00460CF3">
        <w:rPr>
          <w:rFonts w:asciiTheme="minorHAnsi" w:hAnsiTheme="minorHAnsi" w:cstheme="minorHAnsi"/>
          <w:b w:val="0"/>
          <w:bCs w:val="0"/>
          <w:color w:val="000E9A"/>
          <w:sz w:val="28"/>
          <w:szCs w:val="28"/>
          <w:u w:val="single"/>
        </w:rPr>
        <w:t xml:space="preserve">Événements postérieurs à </w:t>
      </w:r>
      <w:r w:rsidR="004712F5" w:rsidRPr="00460CF3">
        <w:rPr>
          <w:rFonts w:asciiTheme="minorHAnsi" w:hAnsiTheme="minorHAnsi" w:cstheme="minorHAnsi"/>
          <w:b w:val="0"/>
          <w:bCs w:val="0"/>
          <w:color w:val="000E9A"/>
          <w:sz w:val="28"/>
          <w:szCs w:val="28"/>
          <w:u w:val="single"/>
        </w:rPr>
        <w:t>la date de clôture</w:t>
      </w:r>
      <w:bookmarkEnd w:id="118"/>
      <w:bookmarkEnd w:id="119"/>
    </w:p>
    <w:bookmarkEnd w:id="120"/>
    <w:p w14:paraId="0A4C0DC8" w14:textId="5F92C618" w:rsidR="00892207" w:rsidRDefault="00892207" w:rsidP="00BD7930">
      <w:pPr>
        <w:pStyle w:val="Style1"/>
        <w:numPr>
          <w:ilvl w:val="0"/>
          <w:numId w:val="0"/>
        </w:numPr>
        <w:tabs>
          <w:tab w:val="left" w:pos="567"/>
        </w:tabs>
        <w:outlineLvl w:val="9"/>
        <w:rPr>
          <w:rFonts w:asciiTheme="minorHAnsi" w:hAnsiTheme="minorHAnsi" w:cstheme="minorHAnsi"/>
          <w:b w:val="0"/>
          <w:bCs w:val="0"/>
          <w:color w:val="000E9A"/>
          <w:sz w:val="28"/>
          <w:szCs w:val="28"/>
          <w:u w:val="single"/>
        </w:rPr>
      </w:pPr>
    </w:p>
    <w:p w14:paraId="1CC66116" w14:textId="39D1BA0C" w:rsidR="00892207" w:rsidRPr="009A30FA" w:rsidRDefault="0062276F" w:rsidP="007B2AAC">
      <w:pPr>
        <w:pStyle w:val="Style1"/>
        <w:numPr>
          <w:ilvl w:val="0"/>
          <w:numId w:val="0"/>
        </w:numPr>
        <w:tabs>
          <w:tab w:val="left" w:pos="567"/>
        </w:tabs>
        <w:jc w:val="both"/>
        <w:outlineLvl w:val="9"/>
        <w:rPr>
          <w:rStyle w:val="tlid-translation"/>
          <w:rFonts w:eastAsia="DengXian" w:cs="Arial"/>
          <w:b w:val="0"/>
          <w:bCs w:val="0"/>
          <w:color w:val="auto"/>
          <w:sz w:val="20"/>
          <w:szCs w:val="20"/>
        </w:rPr>
      </w:pPr>
      <w:r w:rsidRPr="009A30FA">
        <w:rPr>
          <w:rStyle w:val="tlid-translation"/>
          <w:rFonts w:eastAsia="DengXian" w:cs="Arial"/>
          <w:b w:val="0"/>
          <w:bCs w:val="0"/>
          <w:color w:val="auto"/>
          <w:sz w:val="20"/>
          <w:szCs w:val="20"/>
        </w:rPr>
        <w:t>Aucun événement significatif n’est à signaler.</w:t>
      </w:r>
    </w:p>
    <w:p w14:paraId="334FE161" w14:textId="303A1442" w:rsidR="00A66575" w:rsidRDefault="00A66575" w:rsidP="00D01A82">
      <w:pPr>
        <w:tabs>
          <w:tab w:val="left" w:pos="810"/>
        </w:tabs>
        <w:jc w:val="both"/>
        <w:rPr>
          <w:sz w:val="20"/>
          <w:szCs w:val="20"/>
        </w:rPr>
      </w:pPr>
    </w:p>
    <w:p w14:paraId="581712C8" w14:textId="3A9F3348" w:rsidR="0019042E" w:rsidRPr="00C07ED8" w:rsidRDefault="0092593A" w:rsidP="0041512C">
      <w:pPr>
        <w:pStyle w:val="Titre1"/>
        <w:numPr>
          <w:ilvl w:val="0"/>
          <w:numId w:val="11"/>
        </w:numPr>
        <w:spacing w:before="240" w:after="0"/>
        <w:ind w:left="284" w:right="-74" w:hanging="284"/>
        <w:jc w:val="both"/>
        <w:rPr>
          <w:rFonts w:asciiTheme="minorHAnsi" w:hAnsiTheme="minorHAnsi" w:cstheme="minorHAnsi"/>
          <w:color w:val="000E9A"/>
          <w:sz w:val="28"/>
          <w:szCs w:val="28"/>
        </w:rPr>
      </w:pPr>
      <w:bookmarkStart w:id="123" w:name="_Toc74917159"/>
      <w:bookmarkStart w:id="124" w:name="_Toc69672333"/>
      <w:bookmarkStart w:id="125" w:name="_Toc69672741"/>
      <w:bookmarkStart w:id="126" w:name="_Toc69673148"/>
      <w:bookmarkStart w:id="127" w:name="_Toc69673554"/>
      <w:bookmarkStart w:id="128" w:name="_Toc69673960"/>
      <w:bookmarkStart w:id="129" w:name="_Toc69674318"/>
      <w:bookmarkStart w:id="130" w:name="_Toc69772142"/>
      <w:bookmarkStart w:id="131" w:name="_Toc69846764"/>
      <w:bookmarkStart w:id="132" w:name="_Toc69849751"/>
      <w:bookmarkStart w:id="133" w:name="_Toc69850236"/>
      <w:bookmarkStart w:id="134" w:name="_Toc70361692"/>
      <w:bookmarkStart w:id="135" w:name="_Toc71267131"/>
      <w:bookmarkStart w:id="136" w:name="_Toc72331018"/>
      <w:bookmarkStart w:id="137" w:name="_Toc72332386"/>
      <w:bookmarkStart w:id="138" w:name="_Toc69672334"/>
      <w:bookmarkStart w:id="139" w:name="_Toc69672742"/>
      <w:bookmarkStart w:id="140" w:name="_Toc69673149"/>
      <w:bookmarkStart w:id="141" w:name="_Toc69673555"/>
      <w:bookmarkStart w:id="142" w:name="_Toc69673961"/>
      <w:bookmarkStart w:id="143" w:name="_Toc69674319"/>
      <w:bookmarkStart w:id="144" w:name="_Toc69772143"/>
      <w:bookmarkStart w:id="145" w:name="_Toc69846765"/>
      <w:bookmarkStart w:id="146" w:name="_Toc69849752"/>
      <w:bookmarkStart w:id="147" w:name="_Toc69850237"/>
      <w:bookmarkStart w:id="148" w:name="_Toc70361693"/>
      <w:bookmarkStart w:id="149" w:name="_Toc71267132"/>
      <w:bookmarkStart w:id="150" w:name="_Toc72331019"/>
      <w:bookmarkStart w:id="151" w:name="_Toc72332387"/>
      <w:bookmarkStart w:id="152" w:name="_Toc100061291"/>
      <w:bookmarkStart w:id="153" w:name="_Toc100137290"/>
      <w:bookmarkStart w:id="154" w:name="_Toc100137740"/>
      <w:bookmarkStart w:id="155" w:name="_Toc99521787"/>
      <w:bookmarkStart w:id="156" w:name="_Toc99543948"/>
      <w:bookmarkStart w:id="157" w:name="_Toc99547314"/>
      <w:bookmarkStart w:id="158" w:name="_Toc62888528"/>
      <w:bookmarkStart w:id="159" w:name="_Toc74917160"/>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Pr>
          <w:rFonts w:asciiTheme="minorHAnsi" w:hAnsiTheme="minorHAnsi" w:cstheme="minorHAnsi"/>
          <w:color w:val="000E9A"/>
          <w:sz w:val="28"/>
          <w:szCs w:val="28"/>
        </w:rPr>
        <w:br w:type="page"/>
      </w:r>
      <w:bookmarkStart w:id="160" w:name="_Toc100603604"/>
      <w:bookmarkStart w:id="161" w:name="_Toc100605211"/>
      <w:bookmarkStart w:id="162" w:name="_Toc100684197"/>
      <w:bookmarkStart w:id="163" w:name="_Toc100689223"/>
      <w:bookmarkStart w:id="164" w:name="_Toc100689272"/>
      <w:bookmarkEnd w:id="158"/>
      <w:bookmarkEnd w:id="159"/>
      <w:r w:rsidR="00AB1B37">
        <w:rPr>
          <w:rFonts w:asciiTheme="minorHAnsi" w:hAnsiTheme="minorHAnsi" w:cstheme="minorHAnsi"/>
          <w:color w:val="000E9A"/>
          <w:sz w:val="28"/>
          <w:szCs w:val="28"/>
        </w:rPr>
        <w:lastRenderedPageBreak/>
        <w:t>Base de préparation des comptes consolidés semestriels résumés au 28 février 2022</w:t>
      </w:r>
      <w:bookmarkEnd w:id="160"/>
      <w:bookmarkEnd w:id="161"/>
      <w:bookmarkEnd w:id="162"/>
      <w:bookmarkEnd w:id="163"/>
      <w:bookmarkEnd w:id="164"/>
    </w:p>
    <w:p w14:paraId="782CA42E" w14:textId="77777777" w:rsidR="00B66570" w:rsidRDefault="00B66570" w:rsidP="00B66570"/>
    <w:p w14:paraId="5DC96848" w14:textId="23669C69" w:rsidR="00E82A0C" w:rsidRDefault="00A25BBE" w:rsidP="005B6FF3">
      <w:pPr>
        <w:pStyle w:val="Style1"/>
        <w:numPr>
          <w:ilvl w:val="0"/>
          <w:numId w:val="0"/>
        </w:numPr>
        <w:tabs>
          <w:tab w:val="left" w:pos="567"/>
        </w:tabs>
        <w:outlineLvl w:val="9"/>
        <w:rPr>
          <w:rFonts w:asciiTheme="minorHAnsi" w:hAnsiTheme="minorHAnsi" w:cstheme="minorHAnsi"/>
          <w:b w:val="0"/>
          <w:bCs w:val="0"/>
          <w:color w:val="000E9A"/>
          <w:sz w:val="28"/>
          <w:szCs w:val="28"/>
          <w:u w:val="single"/>
        </w:rPr>
      </w:pPr>
      <w:bookmarkStart w:id="165" w:name="_Toc40136366"/>
      <w:r w:rsidRPr="00A25BBE">
        <w:rPr>
          <w:rFonts w:asciiTheme="minorHAnsi" w:hAnsiTheme="minorHAnsi" w:cstheme="minorHAnsi"/>
          <w:b w:val="0"/>
          <w:bCs w:val="0"/>
          <w:color w:val="000E9A"/>
          <w:sz w:val="28"/>
          <w:szCs w:val="28"/>
          <w:u w:val="single"/>
        </w:rPr>
        <w:t>Référentiel IFRS</w:t>
      </w:r>
    </w:p>
    <w:p w14:paraId="328B2B22" w14:textId="77777777" w:rsidR="00AA743C" w:rsidRPr="00A25BBE" w:rsidRDefault="00AA743C" w:rsidP="005B6FF3">
      <w:pPr>
        <w:pStyle w:val="Style1"/>
        <w:numPr>
          <w:ilvl w:val="0"/>
          <w:numId w:val="0"/>
        </w:numPr>
        <w:tabs>
          <w:tab w:val="left" w:pos="567"/>
        </w:tabs>
        <w:outlineLvl w:val="9"/>
        <w:rPr>
          <w:rFonts w:asciiTheme="minorHAnsi" w:hAnsiTheme="minorHAnsi" w:cstheme="minorHAnsi"/>
          <w:b w:val="0"/>
          <w:bCs w:val="0"/>
          <w:color w:val="000E9A"/>
          <w:sz w:val="28"/>
          <w:szCs w:val="28"/>
          <w:u w:val="single"/>
        </w:rPr>
      </w:pPr>
    </w:p>
    <w:p w14:paraId="5FD383E7" w14:textId="0D9C6BE9" w:rsidR="00105D10" w:rsidRPr="00105D10" w:rsidRDefault="00105D10" w:rsidP="00105D10">
      <w:pPr>
        <w:pStyle w:val="Corpsdetexte"/>
        <w:spacing w:after="0" w:line="240" w:lineRule="auto"/>
        <w:jc w:val="both"/>
        <w:rPr>
          <w:sz w:val="20"/>
          <w:szCs w:val="20"/>
        </w:rPr>
      </w:pPr>
      <w:r w:rsidRPr="00105D10">
        <w:rPr>
          <w:sz w:val="20"/>
          <w:szCs w:val="20"/>
        </w:rPr>
        <w:t xml:space="preserve">Les états financiers résumés consolidés intermédiaires pour les </w:t>
      </w:r>
      <w:r>
        <w:rPr>
          <w:sz w:val="20"/>
          <w:szCs w:val="20"/>
        </w:rPr>
        <w:t xml:space="preserve">six </w:t>
      </w:r>
      <w:r w:rsidRPr="00105D10">
        <w:rPr>
          <w:sz w:val="20"/>
          <w:szCs w:val="20"/>
        </w:rPr>
        <w:t xml:space="preserve">mois clos le </w:t>
      </w:r>
      <w:r>
        <w:rPr>
          <w:sz w:val="20"/>
          <w:szCs w:val="20"/>
        </w:rPr>
        <w:t>28 février 2022</w:t>
      </w:r>
      <w:r w:rsidRPr="00105D10">
        <w:rPr>
          <w:sz w:val="20"/>
          <w:szCs w:val="20"/>
        </w:rPr>
        <w:t xml:space="preserve"> ont été préparés conformément à IAS 34 « Information financière intermédiaire » et sur la base des normes IFRS et des interprétations publiées par l’International </w:t>
      </w:r>
      <w:proofErr w:type="spellStart"/>
      <w:r w:rsidRPr="00105D10">
        <w:rPr>
          <w:sz w:val="20"/>
          <w:szCs w:val="20"/>
        </w:rPr>
        <w:t>Accounting</w:t>
      </w:r>
      <w:proofErr w:type="spellEnd"/>
      <w:r w:rsidRPr="00105D10">
        <w:rPr>
          <w:sz w:val="20"/>
          <w:szCs w:val="20"/>
        </w:rPr>
        <w:t xml:space="preserve"> Standards </w:t>
      </w:r>
      <w:proofErr w:type="spellStart"/>
      <w:r w:rsidRPr="00105D10">
        <w:rPr>
          <w:sz w:val="20"/>
          <w:szCs w:val="20"/>
        </w:rPr>
        <w:t>Board</w:t>
      </w:r>
      <w:proofErr w:type="spellEnd"/>
      <w:r w:rsidRPr="00105D10">
        <w:rPr>
          <w:sz w:val="20"/>
          <w:szCs w:val="20"/>
        </w:rPr>
        <w:t xml:space="preserve"> (IASB) telles qu’adoptées dans l’Union européenne et d’application obligatoire au </w:t>
      </w:r>
      <w:r w:rsidR="00F07F72">
        <w:rPr>
          <w:sz w:val="20"/>
          <w:szCs w:val="20"/>
        </w:rPr>
        <w:t>28 février 2022</w:t>
      </w:r>
      <w:r w:rsidRPr="00105D10">
        <w:rPr>
          <w:sz w:val="20"/>
          <w:szCs w:val="20"/>
        </w:rPr>
        <w:t>.</w:t>
      </w:r>
    </w:p>
    <w:p w14:paraId="4CCE4527" w14:textId="636DBA1C" w:rsidR="00D7604E" w:rsidRDefault="00105D10" w:rsidP="00105D10">
      <w:pPr>
        <w:pStyle w:val="Corpsdetexte"/>
        <w:spacing w:after="0" w:line="240" w:lineRule="auto"/>
        <w:jc w:val="both"/>
        <w:rPr>
          <w:sz w:val="20"/>
          <w:szCs w:val="20"/>
        </w:rPr>
      </w:pPr>
      <w:r w:rsidRPr="00105D10">
        <w:rPr>
          <w:sz w:val="20"/>
          <w:szCs w:val="20"/>
        </w:rPr>
        <w:t>Ces états financiers résumés consolidés intermédiaires ne comprennent</w:t>
      </w:r>
      <w:r>
        <w:rPr>
          <w:sz w:val="20"/>
          <w:szCs w:val="20"/>
        </w:rPr>
        <w:t xml:space="preserve"> donc</w:t>
      </w:r>
      <w:r w:rsidRPr="00105D10">
        <w:rPr>
          <w:sz w:val="20"/>
          <w:szCs w:val="20"/>
        </w:rPr>
        <w:t xml:space="preserve"> pas toutes les informations nécessaires à un jeu complet d'états financiers préparés selon les IFRS</w:t>
      </w:r>
      <w:r>
        <w:rPr>
          <w:sz w:val="20"/>
          <w:szCs w:val="20"/>
        </w:rPr>
        <w:t xml:space="preserve">, et </w:t>
      </w:r>
      <w:r w:rsidRPr="00105D10">
        <w:rPr>
          <w:sz w:val="20"/>
          <w:szCs w:val="20"/>
        </w:rPr>
        <w:t>doivent être lus en relation avec</w:t>
      </w:r>
      <w:r>
        <w:rPr>
          <w:sz w:val="20"/>
          <w:szCs w:val="20"/>
        </w:rPr>
        <w:t xml:space="preserve"> </w:t>
      </w:r>
      <w:r w:rsidRPr="0062558D">
        <w:rPr>
          <w:sz w:val="20"/>
          <w:szCs w:val="20"/>
        </w:rPr>
        <w:t>les derniers états</w:t>
      </w:r>
      <w:r w:rsidR="0062558D">
        <w:rPr>
          <w:sz w:val="20"/>
          <w:szCs w:val="20"/>
        </w:rPr>
        <w:t xml:space="preserve"> </w:t>
      </w:r>
      <w:r w:rsidRPr="0062558D">
        <w:rPr>
          <w:sz w:val="20"/>
          <w:szCs w:val="20"/>
        </w:rPr>
        <w:t xml:space="preserve">financiers consolidés annuels clos au 31 août 2021 du Groupe </w:t>
      </w:r>
      <w:r w:rsidRPr="00105D10">
        <w:rPr>
          <w:sz w:val="20"/>
          <w:szCs w:val="20"/>
        </w:rPr>
        <w:t xml:space="preserve">préparés sur la base des normes IFRS. </w:t>
      </w:r>
      <w:r>
        <w:rPr>
          <w:sz w:val="20"/>
          <w:szCs w:val="20"/>
        </w:rPr>
        <w:t>L</w:t>
      </w:r>
      <w:r w:rsidRPr="00105D10">
        <w:rPr>
          <w:sz w:val="20"/>
          <w:szCs w:val="20"/>
        </w:rPr>
        <w:t>es Notes explicatives incluses dans les présents états financiers consolidés intermédiaires dits résumés ont pour objectif d’expliquer les événements et opérations significatifs en vue d’appréhender les modifications intervenues dans la situation financière et la performance du Groupe depuis les derniers états financiers annuels.</w:t>
      </w:r>
    </w:p>
    <w:p w14:paraId="6714C8C2" w14:textId="77777777" w:rsidR="00AA743C" w:rsidRDefault="00AA743C" w:rsidP="00E04CE2">
      <w:pPr>
        <w:pStyle w:val="Style1"/>
        <w:numPr>
          <w:ilvl w:val="0"/>
          <w:numId w:val="0"/>
        </w:numPr>
        <w:tabs>
          <w:tab w:val="left" w:pos="567"/>
        </w:tabs>
        <w:outlineLvl w:val="9"/>
        <w:rPr>
          <w:rFonts w:asciiTheme="minorHAnsi" w:hAnsiTheme="minorHAnsi" w:cstheme="minorHAnsi"/>
          <w:b w:val="0"/>
          <w:bCs w:val="0"/>
          <w:color w:val="000E9A"/>
          <w:sz w:val="28"/>
          <w:szCs w:val="28"/>
          <w:u w:val="single"/>
        </w:rPr>
      </w:pPr>
    </w:p>
    <w:p w14:paraId="3895BDB0" w14:textId="75C6CF8A" w:rsidR="00E04CE2" w:rsidRPr="00A25BBE" w:rsidRDefault="00E04CE2" w:rsidP="00E04CE2">
      <w:pPr>
        <w:pStyle w:val="Style1"/>
        <w:numPr>
          <w:ilvl w:val="0"/>
          <w:numId w:val="0"/>
        </w:numPr>
        <w:tabs>
          <w:tab w:val="left" w:pos="567"/>
        </w:tabs>
        <w:outlineLvl w:val="9"/>
        <w:rPr>
          <w:rFonts w:asciiTheme="minorHAnsi" w:hAnsiTheme="minorHAnsi" w:cstheme="minorHAnsi"/>
          <w:b w:val="0"/>
          <w:bCs w:val="0"/>
          <w:color w:val="000E9A"/>
          <w:sz w:val="28"/>
          <w:szCs w:val="28"/>
          <w:u w:val="single"/>
        </w:rPr>
      </w:pPr>
      <w:r>
        <w:rPr>
          <w:rFonts w:asciiTheme="minorHAnsi" w:hAnsiTheme="minorHAnsi" w:cstheme="minorHAnsi"/>
          <w:b w:val="0"/>
          <w:bCs w:val="0"/>
          <w:color w:val="000E9A"/>
          <w:sz w:val="28"/>
          <w:szCs w:val="28"/>
          <w:u w:val="single"/>
        </w:rPr>
        <w:t>Nouvelles normes et interprétations applicables en 2022</w:t>
      </w:r>
    </w:p>
    <w:p w14:paraId="72F192B2" w14:textId="77777777" w:rsidR="00E04CE2" w:rsidRDefault="00E04CE2" w:rsidP="00E82A0C">
      <w:pPr>
        <w:pStyle w:val="Corpsdetexte"/>
        <w:spacing w:after="0" w:line="240" w:lineRule="auto"/>
        <w:jc w:val="both"/>
        <w:rPr>
          <w:sz w:val="20"/>
          <w:szCs w:val="20"/>
        </w:rPr>
      </w:pPr>
    </w:p>
    <w:p w14:paraId="7157DA4C" w14:textId="1803277C" w:rsidR="002E4348" w:rsidRPr="002E4348" w:rsidRDefault="00946AA7" w:rsidP="002E4348">
      <w:pPr>
        <w:pStyle w:val="StyleListFreyGray-80"/>
        <w:tabs>
          <w:tab w:val="left" w:pos="708"/>
        </w:tabs>
        <w:spacing w:after="0" w:line="240" w:lineRule="auto"/>
        <w:ind w:left="0"/>
        <w:jc w:val="both"/>
        <w:rPr>
          <w:rFonts w:asciiTheme="minorHAnsi" w:hAnsiTheme="minorHAnsi" w:cstheme="minorHAnsi"/>
          <w:b/>
          <w:bCs/>
        </w:rPr>
      </w:pPr>
      <w:r w:rsidRPr="00946AA7">
        <w:rPr>
          <w:rFonts w:asciiTheme="minorHAnsi" w:hAnsiTheme="minorHAnsi" w:cstheme="minorHAnsi"/>
          <w:b/>
          <w:bCs/>
        </w:rPr>
        <w:t>Nouvelles normes, amendements et interprétations d’application obligatoire au 1</w:t>
      </w:r>
      <w:r w:rsidRPr="00982833">
        <w:rPr>
          <w:rFonts w:asciiTheme="minorHAnsi" w:hAnsiTheme="minorHAnsi" w:cstheme="minorHAnsi"/>
          <w:b/>
          <w:bCs/>
          <w:vertAlign w:val="superscript"/>
        </w:rPr>
        <w:t>er</w:t>
      </w:r>
      <w:r w:rsidR="00982833">
        <w:rPr>
          <w:rFonts w:asciiTheme="minorHAnsi" w:hAnsiTheme="minorHAnsi" w:cstheme="minorHAnsi"/>
          <w:b/>
          <w:bCs/>
        </w:rPr>
        <w:t xml:space="preserve"> septembre</w:t>
      </w:r>
      <w:r w:rsidRPr="00946AA7">
        <w:rPr>
          <w:rFonts w:asciiTheme="minorHAnsi" w:hAnsiTheme="minorHAnsi" w:cstheme="minorHAnsi"/>
          <w:b/>
          <w:bCs/>
        </w:rPr>
        <w:t xml:space="preserve"> 20</w:t>
      </w:r>
      <w:r w:rsidR="002E4348">
        <w:rPr>
          <w:rFonts w:asciiTheme="minorHAnsi" w:hAnsiTheme="minorHAnsi" w:cstheme="minorHAnsi"/>
          <w:b/>
          <w:bCs/>
        </w:rPr>
        <w:t>21</w:t>
      </w:r>
    </w:p>
    <w:p w14:paraId="29A0EC46" w14:textId="0BF187D3" w:rsidR="00FB6390" w:rsidRPr="000B55AC" w:rsidRDefault="00FB6390" w:rsidP="009400F2">
      <w:pPr>
        <w:pStyle w:val="Corpsdetexte"/>
        <w:spacing w:after="0" w:line="240" w:lineRule="auto"/>
        <w:jc w:val="both"/>
        <w:rPr>
          <w:sz w:val="20"/>
          <w:szCs w:val="20"/>
        </w:rPr>
      </w:pPr>
      <w:r w:rsidRPr="009400F2">
        <w:rPr>
          <w:sz w:val="20"/>
          <w:szCs w:val="20"/>
        </w:rPr>
        <w:t xml:space="preserve">Les principes comptables appliqués par </w:t>
      </w:r>
      <w:r w:rsidRPr="000B55AC">
        <w:rPr>
          <w:sz w:val="20"/>
          <w:szCs w:val="20"/>
        </w:rPr>
        <w:t>OVHcloud sont identiques à ceux appliqués dans les comptes consolidés au 31 août 2021. Les normes, amendements et interprétations d’application obligatoire au 1er septembre 2021 n’ont pas d’impact significatif pour le Groupe.</w:t>
      </w:r>
    </w:p>
    <w:p w14:paraId="04D69FB5" w14:textId="67564187" w:rsidR="002E4348" w:rsidRPr="009400F2" w:rsidRDefault="00FB6390" w:rsidP="009400F2">
      <w:pPr>
        <w:pStyle w:val="Corpsdetexte"/>
        <w:spacing w:after="0" w:line="240" w:lineRule="auto"/>
        <w:jc w:val="both"/>
        <w:rPr>
          <w:sz w:val="20"/>
          <w:szCs w:val="20"/>
        </w:rPr>
      </w:pPr>
      <w:r w:rsidRPr="000B55AC">
        <w:rPr>
          <w:sz w:val="20"/>
          <w:szCs w:val="20"/>
        </w:rPr>
        <w:t xml:space="preserve">Les impacts éventuels de la décision </w:t>
      </w:r>
      <w:r w:rsidR="003C65F1" w:rsidRPr="000B55AC">
        <w:rPr>
          <w:sz w:val="20"/>
          <w:szCs w:val="20"/>
        </w:rPr>
        <w:t>d</w:t>
      </w:r>
      <w:r w:rsidRPr="000B55AC">
        <w:rPr>
          <w:sz w:val="20"/>
          <w:szCs w:val="20"/>
        </w:rPr>
        <w:t xml:space="preserve">e l’IFRS IC, intervenue en </w:t>
      </w:r>
      <w:r w:rsidR="00725481" w:rsidRPr="000B55AC">
        <w:rPr>
          <w:sz w:val="20"/>
          <w:szCs w:val="20"/>
        </w:rPr>
        <w:t>avril</w:t>
      </w:r>
      <w:r w:rsidRPr="000B55AC">
        <w:rPr>
          <w:sz w:val="20"/>
          <w:szCs w:val="20"/>
        </w:rPr>
        <w:t xml:space="preserve"> 2021, </w:t>
      </w:r>
      <w:r w:rsidR="003C65F1" w:rsidRPr="000B55AC">
        <w:rPr>
          <w:sz w:val="20"/>
          <w:szCs w:val="20"/>
        </w:rPr>
        <w:t xml:space="preserve">portant sur le traitement des coûts d'implémentation d'un contrat SaaS (« Software as </w:t>
      </w:r>
      <w:proofErr w:type="gramStart"/>
      <w:r w:rsidR="003C65F1" w:rsidRPr="000B55AC">
        <w:rPr>
          <w:sz w:val="20"/>
          <w:szCs w:val="20"/>
        </w:rPr>
        <w:t>a</w:t>
      </w:r>
      <w:proofErr w:type="gramEnd"/>
      <w:r w:rsidR="003C65F1" w:rsidRPr="000B55AC">
        <w:rPr>
          <w:sz w:val="20"/>
          <w:szCs w:val="20"/>
        </w:rPr>
        <w:t xml:space="preserve"> Service »)</w:t>
      </w:r>
      <w:r w:rsidRPr="000B55AC">
        <w:rPr>
          <w:sz w:val="20"/>
          <w:szCs w:val="20"/>
        </w:rPr>
        <w:t>, sont en cours d’analyse par le Groupe</w:t>
      </w:r>
      <w:r w:rsidR="003C65F1" w:rsidRPr="000B55AC">
        <w:rPr>
          <w:sz w:val="20"/>
          <w:szCs w:val="20"/>
        </w:rPr>
        <w:t>.</w:t>
      </w:r>
    </w:p>
    <w:p w14:paraId="21A2C068" w14:textId="5EE0942F" w:rsidR="000D1149" w:rsidRPr="009400F2" w:rsidRDefault="000C2463" w:rsidP="009400F2">
      <w:pPr>
        <w:pStyle w:val="Corpsdetexte"/>
        <w:spacing w:after="0" w:line="240" w:lineRule="auto"/>
        <w:jc w:val="both"/>
        <w:rPr>
          <w:sz w:val="20"/>
          <w:szCs w:val="20"/>
        </w:rPr>
      </w:pPr>
      <w:r w:rsidRPr="009400F2">
        <w:rPr>
          <w:sz w:val="20"/>
          <w:szCs w:val="20"/>
        </w:rPr>
        <w:t xml:space="preserve">  </w:t>
      </w:r>
    </w:p>
    <w:p w14:paraId="7368B4A8" w14:textId="45E3DBDB" w:rsidR="006A79F6" w:rsidRPr="00571E2D" w:rsidRDefault="00571E2D" w:rsidP="000E5AAC">
      <w:pPr>
        <w:pStyle w:val="StyleListFreyGray-80"/>
        <w:tabs>
          <w:tab w:val="left" w:pos="708"/>
        </w:tabs>
        <w:spacing w:after="0" w:line="240" w:lineRule="auto"/>
        <w:ind w:left="0"/>
        <w:jc w:val="both"/>
        <w:rPr>
          <w:rFonts w:asciiTheme="minorHAnsi" w:hAnsiTheme="minorHAnsi" w:cstheme="minorHAnsi"/>
          <w:b/>
          <w:bCs/>
        </w:rPr>
      </w:pPr>
      <w:r w:rsidRPr="00571E2D">
        <w:rPr>
          <w:rFonts w:asciiTheme="minorHAnsi" w:hAnsiTheme="minorHAnsi" w:cstheme="minorHAnsi"/>
          <w:b/>
          <w:bCs/>
        </w:rPr>
        <w:t>Autres nouvelles n</w:t>
      </w:r>
      <w:r w:rsidR="000E5AAC" w:rsidRPr="00571E2D">
        <w:rPr>
          <w:rFonts w:asciiTheme="minorHAnsi" w:hAnsiTheme="minorHAnsi" w:cstheme="minorHAnsi"/>
          <w:b/>
          <w:bCs/>
        </w:rPr>
        <w:t>ormes</w:t>
      </w:r>
      <w:r w:rsidRPr="00571E2D">
        <w:rPr>
          <w:rFonts w:asciiTheme="minorHAnsi" w:hAnsiTheme="minorHAnsi" w:cstheme="minorHAnsi"/>
          <w:b/>
          <w:bCs/>
        </w:rPr>
        <w:t xml:space="preserve"> non applicables au 1</w:t>
      </w:r>
      <w:r w:rsidRPr="00571E2D">
        <w:rPr>
          <w:rFonts w:asciiTheme="minorHAnsi" w:hAnsiTheme="minorHAnsi" w:cstheme="minorHAnsi"/>
          <w:b/>
          <w:bCs/>
          <w:vertAlign w:val="superscript"/>
        </w:rPr>
        <w:t>er</w:t>
      </w:r>
      <w:r w:rsidRPr="00571E2D">
        <w:rPr>
          <w:rFonts w:asciiTheme="minorHAnsi" w:hAnsiTheme="minorHAnsi" w:cstheme="minorHAnsi"/>
          <w:b/>
          <w:bCs/>
        </w:rPr>
        <w:t xml:space="preserve"> septembre 2021 ou non appliquées par anticipation</w:t>
      </w:r>
    </w:p>
    <w:p w14:paraId="36752688" w14:textId="2D5C5E69" w:rsidR="00753D02" w:rsidRPr="00571E2D" w:rsidRDefault="00571E2D" w:rsidP="00571E2D">
      <w:pPr>
        <w:pStyle w:val="Corpsdetexte"/>
        <w:spacing w:after="0" w:line="240" w:lineRule="auto"/>
        <w:jc w:val="both"/>
        <w:rPr>
          <w:sz w:val="20"/>
          <w:szCs w:val="20"/>
        </w:rPr>
      </w:pPr>
      <w:bookmarkStart w:id="166" w:name="_Toc62888530"/>
      <w:bookmarkStart w:id="167" w:name="_Toc74917162"/>
      <w:bookmarkEnd w:id="165"/>
      <w:r w:rsidRPr="00571E2D">
        <w:rPr>
          <w:sz w:val="20"/>
          <w:szCs w:val="20"/>
        </w:rPr>
        <w:t>Le Groupe n’a appliqué aucune norme non encore applicable au 1</w:t>
      </w:r>
      <w:r w:rsidRPr="00946AA7">
        <w:rPr>
          <w:sz w:val="20"/>
          <w:szCs w:val="20"/>
          <w:vertAlign w:val="superscript"/>
        </w:rPr>
        <w:t>er</w:t>
      </w:r>
      <w:r w:rsidR="00946AA7">
        <w:rPr>
          <w:sz w:val="20"/>
          <w:szCs w:val="20"/>
        </w:rPr>
        <w:t xml:space="preserve"> septembre</w:t>
      </w:r>
      <w:r w:rsidRPr="00571E2D">
        <w:rPr>
          <w:sz w:val="20"/>
          <w:szCs w:val="20"/>
        </w:rPr>
        <w:t xml:space="preserve"> 2021 par anticipation.</w:t>
      </w:r>
    </w:p>
    <w:p w14:paraId="1D0C3350" w14:textId="77777777" w:rsidR="00571E2D" w:rsidRDefault="00571E2D" w:rsidP="00CA7F7A">
      <w:pPr>
        <w:pStyle w:val="Style1"/>
        <w:numPr>
          <w:ilvl w:val="0"/>
          <w:numId w:val="0"/>
        </w:numPr>
        <w:tabs>
          <w:tab w:val="left" w:pos="567"/>
        </w:tabs>
        <w:outlineLvl w:val="9"/>
        <w:rPr>
          <w:rFonts w:asciiTheme="minorHAnsi" w:hAnsiTheme="minorHAnsi" w:cstheme="minorHAnsi"/>
          <w:b w:val="0"/>
          <w:bCs w:val="0"/>
          <w:color w:val="000E9A"/>
          <w:sz w:val="28"/>
          <w:szCs w:val="28"/>
          <w:u w:val="single"/>
        </w:rPr>
      </w:pPr>
    </w:p>
    <w:p w14:paraId="07E3D390" w14:textId="39544E10" w:rsidR="00CA7F7A" w:rsidRDefault="00CA7F7A" w:rsidP="00CA7F7A">
      <w:pPr>
        <w:pStyle w:val="Style1"/>
        <w:numPr>
          <w:ilvl w:val="0"/>
          <w:numId w:val="0"/>
        </w:numPr>
        <w:tabs>
          <w:tab w:val="left" w:pos="567"/>
        </w:tabs>
        <w:outlineLvl w:val="9"/>
        <w:rPr>
          <w:rFonts w:asciiTheme="minorHAnsi" w:hAnsiTheme="minorHAnsi" w:cstheme="minorHAnsi"/>
          <w:b w:val="0"/>
          <w:bCs w:val="0"/>
          <w:color w:val="000E9A"/>
          <w:sz w:val="28"/>
          <w:szCs w:val="28"/>
          <w:u w:val="single"/>
        </w:rPr>
      </w:pPr>
      <w:r>
        <w:rPr>
          <w:rFonts w:asciiTheme="minorHAnsi" w:hAnsiTheme="minorHAnsi" w:cstheme="minorHAnsi"/>
          <w:b w:val="0"/>
          <w:bCs w:val="0"/>
          <w:color w:val="000E9A"/>
          <w:sz w:val="28"/>
          <w:szCs w:val="28"/>
          <w:u w:val="single"/>
        </w:rPr>
        <w:t>Utilisation d’estimations</w:t>
      </w:r>
      <w:r w:rsidR="00E40EAA">
        <w:rPr>
          <w:rFonts w:asciiTheme="minorHAnsi" w:hAnsiTheme="minorHAnsi" w:cstheme="minorHAnsi"/>
          <w:b w:val="0"/>
          <w:bCs w:val="0"/>
          <w:color w:val="000E9A"/>
          <w:sz w:val="28"/>
          <w:szCs w:val="28"/>
          <w:u w:val="single"/>
        </w:rPr>
        <w:t xml:space="preserve"> et jugements</w:t>
      </w:r>
    </w:p>
    <w:p w14:paraId="1A023F15" w14:textId="77777777" w:rsidR="00AA743C" w:rsidRPr="00A25BBE" w:rsidRDefault="00AA743C" w:rsidP="00CA7F7A">
      <w:pPr>
        <w:pStyle w:val="Style1"/>
        <w:numPr>
          <w:ilvl w:val="0"/>
          <w:numId w:val="0"/>
        </w:numPr>
        <w:tabs>
          <w:tab w:val="left" w:pos="567"/>
        </w:tabs>
        <w:outlineLvl w:val="9"/>
        <w:rPr>
          <w:rFonts w:asciiTheme="minorHAnsi" w:hAnsiTheme="minorHAnsi" w:cstheme="minorHAnsi"/>
          <w:b w:val="0"/>
          <w:bCs w:val="0"/>
          <w:color w:val="000E9A"/>
          <w:sz w:val="28"/>
          <w:szCs w:val="28"/>
          <w:u w:val="single"/>
        </w:rPr>
      </w:pPr>
    </w:p>
    <w:p w14:paraId="78B7D019" w14:textId="4BF471E2" w:rsidR="00845D33" w:rsidRPr="00D62D39" w:rsidRDefault="00A55D48" w:rsidP="00D62D39">
      <w:pPr>
        <w:pStyle w:val="Corpsdetexte"/>
        <w:spacing w:after="0" w:line="240" w:lineRule="auto"/>
        <w:jc w:val="both"/>
        <w:rPr>
          <w:sz w:val="20"/>
          <w:szCs w:val="20"/>
        </w:rPr>
      </w:pPr>
      <w:r w:rsidRPr="00D62D39">
        <w:rPr>
          <w:sz w:val="20"/>
          <w:szCs w:val="20"/>
        </w:rPr>
        <w:t xml:space="preserve">La préparation des états financiers consolidés nécessite l’utilisation d’estimations et d’hypothèses qui pourraient avoir un impact sur les montants d’actif et de passif à la clôture ainsi que sur les éléments du compte de résultat ou des produits et charges comptabilisés directement en capitaux propres de la période. Ces estimations tiennent compte de données économiques et d’hypothèses susceptibles de variations dans le temps et d’interprétations de règlementations locales le cas échéant. Elles </w:t>
      </w:r>
      <w:r w:rsidRPr="0011018B">
        <w:rPr>
          <w:sz w:val="20"/>
          <w:szCs w:val="20"/>
        </w:rPr>
        <w:t>s’inscrivent notamment dans le contexte économique et sanitaire toujours incertain lié à la pandémie mondiale d</w:t>
      </w:r>
      <w:r w:rsidR="00E93B4A">
        <w:rPr>
          <w:sz w:val="20"/>
          <w:szCs w:val="20"/>
        </w:rPr>
        <w:t>u</w:t>
      </w:r>
      <w:r w:rsidRPr="0011018B">
        <w:rPr>
          <w:sz w:val="20"/>
          <w:szCs w:val="20"/>
        </w:rPr>
        <w:t xml:space="preserve"> Covid</w:t>
      </w:r>
      <w:r w:rsidRPr="0011018B">
        <w:rPr>
          <w:sz w:val="20"/>
          <w:szCs w:val="20"/>
        </w:rPr>
        <w:noBreakHyphen/>
        <w:t>19</w:t>
      </w:r>
      <w:r w:rsidR="00942D78">
        <w:rPr>
          <w:sz w:val="20"/>
          <w:szCs w:val="20"/>
        </w:rPr>
        <w:t xml:space="preserve"> et à la situation en Ukraine</w:t>
      </w:r>
      <w:r w:rsidRPr="0011018B">
        <w:rPr>
          <w:sz w:val="20"/>
          <w:szCs w:val="20"/>
        </w:rPr>
        <w:t>. Ces estimations comportent donc certains aléas et concernent principalement les provisions</w:t>
      </w:r>
      <w:r w:rsidR="00B46236" w:rsidRPr="0011018B">
        <w:rPr>
          <w:sz w:val="20"/>
          <w:szCs w:val="20"/>
        </w:rPr>
        <w:t xml:space="preserve"> pour risques</w:t>
      </w:r>
      <w:r w:rsidRPr="0011018B">
        <w:rPr>
          <w:sz w:val="20"/>
          <w:szCs w:val="20"/>
        </w:rPr>
        <w:t xml:space="preserve">, </w:t>
      </w:r>
      <w:r w:rsidR="00B46236" w:rsidRPr="0011018B">
        <w:rPr>
          <w:sz w:val="20"/>
          <w:szCs w:val="20"/>
        </w:rPr>
        <w:t xml:space="preserve">les </w:t>
      </w:r>
      <w:r w:rsidR="0011018B" w:rsidRPr="0011018B">
        <w:rPr>
          <w:sz w:val="20"/>
          <w:szCs w:val="20"/>
        </w:rPr>
        <w:t xml:space="preserve">plans de rémunération réglés en </w:t>
      </w:r>
      <w:r w:rsidR="00B46236" w:rsidRPr="0011018B">
        <w:rPr>
          <w:sz w:val="20"/>
          <w:szCs w:val="20"/>
        </w:rPr>
        <w:t xml:space="preserve">instruments de </w:t>
      </w:r>
      <w:r w:rsidR="0011018B" w:rsidRPr="0011018B">
        <w:rPr>
          <w:sz w:val="20"/>
          <w:szCs w:val="20"/>
        </w:rPr>
        <w:t>capitaux propres</w:t>
      </w:r>
      <w:r w:rsidR="00B46236" w:rsidRPr="0011018B">
        <w:rPr>
          <w:sz w:val="20"/>
          <w:szCs w:val="20"/>
        </w:rPr>
        <w:t xml:space="preserve">, </w:t>
      </w:r>
      <w:r w:rsidRPr="0011018B">
        <w:rPr>
          <w:sz w:val="20"/>
          <w:szCs w:val="20"/>
        </w:rPr>
        <w:t>l’évaluation de la valeur des actifs incorporels</w:t>
      </w:r>
      <w:r w:rsidR="00B46236" w:rsidRPr="0011018B">
        <w:rPr>
          <w:sz w:val="20"/>
          <w:szCs w:val="20"/>
        </w:rPr>
        <w:t xml:space="preserve"> et corporels</w:t>
      </w:r>
      <w:r w:rsidR="00CA51A7" w:rsidRPr="0011018B">
        <w:rPr>
          <w:sz w:val="20"/>
          <w:szCs w:val="20"/>
        </w:rPr>
        <w:t xml:space="preserve">, </w:t>
      </w:r>
      <w:r w:rsidR="0036633F">
        <w:rPr>
          <w:sz w:val="20"/>
          <w:szCs w:val="20"/>
        </w:rPr>
        <w:t>l</w:t>
      </w:r>
      <w:r w:rsidR="0036633F" w:rsidRPr="0011018B">
        <w:rPr>
          <w:sz w:val="20"/>
          <w:szCs w:val="20"/>
        </w:rPr>
        <w:t xml:space="preserve">es </w:t>
      </w:r>
      <w:r w:rsidR="00E03A5E" w:rsidRPr="0011018B">
        <w:rPr>
          <w:sz w:val="20"/>
          <w:szCs w:val="20"/>
        </w:rPr>
        <w:t xml:space="preserve">impôts différés actifs, </w:t>
      </w:r>
      <w:r w:rsidR="003368A9">
        <w:rPr>
          <w:sz w:val="20"/>
          <w:szCs w:val="20"/>
        </w:rPr>
        <w:t>la détermination</w:t>
      </w:r>
      <w:r w:rsidRPr="0011018B">
        <w:rPr>
          <w:sz w:val="20"/>
          <w:szCs w:val="20"/>
        </w:rPr>
        <w:t xml:space="preserve"> de la charge d’impôt</w:t>
      </w:r>
      <w:r w:rsidR="00CA51A7" w:rsidRPr="0011018B">
        <w:rPr>
          <w:sz w:val="20"/>
          <w:szCs w:val="20"/>
        </w:rPr>
        <w:t xml:space="preserve"> et du crédit d’impôt recherche</w:t>
      </w:r>
      <w:r w:rsidRPr="0011018B">
        <w:rPr>
          <w:sz w:val="20"/>
          <w:szCs w:val="20"/>
        </w:rPr>
        <w:t>.</w:t>
      </w:r>
      <w:r w:rsidR="00CA51A7">
        <w:rPr>
          <w:sz w:val="20"/>
          <w:szCs w:val="20"/>
        </w:rPr>
        <w:t xml:space="preserve"> </w:t>
      </w:r>
    </w:p>
    <w:p w14:paraId="50344B0C" w14:textId="77777777" w:rsidR="00844666" w:rsidRDefault="00844666" w:rsidP="00844666">
      <w:pPr>
        <w:spacing w:after="0"/>
        <w:jc w:val="both"/>
        <w:rPr>
          <w:rFonts w:cs="Calibri"/>
          <w:szCs w:val="20"/>
        </w:rPr>
      </w:pPr>
    </w:p>
    <w:p w14:paraId="2EEBC714" w14:textId="39C335BF" w:rsidR="00F55088" w:rsidRDefault="00F55088">
      <w:pPr>
        <w:spacing w:after="0" w:line="240" w:lineRule="auto"/>
        <w:rPr>
          <w:rFonts w:asciiTheme="minorHAnsi" w:eastAsia="DengXian Light" w:hAnsiTheme="minorHAnsi" w:cstheme="minorHAnsi"/>
          <w:color w:val="000E9A"/>
          <w:sz w:val="28"/>
          <w:szCs w:val="28"/>
          <w:u w:val="single"/>
        </w:rPr>
      </w:pPr>
    </w:p>
    <w:p w14:paraId="563A3721" w14:textId="77777777" w:rsidR="0059453D" w:rsidRDefault="0059453D" w:rsidP="00C77D7B">
      <w:pPr>
        <w:spacing w:after="0" w:line="240" w:lineRule="auto"/>
      </w:pPr>
      <w:bookmarkStart w:id="168" w:name="_Toc62888532"/>
      <w:bookmarkStart w:id="169" w:name="_Toc74917164"/>
      <w:bookmarkEnd w:id="166"/>
      <w:bookmarkEnd w:id="167"/>
    </w:p>
    <w:p w14:paraId="2E7D025F" w14:textId="62AF7A42" w:rsidR="002D684B" w:rsidRDefault="002D684B">
      <w:pPr>
        <w:spacing w:after="0" w:line="240" w:lineRule="auto"/>
        <w:rPr>
          <w:rFonts w:asciiTheme="minorHAnsi" w:eastAsia="DengXian Light" w:hAnsiTheme="minorHAnsi" w:cstheme="minorHAnsi"/>
          <w:color w:val="000E9A"/>
          <w:sz w:val="28"/>
          <w:szCs w:val="28"/>
        </w:rPr>
      </w:pPr>
      <w:bookmarkStart w:id="170" w:name="_Toc69772149"/>
      <w:bookmarkStart w:id="171" w:name="_Toc69846771"/>
      <w:bookmarkStart w:id="172" w:name="_Toc69849758"/>
      <w:bookmarkStart w:id="173" w:name="_Toc69850243"/>
      <w:bookmarkStart w:id="174" w:name="_Toc70361699"/>
      <w:bookmarkStart w:id="175" w:name="_Toc71267138"/>
      <w:bookmarkStart w:id="176" w:name="_Toc72331025"/>
      <w:bookmarkStart w:id="177" w:name="_Toc72332393"/>
      <w:bookmarkStart w:id="178" w:name="_Toc69672366"/>
      <w:bookmarkStart w:id="179" w:name="_Toc69672774"/>
      <w:bookmarkStart w:id="180" w:name="_Toc69673181"/>
      <w:bookmarkStart w:id="181" w:name="_Toc69673587"/>
      <w:bookmarkStart w:id="182" w:name="_Toc69673968"/>
      <w:bookmarkStart w:id="183" w:name="_Toc69674326"/>
      <w:bookmarkStart w:id="184" w:name="_Toc69772151"/>
      <w:bookmarkStart w:id="185" w:name="_Toc69846773"/>
      <w:bookmarkStart w:id="186" w:name="_Toc69849760"/>
      <w:bookmarkStart w:id="187" w:name="_Toc69850245"/>
      <w:bookmarkStart w:id="188" w:name="_Toc70361701"/>
      <w:bookmarkStart w:id="189" w:name="_Toc71267140"/>
      <w:bookmarkStart w:id="190" w:name="_Toc72331027"/>
      <w:bookmarkStart w:id="191" w:name="_Toc72332395"/>
      <w:bookmarkStart w:id="192" w:name="_Toc69672367"/>
      <w:bookmarkStart w:id="193" w:name="_Toc69672775"/>
      <w:bookmarkStart w:id="194" w:name="_Toc69673182"/>
      <w:bookmarkStart w:id="195" w:name="_Toc69673588"/>
      <w:bookmarkStart w:id="196" w:name="_Toc69673969"/>
      <w:bookmarkStart w:id="197" w:name="_Toc69674327"/>
      <w:bookmarkStart w:id="198" w:name="_Toc69772152"/>
      <w:bookmarkStart w:id="199" w:name="_Toc69846774"/>
      <w:bookmarkStart w:id="200" w:name="_Toc69849761"/>
      <w:bookmarkStart w:id="201" w:name="_Toc69850246"/>
      <w:bookmarkStart w:id="202" w:name="_Toc70361702"/>
      <w:bookmarkStart w:id="203" w:name="_Toc71267141"/>
      <w:bookmarkStart w:id="204" w:name="_Toc72331028"/>
      <w:bookmarkStart w:id="205" w:name="_Toc72332396"/>
      <w:bookmarkStart w:id="206" w:name="_Toc69672368"/>
      <w:bookmarkStart w:id="207" w:name="_Toc69672776"/>
      <w:bookmarkStart w:id="208" w:name="_Toc69673183"/>
      <w:bookmarkStart w:id="209" w:name="_Toc69673589"/>
      <w:bookmarkStart w:id="210" w:name="_Toc69673970"/>
      <w:bookmarkStart w:id="211" w:name="_Toc69674328"/>
      <w:bookmarkStart w:id="212" w:name="_Toc69772153"/>
      <w:bookmarkStart w:id="213" w:name="_Toc69846775"/>
      <w:bookmarkStart w:id="214" w:name="_Toc69849762"/>
      <w:bookmarkStart w:id="215" w:name="_Toc69850247"/>
      <w:bookmarkStart w:id="216" w:name="_Toc70361703"/>
      <w:bookmarkStart w:id="217" w:name="_Toc71267142"/>
      <w:bookmarkStart w:id="218" w:name="_Toc72331029"/>
      <w:bookmarkStart w:id="219" w:name="_Toc72332397"/>
      <w:bookmarkStart w:id="220" w:name="_Toc69672369"/>
      <w:bookmarkStart w:id="221" w:name="_Toc69672777"/>
      <w:bookmarkStart w:id="222" w:name="_Toc69673184"/>
      <w:bookmarkStart w:id="223" w:name="_Toc69673590"/>
      <w:bookmarkStart w:id="224" w:name="_Toc69673971"/>
      <w:bookmarkStart w:id="225" w:name="_Toc69674329"/>
      <w:bookmarkStart w:id="226" w:name="_Toc69772154"/>
      <w:bookmarkStart w:id="227" w:name="_Toc69846776"/>
      <w:bookmarkStart w:id="228" w:name="_Toc69849763"/>
      <w:bookmarkStart w:id="229" w:name="_Toc69850248"/>
      <w:bookmarkStart w:id="230" w:name="_Toc70361704"/>
      <w:bookmarkStart w:id="231" w:name="_Toc71267143"/>
      <w:bookmarkStart w:id="232" w:name="_Toc72331030"/>
      <w:bookmarkStart w:id="233" w:name="_Toc72332398"/>
      <w:bookmarkStart w:id="234" w:name="_Toc70361705"/>
      <w:bookmarkStart w:id="235" w:name="_Toc71267144"/>
      <w:bookmarkStart w:id="236" w:name="_Toc72331031"/>
      <w:bookmarkStart w:id="237" w:name="_Toc72332399"/>
      <w:bookmarkStart w:id="238" w:name="_Toc69672371"/>
      <w:bookmarkStart w:id="239" w:name="_Toc69672779"/>
      <w:bookmarkStart w:id="240" w:name="_Toc69673186"/>
      <w:bookmarkStart w:id="241" w:name="_Toc69673592"/>
      <w:bookmarkStart w:id="242" w:name="_Toc69673973"/>
      <w:bookmarkStart w:id="243" w:name="_Toc69674331"/>
      <w:bookmarkStart w:id="244" w:name="_Toc69772156"/>
      <w:bookmarkStart w:id="245" w:name="_Toc69846778"/>
      <w:bookmarkStart w:id="246" w:name="_Toc69849765"/>
      <w:bookmarkStart w:id="247" w:name="_Toc69850250"/>
      <w:bookmarkStart w:id="248" w:name="_Toc70361706"/>
      <w:bookmarkStart w:id="249" w:name="_Toc71267145"/>
      <w:bookmarkStart w:id="250" w:name="_Toc72331032"/>
      <w:bookmarkStart w:id="251" w:name="_Toc72332400"/>
      <w:bookmarkStart w:id="252" w:name="_Toc65500742"/>
      <w:bookmarkStart w:id="253" w:name="_Toc65501280"/>
      <w:bookmarkStart w:id="254" w:name="_Toc65501443"/>
      <w:bookmarkStart w:id="255" w:name="_Toc65501914"/>
      <w:bookmarkStart w:id="256" w:name="_Toc65543546"/>
      <w:bookmarkStart w:id="257" w:name="_Toc65543723"/>
      <w:bookmarkStart w:id="258" w:name="_Toc65543900"/>
      <w:bookmarkStart w:id="259" w:name="_Toc65500743"/>
      <w:bookmarkStart w:id="260" w:name="_Toc65501281"/>
      <w:bookmarkStart w:id="261" w:name="_Toc65501444"/>
      <w:bookmarkStart w:id="262" w:name="_Toc65501915"/>
      <w:bookmarkStart w:id="263" w:name="_Toc65543547"/>
      <w:bookmarkStart w:id="264" w:name="_Toc65543724"/>
      <w:bookmarkStart w:id="265" w:name="_Toc65543901"/>
      <w:bookmarkStart w:id="266" w:name="_Toc69672372"/>
      <w:bookmarkStart w:id="267" w:name="_Toc69672780"/>
      <w:bookmarkStart w:id="268" w:name="_Toc69673187"/>
      <w:bookmarkStart w:id="269" w:name="_Toc69673593"/>
      <w:bookmarkStart w:id="270" w:name="_Toc69673974"/>
      <w:bookmarkStart w:id="271" w:name="_Toc69674332"/>
      <w:bookmarkStart w:id="272" w:name="_Toc69772157"/>
      <w:bookmarkStart w:id="273" w:name="_Toc69846779"/>
      <w:bookmarkStart w:id="274" w:name="_Toc69849766"/>
      <w:bookmarkStart w:id="275" w:name="_Toc69850251"/>
      <w:bookmarkStart w:id="276" w:name="_Toc70361707"/>
      <w:bookmarkStart w:id="277" w:name="_Toc71267146"/>
      <w:bookmarkStart w:id="278" w:name="_Toc72331033"/>
      <w:bookmarkStart w:id="279" w:name="_Toc72332401"/>
      <w:bookmarkStart w:id="280" w:name="_Toc69672373"/>
      <w:bookmarkStart w:id="281" w:name="_Toc69672781"/>
      <w:bookmarkStart w:id="282" w:name="_Toc69673188"/>
      <w:bookmarkStart w:id="283" w:name="_Toc69673594"/>
      <w:bookmarkStart w:id="284" w:name="_Toc69673975"/>
      <w:bookmarkStart w:id="285" w:name="_Toc69674333"/>
      <w:bookmarkStart w:id="286" w:name="_Toc69772158"/>
      <w:bookmarkStart w:id="287" w:name="_Toc69846780"/>
      <w:bookmarkStart w:id="288" w:name="_Toc69849767"/>
      <w:bookmarkStart w:id="289" w:name="_Toc69850252"/>
      <w:bookmarkStart w:id="290" w:name="_Toc70361708"/>
      <w:bookmarkStart w:id="291" w:name="_Toc71267147"/>
      <w:bookmarkStart w:id="292" w:name="_Toc72331034"/>
      <w:bookmarkStart w:id="293" w:name="_Toc72332402"/>
      <w:bookmarkStart w:id="294" w:name="_Toc69672374"/>
      <w:bookmarkStart w:id="295" w:name="_Toc69672782"/>
      <w:bookmarkStart w:id="296" w:name="_Toc69673189"/>
      <w:bookmarkStart w:id="297" w:name="_Toc69673595"/>
      <w:bookmarkStart w:id="298" w:name="_Toc69673976"/>
      <w:bookmarkStart w:id="299" w:name="_Toc69674334"/>
      <w:bookmarkStart w:id="300" w:name="_Toc69772159"/>
      <w:bookmarkStart w:id="301" w:name="_Toc69846781"/>
      <w:bookmarkStart w:id="302" w:name="_Toc69849768"/>
      <w:bookmarkStart w:id="303" w:name="_Toc69850253"/>
      <w:bookmarkStart w:id="304" w:name="_Toc70361709"/>
      <w:bookmarkStart w:id="305" w:name="_Toc71267148"/>
      <w:bookmarkStart w:id="306" w:name="_Toc72331035"/>
      <w:bookmarkStart w:id="307" w:name="_Toc72332403"/>
      <w:bookmarkStart w:id="308" w:name="_Toc69672375"/>
      <w:bookmarkStart w:id="309" w:name="_Toc69672783"/>
      <w:bookmarkStart w:id="310" w:name="_Toc69673190"/>
      <w:bookmarkStart w:id="311" w:name="_Toc69673596"/>
      <w:bookmarkStart w:id="312" w:name="_Toc69673977"/>
      <w:bookmarkStart w:id="313" w:name="_Toc69674335"/>
      <w:bookmarkStart w:id="314" w:name="_Toc69772160"/>
      <w:bookmarkStart w:id="315" w:name="_Toc69846782"/>
      <w:bookmarkStart w:id="316" w:name="_Toc69849769"/>
      <w:bookmarkStart w:id="317" w:name="_Toc69850254"/>
      <w:bookmarkStart w:id="318" w:name="_Toc70361710"/>
      <w:bookmarkStart w:id="319" w:name="_Toc71267149"/>
      <w:bookmarkStart w:id="320" w:name="_Toc72331036"/>
      <w:bookmarkStart w:id="321" w:name="_Toc72332404"/>
      <w:bookmarkStart w:id="322" w:name="_Toc69672376"/>
      <w:bookmarkStart w:id="323" w:name="_Toc69672784"/>
      <w:bookmarkStart w:id="324" w:name="_Toc69673191"/>
      <w:bookmarkStart w:id="325" w:name="_Toc69673597"/>
      <w:bookmarkStart w:id="326" w:name="_Toc69673978"/>
      <w:bookmarkStart w:id="327" w:name="_Toc69674336"/>
      <w:bookmarkStart w:id="328" w:name="_Toc69772161"/>
      <w:bookmarkStart w:id="329" w:name="_Toc69846783"/>
      <w:bookmarkStart w:id="330" w:name="_Toc69849770"/>
      <w:bookmarkStart w:id="331" w:name="_Toc69850255"/>
      <w:bookmarkStart w:id="332" w:name="_Toc70361711"/>
      <w:bookmarkStart w:id="333" w:name="_Toc71267150"/>
      <w:bookmarkStart w:id="334" w:name="_Toc72331037"/>
      <w:bookmarkStart w:id="335" w:name="_Toc72332405"/>
      <w:bookmarkStart w:id="336" w:name="_Toc69672377"/>
      <w:bookmarkStart w:id="337" w:name="_Toc69672785"/>
      <w:bookmarkStart w:id="338" w:name="_Toc69673192"/>
      <w:bookmarkStart w:id="339" w:name="_Toc69673598"/>
      <w:bookmarkStart w:id="340" w:name="_Toc69673979"/>
      <w:bookmarkStart w:id="341" w:name="_Toc69674337"/>
      <w:bookmarkStart w:id="342" w:name="_Toc69772162"/>
      <w:bookmarkStart w:id="343" w:name="_Toc69846784"/>
      <w:bookmarkStart w:id="344" w:name="_Toc69849771"/>
      <w:bookmarkStart w:id="345" w:name="_Toc69850256"/>
      <w:bookmarkStart w:id="346" w:name="_Toc70361712"/>
      <w:bookmarkStart w:id="347" w:name="_Toc71267151"/>
      <w:bookmarkStart w:id="348" w:name="_Toc72331038"/>
      <w:bookmarkStart w:id="349" w:name="_Toc72332406"/>
      <w:bookmarkStart w:id="350" w:name="_Toc69672378"/>
      <w:bookmarkStart w:id="351" w:name="_Toc69672786"/>
      <w:bookmarkStart w:id="352" w:name="_Toc69673193"/>
      <w:bookmarkStart w:id="353" w:name="_Toc69673599"/>
      <w:bookmarkStart w:id="354" w:name="_Toc69673980"/>
      <w:bookmarkStart w:id="355" w:name="_Toc69674338"/>
      <w:bookmarkStart w:id="356" w:name="_Toc69772163"/>
      <w:bookmarkStart w:id="357" w:name="_Toc69846785"/>
      <w:bookmarkStart w:id="358" w:name="_Toc69849772"/>
      <w:bookmarkStart w:id="359" w:name="_Toc69850257"/>
      <w:bookmarkStart w:id="360" w:name="_Toc70361713"/>
      <w:bookmarkStart w:id="361" w:name="_Toc71267152"/>
      <w:bookmarkStart w:id="362" w:name="_Toc72331039"/>
      <w:bookmarkStart w:id="363" w:name="_Toc72332407"/>
      <w:bookmarkStart w:id="364" w:name="_Toc69672379"/>
      <w:bookmarkStart w:id="365" w:name="_Toc69672787"/>
      <w:bookmarkStart w:id="366" w:name="_Toc69673194"/>
      <w:bookmarkStart w:id="367" w:name="_Toc69673600"/>
      <w:bookmarkStart w:id="368" w:name="_Toc69673981"/>
      <w:bookmarkStart w:id="369" w:name="_Toc69674339"/>
      <w:bookmarkStart w:id="370" w:name="_Toc69772164"/>
      <w:bookmarkStart w:id="371" w:name="_Toc69846786"/>
      <w:bookmarkStart w:id="372" w:name="_Toc69849773"/>
      <w:bookmarkStart w:id="373" w:name="_Toc69850258"/>
      <w:bookmarkStart w:id="374" w:name="_Toc70361714"/>
      <w:bookmarkStart w:id="375" w:name="_Toc71267153"/>
      <w:bookmarkStart w:id="376" w:name="_Toc72331040"/>
      <w:bookmarkStart w:id="377" w:name="_Toc72332408"/>
      <w:bookmarkStart w:id="378" w:name="_Toc69672380"/>
      <w:bookmarkStart w:id="379" w:name="_Toc69672788"/>
      <w:bookmarkStart w:id="380" w:name="_Toc69673195"/>
      <w:bookmarkStart w:id="381" w:name="_Toc69673601"/>
      <w:bookmarkStart w:id="382" w:name="_Toc69673982"/>
      <w:bookmarkStart w:id="383" w:name="_Toc69674340"/>
      <w:bookmarkStart w:id="384" w:name="_Toc69772165"/>
      <w:bookmarkStart w:id="385" w:name="_Toc69846787"/>
      <w:bookmarkStart w:id="386" w:name="_Toc69849774"/>
      <w:bookmarkStart w:id="387" w:name="_Toc69850259"/>
      <w:bookmarkStart w:id="388" w:name="_Toc70361715"/>
      <w:bookmarkStart w:id="389" w:name="_Toc71267154"/>
      <w:bookmarkStart w:id="390" w:name="_Toc72331041"/>
      <w:bookmarkStart w:id="391" w:name="_Toc72332409"/>
      <w:bookmarkStart w:id="392" w:name="_Toc69672381"/>
      <w:bookmarkStart w:id="393" w:name="_Toc69672789"/>
      <w:bookmarkStart w:id="394" w:name="_Toc69673196"/>
      <w:bookmarkStart w:id="395" w:name="_Toc69673602"/>
      <w:bookmarkStart w:id="396" w:name="_Toc69673983"/>
      <w:bookmarkStart w:id="397" w:name="_Toc69674341"/>
      <w:bookmarkStart w:id="398" w:name="_Toc69772166"/>
      <w:bookmarkStart w:id="399" w:name="_Toc69846788"/>
      <w:bookmarkStart w:id="400" w:name="_Toc69849775"/>
      <w:bookmarkStart w:id="401" w:name="_Toc69850260"/>
      <w:bookmarkStart w:id="402" w:name="_Toc70361716"/>
      <w:bookmarkStart w:id="403" w:name="_Toc71267155"/>
      <w:bookmarkStart w:id="404" w:name="_Toc72331042"/>
      <w:bookmarkStart w:id="405" w:name="_Toc72332410"/>
      <w:bookmarkStart w:id="406" w:name="_Toc69672382"/>
      <w:bookmarkStart w:id="407" w:name="_Toc69672790"/>
      <w:bookmarkStart w:id="408" w:name="_Toc69673197"/>
      <w:bookmarkStart w:id="409" w:name="_Toc69673603"/>
      <w:bookmarkStart w:id="410" w:name="_Toc69673984"/>
      <w:bookmarkStart w:id="411" w:name="_Toc69674342"/>
      <w:bookmarkStart w:id="412" w:name="_Toc69772167"/>
      <w:bookmarkStart w:id="413" w:name="_Toc69846789"/>
      <w:bookmarkStart w:id="414" w:name="_Toc69849776"/>
      <w:bookmarkStart w:id="415" w:name="_Toc69850261"/>
      <w:bookmarkStart w:id="416" w:name="_Toc70361717"/>
      <w:bookmarkStart w:id="417" w:name="_Toc71267156"/>
      <w:bookmarkStart w:id="418" w:name="_Toc72331043"/>
      <w:bookmarkStart w:id="419" w:name="_Toc72332411"/>
      <w:bookmarkStart w:id="420" w:name="_Toc69672383"/>
      <w:bookmarkStart w:id="421" w:name="_Toc69672791"/>
      <w:bookmarkStart w:id="422" w:name="_Toc69673198"/>
      <w:bookmarkStart w:id="423" w:name="_Toc69673604"/>
      <w:bookmarkStart w:id="424" w:name="_Toc69673985"/>
      <w:bookmarkStart w:id="425" w:name="_Toc69674343"/>
      <w:bookmarkStart w:id="426" w:name="_Toc69772168"/>
      <w:bookmarkStart w:id="427" w:name="_Toc69846790"/>
      <w:bookmarkStart w:id="428" w:name="_Toc69849777"/>
      <w:bookmarkStart w:id="429" w:name="_Toc69850262"/>
      <w:bookmarkStart w:id="430" w:name="_Toc70361718"/>
      <w:bookmarkStart w:id="431" w:name="_Toc71267157"/>
      <w:bookmarkStart w:id="432" w:name="_Toc72331044"/>
      <w:bookmarkStart w:id="433" w:name="_Toc72332412"/>
      <w:bookmarkStart w:id="434" w:name="_Toc69672384"/>
      <w:bookmarkStart w:id="435" w:name="_Toc69672792"/>
      <w:bookmarkStart w:id="436" w:name="_Toc69673199"/>
      <w:bookmarkStart w:id="437" w:name="_Toc69673605"/>
      <w:bookmarkStart w:id="438" w:name="_Toc69673986"/>
      <w:bookmarkStart w:id="439" w:name="_Toc69674344"/>
      <w:bookmarkStart w:id="440" w:name="_Toc69772169"/>
      <w:bookmarkStart w:id="441" w:name="_Toc69846791"/>
      <w:bookmarkStart w:id="442" w:name="_Toc69849778"/>
      <w:bookmarkStart w:id="443" w:name="_Toc69850263"/>
      <w:bookmarkStart w:id="444" w:name="_Toc70361719"/>
      <w:bookmarkStart w:id="445" w:name="_Toc71267158"/>
      <w:bookmarkStart w:id="446" w:name="_Toc72331045"/>
      <w:bookmarkStart w:id="447" w:name="_Toc72332413"/>
      <w:bookmarkStart w:id="448" w:name="_Toc69672385"/>
      <w:bookmarkStart w:id="449" w:name="_Toc69672793"/>
      <w:bookmarkStart w:id="450" w:name="_Toc69673200"/>
      <w:bookmarkStart w:id="451" w:name="_Toc69673606"/>
      <w:bookmarkStart w:id="452" w:name="_Toc69673987"/>
      <w:bookmarkStart w:id="453" w:name="_Toc69674345"/>
      <w:bookmarkStart w:id="454" w:name="_Toc69772170"/>
      <w:bookmarkStart w:id="455" w:name="_Toc69846792"/>
      <w:bookmarkStart w:id="456" w:name="_Toc69849779"/>
      <w:bookmarkStart w:id="457" w:name="_Toc69850264"/>
      <w:bookmarkStart w:id="458" w:name="_Toc70361720"/>
      <w:bookmarkStart w:id="459" w:name="_Toc71267159"/>
      <w:bookmarkStart w:id="460" w:name="_Toc72331046"/>
      <w:bookmarkStart w:id="461" w:name="_Toc72332414"/>
      <w:bookmarkStart w:id="462" w:name="_Toc69672386"/>
      <w:bookmarkStart w:id="463" w:name="_Toc69672794"/>
      <w:bookmarkStart w:id="464" w:name="_Toc69673201"/>
      <w:bookmarkStart w:id="465" w:name="_Toc69673607"/>
      <w:bookmarkStart w:id="466" w:name="_Toc69673988"/>
      <w:bookmarkStart w:id="467" w:name="_Toc69674346"/>
      <w:bookmarkStart w:id="468" w:name="_Toc69772171"/>
      <w:bookmarkStart w:id="469" w:name="_Toc69846793"/>
      <w:bookmarkStart w:id="470" w:name="_Toc69849780"/>
      <w:bookmarkStart w:id="471" w:name="_Toc69850265"/>
      <w:bookmarkStart w:id="472" w:name="_Toc70361721"/>
      <w:bookmarkStart w:id="473" w:name="_Toc71267160"/>
      <w:bookmarkStart w:id="474" w:name="_Toc72331047"/>
      <w:bookmarkStart w:id="475" w:name="_Toc72332415"/>
      <w:bookmarkStart w:id="476" w:name="_Toc69672387"/>
      <w:bookmarkStart w:id="477" w:name="_Toc69672795"/>
      <w:bookmarkStart w:id="478" w:name="_Toc69673202"/>
      <w:bookmarkStart w:id="479" w:name="_Toc69673608"/>
      <w:bookmarkStart w:id="480" w:name="_Toc69673989"/>
      <w:bookmarkStart w:id="481" w:name="_Toc69674347"/>
      <w:bookmarkStart w:id="482" w:name="_Toc69772172"/>
      <w:bookmarkStart w:id="483" w:name="_Toc69846794"/>
      <w:bookmarkStart w:id="484" w:name="_Toc69849781"/>
      <w:bookmarkStart w:id="485" w:name="_Toc69850266"/>
      <w:bookmarkStart w:id="486" w:name="_Toc70361722"/>
      <w:bookmarkStart w:id="487" w:name="_Toc71267161"/>
      <w:bookmarkStart w:id="488" w:name="_Toc72331048"/>
      <w:bookmarkStart w:id="489" w:name="_Toc72332416"/>
      <w:bookmarkStart w:id="490" w:name="_Toc69672388"/>
      <w:bookmarkStart w:id="491" w:name="_Toc69672796"/>
      <w:bookmarkStart w:id="492" w:name="_Toc69673203"/>
      <w:bookmarkStart w:id="493" w:name="_Toc69673609"/>
      <w:bookmarkStart w:id="494" w:name="_Toc69673990"/>
      <w:bookmarkStart w:id="495" w:name="_Toc69674348"/>
      <w:bookmarkStart w:id="496" w:name="_Toc69772173"/>
      <w:bookmarkStart w:id="497" w:name="_Toc69846795"/>
      <w:bookmarkStart w:id="498" w:name="_Toc69849782"/>
      <w:bookmarkStart w:id="499" w:name="_Toc69850267"/>
      <w:bookmarkStart w:id="500" w:name="_Toc70361723"/>
      <w:bookmarkStart w:id="501" w:name="_Toc71267162"/>
      <w:bookmarkStart w:id="502" w:name="_Toc72331049"/>
      <w:bookmarkStart w:id="503" w:name="_Toc72332417"/>
      <w:bookmarkStart w:id="504" w:name="_Toc69672389"/>
      <w:bookmarkStart w:id="505" w:name="_Toc69672797"/>
      <w:bookmarkStart w:id="506" w:name="_Toc69673204"/>
      <w:bookmarkStart w:id="507" w:name="_Toc69673610"/>
      <w:bookmarkStart w:id="508" w:name="_Toc69673991"/>
      <w:bookmarkStart w:id="509" w:name="_Toc69674349"/>
      <w:bookmarkStart w:id="510" w:name="_Toc69772174"/>
      <w:bookmarkStart w:id="511" w:name="_Toc69846796"/>
      <w:bookmarkStart w:id="512" w:name="_Toc69849783"/>
      <w:bookmarkStart w:id="513" w:name="_Toc69850268"/>
      <w:bookmarkStart w:id="514" w:name="_Toc70361724"/>
      <w:bookmarkStart w:id="515" w:name="_Toc71267163"/>
      <w:bookmarkStart w:id="516" w:name="_Toc72331050"/>
      <w:bookmarkStart w:id="517" w:name="_Toc72332418"/>
      <w:bookmarkStart w:id="518" w:name="_Toc69672390"/>
      <w:bookmarkStart w:id="519" w:name="_Toc69672798"/>
      <w:bookmarkStart w:id="520" w:name="_Toc69673205"/>
      <w:bookmarkStart w:id="521" w:name="_Toc69673611"/>
      <w:bookmarkStart w:id="522" w:name="_Toc69673992"/>
      <w:bookmarkStart w:id="523" w:name="_Toc69674350"/>
      <w:bookmarkStart w:id="524" w:name="_Toc69772175"/>
      <w:bookmarkStart w:id="525" w:name="_Toc69846797"/>
      <w:bookmarkStart w:id="526" w:name="_Toc69849784"/>
      <w:bookmarkStart w:id="527" w:name="_Toc69850269"/>
      <w:bookmarkStart w:id="528" w:name="_Toc70361725"/>
      <w:bookmarkStart w:id="529" w:name="_Toc71267164"/>
      <w:bookmarkStart w:id="530" w:name="_Toc72331051"/>
      <w:bookmarkStart w:id="531" w:name="_Toc72332419"/>
      <w:bookmarkStart w:id="532" w:name="_Toc69672391"/>
      <w:bookmarkStart w:id="533" w:name="_Toc69672799"/>
      <w:bookmarkStart w:id="534" w:name="_Toc69673206"/>
      <w:bookmarkStart w:id="535" w:name="_Toc69673612"/>
      <w:bookmarkStart w:id="536" w:name="_Toc69673993"/>
      <w:bookmarkStart w:id="537" w:name="_Toc69674351"/>
      <w:bookmarkStart w:id="538" w:name="_Toc69772176"/>
      <w:bookmarkStart w:id="539" w:name="_Toc69846798"/>
      <w:bookmarkStart w:id="540" w:name="_Toc69849785"/>
      <w:bookmarkStart w:id="541" w:name="_Toc69850270"/>
      <w:bookmarkStart w:id="542" w:name="_Toc70361726"/>
      <w:bookmarkStart w:id="543" w:name="_Toc71267165"/>
      <w:bookmarkStart w:id="544" w:name="_Toc72331052"/>
      <w:bookmarkStart w:id="545" w:name="_Toc72332420"/>
      <w:bookmarkStart w:id="546" w:name="_Toc69672392"/>
      <w:bookmarkStart w:id="547" w:name="_Toc69672800"/>
      <w:bookmarkStart w:id="548" w:name="_Toc69673207"/>
      <w:bookmarkStart w:id="549" w:name="_Toc69673613"/>
      <w:bookmarkStart w:id="550" w:name="_Toc69673994"/>
      <w:bookmarkStart w:id="551" w:name="_Toc69674352"/>
      <w:bookmarkStart w:id="552" w:name="_Toc69772177"/>
      <w:bookmarkStart w:id="553" w:name="_Toc69846799"/>
      <w:bookmarkStart w:id="554" w:name="_Toc69849786"/>
      <w:bookmarkStart w:id="555" w:name="_Toc69850271"/>
      <w:bookmarkStart w:id="556" w:name="_Toc70361727"/>
      <w:bookmarkStart w:id="557" w:name="_Toc71267166"/>
      <w:bookmarkStart w:id="558" w:name="_Toc72331053"/>
      <w:bookmarkStart w:id="559" w:name="_Toc72332421"/>
      <w:bookmarkStart w:id="560" w:name="_Toc69672393"/>
      <w:bookmarkStart w:id="561" w:name="_Toc69672801"/>
      <w:bookmarkStart w:id="562" w:name="_Toc69673208"/>
      <w:bookmarkStart w:id="563" w:name="_Toc69673614"/>
      <w:bookmarkStart w:id="564" w:name="_Toc69673995"/>
      <w:bookmarkStart w:id="565" w:name="_Toc69674353"/>
      <w:bookmarkStart w:id="566" w:name="_Toc69772178"/>
      <w:bookmarkStart w:id="567" w:name="_Toc69846800"/>
      <w:bookmarkStart w:id="568" w:name="_Toc69849787"/>
      <w:bookmarkStart w:id="569" w:name="_Toc69850272"/>
      <w:bookmarkStart w:id="570" w:name="_Toc70361728"/>
      <w:bookmarkStart w:id="571" w:name="_Toc71267167"/>
      <w:bookmarkStart w:id="572" w:name="_Toc72331054"/>
      <w:bookmarkStart w:id="573" w:name="_Toc72332422"/>
      <w:bookmarkStart w:id="574" w:name="_Toc69672394"/>
      <w:bookmarkStart w:id="575" w:name="_Toc69672802"/>
      <w:bookmarkStart w:id="576" w:name="_Toc69673209"/>
      <w:bookmarkStart w:id="577" w:name="_Toc69673615"/>
      <w:bookmarkStart w:id="578" w:name="_Toc69673996"/>
      <w:bookmarkStart w:id="579" w:name="_Toc69674354"/>
      <w:bookmarkStart w:id="580" w:name="_Toc69772179"/>
      <w:bookmarkStart w:id="581" w:name="_Toc69846801"/>
      <w:bookmarkStart w:id="582" w:name="_Toc69849788"/>
      <w:bookmarkStart w:id="583" w:name="_Toc69850273"/>
      <w:bookmarkStart w:id="584" w:name="_Toc70361729"/>
      <w:bookmarkStart w:id="585" w:name="_Toc71267168"/>
      <w:bookmarkStart w:id="586" w:name="_Toc72331055"/>
      <w:bookmarkStart w:id="587" w:name="_Toc72332423"/>
      <w:bookmarkStart w:id="588" w:name="_Toc69672395"/>
      <w:bookmarkStart w:id="589" w:name="_Toc69672803"/>
      <w:bookmarkStart w:id="590" w:name="_Toc69673210"/>
      <w:bookmarkStart w:id="591" w:name="_Toc69673616"/>
      <w:bookmarkStart w:id="592" w:name="_Toc69673997"/>
      <w:bookmarkStart w:id="593" w:name="_Toc69674355"/>
      <w:bookmarkStart w:id="594" w:name="_Toc69772180"/>
      <w:bookmarkStart w:id="595" w:name="_Toc69846802"/>
      <w:bookmarkStart w:id="596" w:name="_Toc69849789"/>
      <w:bookmarkStart w:id="597" w:name="_Toc69850274"/>
      <w:bookmarkStart w:id="598" w:name="_Toc70361730"/>
      <w:bookmarkStart w:id="599" w:name="_Toc71267169"/>
      <w:bookmarkStart w:id="600" w:name="_Toc72331056"/>
      <w:bookmarkStart w:id="601" w:name="_Toc72332424"/>
      <w:bookmarkStart w:id="602" w:name="_Toc69672396"/>
      <w:bookmarkStart w:id="603" w:name="_Toc69672804"/>
      <w:bookmarkStart w:id="604" w:name="_Toc69673211"/>
      <w:bookmarkStart w:id="605" w:name="_Toc69673617"/>
      <w:bookmarkStart w:id="606" w:name="_Toc69673998"/>
      <w:bookmarkStart w:id="607" w:name="_Toc69674356"/>
      <w:bookmarkStart w:id="608" w:name="_Toc69772181"/>
      <w:bookmarkStart w:id="609" w:name="_Toc69846803"/>
      <w:bookmarkStart w:id="610" w:name="_Toc69849790"/>
      <w:bookmarkStart w:id="611" w:name="_Toc69850275"/>
      <w:bookmarkStart w:id="612" w:name="_Toc70361731"/>
      <w:bookmarkStart w:id="613" w:name="_Toc71267170"/>
      <w:bookmarkStart w:id="614" w:name="_Toc72331057"/>
      <w:bookmarkStart w:id="615" w:name="_Toc72332425"/>
      <w:bookmarkStart w:id="616" w:name="_Toc69672397"/>
      <w:bookmarkStart w:id="617" w:name="_Toc69672805"/>
      <w:bookmarkStart w:id="618" w:name="_Toc69673212"/>
      <w:bookmarkStart w:id="619" w:name="_Toc69673618"/>
      <w:bookmarkStart w:id="620" w:name="_Toc69673999"/>
      <w:bookmarkStart w:id="621" w:name="_Toc69674357"/>
      <w:bookmarkStart w:id="622" w:name="_Toc69772182"/>
      <w:bookmarkStart w:id="623" w:name="_Toc69846804"/>
      <w:bookmarkStart w:id="624" w:name="_Toc69849791"/>
      <w:bookmarkStart w:id="625" w:name="_Toc69850276"/>
      <w:bookmarkStart w:id="626" w:name="_Toc70361732"/>
      <w:bookmarkStart w:id="627" w:name="_Toc71267171"/>
      <w:bookmarkStart w:id="628" w:name="_Toc72331058"/>
      <w:bookmarkStart w:id="629" w:name="_Toc72332426"/>
      <w:bookmarkStart w:id="630" w:name="_Toc69672398"/>
      <w:bookmarkStart w:id="631" w:name="_Toc69672806"/>
      <w:bookmarkStart w:id="632" w:name="_Toc69673213"/>
      <w:bookmarkStart w:id="633" w:name="_Toc69673619"/>
      <w:bookmarkStart w:id="634" w:name="_Toc69674000"/>
      <w:bookmarkStart w:id="635" w:name="_Toc69674358"/>
      <w:bookmarkStart w:id="636" w:name="_Toc69772183"/>
      <w:bookmarkStart w:id="637" w:name="_Toc69846805"/>
      <w:bookmarkStart w:id="638" w:name="_Toc69849792"/>
      <w:bookmarkStart w:id="639" w:name="_Toc69850277"/>
      <w:bookmarkStart w:id="640" w:name="_Toc70361733"/>
      <w:bookmarkStart w:id="641" w:name="_Toc71267172"/>
      <w:bookmarkStart w:id="642" w:name="_Toc72331059"/>
      <w:bookmarkStart w:id="643" w:name="_Toc72332427"/>
      <w:bookmarkStart w:id="644" w:name="_Toc69672399"/>
      <w:bookmarkStart w:id="645" w:name="_Toc69672807"/>
      <w:bookmarkStart w:id="646" w:name="_Toc69673214"/>
      <w:bookmarkStart w:id="647" w:name="_Toc69673620"/>
      <w:bookmarkStart w:id="648" w:name="_Toc69674001"/>
      <w:bookmarkStart w:id="649" w:name="_Toc69674359"/>
      <w:bookmarkStart w:id="650" w:name="_Toc69772184"/>
      <w:bookmarkStart w:id="651" w:name="_Toc69846806"/>
      <w:bookmarkStart w:id="652" w:name="_Toc69849793"/>
      <w:bookmarkStart w:id="653" w:name="_Toc69850278"/>
      <w:bookmarkStart w:id="654" w:name="_Toc70361734"/>
      <w:bookmarkStart w:id="655" w:name="_Toc71267173"/>
      <w:bookmarkStart w:id="656" w:name="_Toc72331060"/>
      <w:bookmarkStart w:id="657" w:name="_Toc72332428"/>
      <w:bookmarkStart w:id="658" w:name="_Toc69672400"/>
      <w:bookmarkStart w:id="659" w:name="_Toc69672808"/>
      <w:bookmarkStart w:id="660" w:name="_Toc69673215"/>
      <w:bookmarkStart w:id="661" w:name="_Toc69673621"/>
      <w:bookmarkStart w:id="662" w:name="_Toc69674002"/>
      <w:bookmarkStart w:id="663" w:name="_Toc69674360"/>
      <w:bookmarkStart w:id="664" w:name="_Toc69772185"/>
      <w:bookmarkStart w:id="665" w:name="_Toc69846807"/>
      <w:bookmarkStart w:id="666" w:name="_Toc69849794"/>
      <w:bookmarkStart w:id="667" w:name="_Toc69850279"/>
      <w:bookmarkStart w:id="668" w:name="_Toc70361735"/>
      <w:bookmarkStart w:id="669" w:name="_Toc71267174"/>
      <w:bookmarkStart w:id="670" w:name="_Toc72331061"/>
      <w:bookmarkStart w:id="671" w:name="_Toc72332429"/>
      <w:bookmarkStart w:id="672" w:name="_Toc69672401"/>
      <w:bookmarkStart w:id="673" w:name="_Toc69672809"/>
      <w:bookmarkStart w:id="674" w:name="_Toc69673216"/>
      <w:bookmarkStart w:id="675" w:name="_Toc69673622"/>
      <w:bookmarkStart w:id="676" w:name="_Toc69674003"/>
      <w:bookmarkStart w:id="677" w:name="_Toc69674361"/>
      <w:bookmarkStart w:id="678" w:name="_Toc69772186"/>
      <w:bookmarkStart w:id="679" w:name="_Toc69846808"/>
      <w:bookmarkStart w:id="680" w:name="_Toc69849795"/>
      <w:bookmarkStart w:id="681" w:name="_Toc69850280"/>
      <w:bookmarkStart w:id="682" w:name="_Toc70361736"/>
      <w:bookmarkStart w:id="683" w:name="_Toc71267175"/>
      <w:bookmarkStart w:id="684" w:name="_Toc72331062"/>
      <w:bookmarkStart w:id="685" w:name="_Toc72332430"/>
      <w:bookmarkStart w:id="686" w:name="_Toc69672402"/>
      <w:bookmarkStart w:id="687" w:name="_Toc69672810"/>
      <w:bookmarkStart w:id="688" w:name="_Toc69673217"/>
      <w:bookmarkStart w:id="689" w:name="_Toc69673623"/>
      <w:bookmarkStart w:id="690" w:name="_Toc69674004"/>
      <w:bookmarkStart w:id="691" w:name="_Toc69674362"/>
      <w:bookmarkStart w:id="692" w:name="_Toc69772187"/>
      <w:bookmarkStart w:id="693" w:name="_Toc69846809"/>
      <w:bookmarkStart w:id="694" w:name="_Toc69849796"/>
      <w:bookmarkStart w:id="695" w:name="_Toc69850281"/>
      <w:bookmarkStart w:id="696" w:name="_Toc70361737"/>
      <w:bookmarkStart w:id="697" w:name="_Toc71267176"/>
      <w:bookmarkStart w:id="698" w:name="_Toc72331063"/>
      <w:bookmarkStart w:id="699" w:name="_Toc72332431"/>
      <w:bookmarkStart w:id="700" w:name="_Toc69672403"/>
      <w:bookmarkStart w:id="701" w:name="_Toc69672811"/>
      <w:bookmarkStart w:id="702" w:name="_Toc69673218"/>
      <w:bookmarkStart w:id="703" w:name="_Toc69673624"/>
      <w:bookmarkStart w:id="704" w:name="_Toc69674005"/>
      <w:bookmarkStart w:id="705" w:name="_Toc69674363"/>
      <w:bookmarkStart w:id="706" w:name="_Toc69772188"/>
      <w:bookmarkStart w:id="707" w:name="_Toc69846810"/>
      <w:bookmarkStart w:id="708" w:name="_Toc69849797"/>
      <w:bookmarkStart w:id="709" w:name="_Toc69850282"/>
      <w:bookmarkStart w:id="710" w:name="_Toc70361738"/>
      <w:bookmarkStart w:id="711" w:name="_Toc71267177"/>
      <w:bookmarkStart w:id="712" w:name="_Toc72331064"/>
      <w:bookmarkStart w:id="713" w:name="_Toc72332432"/>
      <w:bookmarkStart w:id="714" w:name="_Toc69672404"/>
      <w:bookmarkStart w:id="715" w:name="_Toc69672812"/>
      <w:bookmarkStart w:id="716" w:name="_Toc69673219"/>
      <w:bookmarkStart w:id="717" w:name="_Toc69673625"/>
      <w:bookmarkStart w:id="718" w:name="_Toc69674006"/>
      <w:bookmarkStart w:id="719" w:name="_Toc69674364"/>
      <w:bookmarkStart w:id="720" w:name="_Toc69772189"/>
      <w:bookmarkStart w:id="721" w:name="_Toc69846811"/>
      <w:bookmarkStart w:id="722" w:name="_Toc69849798"/>
      <w:bookmarkStart w:id="723" w:name="_Toc69850283"/>
      <w:bookmarkStart w:id="724" w:name="_Toc70361739"/>
      <w:bookmarkStart w:id="725" w:name="_Toc71267178"/>
      <w:bookmarkStart w:id="726" w:name="_Toc72331065"/>
      <w:bookmarkStart w:id="727" w:name="_Toc72332433"/>
      <w:bookmarkStart w:id="728" w:name="_Toc69672405"/>
      <w:bookmarkStart w:id="729" w:name="_Toc69672813"/>
      <w:bookmarkStart w:id="730" w:name="_Toc69673220"/>
      <w:bookmarkStart w:id="731" w:name="_Toc69673626"/>
      <w:bookmarkStart w:id="732" w:name="_Toc69674007"/>
      <w:bookmarkStart w:id="733" w:name="_Toc69674365"/>
      <w:bookmarkStart w:id="734" w:name="_Toc69772190"/>
      <w:bookmarkStart w:id="735" w:name="_Toc69846812"/>
      <w:bookmarkStart w:id="736" w:name="_Toc69849799"/>
      <w:bookmarkStart w:id="737" w:name="_Toc69850284"/>
      <w:bookmarkStart w:id="738" w:name="_Toc70361740"/>
      <w:bookmarkStart w:id="739" w:name="_Toc71267179"/>
      <w:bookmarkStart w:id="740" w:name="_Toc72331066"/>
      <w:bookmarkStart w:id="741" w:name="_Toc72332434"/>
      <w:bookmarkStart w:id="742" w:name="_Toc69672406"/>
      <w:bookmarkStart w:id="743" w:name="_Toc69672814"/>
      <w:bookmarkStart w:id="744" w:name="_Toc69673221"/>
      <w:bookmarkStart w:id="745" w:name="_Toc69673627"/>
      <w:bookmarkStart w:id="746" w:name="_Toc69674008"/>
      <w:bookmarkStart w:id="747" w:name="_Toc69674366"/>
      <w:bookmarkStart w:id="748" w:name="_Toc69772191"/>
      <w:bookmarkStart w:id="749" w:name="_Toc69846813"/>
      <w:bookmarkStart w:id="750" w:name="_Toc69849800"/>
      <w:bookmarkStart w:id="751" w:name="_Toc69850285"/>
      <w:bookmarkStart w:id="752" w:name="_Toc70361741"/>
      <w:bookmarkStart w:id="753" w:name="_Toc71267180"/>
      <w:bookmarkStart w:id="754" w:name="_Toc72331067"/>
      <w:bookmarkStart w:id="755" w:name="_Toc72332435"/>
      <w:bookmarkStart w:id="756" w:name="_Toc69672407"/>
      <w:bookmarkStart w:id="757" w:name="_Toc69672815"/>
      <w:bookmarkStart w:id="758" w:name="_Toc69673222"/>
      <w:bookmarkStart w:id="759" w:name="_Toc69673628"/>
      <w:bookmarkStart w:id="760" w:name="_Toc69674009"/>
      <w:bookmarkStart w:id="761" w:name="_Toc69674367"/>
      <w:bookmarkStart w:id="762" w:name="_Toc69772192"/>
      <w:bookmarkStart w:id="763" w:name="_Toc69846814"/>
      <w:bookmarkStart w:id="764" w:name="_Toc69849801"/>
      <w:bookmarkStart w:id="765" w:name="_Toc69850286"/>
      <w:bookmarkStart w:id="766" w:name="_Toc70361742"/>
      <w:bookmarkStart w:id="767" w:name="_Toc71267181"/>
      <w:bookmarkStart w:id="768" w:name="_Toc72331068"/>
      <w:bookmarkStart w:id="769" w:name="_Toc72332436"/>
      <w:bookmarkStart w:id="770" w:name="_Toc69672408"/>
      <w:bookmarkStart w:id="771" w:name="_Toc69672816"/>
      <w:bookmarkStart w:id="772" w:name="_Toc69673223"/>
      <w:bookmarkStart w:id="773" w:name="_Toc69673629"/>
      <w:bookmarkStart w:id="774" w:name="_Toc69674010"/>
      <w:bookmarkStart w:id="775" w:name="_Toc69674368"/>
      <w:bookmarkStart w:id="776" w:name="_Toc69772193"/>
      <w:bookmarkStart w:id="777" w:name="_Toc69846815"/>
      <w:bookmarkStart w:id="778" w:name="_Toc69849802"/>
      <w:bookmarkStart w:id="779" w:name="_Toc69850287"/>
      <w:bookmarkStart w:id="780" w:name="_Toc70361743"/>
      <w:bookmarkStart w:id="781" w:name="_Toc71267182"/>
      <w:bookmarkStart w:id="782" w:name="_Toc72331069"/>
      <w:bookmarkStart w:id="783" w:name="_Toc72332437"/>
      <w:bookmarkStart w:id="784" w:name="_Toc69672409"/>
      <w:bookmarkStart w:id="785" w:name="_Toc69672817"/>
      <w:bookmarkStart w:id="786" w:name="_Toc69673224"/>
      <w:bookmarkStart w:id="787" w:name="_Toc69673630"/>
      <w:bookmarkStart w:id="788" w:name="_Toc69674011"/>
      <w:bookmarkStart w:id="789" w:name="_Toc69674369"/>
      <w:bookmarkStart w:id="790" w:name="_Toc69772194"/>
      <w:bookmarkStart w:id="791" w:name="_Toc69846816"/>
      <w:bookmarkStart w:id="792" w:name="_Toc69849803"/>
      <w:bookmarkStart w:id="793" w:name="_Toc69850288"/>
      <w:bookmarkStart w:id="794" w:name="_Toc70361744"/>
      <w:bookmarkStart w:id="795" w:name="_Toc71267183"/>
      <w:bookmarkStart w:id="796" w:name="_Toc72331070"/>
      <w:bookmarkStart w:id="797" w:name="_Toc72332438"/>
      <w:bookmarkStart w:id="798" w:name="_Toc69672410"/>
      <w:bookmarkStart w:id="799" w:name="_Toc69672818"/>
      <w:bookmarkStart w:id="800" w:name="_Toc69673225"/>
      <w:bookmarkStart w:id="801" w:name="_Toc69673631"/>
      <w:bookmarkStart w:id="802" w:name="_Toc69674012"/>
      <w:bookmarkStart w:id="803" w:name="_Toc69674370"/>
      <w:bookmarkStart w:id="804" w:name="_Toc69772195"/>
      <w:bookmarkStart w:id="805" w:name="_Toc69846817"/>
      <w:bookmarkStart w:id="806" w:name="_Toc69849804"/>
      <w:bookmarkStart w:id="807" w:name="_Toc69850289"/>
      <w:bookmarkStart w:id="808" w:name="_Toc70361745"/>
      <w:bookmarkStart w:id="809" w:name="_Toc71267184"/>
      <w:bookmarkStart w:id="810" w:name="_Toc72331071"/>
      <w:bookmarkStart w:id="811" w:name="_Toc72332439"/>
      <w:bookmarkStart w:id="812" w:name="_Toc69672411"/>
      <w:bookmarkStart w:id="813" w:name="_Toc69672819"/>
      <w:bookmarkStart w:id="814" w:name="_Toc69673226"/>
      <w:bookmarkStart w:id="815" w:name="_Toc69673632"/>
      <w:bookmarkStart w:id="816" w:name="_Toc69674013"/>
      <w:bookmarkStart w:id="817" w:name="_Toc69674371"/>
      <w:bookmarkStart w:id="818" w:name="_Toc69772196"/>
      <w:bookmarkStart w:id="819" w:name="_Toc69846818"/>
      <w:bookmarkStart w:id="820" w:name="_Toc69849805"/>
      <w:bookmarkStart w:id="821" w:name="_Toc69850290"/>
      <w:bookmarkStart w:id="822" w:name="_Toc70361746"/>
      <w:bookmarkStart w:id="823" w:name="_Toc71267185"/>
      <w:bookmarkStart w:id="824" w:name="_Toc72331072"/>
      <w:bookmarkStart w:id="825" w:name="_Toc72332440"/>
      <w:bookmarkStart w:id="826" w:name="_Toc69672412"/>
      <w:bookmarkStart w:id="827" w:name="_Toc69672820"/>
      <w:bookmarkStart w:id="828" w:name="_Toc69673227"/>
      <w:bookmarkStart w:id="829" w:name="_Toc69673633"/>
      <w:bookmarkStart w:id="830" w:name="_Toc69674014"/>
      <w:bookmarkStart w:id="831" w:name="_Toc69674372"/>
      <w:bookmarkStart w:id="832" w:name="_Toc69772197"/>
      <w:bookmarkStart w:id="833" w:name="_Toc69846819"/>
      <w:bookmarkStart w:id="834" w:name="_Toc69849806"/>
      <w:bookmarkStart w:id="835" w:name="_Toc69850291"/>
      <w:bookmarkStart w:id="836" w:name="_Toc70361747"/>
      <w:bookmarkStart w:id="837" w:name="_Toc71267186"/>
      <w:bookmarkStart w:id="838" w:name="_Toc72331073"/>
      <w:bookmarkStart w:id="839" w:name="_Toc72332441"/>
      <w:bookmarkStart w:id="840" w:name="_Toc69672413"/>
      <w:bookmarkStart w:id="841" w:name="_Toc69672821"/>
      <w:bookmarkStart w:id="842" w:name="_Toc69673228"/>
      <w:bookmarkStart w:id="843" w:name="_Toc69673634"/>
      <w:bookmarkStart w:id="844" w:name="_Toc69674015"/>
      <w:bookmarkStart w:id="845" w:name="_Toc69674373"/>
      <w:bookmarkStart w:id="846" w:name="_Toc69772198"/>
      <w:bookmarkStart w:id="847" w:name="_Toc69846820"/>
      <w:bookmarkStart w:id="848" w:name="_Toc69849807"/>
      <w:bookmarkStart w:id="849" w:name="_Toc69850292"/>
      <w:bookmarkStart w:id="850" w:name="_Toc70361748"/>
      <w:bookmarkStart w:id="851" w:name="_Toc71267187"/>
      <w:bookmarkStart w:id="852" w:name="_Toc72331074"/>
      <w:bookmarkStart w:id="853" w:name="_Toc72332442"/>
      <w:bookmarkStart w:id="854" w:name="_Toc69672414"/>
      <w:bookmarkStart w:id="855" w:name="_Toc69672822"/>
      <w:bookmarkStart w:id="856" w:name="_Toc69673229"/>
      <w:bookmarkStart w:id="857" w:name="_Toc69673635"/>
      <w:bookmarkStart w:id="858" w:name="_Toc69674016"/>
      <w:bookmarkStart w:id="859" w:name="_Toc69674374"/>
      <w:bookmarkStart w:id="860" w:name="_Toc69772199"/>
      <w:bookmarkStart w:id="861" w:name="_Toc69846821"/>
      <w:bookmarkStart w:id="862" w:name="_Toc69849808"/>
      <w:bookmarkStart w:id="863" w:name="_Toc69850293"/>
      <w:bookmarkStart w:id="864" w:name="_Toc70361749"/>
      <w:bookmarkStart w:id="865" w:name="_Toc71267188"/>
      <w:bookmarkStart w:id="866" w:name="_Toc72331075"/>
      <w:bookmarkStart w:id="867" w:name="_Toc72332443"/>
      <w:bookmarkStart w:id="868" w:name="_Toc69672415"/>
      <w:bookmarkStart w:id="869" w:name="_Toc69672823"/>
      <w:bookmarkStart w:id="870" w:name="_Toc69673230"/>
      <w:bookmarkStart w:id="871" w:name="_Toc69673636"/>
      <w:bookmarkStart w:id="872" w:name="_Toc69674017"/>
      <w:bookmarkStart w:id="873" w:name="_Toc69674375"/>
      <w:bookmarkStart w:id="874" w:name="_Toc69772200"/>
      <w:bookmarkStart w:id="875" w:name="_Toc69846822"/>
      <w:bookmarkStart w:id="876" w:name="_Toc69849809"/>
      <w:bookmarkStart w:id="877" w:name="_Toc69850294"/>
      <w:bookmarkStart w:id="878" w:name="_Toc70361750"/>
      <w:bookmarkStart w:id="879" w:name="_Toc71267189"/>
      <w:bookmarkStart w:id="880" w:name="_Toc72331076"/>
      <w:bookmarkStart w:id="881" w:name="_Toc72332444"/>
      <w:bookmarkStart w:id="882" w:name="_Toc69672416"/>
      <w:bookmarkStart w:id="883" w:name="_Toc69672824"/>
      <w:bookmarkStart w:id="884" w:name="_Toc69673231"/>
      <w:bookmarkStart w:id="885" w:name="_Toc69673637"/>
      <w:bookmarkStart w:id="886" w:name="_Toc69674018"/>
      <w:bookmarkStart w:id="887" w:name="_Toc69674376"/>
      <w:bookmarkStart w:id="888" w:name="_Toc69772201"/>
      <w:bookmarkStart w:id="889" w:name="_Toc69846823"/>
      <w:bookmarkStart w:id="890" w:name="_Toc69849810"/>
      <w:bookmarkStart w:id="891" w:name="_Toc69850295"/>
      <w:bookmarkStart w:id="892" w:name="_Toc70361751"/>
      <w:bookmarkStart w:id="893" w:name="_Toc71267190"/>
      <w:bookmarkStart w:id="894" w:name="_Toc72331077"/>
      <w:bookmarkStart w:id="895" w:name="_Toc72332445"/>
      <w:bookmarkStart w:id="896" w:name="_Toc69672417"/>
      <w:bookmarkStart w:id="897" w:name="_Toc69672825"/>
      <w:bookmarkStart w:id="898" w:name="_Toc69673232"/>
      <w:bookmarkStart w:id="899" w:name="_Toc69673638"/>
      <w:bookmarkStart w:id="900" w:name="_Toc69674019"/>
      <w:bookmarkStart w:id="901" w:name="_Toc69674377"/>
      <w:bookmarkStart w:id="902" w:name="_Toc69772202"/>
      <w:bookmarkStart w:id="903" w:name="_Toc69846824"/>
      <w:bookmarkStart w:id="904" w:name="_Toc69849811"/>
      <w:bookmarkStart w:id="905" w:name="_Toc69850296"/>
      <w:bookmarkStart w:id="906" w:name="_Toc70361752"/>
      <w:bookmarkStart w:id="907" w:name="_Toc71267191"/>
      <w:bookmarkStart w:id="908" w:name="_Toc72331078"/>
      <w:bookmarkStart w:id="909" w:name="_Toc72332446"/>
      <w:bookmarkStart w:id="910" w:name="_Toc69672418"/>
      <w:bookmarkStart w:id="911" w:name="_Toc69672826"/>
      <w:bookmarkStart w:id="912" w:name="_Toc69673233"/>
      <w:bookmarkStart w:id="913" w:name="_Toc69673639"/>
      <w:bookmarkStart w:id="914" w:name="_Toc69674020"/>
      <w:bookmarkStart w:id="915" w:name="_Toc69674378"/>
      <w:bookmarkStart w:id="916" w:name="_Toc69772203"/>
      <w:bookmarkStart w:id="917" w:name="_Toc69846825"/>
      <w:bookmarkStart w:id="918" w:name="_Toc69849812"/>
      <w:bookmarkStart w:id="919" w:name="_Toc69850297"/>
      <w:bookmarkStart w:id="920" w:name="_Toc70361753"/>
      <w:bookmarkStart w:id="921" w:name="_Toc71267192"/>
      <w:bookmarkStart w:id="922" w:name="_Toc72331079"/>
      <w:bookmarkStart w:id="923" w:name="_Toc72332447"/>
      <w:bookmarkStart w:id="924" w:name="_Toc69672419"/>
      <w:bookmarkStart w:id="925" w:name="_Toc69672827"/>
      <w:bookmarkStart w:id="926" w:name="_Toc69673234"/>
      <w:bookmarkStart w:id="927" w:name="_Toc69673640"/>
      <w:bookmarkStart w:id="928" w:name="_Toc69674021"/>
      <w:bookmarkStart w:id="929" w:name="_Toc69674379"/>
      <w:bookmarkStart w:id="930" w:name="_Toc69772204"/>
      <w:bookmarkStart w:id="931" w:name="_Toc69846826"/>
      <w:bookmarkStart w:id="932" w:name="_Toc69849813"/>
      <w:bookmarkStart w:id="933" w:name="_Toc69850298"/>
      <w:bookmarkStart w:id="934" w:name="_Toc70361754"/>
      <w:bookmarkStart w:id="935" w:name="_Toc71267193"/>
      <w:bookmarkStart w:id="936" w:name="_Toc72331080"/>
      <w:bookmarkStart w:id="937" w:name="_Toc72332448"/>
      <w:bookmarkStart w:id="938" w:name="_Toc69672420"/>
      <w:bookmarkStart w:id="939" w:name="_Toc69672828"/>
      <w:bookmarkStart w:id="940" w:name="_Toc69673235"/>
      <w:bookmarkStart w:id="941" w:name="_Toc69673641"/>
      <w:bookmarkStart w:id="942" w:name="_Toc69674022"/>
      <w:bookmarkStart w:id="943" w:name="_Toc69674380"/>
      <w:bookmarkStart w:id="944" w:name="_Toc69772205"/>
      <w:bookmarkStart w:id="945" w:name="_Toc69846827"/>
      <w:bookmarkStart w:id="946" w:name="_Toc69849814"/>
      <w:bookmarkStart w:id="947" w:name="_Toc69850299"/>
      <w:bookmarkStart w:id="948" w:name="_Toc70361755"/>
      <w:bookmarkStart w:id="949" w:name="_Toc71267194"/>
      <w:bookmarkStart w:id="950" w:name="_Toc72331081"/>
      <w:bookmarkStart w:id="951" w:name="_Toc72332449"/>
      <w:bookmarkStart w:id="952" w:name="_Toc69672421"/>
      <w:bookmarkStart w:id="953" w:name="_Toc69672829"/>
      <w:bookmarkStart w:id="954" w:name="_Toc69673236"/>
      <w:bookmarkStart w:id="955" w:name="_Toc69673642"/>
      <w:bookmarkStart w:id="956" w:name="_Toc69674023"/>
      <w:bookmarkStart w:id="957" w:name="_Toc69674381"/>
      <w:bookmarkStart w:id="958" w:name="_Toc69772206"/>
      <w:bookmarkStart w:id="959" w:name="_Toc69846828"/>
      <w:bookmarkStart w:id="960" w:name="_Toc69849815"/>
      <w:bookmarkStart w:id="961" w:name="_Toc69850300"/>
      <w:bookmarkStart w:id="962" w:name="_Toc70361756"/>
      <w:bookmarkStart w:id="963" w:name="_Toc71267195"/>
      <w:bookmarkStart w:id="964" w:name="_Toc72331082"/>
      <w:bookmarkStart w:id="965" w:name="_Toc72332450"/>
      <w:bookmarkStart w:id="966" w:name="_Toc69672422"/>
      <w:bookmarkStart w:id="967" w:name="_Toc69672830"/>
      <w:bookmarkStart w:id="968" w:name="_Toc69673237"/>
      <w:bookmarkStart w:id="969" w:name="_Toc69673643"/>
      <w:bookmarkStart w:id="970" w:name="_Toc69674024"/>
      <w:bookmarkStart w:id="971" w:name="_Toc69674382"/>
      <w:bookmarkStart w:id="972" w:name="_Toc69772207"/>
      <w:bookmarkStart w:id="973" w:name="_Toc69846829"/>
      <w:bookmarkStart w:id="974" w:name="_Toc69849816"/>
      <w:bookmarkStart w:id="975" w:name="_Toc69850301"/>
      <w:bookmarkStart w:id="976" w:name="_Toc70361757"/>
      <w:bookmarkStart w:id="977" w:name="_Toc71267196"/>
      <w:bookmarkStart w:id="978" w:name="_Toc72331083"/>
      <w:bookmarkStart w:id="979" w:name="_Toc72332451"/>
      <w:bookmarkStart w:id="980" w:name="_Toc69672423"/>
      <w:bookmarkStart w:id="981" w:name="_Toc69672831"/>
      <w:bookmarkStart w:id="982" w:name="_Toc69673238"/>
      <w:bookmarkStart w:id="983" w:name="_Toc69673644"/>
      <w:bookmarkStart w:id="984" w:name="_Toc69674025"/>
      <w:bookmarkStart w:id="985" w:name="_Toc69674383"/>
      <w:bookmarkStart w:id="986" w:name="_Toc69772208"/>
      <w:bookmarkStart w:id="987" w:name="_Toc69846830"/>
      <w:bookmarkStart w:id="988" w:name="_Toc69849817"/>
      <w:bookmarkStart w:id="989" w:name="_Toc69850302"/>
      <w:bookmarkStart w:id="990" w:name="_Toc70361758"/>
      <w:bookmarkStart w:id="991" w:name="_Toc71267197"/>
      <w:bookmarkStart w:id="992" w:name="_Toc72331084"/>
      <w:bookmarkStart w:id="993" w:name="_Toc72332452"/>
      <w:bookmarkStart w:id="994" w:name="_Toc69672424"/>
      <w:bookmarkStart w:id="995" w:name="_Toc69672832"/>
      <w:bookmarkStart w:id="996" w:name="_Toc69673239"/>
      <w:bookmarkStart w:id="997" w:name="_Toc69673645"/>
      <w:bookmarkStart w:id="998" w:name="_Toc69674026"/>
      <w:bookmarkStart w:id="999" w:name="_Toc69674384"/>
      <w:bookmarkStart w:id="1000" w:name="_Toc69772209"/>
      <w:bookmarkStart w:id="1001" w:name="_Toc69846831"/>
      <w:bookmarkStart w:id="1002" w:name="_Toc69849818"/>
      <w:bookmarkStart w:id="1003" w:name="_Toc69850303"/>
      <w:bookmarkStart w:id="1004" w:name="_Toc70361759"/>
      <w:bookmarkStart w:id="1005" w:name="_Toc71267198"/>
      <w:bookmarkStart w:id="1006" w:name="_Toc72331085"/>
      <w:bookmarkStart w:id="1007" w:name="_Toc72332453"/>
      <w:bookmarkStart w:id="1008" w:name="_Toc69672425"/>
      <w:bookmarkStart w:id="1009" w:name="_Toc69672833"/>
      <w:bookmarkStart w:id="1010" w:name="_Toc69673240"/>
      <w:bookmarkStart w:id="1011" w:name="_Toc69673646"/>
      <w:bookmarkStart w:id="1012" w:name="_Toc69674027"/>
      <w:bookmarkStart w:id="1013" w:name="_Toc69674385"/>
      <w:bookmarkStart w:id="1014" w:name="_Toc69772210"/>
      <w:bookmarkStart w:id="1015" w:name="_Toc69846832"/>
      <w:bookmarkStart w:id="1016" w:name="_Toc69849819"/>
      <w:bookmarkStart w:id="1017" w:name="_Toc69850304"/>
      <w:bookmarkStart w:id="1018" w:name="_Toc70361760"/>
      <w:bookmarkStart w:id="1019" w:name="_Toc71267199"/>
      <w:bookmarkStart w:id="1020" w:name="_Toc72331086"/>
      <w:bookmarkStart w:id="1021" w:name="_Toc72332454"/>
      <w:bookmarkStart w:id="1022" w:name="_Toc69672426"/>
      <w:bookmarkStart w:id="1023" w:name="_Toc69672834"/>
      <w:bookmarkStart w:id="1024" w:name="_Toc69673241"/>
      <w:bookmarkStart w:id="1025" w:name="_Toc69673647"/>
      <w:bookmarkStart w:id="1026" w:name="_Toc69674028"/>
      <w:bookmarkStart w:id="1027" w:name="_Toc69674386"/>
      <w:bookmarkStart w:id="1028" w:name="_Toc69772211"/>
      <w:bookmarkStart w:id="1029" w:name="_Toc69846833"/>
      <w:bookmarkStart w:id="1030" w:name="_Toc69849820"/>
      <w:bookmarkStart w:id="1031" w:name="_Toc69850305"/>
      <w:bookmarkStart w:id="1032" w:name="_Toc70361761"/>
      <w:bookmarkStart w:id="1033" w:name="_Toc71267200"/>
      <w:bookmarkStart w:id="1034" w:name="_Toc72331087"/>
      <w:bookmarkStart w:id="1035" w:name="_Toc72332455"/>
      <w:bookmarkStart w:id="1036" w:name="_Toc69672427"/>
      <w:bookmarkStart w:id="1037" w:name="_Toc69672835"/>
      <w:bookmarkStart w:id="1038" w:name="_Toc69673242"/>
      <w:bookmarkStart w:id="1039" w:name="_Toc69673648"/>
      <w:bookmarkStart w:id="1040" w:name="_Toc69674029"/>
      <w:bookmarkStart w:id="1041" w:name="_Toc69674387"/>
      <w:bookmarkStart w:id="1042" w:name="_Toc69772212"/>
      <w:bookmarkStart w:id="1043" w:name="_Toc69846834"/>
      <w:bookmarkStart w:id="1044" w:name="_Toc69849821"/>
      <w:bookmarkStart w:id="1045" w:name="_Toc69850306"/>
      <w:bookmarkStart w:id="1046" w:name="_Toc70361762"/>
      <w:bookmarkStart w:id="1047" w:name="_Toc71267201"/>
      <w:bookmarkStart w:id="1048" w:name="_Toc72331088"/>
      <w:bookmarkStart w:id="1049" w:name="_Toc72332456"/>
      <w:bookmarkStart w:id="1050" w:name="_Toc69672428"/>
      <w:bookmarkStart w:id="1051" w:name="_Toc69672836"/>
      <w:bookmarkStart w:id="1052" w:name="_Toc69673243"/>
      <w:bookmarkStart w:id="1053" w:name="_Toc69673649"/>
      <w:bookmarkStart w:id="1054" w:name="_Toc69674030"/>
      <w:bookmarkStart w:id="1055" w:name="_Toc69674388"/>
      <w:bookmarkStart w:id="1056" w:name="_Toc69772213"/>
      <w:bookmarkStart w:id="1057" w:name="_Toc69846835"/>
      <w:bookmarkStart w:id="1058" w:name="_Toc69849822"/>
      <w:bookmarkStart w:id="1059" w:name="_Toc69850307"/>
      <w:bookmarkStart w:id="1060" w:name="_Toc70361763"/>
      <w:bookmarkStart w:id="1061" w:name="_Toc71267202"/>
      <w:bookmarkStart w:id="1062" w:name="_Toc72331089"/>
      <w:bookmarkStart w:id="1063" w:name="_Toc72332457"/>
      <w:bookmarkStart w:id="1064" w:name="_Toc69672429"/>
      <w:bookmarkStart w:id="1065" w:name="_Toc69672837"/>
      <w:bookmarkStart w:id="1066" w:name="_Toc69673244"/>
      <w:bookmarkStart w:id="1067" w:name="_Toc69673650"/>
      <w:bookmarkStart w:id="1068" w:name="_Toc69674031"/>
      <w:bookmarkStart w:id="1069" w:name="_Toc69674389"/>
      <w:bookmarkStart w:id="1070" w:name="_Toc69772214"/>
      <w:bookmarkStart w:id="1071" w:name="_Toc69846836"/>
      <w:bookmarkStart w:id="1072" w:name="_Toc69849823"/>
      <w:bookmarkStart w:id="1073" w:name="_Toc69850308"/>
      <w:bookmarkStart w:id="1074" w:name="_Toc70361764"/>
      <w:bookmarkStart w:id="1075" w:name="_Toc71267203"/>
      <w:bookmarkStart w:id="1076" w:name="_Toc72331090"/>
      <w:bookmarkStart w:id="1077" w:name="_Toc72332458"/>
      <w:bookmarkStart w:id="1078" w:name="_Toc69672430"/>
      <w:bookmarkStart w:id="1079" w:name="_Toc69672838"/>
      <w:bookmarkStart w:id="1080" w:name="_Toc69673245"/>
      <w:bookmarkStart w:id="1081" w:name="_Toc69673651"/>
      <w:bookmarkStart w:id="1082" w:name="_Toc69674032"/>
      <w:bookmarkStart w:id="1083" w:name="_Toc69674390"/>
      <w:bookmarkStart w:id="1084" w:name="_Toc69772215"/>
      <w:bookmarkStart w:id="1085" w:name="_Toc69846837"/>
      <w:bookmarkStart w:id="1086" w:name="_Toc69849824"/>
      <w:bookmarkStart w:id="1087" w:name="_Toc69850309"/>
      <w:bookmarkStart w:id="1088" w:name="_Toc70361765"/>
      <w:bookmarkStart w:id="1089" w:name="_Toc71267204"/>
      <w:bookmarkStart w:id="1090" w:name="_Toc72331091"/>
      <w:bookmarkStart w:id="1091" w:name="_Toc72332459"/>
      <w:bookmarkStart w:id="1092" w:name="_Toc69672431"/>
      <w:bookmarkStart w:id="1093" w:name="_Toc69672839"/>
      <w:bookmarkStart w:id="1094" w:name="_Toc69673246"/>
      <w:bookmarkStart w:id="1095" w:name="_Toc69673652"/>
      <w:bookmarkStart w:id="1096" w:name="_Toc69674033"/>
      <w:bookmarkStart w:id="1097" w:name="_Toc69674391"/>
      <w:bookmarkStart w:id="1098" w:name="_Toc69772216"/>
      <w:bookmarkStart w:id="1099" w:name="_Toc69846838"/>
      <w:bookmarkStart w:id="1100" w:name="_Toc69849825"/>
      <w:bookmarkStart w:id="1101" w:name="_Toc69850310"/>
      <w:bookmarkStart w:id="1102" w:name="_Toc70361766"/>
      <w:bookmarkStart w:id="1103" w:name="_Toc71267205"/>
      <w:bookmarkStart w:id="1104" w:name="_Toc72331092"/>
      <w:bookmarkStart w:id="1105" w:name="_Toc72332460"/>
      <w:bookmarkStart w:id="1106" w:name="_Toc69672432"/>
      <w:bookmarkStart w:id="1107" w:name="_Toc69672840"/>
      <w:bookmarkStart w:id="1108" w:name="_Toc69673247"/>
      <w:bookmarkStart w:id="1109" w:name="_Toc69673653"/>
      <w:bookmarkStart w:id="1110" w:name="_Toc69674034"/>
      <w:bookmarkStart w:id="1111" w:name="_Toc69674392"/>
      <w:bookmarkStart w:id="1112" w:name="_Toc69772217"/>
      <w:bookmarkStart w:id="1113" w:name="_Toc69846839"/>
      <w:bookmarkStart w:id="1114" w:name="_Toc69849826"/>
      <w:bookmarkStart w:id="1115" w:name="_Toc69850311"/>
      <w:bookmarkStart w:id="1116" w:name="_Toc70361767"/>
      <w:bookmarkStart w:id="1117" w:name="_Toc71267206"/>
      <w:bookmarkStart w:id="1118" w:name="_Toc72331093"/>
      <w:bookmarkStart w:id="1119" w:name="_Toc72332461"/>
      <w:bookmarkStart w:id="1120" w:name="_Toc69672433"/>
      <w:bookmarkStart w:id="1121" w:name="_Toc69672841"/>
      <w:bookmarkStart w:id="1122" w:name="_Toc69673248"/>
      <w:bookmarkStart w:id="1123" w:name="_Toc69673654"/>
      <w:bookmarkStart w:id="1124" w:name="_Toc69674035"/>
      <w:bookmarkStart w:id="1125" w:name="_Toc69674393"/>
      <w:bookmarkStart w:id="1126" w:name="_Toc69772218"/>
      <w:bookmarkStart w:id="1127" w:name="_Toc69846840"/>
      <w:bookmarkStart w:id="1128" w:name="_Toc69849827"/>
      <w:bookmarkStart w:id="1129" w:name="_Toc69850312"/>
      <w:bookmarkStart w:id="1130" w:name="_Toc70361768"/>
      <w:bookmarkStart w:id="1131" w:name="_Toc71267207"/>
      <w:bookmarkStart w:id="1132" w:name="_Toc72331094"/>
      <w:bookmarkStart w:id="1133" w:name="_Toc72332462"/>
      <w:bookmarkStart w:id="1134" w:name="_Toc69672434"/>
      <w:bookmarkStart w:id="1135" w:name="_Toc69672842"/>
      <w:bookmarkStart w:id="1136" w:name="_Toc69673249"/>
      <w:bookmarkStart w:id="1137" w:name="_Toc69673655"/>
      <w:bookmarkStart w:id="1138" w:name="_Toc69674036"/>
      <w:bookmarkStart w:id="1139" w:name="_Toc69674394"/>
      <w:bookmarkStart w:id="1140" w:name="_Toc69772219"/>
      <w:bookmarkStart w:id="1141" w:name="_Toc69846841"/>
      <w:bookmarkStart w:id="1142" w:name="_Toc69849828"/>
      <w:bookmarkStart w:id="1143" w:name="_Toc69850313"/>
      <w:bookmarkStart w:id="1144" w:name="_Toc70361769"/>
      <w:bookmarkStart w:id="1145" w:name="_Toc71267208"/>
      <w:bookmarkStart w:id="1146" w:name="_Toc72331095"/>
      <w:bookmarkStart w:id="1147" w:name="_Toc72332463"/>
      <w:bookmarkStart w:id="1148" w:name="_Toc69672435"/>
      <w:bookmarkStart w:id="1149" w:name="_Toc69672843"/>
      <w:bookmarkStart w:id="1150" w:name="_Toc69673250"/>
      <w:bookmarkStart w:id="1151" w:name="_Toc69673656"/>
      <w:bookmarkStart w:id="1152" w:name="_Toc69674037"/>
      <w:bookmarkStart w:id="1153" w:name="_Toc69674395"/>
      <w:bookmarkStart w:id="1154" w:name="_Toc69772220"/>
      <w:bookmarkStart w:id="1155" w:name="_Toc69846842"/>
      <w:bookmarkStart w:id="1156" w:name="_Toc69849829"/>
      <w:bookmarkStart w:id="1157" w:name="_Toc69850314"/>
      <w:bookmarkStart w:id="1158" w:name="_Toc70361770"/>
      <w:bookmarkStart w:id="1159" w:name="_Toc71267209"/>
      <w:bookmarkStart w:id="1160" w:name="_Toc72331096"/>
      <w:bookmarkStart w:id="1161" w:name="_Toc72332464"/>
      <w:bookmarkStart w:id="1162" w:name="_Toc69672436"/>
      <w:bookmarkStart w:id="1163" w:name="_Toc69672844"/>
      <w:bookmarkStart w:id="1164" w:name="_Toc69673251"/>
      <w:bookmarkStart w:id="1165" w:name="_Toc69673657"/>
      <w:bookmarkStart w:id="1166" w:name="_Toc69674038"/>
      <w:bookmarkStart w:id="1167" w:name="_Toc69674396"/>
      <w:bookmarkStart w:id="1168" w:name="_Toc69772221"/>
      <w:bookmarkStart w:id="1169" w:name="_Toc69846843"/>
      <w:bookmarkStart w:id="1170" w:name="_Toc69849830"/>
      <w:bookmarkStart w:id="1171" w:name="_Toc69850315"/>
      <w:bookmarkStart w:id="1172" w:name="_Toc70361771"/>
      <w:bookmarkStart w:id="1173" w:name="_Toc71267210"/>
      <w:bookmarkStart w:id="1174" w:name="_Toc72331097"/>
      <w:bookmarkStart w:id="1175" w:name="_Toc72332465"/>
      <w:bookmarkStart w:id="1176" w:name="_Toc69672437"/>
      <w:bookmarkStart w:id="1177" w:name="_Toc69672845"/>
      <w:bookmarkStart w:id="1178" w:name="_Toc69673252"/>
      <w:bookmarkStart w:id="1179" w:name="_Toc69673658"/>
      <w:bookmarkStart w:id="1180" w:name="_Toc69674039"/>
      <w:bookmarkStart w:id="1181" w:name="_Toc69674397"/>
      <w:bookmarkStart w:id="1182" w:name="_Toc69772222"/>
      <w:bookmarkStart w:id="1183" w:name="_Toc69846844"/>
      <w:bookmarkStart w:id="1184" w:name="_Toc69849831"/>
      <w:bookmarkStart w:id="1185" w:name="_Toc69850316"/>
      <w:bookmarkStart w:id="1186" w:name="_Toc70361772"/>
      <w:bookmarkStart w:id="1187" w:name="_Toc71267211"/>
      <w:bookmarkStart w:id="1188" w:name="_Toc72331098"/>
      <w:bookmarkStart w:id="1189" w:name="_Toc72332466"/>
      <w:bookmarkStart w:id="1190" w:name="_Toc69672438"/>
      <w:bookmarkStart w:id="1191" w:name="_Toc69672846"/>
      <w:bookmarkStart w:id="1192" w:name="_Toc69673253"/>
      <w:bookmarkStart w:id="1193" w:name="_Toc69673659"/>
      <w:bookmarkStart w:id="1194" w:name="_Toc69674040"/>
      <w:bookmarkStart w:id="1195" w:name="_Toc69674398"/>
      <w:bookmarkStart w:id="1196" w:name="_Toc69772223"/>
      <w:bookmarkStart w:id="1197" w:name="_Toc69846845"/>
      <w:bookmarkStart w:id="1198" w:name="_Toc69849832"/>
      <w:bookmarkStart w:id="1199" w:name="_Toc69850317"/>
      <w:bookmarkStart w:id="1200" w:name="_Toc70361773"/>
      <w:bookmarkStart w:id="1201" w:name="_Toc71267212"/>
      <w:bookmarkStart w:id="1202" w:name="_Toc72331099"/>
      <w:bookmarkStart w:id="1203" w:name="_Toc72332467"/>
      <w:bookmarkStart w:id="1204" w:name="_Toc69672439"/>
      <w:bookmarkStart w:id="1205" w:name="_Toc69672847"/>
      <w:bookmarkStart w:id="1206" w:name="_Toc69673254"/>
      <w:bookmarkStart w:id="1207" w:name="_Toc69673660"/>
      <w:bookmarkStart w:id="1208" w:name="_Toc69674041"/>
      <w:bookmarkStart w:id="1209" w:name="_Toc69674399"/>
      <w:bookmarkStart w:id="1210" w:name="_Toc69772224"/>
      <w:bookmarkStart w:id="1211" w:name="_Toc69846846"/>
      <w:bookmarkStart w:id="1212" w:name="_Toc69849833"/>
      <w:bookmarkStart w:id="1213" w:name="_Toc69850318"/>
      <w:bookmarkStart w:id="1214" w:name="_Toc70361774"/>
      <w:bookmarkStart w:id="1215" w:name="_Toc71267213"/>
      <w:bookmarkStart w:id="1216" w:name="_Toc72331100"/>
      <w:bookmarkStart w:id="1217" w:name="_Toc72332468"/>
      <w:bookmarkStart w:id="1218" w:name="_Toc69672440"/>
      <w:bookmarkStart w:id="1219" w:name="_Toc69672848"/>
      <w:bookmarkStart w:id="1220" w:name="_Toc69673255"/>
      <w:bookmarkStart w:id="1221" w:name="_Toc69673661"/>
      <w:bookmarkStart w:id="1222" w:name="_Toc69674042"/>
      <w:bookmarkStart w:id="1223" w:name="_Toc69674400"/>
      <w:bookmarkStart w:id="1224" w:name="_Toc69772225"/>
      <w:bookmarkStart w:id="1225" w:name="_Toc69846847"/>
      <w:bookmarkStart w:id="1226" w:name="_Toc69849834"/>
      <w:bookmarkStart w:id="1227" w:name="_Toc69850319"/>
      <w:bookmarkStart w:id="1228" w:name="_Toc70361775"/>
      <w:bookmarkStart w:id="1229" w:name="_Toc71267214"/>
      <w:bookmarkStart w:id="1230" w:name="_Toc72331101"/>
      <w:bookmarkStart w:id="1231" w:name="_Toc72332469"/>
      <w:bookmarkStart w:id="1232" w:name="_Toc69672441"/>
      <w:bookmarkStart w:id="1233" w:name="_Toc69672849"/>
      <w:bookmarkStart w:id="1234" w:name="_Toc69673256"/>
      <w:bookmarkStart w:id="1235" w:name="_Toc69673662"/>
      <w:bookmarkStart w:id="1236" w:name="_Toc69674043"/>
      <w:bookmarkStart w:id="1237" w:name="_Toc69674401"/>
      <w:bookmarkStart w:id="1238" w:name="_Toc69772226"/>
      <w:bookmarkStart w:id="1239" w:name="_Toc69846848"/>
      <w:bookmarkStart w:id="1240" w:name="_Toc69849835"/>
      <w:bookmarkStart w:id="1241" w:name="_Toc69850320"/>
      <w:bookmarkStart w:id="1242" w:name="_Toc70361776"/>
      <w:bookmarkStart w:id="1243" w:name="_Toc71267215"/>
      <w:bookmarkStart w:id="1244" w:name="_Toc72331102"/>
      <w:bookmarkStart w:id="1245" w:name="_Toc72332470"/>
      <w:bookmarkStart w:id="1246" w:name="_Toc69672442"/>
      <w:bookmarkStart w:id="1247" w:name="_Toc69672850"/>
      <w:bookmarkStart w:id="1248" w:name="_Toc69673257"/>
      <w:bookmarkStart w:id="1249" w:name="_Toc69673663"/>
      <w:bookmarkStart w:id="1250" w:name="_Toc69674044"/>
      <w:bookmarkStart w:id="1251" w:name="_Toc69674402"/>
      <w:bookmarkStart w:id="1252" w:name="_Toc69772227"/>
      <w:bookmarkStart w:id="1253" w:name="_Toc69846849"/>
      <w:bookmarkStart w:id="1254" w:name="_Toc69849836"/>
      <w:bookmarkStart w:id="1255" w:name="_Toc69850321"/>
      <w:bookmarkStart w:id="1256" w:name="_Toc70361777"/>
      <w:bookmarkStart w:id="1257" w:name="_Toc71267216"/>
      <w:bookmarkStart w:id="1258" w:name="_Toc72331103"/>
      <w:bookmarkStart w:id="1259" w:name="_Toc72332471"/>
      <w:bookmarkStart w:id="1260" w:name="_Toc69672443"/>
      <w:bookmarkStart w:id="1261" w:name="_Toc69672851"/>
      <w:bookmarkStart w:id="1262" w:name="_Toc69673258"/>
      <w:bookmarkStart w:id="1263" w:name="_Toc69673664"/>
      <w:bookmarkStart w:id="1264" w:name="_Toc69674045"/>
      <w:bookmarkStart w:id="1265" w:name="_Toc69674403"/>
      <w:bookmarkStart w:id="1266" w:name="_Toc69772228"/>
      <w:bookmarkStart w:id="1267" w:name="_Toc69846850"/>
      <w:bookmarkStart w:id="1268" w:name="_Toc69849837"/>
      <w:bookmarkStart w:id="1269" w:name="_Toc69850322"/>
      <w:bookmarkStart w:id="1270" w:name="_Toc70361778"/>
      <w:bookmarkStart w:id="1271" w:name="_Toc71267217"/>
      <w:bookmarkStart w:id="1272" w:name="_Toc72331104"/>
      <w:bookmarkStart w:id="1273" w:name="_Toc72332472"/>
      <w:bookmarkStart w:id="1274" w:name="_Toc69672444"/>
      <w:bookmarkStart w:id="1275" w:name="_Toc69672852"/>
      <w:bookmarkStart w:id="1276" w:name="_Toc69673259"/>
      <w:bookmarkStart w:id="1277" w:name="_Toc69673665"/>
      <w:bookmarkStart w:id="1278" w:name="_Toc69674046"/>
      <w:bookmarkStart w:id="1279" w:name="_Toc69674404"/>
      <w:bookmarkStart w:id="1280" w:name="_Toc69772229"/>
      <w:bookmarkStart w:id="1281" w:name="_Toc69846851"/>
      <w:bookmarkStart w:id="1282" w:name="_Toc69849838"/>
      <w:bookmarkStart w:id="1283" w:name="_Toc69850323"/>
      <w:bookmarkStart w:id="1284" w:name="_Toc70361779"/>
      <w:bookmarkStart w:id="1285" w:name="_Toc71267218"/>
      <w:bookmarkStart w:id="1286" w:name="_Toc72331105"/>
      <w:bookmarkStart w:id="1287" w:name="_Toc72332473"/>
      <w:bookmarkStart w:id="1288" w:name="_Toc69672445"/>
      <w:bookmarkStart w:id="1289" w:name="_Toc69672853"/>
      <w:bookmarkStart w:id="1290" w:name="_Toc69673260"/>
      <w:bookmarkStart w:id="1291" w:name="_Toc69673666"/>
      <w:bookmarkStart w:id="1292" w:name="_Toc69674047"/>
      <w:bookmarkStart w:id="1293" w:name="_Toc69674405"/>
      <w:bookmarkStart w:id="1294" w:name="_Toc69772230"/>
      <w:bookmarkStart w:id="1295" w:name="_Toc69846852"/>
      <w:bookmarkStart w:id="1296" w:name="_Toc69849839"/>
      <w:bookmarkStart w:id="1297" w:name="_Toc69850324"/>
      <w:bookmarkStart w:id="1298" w:name="_Toc70361780"/>
      <w:bookmarkStart w:id="1299" w:name="_Toc71267219"/>
      <w:bookmarkStart w:id="1300" w:name="_Toc72331106"/>
      <w:bookmarkStart w:id="1301" w:name="_Toc72332474"/>
      <w:bookmarkStart w:id="1302" w:name="_Toc69672446"/>
      <w:bookmarkStart w:id="1303" w:name="_Toc69672854"/>
      <w:bookmarkStart w:id="1304" w:name="_Toc69673261"/>
      <w:bookmarkStart w:id="1305" w:name="_Toc69673667"/>
      <w:bookmarkStart w:id="1306" w:name="_Toc69674048"/>
      <w:bookmarkStart w:id="1307" w:name="_Toc69674406"/>
      <w:bookmarkStart w:id="1308" w:name="_Toc69772231"/>
      <w:bookmarkStart w:id="1309" w:name="_Toc69846853"/>
      <w:bookmarkStart w:id="1310" w:name="_Toc69849840"/>
      <w:bookmarkStart w:id="1311" w:name="_Toc69850325"/>
      <w:bookmarkStart w:id="1312" w:name="_Toc70361781"/>
      <w:bookmarkStart w:id="1313" w:name="_Toc71267220"/>
      <w:bookmarkStart w:id="1314" w:name="_Toc72331107"/>
      <w:bookmarkStart w:id="1315" w:name="_Toc72332475"/>
      <w:bookmarkStart w:id="1316" w:name="_Toc69672447"/>
      <w:bookmarkStart w:id="1317" w:name="_Toc69672855"/>
      <w:bookmarkStart w:id="1318" w:name="_Toc69673262"/>
      <w:bookmarkStart w:id="1319" w:name="_Toc69673668"/>
      <w:bookmarkStart w:id="1320" w:name="_Toc69674049"/>
      <w:bookmarkStart w:id="1321" w:name="_Toc69674407"/>
      <w:bookmarkStart w:id="1322" w:name="_Toc69772232"/>
      <w:bookmarkStart w:id="1323" w:name="_Toc69846854"/>
      <w:bookmarkStart w:id="1324" w:name="_Toc69849841"/>
      <w:bookmarkStart w:id="1325" w:name="_Toc69850326"/>
      <w:bookmarkStart w:id="1326" w:name="_Toc70361782"/>
      <w:bookmarkStart w:id="1327" w:name="_Toc71267221"/>
      <w:bookmarkStart w:id="1328" w:name="_Toc72331108"/>
      <w:bookmarkStart w:id="1329" w:name="_Toc72332476"/>
      <w:bookmarkStart w:id="1330" w:name="_Toc69672448"/>
      <w:bookmarkStart w:id="1331" w:name="_Toc69672856"/>
      <w:bookmarkStart w:id="1332" w:name="_Toc69673263"/>
      <w:bookmarkStart w:id="1333" w:name="_Toc69673669"/>
      <w:bookmarkStart w:id="1334" w:name="_Toc69674050"/>
      <w:bookmarkStart w:id="1335" w:name="_Toc69674408"/>
      <w:bookmarkStart w:id="1336" w:name="_Toc69772233"/>
      <w:bookmarkStart w:id="1337" w:name="_Toc69846855"/>
      <w:bookmarkStart w:id="1338" w:name="_Toc69849842"/>
      <w:bookmarkStart w:id="1339" w:name="_Toc69850327"/>
      <w:bookmarkStart w:id="1340" w:name="_Toc70361783"/>
      <w:bookmarkStart w:id="1341" w:name="_Toc71267222"/>
      <w:bookmarkStart w:id="1342" w:name="_Toc72331109"/>
      <w:bookmarkStart w:id="1343" w:name="_Toc72332477"/>
      <w:bookmarkStart w:id="1344" w:name="_Toc69672449"/>
      <w:bookmarkStart w:id="1345" w:name="_Toc69672857"/>
      <w:bookmarkStart w:id="1346" w:name="_Toc69673264"/>
      <w:bookmarkStart w:id="1347" w:name="_Toc69673670"/>
      <w:bookmarkStart w:id="1348" w:name="_Toc69674051"/>
      <w:bookmarkStart w:id="1349" w:name="_Toc69674409"/>
      <w:bookmarkStart w:id="1350" w:name="_Toc69772234"/>
      <w:bookmarkStart w:id="1351" w:name="_Toc69846856"/>
      <w:bookmarkStart w:id="1352" w:name="_Toc69849843"/>
      <w:bookmarkStart w:id="1353" w:name="_Toc69850328"/>
      <w:bookmarkStart w:id="1354" w:name="_Toc70361784"/>
      <w:bookmarkStart w:id="1355" w:name="_Toc71267223"/>
      <w:bookmarkStart w:id="1356" w:name="_Toc72331110"/>
      <w:bookmarkStart w:id="1357" w:name="_Toc72332478"/>
      <w:bookmarkStart w:id="1358" w:name="_Toc69672450"/>
      <w:bookmarkStart w:id="1359" w:name="_Toc69672858"/>
      <w:bookmarkStart w:id="1360" w:name="_Toc69673265"/>
      <w:bookmarkStart w:id="1361" w:name="_Toc69673671"/>
      <w:bookmarkStart w:id="1362" w:name="_Toc69674052"/>
      <w:bookmarkStart w:id="1363" w:name="_Toc69674410"/>
      <w:bookmarkStart w:id="1364" w:name="_Toc69772235"/>
      <w:bookmarkStart w:id="1365" w:name="_Toc69846857"/>
      <w:bookmarkStart w:id="1366" w:name="_Toc69849844"/>
      <w:bookmarkStart w:id="1367" w:name="_Toc69850329"/>
      <w:bookmarkStart w:id="1368" w:name="_Toc70361785"/>
      <w:bookmarkStart w:id="1369" w:name="_Toc71267224"/>
      <w:bookmarkStart w:id="1370" w:name="_Toc72331111"/>
      <w:bookmarkStart w:id="1371" w:name="_Toc72332479"/>
      <w:bookmarkStart w:id="1372" w:name="_Toc69672451"/>
      <w:bookmarkStart w:id="1373" w:name="_Toc69672859"/>
      <w:bookmarkStart w:id="1374" w:name="_Toc69673266"/>
      <w:bookmarkStart w:id="1375" w:name="_Toc69673672"/>
      <w:bookmarkStart w:id="1376" w:name="_Toc69674053"/>
      <w:bookmarkStart w:id="1377" w:name="_Toc69674411"/>
      <w:bookmarkStart w:id="1378" w:name="_Toc69772236"/>
      <w:bookmarkStart w:id="1379" w:name="_Toc69846858"/>
      <w:bookmarkStart w:id="1380" w:name="_Toc69849845"/>
      <w:bookmarkStart w:id="1381" w:name="_Toc69850330"/>
      <w:bookmarkStart w:id="1382" w:name="_Toc70361786"/>
      <w:bookmarkStart w:id="1383" w:name="_Toc71267225"/>
      <w:bookmarkStart w:id="1384" w:name="_Toc72331112"/>
      <w:bookmarkStart w:id="1385" w:name="_Toc72332480"/>
      <w:bookmarkStart w:id="1386" w:name="_Toc69672452"/>
      <w:bookmarkStart w:id="1387" w:name="_Toc69672860"/>
      <w:bookmarkStart w:id="1388" w:name="_Toc69673267"/>
      <w:bookmarkStart w:id="1389" w:name="_Toc69673673"/>
      <w:bookmarkStart w:id="1390" w:name="_Toc69674054"/>
      <w:bookmarkStart w:id="1391" w:name="_Toc69674412"/>
      <w:bookmarkStart w:id="1392" w:name="_Toc69772237"/>
      <w:bookmarkStart w:id="1393" w:name="_Toc69846859"/>
      <w:bookmarkStart w:id="1394" w:name="_Toc69849846"/>
      <w:bookmarkStart w:id="1395" w:name="_Toc69850331"/>
      <w:bookmarkStart w:id="1396" w:name="_Toc70361787"/>
      <w:bookmarkStart w:id="1397" w:name="_Toc71267226"/>
      <w:bookmarkStart w:id="1398" w:name="_Toc72331113"/>
      <w:bookmarkStart w:id="1399" w:name="_Toc72332481"/>
      <w:bookmarkStart w:id="1400" w:name="_Toc69672453"/>
      <w:bookmarkStart w:id="1401" w:name="_Toc69672861"/>
      <w:bookmarkStart w:id="1402" w:name="_Toc69673268"/>
      <w:bookmarkStart w:id="1403" w:name="_Toc69673674"/>
      <w:bookmarkStart w:id="1404" w:name="_Toc69674055"/>
      <w:bookmarkStart w:id="1405" w:name="_Toc69674413"/>
      <w:bookmarkStart w:id="1406" w:name="_Toc69772238"/>
      <w:bookmarkStart w:id="1407" w:name="_Toc69846860"/>
      <w:bookmarkStart w:id="1408" w:name="_Toc69849847"/>
      <w:bookmarkStart w:id="1409" w:name="_Toc69850332"/>
      <w:bookmarkStart w:id="1410" w:name="_Toc70361788"/>
      <w:bookmarkStart w:id="1411" w:name="_Toc71267227"/>
      <w:bookmarkStart w:id="1412" w:name="_Toc72331114"/>
      <w:bookmarkStart w:id="1413" w:name="_Toc72332482"/>
      <w:bookmarkStart w:id="1414" w:name="_Toc69672454"/>
      <w:bookmarkStart w:id="1415" w:name="_Toc69672862"/>
      <w:bookmarkStart w:id="1416" w:name="_Toc69673269"/>
      <w:bookmarkStart w:id="1417" w:name="_Toc69673675"/>
      <w:bookmarkStart w:id="1418" w:name="_Toc69674056"/>
      <w:bookmarkStart w:id="1419" w:name="_Toc69674414"/>
      <w:bookmarkStart w:id="1420" w:name="_Toc69772239"/>
      <w:bookmarkStart w:id="1421" w:name="_Toc69846861"/>
      <w:bookmarkStart w:id="1422" w:name="_Toc69849848"/>
      <w:bookmarkStart w:id="1423" w:name="_Toc69850333"/>
      <w:bookmarkStart w:id="1424" w:name="_Toc70361789"/>
      <w:bookmarkStart w:id="1425" w:name="_Toc71267228"/>
      <w:bookmarkStart w:id="1426" w:name="_Toc72331115"/>
      <w:bookmarkStart w:id="1427" w:name="_Toc72332483"/>
      <w:bookmarkStart w:id="1428" w:name="_Toc69672455"/>
      <w:bookmarkStart w:id="1429" w:name="_Toc69672863"/>
      <w:bookmarkStart w:id="1430" w:name="_Toc69673270"/>
      <w:bookmarkStart w:id="1431" w:name="_Toc69673676"/>
      <w:bookmarkStart w:id="1432" w:name="_Toc69674057"/>
      <w:bookmarkStart w:id="1433" w:name="_Toc69674415"/>
      <w:bookmarkStart w:id="1434" w:name="_Toc69772240"/>
      <w:bookmarkStart w:id="1435" w:name="_Toc69846862"/>
      <w:bookmarkStart w:id="1436" w:name="_Toc69849849"/>
      <w:bookmarkStart w:id="1437" w:name="_Toc69850334"/>
      <w:bookmarkStart w:id="1438" w:name="_Toc70361790"/>
      <w:bookmarkStart w:id="1439" w:name="_Toc71267229"/>
      <w:bookmarkStart w:id="1440" w:name="_Toc72331116"/>
      <w:bookmarkStart w:id="1441" w:name="_Toc72332484"/>
      <w:bookmarkStart w:id="1442" w:name="_Toc69672456"/>
      <w:bookmarkStart w:id="1443" w:name="_Toc69672864"/>
      <w:bookmarkStart w:id="1444" w:name="_Toc69673271"/>
      <w:bookmarkStart w:id="1445" w:name="_Toc69673677"/>
      <w:bookmarkStart w:id="1446" w:name="_Toc69674058"/>
      <w:bookmarkStart w:id="1447" w:name="_Toc69674416"/>
      <w:bookmarkStart w:id="1448" w:name="_Toc69772241"/>
      <w:bookmarkStart w:id="1449" w:name="_Toc69846863"/>
      <w:bookmarkStart w:id="1450" w:name="_Toc69849850"/>
      <w:bookmarkStart w:id="1451" w:name="_Toc69850335"/>
      <w:bookmarkStart w:id="1452" w:name="_Toc70361791"/>
      <w:bookmarkStart w:id="1453" w:name="_Toc71267230"/>
      <w:bookmarkStart w:id="1454" w:name="_Toc72331117"/>
      <w:bookmarkStart w:id="1455" w:name="_Toc72332485"/>
      <w:bookmarkStart w:id="1456" w:name="_Toc69672457"/>
      <w:bookmarkStart w:id="1457" w:name="_Toc69672865"/>
      <w:bookmarkStart w:id="1458" w:name="_Toc69673272"/>
      <w:bookmarkStart w:id="1459" w:name="_Toc69673678"/>
      <w:bookmarkStart w:id="1460" w:name="_Toc69674059"/>
      <w:bookmarkStart w:id="1461" w:name="_Toc69674417"/>
      <w:bookmarkStart w:id="1462" w:name="_Toc69772242"/>
      <w:bookmarkStart w:id="1463" w:name="_Toc69846864"/>
      <w:bookmarkStart w:id="1464" w:name="_Toc69849851"/>
      <w:bookmarkStart w:id="1465" w:name="_Toc69850336"/>
      <w:bookmarkStart w:id="1466" w:name="_Toc70361792"/>
      <w:bookmarkStart w:id="1467" w:name="_Toc71267231"/>
      <w:bookmarkStart w:id="1468" w:name="_Toc72331118"/>
      <w:bookmarkStart w:id="1469" w:name="_Toc72332486"/>
      <w:bookmarkStart w:id="1470" w:name="_Toc69672458"/>
      <w:bookmarkStart w:id="1471" w:name="_Toc69672866"/>
      <w:bookmarkStart w:id="1472" w:name="_Toc69673273"/>
      <w:bookmarkStart w:id="1473" w:name="_Toc69673679"/>
      <w:bookmarkStart w:id="1474" w:name="_Toc69674060"/>
      <w:bookmarkStart w:id="1475" w:name="_Toc69674418"/>
      <w:bookmarkStart w:id="1476" w:name="_Toc69772243"/>
      <w:bookmarkStart w:id="1477" w:name="_Toc69846865"/>
      <w:bookmarkStart w:id="1478" w:name="_Toc69849852"/>
      <w:bookmarkStart w:id="1479" w:name="_Toc69850337"/>
      <w:bookmarkStart w:id="1480" w:name="_Toc70361793"/>
      <w:bookmarkStart w:id="1481" w:name="_Toc71267232"/>
      <w:bookmarkStart w:id="1482" w:name="_Toc72331119"/>
      <w:bookmarkStart w:id="1483" w:name="_Toc72332487"/>
      <w:bookmarkStart w:id="1484" w:name="_Toc69672459"/>
      <w:bookmarkStart w:id="1485" w:name="_Toc69672867"/>
      <w:bookmarkStart w:id="1486" w:name="_Toc69673274"/>
      <w:bookmarkStart w:id="1487" w:name="_Toc69673680"/>
      <w:bookmarkStart w:id="1488" w:name="_Toc69674061"/>
      <w:bookmarkStart w:id="1489" w:name="_Toc69674419"/>
      <w:bookmarkStart w:id="1490" w:name="_Toc69772244"/>
      <w:bookmarkStart w:id="1491" w:name="_Toc69846866"/>
      <w:bookmarkStart w:id="1492" w:name="_Toc69849853"/>
      <w:bookmarkStart w:id="1493" w:name="_Toc69850338"/>
      <w:bookmarkStart w:id="1494" w:name="_Toc70361794"/>
      <w:bookmarkStart w:id="1495" w:name="_Toc71267233"/>
      <w:bookmarkStart w:id="1496" w:name="_Toc72331120"/>
      <w:bookmarkStart w:id="1497" w:name="_Toc72332488"/>
      <w:bookmarkStart w:id="1498" w:name="_Toc69672460"/>
      <w:bookmarkStart w:id="1499" w:name="_Toc69672868"/>
      <w:bookmarkStart w:id="1500" w:name="_Toc69673275"/>
      <w:bookmarkStart w:id="1501" w:name="_Toc69673681"/>
      <w:bookmarkStart w:id="1502" w:name="_Toc69674062"/>
      <w:bookmarkStart w:id="1503" w:name="_Toc69674420"/>
      <w:bookmarkStart w:id="1504" w:name="_Toc69772245"/>
      <w:bookmarkStart w:id="1505" w:name="_Toc69846867"/>
      <w:bookmarkStart w:id="1506" w:name="_Toc69849854"/>
      <w:bookmarkStart w:id="1507" w:name="_Toc69850339"/>
      <w:bookmarkStart w:id="1508" w:name="_Toc70361795"/>
      <w:bookmarkStart w:id="1509" w:name="_Toc71267234"/>
      <w:bookmarkStart w:id="1510" w:name="_Toc72331121"/>
      <w:bookmarkStart w:id="1511" w:name="_Toc72332489"/>
      <w:bookmarkStart w:id="1512" w:name="_Toc69672461"/>
      <w:bookmarkStart w:id="1513" w:name="_Toc69672869"/>
      <w:bookmarkStart w:id="1514" w:name="_Toc69673276"/>
      <w:bookmarkStart w:id="1515" w:name="_Toc69673682"/>
      <w:bookmarkStart w:id="1516" w:name="_Toc69674063"/>
      <w:bookmarkStart w:id="1517" w:name="_Toc69674421"/>
      <w:bookmarkStart w:id="1518" w:name="_Toc69772246"/>
      <w:bookmarkStart w:id="1519" w:name="_Toc69846868"/>
      <w:bookmarkStart w:id="1520" w:name="_Toc69849855"/>
      <w:bookmarkStart w:id="1521" w:name="_Toc69850340"/>
      <w:bookmarkStart w:id="1522" w:name="_Toc70361796"/>
      <w:bookmarkStart w:id="1523" w:name="_Toc71267235"/>
      <w:bookmarkStart w:id="1524" w:name="_Toc72331122"/>
      <w:bookmarkStart w:id="1525" w:name="_Toc72332490"/>
      <w:bookmarkStart w:id="1526" w:name="_Toc69672462"/>
      <w:bookmarkStart w:id="1527" w:name="_Toc69672870"/>
      <w:bookmarkStart w:id="1528" w:name="_Toc69673277"/>
      <w:bookmarkStart w:id="1529" w:name="_Toc69673683"/>
      <w:bookmarkStart w:id="1530" w:name="_Toc69674064"/>
      <w:bookmarkStart w:id="1531" w:name="_Toc69674422"/>
      <w:bookmarkStart w:id="1532" w:name="_Toc69772247"/>
      <w:bookmarkStart w:id="1533" w:name="_Toc69846869"/>
      <w:bookmarkStart w:id="1534" w:name="_Toc69849856"/>
      <w:bookmarkStart w:id="1535" w:name="_Toc69850341"/>
      <w:bookmarkStart w:id="1536" w:name="_Toc70361797"/>
      <w:bookmarkStart w:id="1537" w:name="_Toc71267236"/>
      <w:bookmarkStart w:id="1538" w:name="_Toc72331123"/>
      <w:bookmarkStart w:id="1539" w:name="_Toc72332491"/>
      <w:bookmarkStart w:id="1540" w:name="_Toc69672463"/>
      <w:bookmarkStart w:id="1541" w:name="_Toc69672871"/>
      <w:bookmarkStart w:id="1542" w:name="_Toc69673278"/>
      <w:bookmarkStart w:id="1543" w:name="_Toc69673684"/>
      <w:bookmarkStart w:id="1544" w:name="_Toc69674065"/>
      <w:bookmarkStart w:id="1545" w:name="_Toc69674423"/>
      <w:bookmarkStart w:id="1546" w:name="_Toc69772248"/>
      <w:bookmarkStart w:id="1547" w:name="_Toc69846870"/>
      <w:bookmarkStart w:id="1548" w:name="_Toc69849857"/>
      <w:bookmarkStart w:id="1549" w:name="_Toc69850342"/>
      <w:bookmarkStart w:id="1550" w:name="_Toc70361798"/>
      <w:bookmarkStart w:id="1551" w:name="_Toc71267237"/>
      <w:bookmarkStart w:id="1552" w:name="_Toc72331124"/>
      <w:bookmarkStart w:id="1553" w:name="_Toc72332492"/>
      <w:bookmarkStart w:id="1554" w:name="_Toc69672464"/>
      <w:bookmarkStart w:id="1555" w:name="_Toc69672872"/>
      <w:bookmarkStart w:id="1556" w:name="_Toc69673279"/>
      <w:bookmarkStart w:id="1557" w:name="_Toc69673685"/>
      <w:bookmarkStart w:id="1558" w:name="_Toc69674066"/>
      <w:bookmarkStart w:id="1559" w:name="_Toc69674424"/>
      <w:bookmarkStart w:id="1560" w:name="_Toc69772249"/>
      <w:bookmarkStart w:id="1561" w:name="_Toc69846871"/>
      <w:bookmarkStart w:id="1562" w:name="_Toc69849858"/>
      <w:bookmarkStart w:id="1563" w:name="_Toc69850343"/>
      <w:bookmarkStart w:id="1564" w:name="_Toc70361799"/>
      <w:bookmarkStart w:id="1565" w:name="_Toc71267238"/>
      <w:bookmarkStart w:id="1566" w:name="_Toc72331125"/>
      <w:bookmarkStart w:id="1567" w:name="_Toc72332493"/>
      <w:bookmarkStart w:id="1568" w:name="_Toc69672465"/>
      <w:bookmarkStart w:id="1569" w:name="_Toc69672873"/>
      <w:bookmarkStart w:id="1570" w:name="_Toc69673280"/>
      <w:bookmarkStart w:id="1571" w:name="_Toc69673686"/>
      <w:bookmarkStart w:id="1572" w:name="_Toc69674067"/>
      <w:bookmarkStart w:id="1573" w:name="_Toc69674425"/>
      <w:bookmarkStart w:id="1574" w:name="_Toc69772250"/>
      <w:bookmarkStart w:id="1575" w:name="_Toc69846872"/>
      <w:bookmarkStart w:id="1576" w:name="_Toc69849859"/>
      <w:bookmarkStart w:id="1577" w:name="_Toc69850344"/>
      <w:bookmarkStart w:id="1578" w:name="_Toc70361800"/>
      <w:bookmarkStart w:id="1579" w:name="_Toc71267239"/>
      <w:bookmarkStart w:id="1580" w:name="_Toc72331126"/>
      <w:bookmarkStart w:id="1581" w:name="_Toc72332494"/>
      <w:bookmarkStart w:id="1582" w:name="_Toc69672466"/>
      <w:bookmarkStart w:id="1583" w:name="_Toc69672874"/>
      <w:bookmarkStart w:id="1584" w:name="_Toc69673281"/>
      <w:bookmarkStart w:id="1585" w:name="_Toc69673687"/>
      <w:bookmarkStart w:id="1586" w:name="_Toc69674068"/>
      <w:bookmarkStart w:id="1587" w:name="_Toc69674426"/>
      <w:bookmarkStart w:id="1588" w:name="_Toc69772251"/>
      <w:bookmarkStart w:id="1589" w:name="_Toc69846873"/>
      <w:bookmarkStart w:id="1590" w:name="_Toc69849860"/>
      <w:bookmarkStart w:id="1591" w:name="_Toc69850345"/>
      <w:bookmarkStart w:id="1592" w:name="_Toc70361801"/>
      <w:bookmarkStart w:id="1593" w:name="_Toc71267240"/>
      <w:bookmarkStart w:id="1594" w:name="_Toc72331127"/>
      <w:bookmarkStart w:id="1595" w:name="_Toc72332495"/>
      <w:bookmarkStart w:id="1596" w:name="_Toc69672467"/>
      <w:bookmarkStart w:id="1597" w:name="_Toc69672875"/>
      <w:bookmarkStart w:id="1598" w:name="_Toc69673282"/>
      <w:bookmarkStart w:id="1599" w:name="_Toc69673688"/>
      <w:bookmarkStart w:id="1600" w:name="_Toc69674069"/>
      <w:bookmarkStart w:id="1601" w:name="_Toc69674427"/>
      <w:bookmarkStart w:id="1602" w:name="_Toc69772252"/>
      <w:bookmarkStart w:id="1603" w:name="_Toc69846874"/>
      <w:bookmarkStart w:id="1604" w:name="_Toc69849861"/>
      <w:bookmarkStart w:id="1605" w:name="_Toc69850346"/>
      <w:bookmarkStart w:id="1606" w:name="_Toc70361802"/>
      <w:bookmarkStart w:id="1607" w:name="_Toc71267241"/>
      <w:bookmarkStart w:id="1608" w:name="_Toc72331128"/>
      <w:bookmarkStart w:id="1609" w:name="_Toc72332496"/>
      <w:bookmarkStart w:id="1610" w:name="_Toc69672468"/>
      <w:bookmarkStart w:id="1611" w:name="_Toc69672876"/>
      <w:bookmarkStart w:id="1612" w:name="_Toc69673283"/>
      <w:bookmarkStart w:id="1613" w:name="_Toc69673689"/>
      <w:bookmarkStart w:id="1614" w:name="_Toc69674070"/>
      <w:bookmarkStart w:id="1615" w:name="_Toc69674428"/>
      <w:bookmarkStart w:id="1616" w:name="_Toc69772253"/>
      <w:bookmarkStart w:id="1617" w:name="_Toc69846875"/>
      <w:bookmarkStart w:id="1618" w:name="_Toc69849862"/>
      <w:bookmarkStart w:id="1619" w:name="_Toc69850347"/>
      <w:bookmarkStart w:id="1620" w:name="_Toc70361803"/>
      <w:bookmarkStart w:id="1621" w:name="_Toc71267242"/>
      <w:bookmarkStart w:id="1622" w:name="_Toc72331129"/>
      <w:bookmarkStart w:id="1623" w:name="_Toc72332497"/>
      <w:bookmarkStart w:id="1624" w:name="_Toc69672469"/>
      <w:bookmarkStart w:id="1625" w:name="_Toc69672877"/>
      <w:bookmarkStart w:id="1626" w:name="_Toc69673284"/>
      <w:bookmarkStart w:id="1627" w:name="_Toc69673690"/>
      <w:bookmarkStart w:id="1628" w:name="_Toc69674071"/>
      <w:bookmarkStart w:id="1629" w:name="_Toc69674429"/>
      <w:bookmarkStart w:id="1630" w:name="_Toc69772254"/>
      <w:bookmarkStart w:id="1631" w:name="_Toc70361804"/>
      <w:bookmarkStart w:id="1632" w:name="_Toc71267243"/>
      <w:bookmarkStart w:id="1633" w:name="_Toc72331130"/>
      <w:bookmarkStart w:id="1634" w:name="_Toc72332498"/>
      <w:bookmarkStart w:id="1635" w:name="_Toc69672470"/>
      <w:bookmarkStart w:id="1636" w:name="_Toc69672878"/>
      <w:bookmarkStart w:id="1637" w:name="_Toc69673285"/>
      <w:bookmarkStart w:id="1638" w:name="_Toc69673691"/>
      <w:bookmarkStart w:id="1639" w:name="_Toc69674072"/>
      <w:bookmarkStart w:id="1640" w:name="_Toc69674430"/>
      <w:bookmarkStart w:id="1641" w:name="_Toc69772255"/>
      <w:bookmarkStart w:id="1642" w:name="_Toc69846877"/>
      <w:bookmarkStart w:id="1643" w:name="_Toc69849864"/>
      <w:bookmarkStart w:id="1644" w:name="_Toc69850349"/>
      <w:bookmarkStart w:id="1645" w:name="_Toc70361805"/>
      <w:bookmarkStart w:id="1646" w:name="_Toc71267244"/>
      <w:bookmarkStart w:id="1647" w:name="_Toc72331131"/>
      <w:bookmarkStart w:id="1648" w:name="_Toc72332499"/>
      <w:bookmarkStart w:id="1649" w:name="_Toc69672471"/>
      <w:bookmarkStart w:id="1650" w:name="_Toc69672879"/>
      <w:bookmarkStart w:id="1651" w:name="_Toc69673286"/>
      <w:bookmarkStart w:id="1652" w:name="_Toc69673692"/>
      <w:bookmarkStart w:id="1653" w:name="_Toc69674073"/>
      <w:bookmarkStart w:id="1654" w:name="_Toc69674431"/>
      <w:bookmarkStart w:id="1655" w:name="_Toc69772256"/>
      <w:bookmarkStart w:id="1656" w:name="_Toc69846878"/>
      <w:bookmarkStart w:id="1657" w:name="_Toc69849865"/>
      <w:bookmarkStart w:id="1658" w:name="_Toc69850350"/>
      <w:bookmarkStart w:id="1659" w:name="_Toc70361806"/>
      <w:bookmarkStart w:id="1660" w:name="_Toc71267245"/>
      <w:bookmarkStart w:id="1661" w:name="_Toc72331132"/>
      <w:bookmarkStart w:id="1662" w:name="_Toc72332500"/>
      <w:bookmarkStart w:id="1663" w:name="_Toc69672472"/>
      <w:bookmarkStart w:id="1664" w:name="_Toc69672880"/>
      <w:bookmarkStart w:id="1665" w:name="_Toc69673287"/>
      <w:bookmarkStart w:id="1666" w:name="_Toc69673693"/>
      <w:bookmarkStart w:id="1667" w:name="_Toc69674074"/>
      <w:bookmarkStart w:id="1668" w:name="_Toc69674432"/>
      <w:bookmarkStart w:id="1669" w:name="_Toc69772257"/>
      <w:bookmarkStart w:id="1670" w:name="_Toc69846879"/>
      <w:bookmarkStart w:id="1671" w:name="_Toc69849866"/>
      <w:bookmarkStart w:id="1672" w:name="_Toc69850351"/>
      <w:bookmarkStart w:id="1673" w:name="_Toc70361807"/>
      <w:bookmarkStart w:id="1674" w:name="_Toc71267246"/>
      <w:bookmarkStart w:id="1675" w:name="_Toc72331133"/>
      <w:bookmarkStart w:id="1676" w:name="_Toc72332501"/>
      <w:bookmarkStart w:id="1677" w:name="_Toc69672473"/>
      <w:bookmarkStart w:id="1678" w:name="_Toc69672881"/>
      <w:bookmarkStart w:id="1679" w:name="_Toc69673288"/>
      <w:bookmarkStart w:id="1680" w:name="_Toc69673694"/>
      <w:bookmarkStart w:id="1681" w:name="_Toc69674075"/>
      <w:bookmarkStart w:id="1682" w:name="_Toc69674433"/>
      <w:bookmarkStart w:id="1683" w:name="_Toc69772258"/>
      <w:bookmarkStart w:id="1684" w:name="_Toc69846880"/>
      <w:bookmarkStart w:id="1685" w:name="_Toc69849867"/>
      <w:bookmarkStart w:id="1686" w:name="_Toc69850352"/>
      <w:bookmarkStart w:id="1687" w:name="_Toc70361808"/>
      <w:bookmarkStart w:id="1688" w:name="_Toc71267247"/>
      <w:bookmarkStart w:id="1689" w:name="_Toc72331134"/>
      <w:bookmarkStart w:id="1690" w:name="_Toc72332502"/>
      <w:bookmarkStart w:id="1691" w:name="_Toc69672474"/>
      <w:bookmarkStart w:id="1692" w:name="_Toc69672882"/>
      <w:bookmarkStart w:id="1693" w:name="_Toc69673289"/>
      <w:bookmarkStart w:id="1694" w:name="_Toc69673695"/>
      <w:bookmarkStart w:id="1695" w:name="_Toc69674076"/>
      <w:bookmarkStart w:id="1696" w:name="_Toc69674434"/>
      <w:bookmarkStart w:id="1697" w:name="_Toc69772259"/>
      <w:bookmarkStart w:id="1698" w:name="_Toc69846881"/>
      <w:bookmarkStart w:id="1699" w:name="_Toc69849868"/>
      <w:bookmarkStart w:id="1700" w:name="_Toc69850353"/>
      <w:bookmarkStart w:id="1701" w:name="_Toc70361809"/>
      <w:bookmarkStart w:id="1702" w:name="_Toc71267248"/>
      <w:bookmarkStart w:id="1703" w:name="_Toc72331135"/>
      <w:bookmarkStart w:id="1704" w:name="_Toc72332503"/>
      <w:bookmarkStart w:id="1705" w:name="_Toc69672475"/>
      <w:bookmarkStart w:id="1706" w:name="_Toc69672883"/>
      <w:bookmarkStart w:id="1707" w:name="_Toc69673290"/>
      <w:bookmarkStart w:id="1708" w:name="_Toc69673696"/>
      <w:bookmarkStart w:id="1709" w:name="_Toc69674077"/>
      <w:bookmarkStart w:id="1710" w:name="_Toc69674435"/>
      <w:bookmarkStart w:id="1711" w:name="_Toc69772260"/>
      <w:bookmarkStart w:id="1712" w:name="_Toc69846882"/>
      <w:bookmarkStart w:id="1713" w:name="_Toc69849869"/>
      <w:bookmarkStart w:id="1714" w:name="_Toc69850354"/>
      <w:bookmarkStart w:id="1715" w:name="_Toc70361810"/>
      <w:bookmarkStart w:id="1716" w:name="_Toc71267249"/>
      <w:bookmarkStart w:id="1717" w:name="_Toc72331136"/>
      <w:bookmarkStart w:id="1718" w:name="_Toc72332504"/>
      <w:bookmarkStart w:id="1719" w:name="_Toc69672476"/>
      <w:bookmarkStart w:id="1720" w:name="_Toc69672884"/>
      <w:bookmarkStart w:id="1721" w:name="_Toc69673291"/>
      <w:bookmarkStart w:id="1722" w:name="_Toc69673697"/>
      <w:bookmarkStart w:id="1723" w:name="_Toc69674078"/>
      <w:bookmarkStart w:id="1724" w:name="_Toc69674436"/>
      <w:bookmarkStart w:id="1725" w:name="_Toc69772261"/>
      <w:bookmarkStart w:id="1726" w:name="_Toc69846883"/>
      <w:bookmarkStart w:id="1727" w:name="_Toc69849870"/>
      <w:bookmarkStart w:id="1728" w:name="_Toc69850355"/>
      <w:bookmarkStart w:id="1729" w:name="_Toc70361811"/>
      <w:bookmarkStart w:id="1730" w:name="_Toc71267250"/>
      <w:bookmarkStart w:id="1731" w:name="_Toc72331137"/>
      <w:bookmarkStart w:id="1732" w:name="_Toc72332505"/>
      <w:bookmarkStart w:id="1733" w:name="_Toc69672477"/>
      <w:bookmarkStart w:id="1734" w:name="_Toc69672885"/>
      <w:bookmarkStart w:id="1735" w:name="_Toc69673292"/>
      <w:bookmarkStart w:id="1736" w:name="_Toc69673698"/>
      <w:bookmarkStart w:id="1737" w:name="_Toc69674079"/>
      <w:bookmarkStart w:id="1738" w:name="_Toc69674437"/>
      <w:bookmarkStart w:id="1739" w:name="_Toc69772262"/>
      <w:bookmarkStart w:id="1740" w:name="_Toc69846884"/>
      <w:bookmarkStart w:id="1741" w:name="_Toc69849871"/>
      <w:bookmarkStart w:id="1742" w:name="_Toc69850356"/>
      <w:bookmarkStart w:id="1743" w:name="_Toc70361812"/>
      <w:bookmarkStart w:id="1744" w:name="_Toc71267251"/>
      <w:bookmarkStart w:id="1745" w:name="_Toc72331138"/>
      <w:bookmarkStart w:id="1746" w:name="_Toc72332506"/>
      <w:bookmarkStart w:id="1747" w:name="_Toc69672478"/>
      <w:bookmarkStart w:id="1748" w:name="_Toc69672886"/>
      <w:bookmarkStart w:id="1749" w:name="_Toc69673293"/>
      <w:bookmarkStart w:id="1750" w:name="_Toc69673699"/>
      <w:bookmarkStart w:id="1751" w:name="_Toc69674080"/>
      <w:bookmarkStart w:id="1752" w:name="_Toc69674438"/>
      <w:bookmarkStart w:id="1753" w:name="_Toc69772263"/>
      <w:bookmarkStart w:id="1754" w:name="_Toc69846885"/>
      <w:bookmarkStart w:id="1755" w:name="_Toc69849872"/>
      <w:bookmarkStart w:id="1756" w:name="_Toc69850357"/>
      <w:bookmarkStart w:id="1757" w:name="_Toc70361813"/>
      <w:bookmarkStart w:id="1758" w:name="_Toc71267252"/>
      <w:bookmarkStart w:id="1759" w:name="_Toc72331139"/>
      <w:bookmarkStart w:id="1760" w:name="_Toc72332507"/>
      <w:bookmarkStart w:id="1761" w:name="_Toc69672479"/>
      <w:bookmarkStart w:id="1762" w:name="_Toc69672887"/>
      <w:bookmarkStart w:id="1763" w:name="_Toc69673294"/>
      <w:bookmarkStart w:id="1764" w:name="_Toc69673700"/>
      <w:bookmarkStart w:id="1765" w:name="_Toc69674081"/>
      <w:bookmarkStart w:id="1766" w:name="_Toc69674439"/>
      <w:bookmarkStart w:id="1767" w:name="_Toc69772264"/>
      <w:bookmarkStart w:id="1768" w:name="_Toc69846886"/>
      <w:bookmarkStart w:id="1769" w:name="_Toc69849873"/>
      <w:bookmarkStart w:id="1770" w:name="_Toc69850358"/>
      <w:bookmarkStart w:id="1771" w:name="_Toc70361814"/>
      <w:bookmarkStart w:id="1772" w:name="_Toc71267253"/>
      <w:bookmarkStart w:id="1773" w:name="_Toc72331140"/>
      <w:bookmarkStart w:id="1774" w:name="_Toc72332508"/>
      <w:bookmarkStart w:id="1775" w:name="_Toc69672480"/>
      <w:bookmarkStart w:id="1776" w:name="_Toc69672888"/>
      <w:bookmarkStart w:id="1777" w:name="_Toc69673295"/>
      <w:bookmarkStart w:id="1778" w:name="_Toc69673701"/>
      <w:bookmarkStart w:id="1779" w:name="_Toc69674082"/>
      <w:bookmarkStart w:id="1780" w:name="_Toc69674440"/>
      <w:bookmarkStart w:id="1781" w:name="_Toc69772265"/>
      <w:bookmarkStart w:id="1782" w:name="_Toc69846887"/>
      <w:bookmarkStart w:id="1783" w:name="_Toc69849874"/>
      <w:bookmarkStart w:id="1784" w:name="_Toc69850359"/>
      <w:bookmarkStart w:id="1785" w:name="_Toc70361815"/>
      <w:bookmarkStart w:id="1786" w:name="_Toc71267254"/>
      <w:bookmarkStart w:id="1787" w:name="_Toc72331141"/>
      <w:bookmarkStart w:id="1788" w:name="_Toc72332509"/>
      <w:bookmarkStart w:id="1789" w:name="_Toc69672481"/>
      <w:bookmarkStart w:id="1790" w:name="_Toc69672889"/>
      <w:bookmarkStart w:id="1791" w:name="_Toc69673296"/>
      <w:bookmarkStart w:id="1792" w:name="_Toc69673702"/>
      <w:bookmarkStart w:id="1793" w:name="_Toc69674083"/>
      <w:bookmarkStart w:id="1794" w:name="_Toc69674441"/>
      <w:bookmarkStart w:id="1795" w:name="_Toc69772266"/>
      <w:bookmarkStart w:id="1796" w:name="_Toc69846888"/>
      <w:bookmarkStart w:id="1797" w:name="_Toc69849875"/>
      <w:bookmarkStart w:id="1798" w:name="_Toc69850360"/>
      <w:bookmarkStart w:id="1799" w:name="_Toc70361816"/>
      <w:bookmarkStart w:id="1800" w:name="_Toc71267255"/>
      <w:bookmarkStart w:id="1801" w:name="_Toc72331142"/>
      <w:bookmarkStart w:id="1802" w:name="_Toc72332510"/>
      <w:bookmarkStart w:id="1803" w:name="_Toc69672482"/>
      <w:bookmarkStart w:id="1804" w:name="_Toc69672890"/>
      <w:bookmarkStart w:id="1805" w:name="_Toc69673297"/>
      <w:bookmarkStart w:id="1806" w:name="_Toc69673703"/>
      <w:bookmarkStart w:id="1807" w:name="_Toc69674084"/>
      <w:bookmarkStart w:id="1808" w:name="_Toc69674442"/>
      <w:bookmarkStart w:id="1809" w:name="_Toc69772267"/>
      <w:bookmarkStart w:id="1810" w:name="_Toc69846889"/>
      <w:bookmarkStart w:id="1811" w:name="_Toc69849876"/>
      <w:bookmarkStart w:id="1812" w:name="_Toc69850361"/>
      <w:bookmarkStart w:id="1813" w:name="_Toc70361817"/>
      <w:bookmarkStart w:id="1814" w:name="_Toc71267256"/>
      <w:bookmarkStart w:id="1815" w:name="_Toc72331143"/>
      <w:bookmarkStart w:id="1816" w:name="_Toc72332511"/>
      <w:bookmarkStart w:id="1817" w:name="_Toc69672483"/>
      <w:bookmarkStart w:id="1818" w:name="_Toc69672891"/>
      <w:bookmarkStart w:id="1819" w:name="_Toc69673298"/>
      <w:bookmarkStart w:id="1820" w:name="_Toc69673704"/>
      <w:bookmarkStart w:id="1821" w:name="_Toc69674085"/>
      <w:bookmarkStart w:id="1822" w:name="_Toc69674443"/>
      <w:bookmarkStart w:id="1823" w:name="_Toc69772268"/>
      <w:bookmarkStart w:id="1824" w:name="_Toc69846890"/>
      <w:bookmarkStart w:id="1825" w:name="_Toc69849877"/>
      <w:bookmarkStart w:id="1826" w:name="_Toc69850362"/>
      <w:bookmarkStart w:id="1827" w:name="_Toc70361818"/>
      <w:bookmarkStart w:id="1828" w:name="_Toc71267257"/>
      <w:bookmarkStart w:id="1829" w:name="_Toc72331144"/>
      <w:bookmarkStart w:id="1830" w:name="_Toc72332512"/>
      <w:bookmarkStart w:id="1831" w:name="_Toc69672484"/>
      <w:bookmarkStart w:id="1832" w:name="_Toc69672892"/>
      <w:bookmarkStart w:id="1833" w:name="_Toc69673299"/>
      <w:bookmarkStart w:id="1834" w:name="_Toc69673705"/>
      <w:bookmarkStart w:id="1835" w:name="_Toc69674086"/>
      <w:bookmarkStart w:id="1836" w:name="_Toc69674444"/>
      <w:bookmarkStart w:id="1837" w:name="_Toc69772269"/>
      <w:bookmarkStart w:id="1838" w:name="_Toc69846891"/>
      <w:bookmarkStart w:id="1839" w:name="_Toc69849878"/>
      <w:bookmarkStart w:id="1840" w:name="_Toc69850363"/>
      <w:bookmarkStart w:id="1841" w:name="_Toc70361819"/>
      <w:bookmarkStart w:id="1842" w:name="_Toc71267258"/>
      <w:bookmarkStart w:id="1843" w:name="_Toc72331145"/>
      <w:bookmarkStart w:id="1844" w:name="_Toc72332513"/>
      <w:bookmarkStart w:id="1845" w:name="_Toc69672485"/>
      <w:bookmarkStart w:id="1846" w:name="_Toc69672893"/>
      <w:bookmarkStart w:id="1847" w:name="_Toc69673300"/>
      <w:bookmarkStart w:id="1848" w:name="_Toc69673706"/>
      <w:bookmarkStart w:id="1849" w:name="_Toc69674087"/>
      <w:bookmarkStart w:id="1850" w:name="_Toc69674445"/>
      <w:bookmarkStart w:id="1851" w:name="_Toc69772270"/>
      <w:bookmarkStart w:id="1852" w:name="_Toc69846892"/>
      <w:bookmarkStart w:id="1853" w:name="_Toc69849879"/>
      <w:bookmarkStart w:id="1854" w:name="_Toc69850364"/>
      <w:bookmarkStart w:id="1855" w:name="_Toc70361820"/>
      <w:bookmarkStart w:id="1856" w:name="_Toc71267259"/>
      <w:bookmarkStart w:id="1857" w:name="_Toc72331146"/>
      <w:bookmarkStart w:id="1858" w:name="_Toc72332514"/>
      <w:bookmarkStart w:id="1859" w:name="_Toc69672486"/>
      <w:bookmarkStart w:id="1860" w:name="_Toc69672894"/>
      <w:bookmarkStart w:id="1861" w:name="_Toc69673301"/>
      <w:bookmarkStart w:id="1862" w:name="_Toc69673707"/>
      <w:bookmarkStart w:id="1863" w:name="_Toc69674088"/>
      <w:bookmarkStart w:id="1864" w:name="_Toc69674446"/>
      <w:bookmarkStart w:id="1865" w:name="_Toc69772271"/>
      <w:bookmarkStart w:id="1866" w:name="_Toc69846893"/>
      <w:bookmarkStart w:id="1867" w:name="_Toc69849880"/>
      <w:bookmarkStart w:id="1868" w:name="_Toc69850365"/>
      <w:bookmarkStart w:id="1869" w:name="_Toc70361821"/>
      <w:bookmarkStart w:id="1870" w:name="_Toc71267260"/>
      <w:bookmarkStart w:id="1871" w:name="_Toc72331147"/>
      <w:bookmarkStart w:id="1872" w:name="_Toc72332515"/>
      <w:bookmarkStart w:id="1873" w:name="_Toc69672487"/>
      <w:bookmarkStart w:id="1874" w:name="_Toc69672895"/>
      <w:bookmarkStart w:id="1875" w:name="_Toc69673302"/>
      <w:bookmarkStart w:id="1876" w:name="_Toc69673708"/>
      <w:bookmarkStart w:id="1877" w:name="_Toc69674089"/>
      <w:bookmarkStart w:id="1878" w:name="_Toc69674447"/>
      <w:bookmarkStart w:id="1879" w:name="_Toc69772272"/>
      <w:bookmarkStart w:id="1880" w:name="_Toc69846894"/>
      <w:bookmarkStart w:id="1881" w:name="_Toc69849881"/>
      <w:bookmarkStart w:id="1882" w:name="_Toc69850366"/>
      <w:bookmarkStart w:id="1883" w:name="_Toc70361822"/>
      <w:bookmarkStart w:id="1884" w:name="_Toc71267261"/>
      <w:bookmarkStart w:id="1885" w:name="_Toc72331148"/>
      <w:bookmarkStart w:id="1886" w:name="_Toc72332516"/>
      <w:bookmarkStart w:id="1887" w:name="_Toc69672488"/>
      <w:bookmarkStart w:id="1888" w:name="_Toc69672896"/>
      <w:bookmarkStart w:id="1889" w:name="_Toc69673303"/>
      <w:bookmarkStart w:id="1890" w:name="_Toc69673709"/>
      <w:bookmarkStart w:id="1891" w:name="_Toc69674090"/>
      <w:bookmarkStart w:id="1892" w:name="_Toc69674448"/>
      <w:bookmarkStart w:id="1893" w:name="_Toc69772273"/>
      <w:bookmarkStart w:id="1894" w:name="_Toc69846895"/>
      <w:bookmarkStart w:id="1895" w:name="_Toc69849882"/>
      <w:bookmarkStart w:id="1896" w:name="_Toc69850367"/>
      <w:bookmarkStart w:id="1897" w:name="_Toc70361823"/>
      <w:bookmarkStart w:id="1898" w:name="_Toc71267262"/>
      <w:bookmarkStart w:id="1899" w:name="_Toc72331149"/>
      <w:bookmarkStart w:id="1900" w:name="_Toc72332517"/>
      <w:bookmarkStart w:id="1901" w:name="_Toc69672489"/>
      <w:bookmarkStart w:id="1902" w:name="_Toc69672897"/>
      <w:bookmarkStart w:id="1903" w:name="_Toc69673304"/>
      <w:bookmarkStart w:id="1904" w:name="_Toc69673710"/>
      <w:bookmarkStart w:id="1905" w:name="_Toc69674091"/>
      <w:bookmarkStart w:id="1906" w:name="_Toc69674449"/>
      <w:bookmarkStart w:id="1907" w:name="_Toc69772274"/>
      <w:bookmarkStart w:id="1908" w:name="_Toc69846896"/>
      <w:bookmarkStart w:id="1909" w:name="_Toc69849883"/>
      <w:bookmarkStart w:id="1910" w:name="_Toc69850368"/>
      <w:bookmarkStart w:id="1911" w:name="_Toc70361824"/>
      <w:bookmarkStart w:id="1912" w:name="_Toc71267263"/>
      <w:bookmarkStart w:id="1913" w:name="_Toc72331150"/>
      <w:bookmarkStart w:id="1914" w:name="_Toc72332518"/>
      <w:bookmarkStart w:id="1915" w:name="_Toc69672490"/>
      <w:bookmarkStart w:id="1916" w:name="_Toc69672898"/>
      <w:bookmarkStart w:id="1917" w:name="_Toc69673305"/>
      <w:bookmarkStart w:id="1918" w:name="_Toc69673711"/>
      <w:bookmarkStart w:id="1919" w:name="_Toc69674092"/>
      <w:bookmarkStart w:id="1920" w:name="_Toc69674450"/>
      <w:bookmarkStart w:id="1921" w:name="_Toc69772275"/>
      <w:bookmarkStart w:id="1922" w:name="_Toc69846897"/>
      <w:bookmarkStart w:id="1923" w:name="_Toc69849884"/>
      <w:bookmarkStart w:id="1924" w:name="_Toc69850369"/>
      <w:bookmarkStart w:id="1925" w:name="_Toc70361825"/>
      <w:bookmarkStart w:id="1926" w:name="_Toc71267264"/>
      <w:bookmarkStart w:id="1927" w:name="_Toc72331151"/>
      <w:bookmarkStart w:id="1928" w:name="_Toc72332519"/>
      <w:bookmarkStart w:id="1929" w:name="_Toc69672491"/>
      <w:bookmarkStart w:id="1930" w:name="_Toc69672899"/>
      <w:bookmarkStart w:id="1931" w:name="_Toc69673306"/>
      <w:bookmarkStart w:id="1932" w:name="_Toc69673712"/>
      <w:bookmarkStart w:id="1933" w:name="_Toc69674093"/>
      <w:bookmarkStart w:id="1934" w:name="_Toc69674451"/>
      <w:bookmarkStart w:id="1935" w:name="_Toc69772276"/>
      <w:bookmarkStart w:id="1936" w:name="_Toc69846898"/>
      <w:bookmarkStart w:id="1937" w:name="_Toc69849885"/>
      <w:bookmarkStart w:id="1938" w:name="_Toc69850370"/>
      <w:bookmarkStart w:id="1939" w:name="_Toc70361826"/>
      <w:bookmarkStart w:id="1940" w:name="_Toc71267265"/>
      <w:bookmarkStart w:id="1941" w:name="_Toc72331152"/>
      <w:bookmarkStart w:id="1942" w:name="_Toc72332520"/>
      <w:bookmarkStart w:id="1943" w:name="_Toc69672492"/>
      <w:bookmarkStart w:id="1944" w:name="_Toc69672900"/>
      <w:bookmarkStart w:id="1945" w:name="_Toc69673307"/>
      <w:bookmarkStart w:id="1946" w:name="_Toc69673713"/>
      <w:bookmarkStart w:id="1947" w:name="_Toc69674094"/>
      <w:bookmarkStart w:id="1948" w:name="_Toc69674452"/>
      <w:bookmarkStart w:id="1949" w:name="_Toc69772277"/>
      <w:bookmarkStart w:id="1950" w:name="_Toc69846899"/>
      <w:bookmarkStart w:id="1951" w:name="_Toc69849886"/>
      <w:bookmarkStart w:id="1952" w:name="_Toc69850371"/>
      <w:bookmarkStart w:id="1953" w:name="_Toc70361827"/>
      <w:bookmarkStart w:id="1954" w:name="_Toc71267266"/>
      <w:bookmarkStart w:id="1955" w:name="_Toc72331153"/>
      <w:bookmarkStart w:id="1956" w:name="_Toc72332521"/>
      <w:bookmarkStart w:id="1957" w:name="_Toc69672493"/>
      <w:bookmarkStart w:id="1958" w:name="_Toc69672901"/>
      <w:bookmarkStart w:id="1959" w:name="_Toc69673308"/>
      <w:bookmarkStart w:id="1960" w:name="_Toc69673714"/>
      <w:bookmarkStart w:id="1961" w:name="_Toc69674095"/>
      <w:bookmarkStart w:id="1962" w:name="_Toc69674453"/>
      <w:bookmarkStart w:id="1963" w:name="_Toc69772278"/>
      <w:bookmarkStart w:id="1964" w:name="_Toc69846900"/>
      <w:bookmarkStart w:id="1965" w:name="_Toc69849887"/>
      <w:bookmarkStart w:id="1966" w:name="_Toc69850372"/>
      <w:bookmarkStart w:id="1967" w:name="_Toc70361828"/>
      <w:bookmarkStart w:id="1968" w:name="_Toc71267267"/>
      <w:bookmarkStart w:id="1969" w:name="_Toc72331154"/>
      <w:bookmarkStart w:id="1970" w:name="_Toc72332522"/>
      <w:bookmarkStart w:id="1971" w:name="_Toc69672494"/>
      <w:bookmarkStart w:id="1972" w:name="_Toc69672902"/>
      <w:bookmarkStart w:id="1973" w:name="_Toc69673309"/>
      <w:bookmarkStart w:id="1974" w:name="_Toc69673715"/>
      <w:bookmarkStart w:id="1975" w:name="_Toc69674096"/>
      <w:bookmarkStart w:id="1976" w:name="_Toc69674454"/>
      <w:bookmarkStart w:id="1977" w:name="_Toc69772279"/>
      <w:bookmarkStart w:id="1978" w:name="_Toc69846901"/>
      <w:bookmarkStart w:id="1979" w:name="_Toc69849888"/>
      <w:bookmarkStart w:id="1980" w:name="_Toc69850373"/>
      <w:bookmarkStart w:id="1981" w:name="_Toc70361829"/>
      <w:bookmarkStart w:id="1982" w:name="_Toc71267268"/>
      <w:bookmarkStart w:id="1983" w:name="_Toc72331155"/>
      <w:bookmarkStart w:id="1984" w:name="_Toc72332523"/>
      <w:bookmarkStart w:id="1985" w:name="_Toc69672495"/>
      <w:bookmarkStart w:id="1986" w:name="_Toc69672903"/>
      <w:bookmarkStart w:id="1987" w:name="_Toc69673310"/>
      <w:bookmarkStart w:id="1988" w:name="_Toc69673716"/>
      <w:bookmarkStart w:id="1989" w:name="_Toc69674097"/>
      <w:bookmarkStart w:id="1990" w:name="_Toc69674455"/>
      <w:bookmarkStart w:id="1991" w:name="_Toc69772280"/>
      <w:bookmarkStart w:id="1992" w:name="_Toc69846902"/>
      <w:bookmarkStart w:id="1993" w:name="_Toc69849889"/>
      <w:bookmarkStart w:id="1994" w:name="_Toc69850374"/>
      <w:bookmarkStart w:id="1995" w:name="_Toc70361830"/>
      <w:bookmarkStart w:id="1996" w:name="_Toc71267269"/>
      <w:bookmarkStart w:id="1997" w:name="_Toc72331156"/>
      <w:bookmarkStart w:id="1998" w:name="_Toc72332524"/>
      <w:bookmarkStart w:id="1999" w:name="_Toc69846903"/>
      <w:bookmarkStart w:id="2000" w:name="_Toc69849890"/>
      <w:bookmarkStart w:id="2001" w:name="_Toc69850375"/>
      <w:bookmarkStart w:id="2002" w:name="_Toc70361831"/>
      <w:bookmarkStart w:id="2003" w:name="_Toc71267270"/>
      <w:bookmarkStart w:id="2004" w:name="_Toc72331157"/>
      <w:bookmarkStart w:id="2005" w:name="_Toc72332525"/>
      <w:bookmarkStart w:id="2006" w:name="_Toc69672497"/>
      <w:bookmarkStart w:id="2007" w:name="_Toc69672905"/>
      <w:bookmarkStart w:id="2008" w:name="_Toc69673312"/>
      <w:bookmarkStart w:id="2009" w:name="_Toc69673718"/>
      <w:bookmarkStart w:id="2010" w:name="_Toc69674099"/>
      <w:bookmarkStart w:id="2011" w:name="_Toc69674457"/>
      <w:bookmarkStart w:id="2012" w:name="_Toc69772282"/>
      <w:bookmarkStart w:id="2013" w:name="_Toc69846904"/>
      <w:bookmarkStart w:id="2014" w:name="_Toc69849891"/>
      <w:bookmarkStart w:id="2015" w:name="_Toc69850376"/>
      <w:bookmarkStart w:id="2016" w:name="_Toc70361832"/>
      <w:bookmarkStart w:id="2017" w:name="_Toc71267271"/>
      <w:bookmarkStart w:id="2018" w:name="_Toc72331158"/>
      <w:bookmarkStart w:id="2019" w:name="_Toc72332526"/>
      <w:bookmarkStart w:id="2020" w:name="_Toc69672498"/>
      <w:bookmarkStart w:id="2021" w:name="_Toc69672906"/>
      <w:bookmarkStart w:id="2022" w:name="_Toc69673313"/>
      <w:bookmarkStart w:id="2023" w:name="_Toc69673719"/>
      <w:bookmarkStart w:id="2024" w:name="_Toc69674100"/>
      <w:bookmarkStart w:id="2025" w:name="_Toc69674458"/>
      <w:bookmarkStart w:id="2026" w:name="_Toc69772283"/>
      <w:bookmarkStart w:id="2027" w:name="_Toc69846905"/>
      <w:bookmarkStart w:id="2028" w:name="_Toc69849892"/>
      <w:bookmarkStart w:id="2029" w:name="_Toc69850377"/>
      <w:bookmarkStart w:id="2030" w:name="_Toc70361833"/>
      <w:bookmarkStart w:id="2031" w:name="_Toc71267272"/>
      <w:bookmarkStart w:id="2032" w:name="_Toc72331159"/>
      <w:bookmarkStart w:id="2033" w:name="_Toc72332527"/>
      <w:bookmarkStart w:id="2034" w:name="_Toc69672499"/>
      <w:bookmarkStart w:id="2035" w:name="_Toc69672907"/>
      <w:bookmarkStart w:id="2036" w:name="_Toc69673314"/>
      <w:bookmarkStart w:id="2037" w:name="_Toc69673720"/>
      <w:bookmarkStart w:id="2038" w:name="_Toc69674101"/>
      <w:bookmarkStart w:id="2039" w:name="_Toc69674459"/>
      <w:bookmarkStart w:id="2040" w:name="_Toc69772284"/>
      <w:bookmarkStart w:id="2041" w:name="_Toc69846906"/>
      <w:bookmarkStart w:id="2042" w:name="_Toc69849893"/>
      <w:bookmarkStart w:id="2043" w:name="_Toc69850378"/>
      <w:bookmarkStart w:id="2044" w:name="_Toc70361834"/>
      <w:bookmarkStart w:id="2045" w:name="_Toc71267273"/>
      <w:bookmarkStart w:id="2046" w:name="_Toc72331160"/>
      <w:bookmarkStart w:id="2047" w:name="_Toc72332528"/>
      <w:bookmarkStart w:id="2048" w:name="_Toc69672500"/>
      <w:bookmarkStart w:id="2049" w:name="_Toc69672908"/>
      <w:bookmarkStart w:id="2050" w:name="_Toc69673315"/>
      <w:bookmarkStart w:id="2051" w:name="_Toc69673721"/>
      <w:bookmarkStart w:id="2052" w:name="_Toc69674102"/>
      <w:bookmarkStart w:id="2053" w:name="_Toc69674460"/>
      <w:bookmarkStart w:id="2054" w:name="_Toc69772285"/>
      <w:bookmarkStart w:id="2055" w:name="_Toc69846907"/>
      <w:bookmarkStart w:id="2056" w:name="_Toc69849894"/>
      <w:bookmarkStart w:id="2057" w:name="_Toc69850379"/>
      <w:bookmarkStart w:id="2058" w:name="_Toc70361835"/>
      <w:bookmarkStart w:id="2059" w:name="_Toc71267274"/>
      <w:bookmarkStart w:id="2060" w:name="_Toc72331161"/>
      <w:bookmarkStart w:id="2061" w:name="_Toc72332529"/>
      <w:bookmarkStart w:id="2062" w:name="_Toc69672501"/>
      <w:bookmarkStart w:id="2063" w:name="_Toc69672909"/>
      <w:bookmarkStart w:id="2064" w:name="_Toc69673316"/>
      <w:bookmarkStart w:id="2065" w:name="_Toc69673722"/>
      <w:bookmarkStart w:id="2066" w:name="_Toc69674103"/>
      <w:bookmarkStart w:id="2067" w:name="_Toc69674461"/>
      <w:bookmarkStart w:id="2068" w:name="_Toc69772286"/>
      <w:bookmarkStart w:id="2069" w:name="_Toc69846908"/>
      <w:bookmarkStart w:id="2070" w:name="_Toc69849895"/>
      <w:bookmarkStart w:id="2071" w:name="_Toc69850380"/>
      <w:bookmarkStart w:id="2072" w:name="_Toc70361836"/>
      <w:bookmarkStart w:id="2073" w:name="_Toc71267275"/>
      <w:bookmarkStart w:id="2074" w:name="_Toc72331162"/>
      <w:bookmarkStart w:id="2075" w:name="_Toc72332530"/>
      <w:bookmarkStart w:id="2076" w:name="_Toc69672502"/>
      <w:bookmarkStart w:id="2077" w:name="_Toc69672910"/>
      <w:bookmarkStart w:id="2078" w:name="_Toc69673317"/>
      <w:bookmarkStart w:id="2079" w:name="_Toc69673723"/>
      <w:bookmarkStart w:id="2080" w:name="_Toc69674104"/>
      <w:bookmarkStart w:id="2081" w:name="_Toc69674462"/>
      <w:bookmarkStart w:id="2082" w:name="_Toc69772287"/>
      <w:bookmarkStart w:id="2083" w:name="_Toc69846909"/>
      <w:bookmarkStart w:id="2084" w:name="_Toc69849896"/>
      <w:bookmarkStart w:id="2085" w:name="_Toc69850381"/>
      <w:bookmarkStart w:id="2086" w:name="_Toc70361837"/>
      <w:bookmarkStart w:id="2087" w:name="_Toc71267276"/>
      <w:bookmarkStart w:id="2088" w:name="_Toc72331163"/>
      <w:bookmarkStart w:id="2089" w:name="_Toc72332531"/>
      <w:bookmarkStart w:id="2090" w:name="_Toc69672503"/>
      <w:bookmarkStart w:id="2091" w:name="_Toc69672911"/>
      <w:bookmarkStart w:id="2092" w:name="_Toc69673318"/>
      <w:bookmarkStart w:id="2093" w:name="_Toc69673724"/>
      <w:bookmarkStart w:id="2094" w:name="_Toc69674105"/>
      <w:bookmarkStart w:id="2095" w:name="_Toc69674463"/>
      <w:bookmarkStart w:id="2096" w:name="_Toc69772288"/>
      <w:bookmarkStart w:id="2097" w:name="_Toc69846910"/>
      <w:bookmarkStart w:id="2098" w:name="_Toc69849897"/>
      <w:bookmarkStart w:id="2099" w:name="_Toc69850382"/>
      <w:bookmarkStart w:id="2100" w:name="_Toc70361838"/>
      <w:bookmarkStart w:id="2101" w:name="_Toc71267277"/>
      <w:bookmarkStart w:id="2102" w:name="_Toc72331164"/>
      <w:bookmarkStart w:id="2103" w:name="_Toc72332532"/>
      <w:bookmarkStart w:id="2104" w:name="_Toc69672504"/>
      <w:bookmarkStart w:id="2105" w:name="_Toc69672912"/>
      <w:bookmarkStart w:id="2106" w:name="_Toc69673319"/>
      <w:bookmarkStart w:id="2107" w:name="_Toc69673725"/>
      <w:bookmarkStart w:id="2108" w:name="_Toc69674106"/>
      <w:bookmarkStart w:id="2109" w:name="_Toc69674464"/>
      <w:bookmarkStart w:id="2110" w:name="_Toc69772289"/>
      <w:bookmarkStart w:id="2111" w:name="_Toc69846911"/>
      <w:bookmarkStart w:id="2112" w:name="_Toc69849898"/>
      <w:bookmarkStart w:id="2113" w:name="_Toc69850383"/>
      <w:bookmarkStart w:id="2114" w:name="_Toc70361839"/>
      <w:bookmarkStart w:id="2115" w:name="_Toc71267278"/>
      <w:bookmarkStart w:id="2116" w:name="_Toc72331165"/>
      <w:bookmarkStart w:id="2117" w:name="_Toc72332533"/>
      <w:bookmarkStart w:id="2118" w:name="_Toc69672505"/>
      <w:bookmarkStart w:id="2119" w:name="_Toc69672913"/>
      <w:bookmarkStart w:id="2120" w:name="_Toc69673320"/>
      <w:bookmarkStart w:id="2121" w:name="_Toc69673726"/>
      <w:bookmarkStart w:id="2122" w:name="_Toc69674107"/>
      <w:bookmarkStart w:id="2123" w:name="_Toc69674465"/>
      <w:bookmarkStart w:id="2124" w:name="_Toc69772290"/>
      <w:bookmarkStart w:id="2125" w:name="_Toc69846912"/>
      <w:bookmarkStart w:id="2126" w:name="_Toc69849899"/>
      <w:bookmarkStart w:id="2127" w:name="_Toc69850384"/>
      <w:bookmarkStart w:id="2128" w:name="_Toc70361840"/>
      <w:bookmarkStart w:id="2129" w:name="_Toc71267279"/>
      <w:bookmarkStart w:id="2130" w:name="_Toc72331166"/>
      <w:bookmarkStart w:id="2131" w:name="_Toc72332534"/>
      <w:bookmarkStart w:id="2132" w:name="_Toc69672506"/>
      <w:bookmarkStart w:id="2133" w:name="_Toc69672914"/>
      <w:bookmarkStart w:id="2134" w:name="_Toc69673321"/>
      <w:bookmarkStart w:id="2135" w:name="_Toc69673727"/>
      <w:bookmarkStart w:id="2136" w:name="_Toc69674108"/>
      <w:bookmarkStart w:id="2137" w:name="_Toc69674466"/>
      <w:bookmarkStart w:id="2138" w:name="_Toc69772291"/>
      <w:bookmarkStart w:id="2139" w:name="_Toc69846913"/>
      <w:bookmarkStart w:id="2140" w:name="_Toc69849900"/>
      <w:bookmarkStart w:id="2141" w:name="_Toc69850385"/>
      <w:bookmarkStart w:id="2142" w:name="_Toc70361841"/>
      <w:bookmarkStart w:id="2143" w:name="_Toc71267280"/>
      <w:bookmarkStart w:id="2144" w:name="_Toc72331167"/>
      <w:bookmarkStart w:id="2145" w:name="_Toc72332535"/>
      <w:bookmarkStart w:id="2146" w:name="_Toc69672507"/>
      <w:bookmarkStart w:id="2147" w:name="_Toc69672915"/>
      <w:bookmarkStart w:id="2148" w:name="_Toc69673322"/>
      <w:bookmarkStart w:id="2149" w:name="_Toc69673728"/>
      <w:bookmarkStart w:id="2150" w:name="_Toc69674109"/>
      <w:bookmarkStart w:id="2151" w:name="_Toc69674467"/>
      <w:bookmarkStart w:id="2152" w:name="_Toc69772292"/>
      <w:bookmarkStart w:id="2153" w:name="_Toc69846914"/>
      <w:bookmarkStart w:id="2154" w:name="_Toc69849901"/>
      <w:bookmarkStart w:id="2155" w:name="_Toc69850386"/>
      <w:bookmarkStart w:id="2156" w:name="_Toc70361842"/>
      <w:bookmarkStart w:id="2157" w:name="_Toc71267281"/>
      <w:bookmarkStart w:id="2158" w:name="_Toc72331168"/>
      <w:bookmarkStart w:id="2159" w:name="_Toc72332536"/>
      <w:bookmarkStart w:id="2160" w:name="_Toc69672508"/>
      <w:bookmarkStart w:id="2161" w:name="_Toc69672916"/>
      <w:bookmarkStart w:id="2162" w:name="_Toc69673323"/>
      <w:bookmarkStart w:id="2163" w:name="_Toc69673729"/>
      <w:bookmarkStart w:id="2164" w:name="_Toc69674110"/>
      <w:bookmarkStart w:id="2165" w:name="_Toc69674468"/>
      <w:bookmarkStart w:id="2166" w:name="_Toc69772293"/>
      <w:bookmarkStart w:id="2167" w:name="_Toc69846915"/>
      <w:bookmarkStart w:id="2168" w:name="_Toc69849902"/>
      <w:bookmarkStart w:id="2169" w:name="_Toc69850387"/>
      <w:bookmarkStart w:id="2170" w:name="_Toc70361843"/>
      <w:bookmarkStart w:id="2171" w:name="_Toc71267282"/>
      <w:bookmarkStart w:id="2172" w:name="_Toc72331169"/>
      <w:bookmarkStart w:id="2173" w:name="_Toc72332537"/>
      <w:bookmarkStart w:id="2174" w:name="_Toc69672509"/>
      <w:bookmarkStart w:id="2175" w:name="_Toc69672917"/>
      <w:bookmarkStart w:id="2176" w:name="_Toc69673324"/>
      <w:bookmarkStart w:id="2177" w:name="_Toc69673730"/>
      <w:bookmarkStart w:id="2178" w:name="_Toc69674111"/>
      <w:bookmarkStart w:id="2179" w:name="_Toc69674469"/>
      <w:bookmarkStart w:id="2180" w:name="_Toc69772294"/>
      <w:bookmarkStart w:id="2181" w:name="_Toc69846916"/>
      <w:bookmarkStart w:id="2182" w:name="_Toc69849903"/>
      <w:bookmarkStart w:id="2183" w:name="_Toc69850388"/>
      <w:bookmarkStart w:id="2184" w:name="_Toc70361844"/>
      <w:bookmarkStart w:id="2185" w:name="_Toc71267283"/>
      <w:bookmarkStart w:id="2186" w:name="_Toc72331170"/>
      <w:bookmarkStart w:id="2187" w:name="_Toc72332538"/>
      <w:bookmarkStart w:id="2188" w:name="_Toc69672510"/>
      <w:bookmarkStart w:id="2189" w:name="_Toc69672918"/>
      <w:bookmarkStart w:id="2190" w:name="_Toc69673325"/>
      <w:bookmarkStart w:id="2191" w:name="_Toc69673731"/>
      <w:bookmarkStart w:id="2192" w:name="_Toc69674112"/>
      <w:bookmarkStart w:id="2193" w:name="_Toc69674470"/>
      <w:bookmarkStart w:id="2194" w:name="_Toc69772295"/>
      <w:bookmarkStart w:id="2195" w:name="_Toc69846917"/>
      <w:bookmarkStart w:id="2196" w:name="_Toc69849904"/>
      <w:bookmarkStart w:id="2197" w:name="_Toc69850389"/>
      <w:bookmarkStart w:id="2198" w:name="_Toc70361845"/>
      <w:bookmarkStart w:id="2199" w:name="_Toc71267284"/>
      <w:bookmarkStart w:id="2200" w:name="_Toc72331171"/>
      <w:bookmarkStart w:id="2201" w:name="_Toc72332539"/>
      <w:bookmarkStart w:id="2202" w:name="_Toc69672511"/>
      <w:bookmarkStart w:id="2203" w:name="_Toc69672919"/>
      <w:bookmarkStart w:id="2204" w:name="_Toc69673326"/>
      <w:bookmarkStart w:id="2205" w:name="_Toc69673732"/>
      <w:bookmarkStart w:id="2206" w:name="_Toc69674113"/>
      <w:bookmarkStart w:id="2207" w:name="_Toc69674471"/>
      <w:bookmarkStart w:id="2208" w:name="_Toc69772296"/>
      <w:bookmarkStart w:id="2209" w:name="_Toc69846918"/>
      <w:bookmarkStart w:id="2210" w:name="_Toc69849905"/>
      <w:bookmarkStart w:id="2211" w:name="_Toc69850390"/>
      <w:bookmarkStart w:id="2212" w:name="_Toc70361846"/>
      <w:bookmarkStart w:id="2213" w:name="_Toc71267285"/>
      <w:bookmarkStart w:id="2214" w:name="_Toc72331172"/>
      <w:bookmarkStart w:id="2215" w:name="_Toc72332540"/>
      <w:bookmarkStart w:id="2216" w:name="_Toc69672512"/>
      <w:bookmarkStart w:id="2217" w:name="_Toc69672920"/>
      <w:bookmarkStart w:id="2218" w:name="_Toc69673327"/>
      <w:bookmarkStart w:id="2219" w:name="_Toc69673733"/>
      <w:bookmarkStart w:id="2220" w:name="_Toc69674114"/>
      <w:bookmarkStart w:id="2221" w:name="_Toc69674472"/>
      <w:bookmarkStart w:id="2222" w:name="_Toc69772297"/>
      <w:bookmarkStart w:id="2223" w:name="_Toc69846919"/>
      <w:bookmarkStart w:id="2224" w:name="_Toc69849906"/>
      <w:bookmarkStart w:id="2225" w:name="_Toc69850391"/>
      <w:bookmarkStart w:id="2226" w:name="_Toc70361847"/>
      <w:bookmarkStart w:id="2227" w:name="_Toc71267286"/>
      <w:bookmarkStart w:id="2228" w:name="_Toc72331173"/>
      <w:bookmarkStart w:id="2229" w:name="_Toc72332541"/>
      <w:bookmarkStart w:id="2230" w:name="_Toc69672513"/>
      <w:bookmarkStart w:id="2231" w:name="_Toc69672921"/>
      <w:bookmarkStart w:id="2232" w:name="_Toc69673328"/>
      <w:bookmarkStart w:id="2233" w:name="_Toc69673734"/>
      <w:bookmarkStart w:id="2234" w:name="_Toc69674115"/>
      <w:bookmarkStart w:id="2235" w:name="_Toc69674473"/>
      <w:bookmarkStart w:id="2236" w:name="_Toc69772298"/>
      <w:bookmarkStart w:id="2237" w:name="_Toc69846920"/>
      <w:bookmarkStart w:id="2238" w:name="_Toc69849907"/>
      <w:bookmarkStart w:id="2239" w:name="_Toc69850392"/>
      <w:bookmarkStart w:id="2240" w:name="_Toc70361848"/>
      <w:bookmarkStart w:id="2241" w:name="_Toc71267287"/>
      <w:bookmarkStart w:id="2242" w:name="_Toc72331174"/>
      <w:bookmarkStart w:id="2243" w:name="_Toc72332542"/>
      <w:bookmarkStart w:id="2244" w:name="_Toc69672514"/>
      <w:bookmarkStart w:id="2245" w:name="_Toc69672922"/>
      <w:bookmarkStart w:id="2246" w:name="_Toc69673329"/>
      <w:bookmarkStart w:id="2247" w:name="_Toc69673735"/>
      <w:bookmarkStart w:id="2248" w:name="_Toc69674116"/>
      <w:bookmarkStart w:id="2249" w:name="_Toc69674474"/>
      <w:bookmarkStart w:id="2250" w:name="_Toc69772299"/>
      <w:bookmarkStart w:id="2251" w:name="_Toc69846921"/>
      <w:bookmarkStart w:id="2252" w:name="_Toc69849908"/>
      <w:bookmarkStart w:id="2253" w:name="_Toc69850393"/>
      <w:bookmarkStart w:id="2254" w:name="_Toc70361849"/>
      <w:bookmarkStart w:id="2255" w:name="_Toc71267288"/>
      <w:bookmarkStart w:id="2256" w:name="_Toc72331175"/>
      <w:bookmarkStart w:id="2257" w:name="_Toc72332543"/>
      <w:bookmarkStart w:id="2258" w:name="_Toc69672515"/>
      <w:bookmarkStart w:id="2259" w:name="_Toc69672923"/>
      <w:bookmarkStart w:id="2260" w:name="_Toc69673330"/>
      <w:bookmarkStart w:id="2261" w:name="_Toc69673736"/>
      <w:bookmarkStart w:id="2262" w:name="_Toc69674117"/>
      <w:bookmarkStart w:id="2263" w:name="_Toc69674475"/>
      <w:bookmarkStart w:id="2264" w:name="_Toc69772300"/>
      <w:bookmarkStart w:id="2265" w:name="_Toc69846922"/>
      <w:bookmarkStart w:id="2266" w:name="_Toc69849909"/>
      <w:bookmarkStart w:id="2267" w:name="_Toc69850394"/>
      <w:bookmarkStart w:id="2268" w:name="_Toc70361850"/>
      <w:bookmarkStart w:id="2269" w:name="_Toc71267289"/>
      <w:bookmarkStart w:id="2270" w:name="_Toc72331176"/>
      <w:bookmarkStart w:id="2271" w:name="_Toc72332544"/>
      <w:bookmarkStart w:id="2272" w:name="_Toc69672516"/>
      <w:bookmarkStart w:id="2273" w:name="_Toc69672924"/>
      <w:bookmarkStart w:id="2274" w:name="_Toc69673331"/>
      <w:bookmarkStart w:id="2275" w:name="_Toc69673737"/>
      <w:bookmarkStart w:id="2276" w:name="_Toc69674118"/>
      <w:bookmarkStart w:id="2277" w:name="_Toc69674476"/>
      <w:bookmarkStart w:id="2278" w:name="_Toc69772301"/>
      <w:bookmarkStart w:id="2279" w:name="_Toc69846923"/>
      <w:bookmarkStart w:id="2280" w:name="_Toc69849910"/>
      <w:bookmarkStart w:id="2281" w:name="_Toc69850395"/>
      <w:bookmarkStart w:id="2282" w:name="_Toc70361851"/>
      <w:bookmarkStart w:id="2283" w:name="_Toc71267290"/>
      <w:bookmarkStart w:id="2284" w:name="_Toc72331177"/>
      <w:bookmarkStart w:id="2285" w:name="_Toc72332545"/>
      <w:bookmarkStart w:id="2286" w:name="_Toc69672517"/>
      <w:bookmarkStart w:id="2287" w:name="_Toc69672925"/>
      <w:bookmarkStart w:id="2288" w:name="_Toc69673332"/>
      <w:bookmarkStart w:id="2289" w:name="_Toc69673738"/>
      <w:bookmarkStart w:id="2290" w:name="_Toc69674119"/>
      <w:bookmarkStart w:id="2291" w:name="_Toc69674477"/>
      <w:bookmarkStart w:id="2292" w:name="_Toc69772302"/>
      <w:bookmarkStart w:id="2293" w:name="_Toc69846924"/>
      <w:bookmarkStart w:id="2294" w:name="_Toc69849911"/>
      <w:bookmarkStart w:id="2295" w:name="_Toc69850396"/>
      <w:bookmarkStart w:id="2296" w:name="_Toc70361852"/>
      <w:bookmarkStart w:id="2297" w:name="_Toc71267291"/>
      <w:bookmarkStart w:id="2298" w:name="_Toc72331178"/>
      <w:bookmarkStart w:id="2299" w:name="_Toc72332546"/>
      <w:bookmarkStart w:id="2300" w:name="_Toc69672518"/>
      <w:bookmarkStart w:id="2301" w:name="_Toc69672926"/>
      <w:bookmarkStart w:id="2302" w:name="_Toc69673333"/>
      <w:bookmarkStart w:id="2303" w:name="_Toc69673739"/>
      <w:bookmarkStart w:id="2304" w:name="_Toc69674120"/>
      <w:bookmarkStart w:id="2305" w:name="_Toc69674478"/>
      <w:bookmarkStart w:id="2306" w:name="_Toc69772303"/>
      <w:bookmarkStart w:id="2307" w:name="_Toc69846925"/>
      <w:bookmarkStart w:id="2308" w:name="_Toc69849912"/>
      <w:bookmarkStart w:id="2309" w:name="_Toc69850397"/>
      <w:bookmarkStart w:id="2310" w:name="_Toc70361853"/>
      <w:bookmarkStart w:id="2311" w:name="_Toc71267292"/>
      <w:bookmarkStart w:id="2312" w:name="_Toc72331179"/>
      <w:bookmarkStart w:id="2313" w:name="_Toc72332547"/>
      <w:bookmarkStart w:id="2314" w:name="_Toc69672519"/>
      <w:bookmarkStart w:id="2315" w:name="_Toc69672927"/>
      <w:bookmarkStart w:id="2316" w:name="_Toc69673334"/>
      <w:bookmarkStart w:id="2317" w:name="_Toc69673740"/>
      <w:bookmarkStart w:id="2318" w:name="_Toc69674121"/>
      <w:bookmarkStart w:id="2319" w:name="_Toc69674479"/>
      <w:bookmarkStart w:id="2320" w:name="_Toc69772304"/>
      <w:bookmarkStart w:id="2321" w:name="_Toc69846926"/>
      <w:bookmarkStart w:id="2322" w:name="_Toc69849913"/>
      <w:bookmarkStart w:id="2323" w:name="_Toc69850398"/>
      <w:bookmarkStart w:id="2324" w:name="_Toc70361854"/>
      <w:bookmarkStart w:id="2325" w:name="_Toc71267293"/>
      <w:bookmarkStart w:id="2326" w:name="_Toc72331180"/>
      <w:bookmarkStart w:id="2327" w:name="_Toc72332548"/>
      <w:bookmarkStart w:id="2328" w:name="_Toc69672520"/>
      <w:bookmarkStart w:id="2329" w:name="_Toc69672928"/>
      <w:bookmarkStart w:id="2330" w:name="_Toc69673335"/>
      <w:bookmarkStart w:id="2331" w:name="_Toc69673741"/>
      <w:bookmarkStart w:id="2332" w:name="_Toc69674122"/>
      <w:bookmarkStart w:id="2333" w:name="_Toc69674480"/>
      <w:bookmarkStart w:id="2334" w:name="_Toc69772305"/>
      <w:bookmarkStart w:id="2335" w:name="_Toc69846927"/>
      <w:bookmarkStart w:id="2336" w:name="_Toc69849914"/>
      <w:bookmarkStart w:id="2337" w:name="_Toc69850399"/>
      <w:bookmarkStart w:id="2338" w:name="_Toc70361855"/>
      <w:bookmarkStart w:id="2339" w:name="_Toc71267294"/>
      <w:bookmarkStart w:id="2340" w:name="_Toc72331181"/>
      <w:bookmarkStart w:id="2341" w:name="_Toc72332549"/>
      <w:bookmarkStart w:id="2342" w:name="_Toc69672521"/>
      <w:bookmarkStart w:id="2343" w:name="_Toc69672929"/>
      <w:bookmarkStart w:id="2344" w:name="_Toc69673336"/>
      <w:bookmarkStart w:id="2345" w:name="_Toc69673742"/>
      <w:bookmarkStart w:id="2346" w:name="_Toc69674123"/>
      <w:bookmarkStart w:id="2347" w:name="_Toc69674481"/>
      <w:bookmarkStart w:id="2348" w:name="_Toc69772306"/>
      <w:bookmarkStart w:id="2349" w:name="_Toc69846928"/>
      <w:bookmarkStart w:id="2350" w:name="_Toc69849915"/>
      <w:bookmarkStart w:id="2351" w:name="_Toc69850400"/>
      <w:bookmarkStart w:id="2352" w:name="_Toc70361856"/>
      <w:bookmarkStart w:id="2353" w:name="_Toc71267295"/>
      <w:bookmarkStart w:id="2354" w:name="_Toc72331182"/>
      <w:bookmarkStart w:id="2355" w:name="_Toc72332550"/>
      <w:bookmarkStart w:id="2356" w:name="_Toc69672522"/>
      <w:bookmarkStart w:id="2357" w:name="_Toc69672930"/>
      <w:bookmarkStart w:id="2358" w:name="_Toc69673337"/>
      <w:bookmarkStart w:id="2359" w:name="_Toc69673743"/>
      <w:bookmarkStart w:id="2360" w:name="_Toc69674124"/>
      <w:bookmarkStart w:id="2361" w:name="_Toc69674482"/>
      <w:bookmarkStart w:id="2362" w:name="_Toc69772307"/>
      <w:bookmarkStart w:id="2363" w:name="_Toc69846929"/>
      <w:bookmarkStart w:id="2364" w:name="_Toc69849916"/>
      <w:bookmarkStart w:id="2365" w:name="_Toc69850401"/>
      <w:bookmarkStart w:id="2366" w:name="_Toc70361857"/>
      <w:bookmarkStart w:id="2367" w:name="_Toc71267296"/>
      <w:bookmarkStart w:id="2368" w:name="_Toc72331183"/>
      <w:bookmarkStart w:id="2369" w:name="_Toc72332551"/>
      <w:bookmarkStart w:id="2370" w:name="_Toc69672523"/>
      <w:bookmarkStart w:id="2371" w:name="_Toc69672931"/>
      <w:bookmarkStart w:id="2372" w:name="_Toc69673338"/>
      <w:bookmarkStart w:id="2373" w:name="_Toc69673744"/>
      <w:bookmarkStart w:id="2374" w:name="_Toc69674125"/>
      <w:bookmarkStart w:id="2375" w:name="_Toc69674483"/>
      <w:bookmarkStart w:id="2376" w:name="_Toc69772308"/>
      <w:bookmarkStart w:id="2377" w:name="_Toc69846930"/>
      <w:bookmarkStart w:id="2378" w:name="_Toc69849917"/>
      <w:bookmarkStart w:id="2379" w:name="_Toc69850402"/>
      <w:bookmarkStart w:id="2380" w:name="_Toc70361858"/>
      <w:bookmarkStart w:id="2381" w:name="_Toc71267297"/>
      <w:bookmarkStart w:id="2382" w:name="_Toc72331184"/>
      <w:bookmarkStart w:id="2383" w:name="_Toc72332552"/>
      <w:bookmarkStart w:id="2384" w:name="_Toc69672524"/>
      <w:bookmarkStart w:id="2385" w:name="_Toc69672932"/>
      <w:bookmarkStart w:id="2386" w:name="_Toc69673339"/>
      <w:bookmarkStart w:id="2387" w:name="_Toc69673745"/>
      <w:bookmarkStart w:id="2388" w:name="_Toc69674126"/>
      <w:bookmarkStart w:id="2389" w:name="_Toc69674484"/>
      <w:bookmarkStart w:id="2390" w:name="_Toc69772309"/>
      <w:bookmarkStart w:id="2391" w:name="_Toc69846931"/>
      <w:bookmarkStart w:id="2392" w:name="_Toc69849918"/>
      <w:bookmarkStart w:id="2393" w:name="_Toc69850403"/>
      <w:bookmarkStart w:id="2394" w:name="_Toc70361859"/>
      <w:bookmarkStart w:id="2395" w:name="_Toc71267298"/>
      <w:bookmarkStart w:id="2396" w:name="_Toc72331185"/>
      <w:bookmarkStart w:id="2397" w:name="_Toc72332553"/>
      <w:bookmarkStart w:id="2398" w:name="_Toc69672642"/>
      <w:bookmarkStart w:id="2399" w:name="_Toc69673050"/>
      <w:bookmarkStart w:id="2400" w:name="_Toc69673457"/>
      <w:bookmarkStart w:id="2401" w:name="_Toc69673863"/>
      <w:bookmarkStart w:id="2402" w:name="_Toc69674244"/>
      <w:bookmarkStart w:id="2403" w:name="_Toc69674602"/>
      <w:bookmarkStart w:id="2404" w:name="_Toc69772427"/>
      <w:bookmarkStart w:id="2405" w:name="_Toc69847049"/>
      <w:bookmarkStart w:id="2406" w:name="_Toc69850036"/>
      <w:bookmarkStart w:id="2407" w:name="_Toc69850521"/>
      <w:bookmarkStart w:id="2408" w:name="_Toc70361977"/>
      <w:bookmarkStart w:id="2409" w:name="_Toc71267416"/>
      <w:bookmarkStart w:id="2410" w:name="_Toc72331186"/>
      <w:bookmarkStart w:id="2411" w:name="_Toc72332554"/>
      <w:bookmarkStart w:id="2412" w:name="_Toc69672643"/>
      <w:bookmarkStart w:id="2413" w:name="_Toc69673051"/>
      <w:bookmarkStart w:id="2414" w:name="_Toc69673458"/>
      <w:bookmarkStart w:id="2415" w:name="_Toc69673864"/>
      <w:bookmarkStart w:id="2416" w:name="_Toc69674245"/>
      <w:bookmarkStart w:id="2417" w:name="_Toc69674603"/>
      <w:bookmarkStart w:id="2418" w:name="_Toc69772428"/>
      <w:bookmarkStart w:id="2419" w:name="_Toc69847050"/>
      <w:bookmarkStart w:id="2420" w:name="_Toc69850037"/>
      <w:bookmarkStart w:id="2421" w:name="_Toc69850522"/>
      <w:bookmarkStart w:id="2422" w:name="_Toc70361978"/>
      <w:bookmarkStart w:id="2423" w:name="_Toc71267417"/>
      <w:bookmarkStart w:id="2424" w:name="_Toc72331187"/>
      <w:bookmarkStart w:id="2425" w:name="_Toc72332555"/>
      <w:bookmarkStart w:id="2426" w:name="_Toc69672644"/>
      <w:bookmarkStart w:id="2427" w:name="_Toc69673052"/>
      <w:bookmarkStart w:id="2428" w:name="_Toc69673459"/>
      <w:bookmarkStart w:id="2429" w:name="_Toc69673865"/>
      <w:bookmarkStart w:id="2430" w:name="_Toc69674246"/>
      <w:bookmarkStart w:id="2431" w:name="_Toc69674604"/>
      <w:bookmarkStart w:id="2432" w:name="_Toc69772429"/>
      <w:bookmarkStart w:id="2433" w:name="_Toc69847051"/>
      <w:bookmarkStart w:id="2434" w:name="_Toc69850038"/>
      <w:bookmarkStart w:id="2435" w:name="_Toc69850523"/>
      <w:bookmarkStart w:id="2436" w:name="_Toc70361979"/>
      <w:bookmarkStart w:id="2437" w:name="_Toc71267418"/>
      <w:bookmarkStart w:id="2438" w:name="_Toc72331188"/>
      <w:bookmarkStart w:id="2439" w:name="_Toc72332556"/>
      <w:bookmarkStart w:id="2440" w:name="_Toc69672645"/>
      <w:bookmarkStart w:id="2441" w:name="_Toc69673053"/>
      <w:bookmarkStart w:id="2442" w:name="_Toc69673460"/>
      <w:bookmarkStart w:id="2443" w:name="_Toc69673866"/>
      <w:bookmarkStart w:id="2444" w:name="_Toc69674247"/>
      <w:bookmarkStart w:id="2445" w:name="_Toc69674605"/>
      <w:bookmarkStart w:id="2446" w:name="_Toc69772430"/>
      <w:bookmarkStart w:id="2447" w:name="_Toc69847052"/>
      <w:bookmarkStart w:id="2448" w:name="_Toc69850039"/>
      <w:bookmarkStart w:id="2449" w:name="_Toc69850524"/>
      <w:bookmarkStart w:id="2450" w:name="_Toc70361980"/>
      <w:bookmarkStart w:id="2451" w:name="_Toc71267419"/>
      <w:bookmarkStart w:id="2452" w:name="_Toc72331189"/>
      <w:bookmarkStart w:id="2453" w:name="_Toc72332557"/>
      <w:bookmarkStart w:id="2454" w:name="_Toc69672646"/>
      <w:bookmarkStart w:id="2455" w:name="_Toc69673054"/>
      <w:bookmarkStart w:id="2456" w:name="_Toc69673461"/>
      <w:bookmarkStart w:id="2457" w:name="_Toc69673867"/>
      <w:bookmarkStart w:id="2458" w:name="_Toc69674248"/>
      <w:bookmarkStart w:id="2459" w:name="_Toc69674606"/>
      <w:bookmarkStart w:id="2460" w:name="_Toc69772431"/>
      <w:bookmarkStart w:id="2461" w:name="_Toc69847053"/>
      <w:bookmarkStart w:id="2462" w:name="_Toc69850040"/>
      <w:bookmarkStart w:id="2463" w:name="_Toc69850525"/>
      <w:bookmarkStart w:id="2464" w:name="_Toc70361981"/>
      <w:bookmarkStart w:id="2465" w:name="_Toc71267420"/>
      <w:bookmarkStart w:id="2466" w:name="_Toc72331190"/>
      <w:bookmarkStart w:id="2467" w:name="_Toc72332558"/>
      <w:bookmarkStart w:id="2468" w:name="_Toc69672647"/>
      <w:bookmarkStart w:id="2469" w:name="_Toc69673055"/>
      <w:bookmarkStart w:id="2470" w:name="_Toc69673462"/>
      <w:bookmarkStart w:id="2471" w:name="_Toc69673868"/>
      <w:bookmarkStart w:id="2472" w:name="_Toc69674249"/>
      <w:bookmarkStart w:id="2473" w:name="_Toc69674607"/>
      <w:bookmarkStart w:id="2474" w:name="_Toc69772432"/>
      <w:bookmarkStart w:id="2475" w:name="_Toc69847054"/>
      <w:bookmarkStart w:id="2476" w:name="_Toc69850041"/>
      <w:bookmarkStart w:id="2477" w:name="_Toc69850526"/>
      <w:bookmarkStart w:id="2478" w:name="_Toc70361982"/>
      <w:bookmarkStart w:id="2479" w:name="_Toc71267421"/>
      <w:bookmarkStart w:id="2480" w:name="_Toc72331191"/>
      <w:bookmarkStart w:id="2481" w:name="_Toc72332559"/>
      <w:bookmarkStart w:id="2482" w:name="_Toc69672648"/>
      <w:bookmarkStart w:id="2483" w:name="_Toc69673056"/>
      <w:bookmarkStart w:id="2484" w:name="_Toc69673463"/>
      <w:bookmarkStart w:id="2485" w:name="_Toc69673869"/>
      <w:bookmarkStart w:id="2486" w:name="_Toc69674250"/>
      <w:bookmarkStart w:id="2487" w:name="_Toc69674608"/>
      <w:bookmarkStart w:id="2488" w:name="_Toc69772433"/>
      <w:bookmarkStart w:id="2489" w:name="_Toc69847055"/>
      <w:bookmarkStart w:id="2490" w:name="_Toc69850042"/>
      <w:bookmarkStart w:id="2491" w:name="_Toc69850527"/>
      <w:bookmarkStart w:id="2492" w:name="_Toc70361983"/>
      <w:bookmarkStart w:id="2493" w:name="_Toc71267422"/>
      <w:bookmarkStart w:id="2494" w:name="_Toc72331192"/>
      <w:bookmarkStart w:id="2495" w:name="_Toc72332560"/>
      <w:bookmarkStart w:id="2496" w:name="_Toc69672649"/>
      <w:bookmarkStart w:id="2497" w:name="_Toc69673057"/>
      <w:bookmarkStart w:id="2498" w:name="_Toc69673464"/>
      <w:bookmarkStart w:id="2499" w:name="_Toc69673870"/>
      <w:bookmarkStart w:id="2500" w:name="_Toc69674251"/>
      <w:bookmarkStart w:id="2501" w:name="_Toc69674609"/>
      <w:bookmarkStart w:id="2502" w:name="_Toc69772434"/>
      <w:bookmarkStart w:id="2503" w:name="_Toc69847056"/>
      <w:bookmarkStart w:id="2504" w:name="_Toc69850043"/>
      <w:bookmarkStart w:id="2505" w:name="_Toc69850528"/>
      <w:bookmarkStart w:id="2506" w:name="_Toc70361984"/>
      <w:bookmarkStart w:id="2507" w:name="_Toc71267423"/>
      <w:bookmarkStart w:id="2508" w:name="_Toc72331193"/>
      <w:bookmarkStart w:id="2509" w:name="_Toc72332561"/>
      <w:bookmarkStart w:id="2510" w:name="_Toc69672650"/>
      <w:bookmarkStart w:id="2511" w:name="_Toc69673058"/>
      <w:bookmarkStart w:id="2512" w:name="_Toc69673465"/>
      <w:bookmarkStart w:id="2513" w:name="_Toc69673871"/>
      <w:bookmarkStart w:id="2514" w:name="_Toc69674252"/>
      <w:bookmarkStart w:id="2515" w:name="_Toc69674610"/>
      <w:bookmarkStart w:id="2516" w:name="_Toc69772435"/>
      <w:bookmarkStart w:id="2517" w:name="_Toc69847057"/>
      <w:bookmarkStart w:id="2518" w:name="_Toc69850044"/>
      <w:bookmarkStart w:id="2519" w:name="_Toc69850529"/>
      <w:bookmarkStart w:id="2520" w:name="_Toc70361985"/>
      <w:bookmarkStart w:id="2521" w:name="_Toc71267424"/>
      <w:bookmarkStart w:id="2522" w:name="_Toc72331194"/>
      <w:bookmarkStart w:id="2523" w:name="_Toc72332562"/>
      <w:bookmarkStart w:id="2524" w:name="_Toc69672651"/>
      <w:bookmarkStart w:id="2525" w:name="_Toc69673059"/>
      <w:bookmarkStart w:id="2526" w:name="_Toc69673466"/>
      <w:bookmarkStart w:id="2527" w:name="_Toc69673872"/>
      <w:bookmarkStart w:id="2528" w:name="_Toc69674253"/>
      <w:bookmarkStart w:id="2529" w:name="_Toc69674611"/>
      <w:bookmarkStart w:id="2530" w:name="_Toc69772436"/>
      <w:bookmarkStart w:id="2531" w:name="_Toc69847058"/>
      <w:bookmarkStart w:id="2532" w:name="_Toc69850045"/>
      <w:bookmarkStart w:id="2533" w:name="_Toc69850530"/>
      <w:bookmarkStart w:id="2534" w:name="_Toc70361986"/>
      <w:bookmarkStart w:id="2535" w:name="_Toc71267425"/>
      <w:bookmarkStart w:id="2536" w:name="_Toc72331195"/>
      <w:bookmarkStart w:id="2537" w:name="_Toc72332563"/>
      <w:bookmarkStart w:id="2538" w:name="_Toc69672652"/>
      <w:bookmarkStart w:id="2539" w:name="_Toc69673060"/>
      <w:bookmarkStart w:id="2540" w:name="_Toc69673467"/>
      <w:bookmarkStart w:id="2541" w:name="_Toc69673873"/>
      <w:bookmarkStart w:id="2542" w:name="_Toc69674254"/>
      <w:bookmarkStart w:id="2543" w:name="_Toc69674612"/>
      <w:bookmarkStart w:id="2544" w:name="_Toc69772437"/>
      <w:bookmarkStart w:id="2545" w:name="_Toc69847059"/>
      <w:bookmarkStart w:id="2546" w:name="_Toc69850046"/>
      <w:bookmarkStart w:id="2547" w:name="_Toc69850531"/>
      <w:bookmarkStart w:id="2548" w:name="_Toc70361987"/>
      <w:bookmarkStart w:id="2549" w:name="_Toc71267426"/>
      <w:bookmarkStart w:id="2550" w:name="_Toc72331196"/>
      <w:bookmarkStart w:id="2551" w:name="_Toc72332564"/>
      <w:bookmarkStart w:id="2552" w:name="_Toc69672653"/>
      <w:bookmarkStart w:id="2553" w:name="_Toc69673061"/>
      <w:bookmarkStart w:id="2554" w:name="_Toc69673468"/>
      <w:bookmarkStart w:id="2555" w:name="_Toc69673874"/>
      <w:bookmarkStart w:id="2556" w:name="_Toc69674255"/>
      <w:bookmarkStart w:id="2557" w:name="_Toc69674613"/>
      <w:bookmarkStart w:id="2558" w:name="_Toc69772438"/>
      <w:bookmarkStart w:id="2559" w:name="_Toc69847060"/>
      <w:bookmarkStart w:id="2560" w:name="_Toc69850047"/>
      <w:bookmarkStart w:id="2561" w:name="_Toc69850532"/>
      <w:bookmarkStart w:id="2562" w:name="_Toc70361988"/>
      <w:bookmarkStart w:id="2563" w:name="_Toc71267427"/>
      <w:bookmarkStart w:id="2564" w:name="_Toc72331197"/>
      <w:bookmarkStart w:id="2565" w:name="_Toc72332565"/>
      <w:bookmarkStart w:id="2566" w:name="_Toc69672654"/>
      <w:bookmarkStart w:id="2567" w:name="_Toc69673062"/>
      <w:bookmarkStart w:id="2568" w:name="_Toc69673469"/>
      <w:bookmarkStart w:id="2569" w:name="_Toc69673875"/>
      <w:bookmarkStart w:id="2570" w:name="_Toc69674256"/>
      <w:bookmarkStart w:id="2571" w:name="_Toc69674614"/>
      <w:bookmarkStart w:id="2572" w:name="_Toc69772439"/>
      <w:bookmarkStart w:id="2573" w:name="_Toc69847061"/>
      <w:bookmarkStart w:id="2574" w:name="_Toc69850048"/>
      <w:bookmarkStart w:id="2575" w:name="_Toc69850533"/>
      <w:bookmarkStart w:id="2576" w:name="_Toc70361989"/>
      <w:bookmarkStart w:id="2577" w:name="_Toc71267428"/>
      <w:bookmarkStart w:id="2578" w:name="_Toc72331198"/>
      <w:bookmarkStart w:id="2579" w:name="_Toc72332566"/>
      <w:bookmarkStart w:id="2580" w:name="_Toc69672655"/>
      <w:bookmarkStart w:id="2581" w:name="_Toc69673063"/>
      <w:bookmarkStart w:id="2582" w:name="_Toc69673470"/>
      <w:bookmarkStart w:id="2583" w:name="_Toc69673876"/>
      <w:bookmarkStart w:id="2584" w:name="_Toc69674257"/>
      <w:bookmarkStart w:id="2585" w:name="_Toc69674615"/>
      <w:bookmarkStart w:id="2586" w:name="_Toc69772440"/>
      <w:bookmarkStart w:id="2587" w:name="_Toc69847062"/>
      <w:bookmarkStart w:id="2588" w:name="_Toc69850049"/>
      <w:bookmarkStart w:id="2589" w:name="_Toc69850534"/>
      <w:bookmarkStart w:id="2590" w:name="_Toc70361990"/>
      <w:bookmarkStart w:id="2591" w:name="_Toc71267429"/>
      <w:bookmarkStart w:id="2592" w:name="_Toc72331199"/>
      <w:bookmarkStart w:id="2593" w:name="_Toc72332567"/>
      <w:bookmarkStart w:id="2594" w:name="_Toc69672656"/>
      <w:bookmarkStart w:id="2595" w:name="_Toc69673064"/>
      <w:bookmarkStart w:id="2596" w:name="_Toc69673471"/>
      <w:bookmarkStart w:id="2597" w:name="_Toc69673877"/>
      <w:bookmarkStart w:id="2598" w:name="_Toc69674258"/>
      <w:bookmarkStart w:id="2599" w:name="_Toc69674616"/>
      <w:bookmarkStart w:id="2600" w:name="_Toc69772441"/>
      <w:bookmarkStart w:id="2601" w:name="_Toc69847063"/>
      <w:bookmarkStart w:id="2602" w:name="_Toc69850050"/>
      <w:bookmarkStart w:id="2603" w:name="_Toc69850535"/>
      <w:bookmarkStart w:id="2604" w:name="_Toc70361991"/>
      <w:bookmarkStart w:id="2605" w:name="_Toc71267430"/>
      <w:bookmarkStart w:id="2606" w:name="_Toc72331200"/>
      <w:bookmarkStart w:id="2607" w:name="_Toc72332568"/>
      <w:bookmarkStart w:id="2608" w:name="_Toc69672657"/>
      <w:bookmarkStart w:id="2609" w:name="_Toc69673065"/>
      <w:bookmarkStart w:id="2610" w:name="_Toc69673472"/>
      <w:bookmarkStart w:id="2611" w:name="_Toc69673878"/>
      <w:bookmarkStart w:id="2612" w:name="_Toc69674259"/>
      <w:bookmarkStart w:id="2613" w:name="_Toc69674617"/>
      <w:bookmarkStart w:id="2614" w:name="_Toc69772442"/>
      <w:bookmarkStart w:id="2615" w:name="_Toc69847064"/>
      <w:bookmarkStart w:id="2616" w:name="_Toc69850051"/>
      <w:bookmarkStart w:id="2617" w:name="_Toc69850536"/>
      <w:bookmarkStart w:id="2618" w:name="_Toc70361992"/>
      <w:bookmarkStart w:id="2619" w:name="_Toc71267431"/>
      <w:bookmarkStart w:id="2620" w:name="_Toc72331201"/>
      <w:bookmarkStart w:id="2621" w:name="_Toc72332569"/>
      <w:bookmarkStart w:id="2622" w:name="_Toc69672658"/>
      <w:bookmarkStart w:id="2623" w:name="_Toc69673066"/>
      <w:bookmarkStart w:id="2624" w:name="_Toc69673473"/>
      <w:bookmarkStart w:id="2625" w:name="_Toc69673879"/>
      <w:bookmarkStart w:id="2626" w:name="_Toc69674260"/>
      <w:bookmarkStart w:id="2627" w:name="_Toc69674618"/>
      <w:bookmarkStart w:id="2628" w:name="_Toc69772443"/>
      <w:bookmarkStart w:id="2629" w:name="_Toc69847065"/>
      <w:bookmarkStart w:id="2630" w:name="_Toc69850052"/>
      <w:bookmarkStart w:id="2631" w:name="_Toc69850537"/>
      <w:bookmarkStart w:id="2632" w:name="_Toc70361993"/>
      <w:bookmarkStart w:id="2633" w:name="_Toc71267432"/>
      <w:bookmarkStart w:id="2634" w:name="_Toc72331202"/>
      <w:bookmarkStart w:id="2635" w:name="_Toc72332570"/>
      <w:bookmarkStart w:id="2636" w:name="_Toc69672659"/>
      <w:bookmarkStart w:id="2637" w:name="_Toc69673067"/>
      <w:bookmarkStart w:id="2638" w:name="_Toc69673474"/>
      <w:bookmarkStart w:id="2639" w:name="_Toc69673880"/>
      <w:bookmarkStart w:id="2640" w:name="_Toc69674261"/>
      <w:bookmarkStart w:id="2641" w:name="_Toc69674619"/>
      <w:bookmarkStart w:id="2642" w:name="_Toc69772444"/>
      <w:bookmarkStart w:id="2643" w:name="_Toc69847066"/>
      <w:bookmarkStart w:id="2644" w:name="_Toc69850053"/>
      <w:bookmarkStart w:id="2645" w:name="_Toc69850538"/>
      <w:bookmarkStart w:id="2646" w:name="_Toc70361994"/>
      <w:bookmarkStart w:id="2647" w:name="_Toc71267433"/>
      <w:bookmarkStart w:id="2648" w:name="_Toc72331203"/>
      <w:bookmarkStart w:id="2649" w:name="_Toc72332571"/>
      <w:bookmarkStart w:id="2650" w:name="_Toc69672660"/>
      <w:bookmarkStart w:id="2651" w:name="_Toc69673068"/>
      <w:bookmarkStart w:id="2652" w:name="_Toc69673475"/>
      <w:bookmarkStart w:id="2653" w:name="_Toc69673881"/>
      <w:bookmarkStart w:id="2654" w:name="_Toc69674262"/>
      <w:bookmarkStart w:id="2655" w:name="_Toc69674620"/>
      <w:bookmarkStart w:id="2656" w:name="_Toc69772445"/>
      <w:bookmarkStart w:id="2657" w:name="_Toc69847067"/>
      <w:bookmarkStart w:id="2658" w:name="_Toc69850054"/>
      <w:bookmarkStart w:id="2659" w:name="_Toc69850539"/>
      <w:bookmarkStart w:id="2660" w:name="_Toc70361995"/>
      <w:bookmarkStart w:id="2661" w:name="_Toc71267434"/>
      <w:bookmarkStart w:id="2662" w:name="_Toc72331204"/>
      <w:bookmarkStart w:id="2663" w:name="_Toc72332572"/>
      <w:bookmarkStart w:id="2664" w:name="_Toc69672661"/>
      <w:bookmarkStart w:id="2665" w:name="_Toc69673069"/>
      <w:bookmarkStart w:id="2666" w:name="_Toc69673476"/>
      <w:bookmarkStart w:id="2667" w:name="_Toc69673882"/>
      <w:bookmarkStart w:id="2668" w:name="_Toc69674263"/>
      <w:bookmarkStart w:id="2669" w:name="_Toc69674621"/>
      <w:bookmarkStart w:id="2670" w:name="_Toc69772446"/>
      <w:bookmarkStart w:id="2671" w:name="_Toc69847068"/>
      <w:bookmarkStart w:id="2672" w:name="_Toc69850055"/>
      <w:bookmarkStart w:id="2673" w:name="_Toc69850540"/>
      <w:bookmarkStart w:id="2674" w:name="_Toc70361996"/>
      <w:bookmarkStart w:id="2675" w:name="_Toc71267435"/>
      <w:bookmarkStart w:id="2676" w:name="_Toc72331205"/>
      <w:bookmarkStart w:id="2677" w:name="_Toc72332573"/>
      <w:bookmarkStart w:id="2678" w:name="_Toc69672662"/>
      <w:bookmarkStart w:id="2679" w:name="_Toc69673070"/>
      <w:bookmarkStart w:id="2680" w:name="_Toc69673477"/>
      <w:bookmarkStart w:id="2681" w:name="_Toc69673883"/>
      <w:bookmarkStart w:id="2682" w:name="_Toc69674264"/>
      <w:bookmarkStart w:id="2683" w:name="_Toc69674622"/>
      <w:bookmarkStart w:id="2684" w:name="_Toc69772447"/>
      <w:bookmarkStart w:id="2685" w:name="_Toc69847069"/>
      <w:bookmarkStart w:id="2686" w:name="_Toc69850056"/>
      <w:bookmarkStart w:id="2687" w:name="_Toc69850541"/>
      <w:bookmarkStart w:id="2688" w:name="_Toc70361997"/>
      <w:bookmarkStart w:id="2689" w:name="_Toc71267436"/>
      <w:bookmarkStart w:id="2690" w:name="_Toc72331206"/>
      <w:bookmarkStart w:id="2691" w:name="_Toc72332574"/>
      <w:bookmarkStart w:id="2692" w:name="_Toc69672663"/>
      <w:bookmarkStart w:id="2693" w:name="_Toc69673071"/>
      <w:bookmarkStart w:id="2694" w:name="_Toc69673478"/>
      <w:bookmarkStart w:id="2695" w:name="_Toc69673884"/>
      <w:bookmarkStart w:id="2696" w:name="_Toc69674265"/>
      <w:bookmarkStart w:id="2697" w:name="_Toc69674623"/>
      <w:bookmarkStart w:id="2698" w:name="_Toc69772448"/>
      <w:bookmarkStart w:id="2699" w:name="_Toc69847070"/>
      <w:bookmarkStart w:id="2700" w:name="_Toc69850057"/>
      <w:bookmarkStart w:id="2701" w:name="_Toc69850542"/>
      <w:bookmarkStart w:id="2702" w:name="_Toc70361998"/>
      <w:bookmarkStart w:id="2703" w:name="_Toc71267437"/>
      <w:bookmarkStart w:id="2704" w:name="_Toc72331207"/>
      <w:bookmarkStart w:id="2705" w:name="_Toc72332575"/>
      <w:bookmarkStart w:id="2706" w:name="_Toc69672664"/>
      <w:bookmarkStart w:id="2707" w:name="_Toc69673072"/>
      <w:bookmarkStart w:id="2708" w:name="_Toc69673479"/>
      <w:bookmarkStart w:id="2709" w:name="_Toc69673885"/>
      <w:bookmarkStart w:id="2710" w:name="_Toc69674266"/>
      <w:bookmarkStart w:id="2711" w:name="_Toc69674624"/>
      <w:bookmarkStart w:id="2712" w:name="_Toc69772449"/>
      <w:bookmarkStart w:id="2713" w:name="_Toc69847071"/>
      <w:bookmarkStart w:id="2714" w:name="_Toc69850058"/>
      <w:bookmarkStart w:id="2715" w:name="_Toc69850543"/>
      <w:bookmarkStart w:id="2716" w:name="_Toc70361999"/>
      <w:bookmarkStart w:id="2717" w:name="_Toc71267438"/>
      <w:bookmarkStart w:id="2718" w:name="_Toc72331208"/>
      <w:bookmarkStart w:id="2719" w:name="_Toc72332576"/>
      <w:bookmarkStart w:id="2720" w:name="_Toc69672665"/>
      <w:bookmarkStart w:id="2721" w:name="_Toc69673073"/>
      <w:bookmarkStart w:id="2722" w:name="_Toc69673480"/>
      <w:bookmarkStart w:id="2723" w:name="_Toc69673886"/>
      <w:bookmarkStart w:id="2724" w:name="_Toc69674267"/>
      <w:bookmarkStart w:id="2725" w:name="_Toc69674625"/>
      <w:bookmarkStart w:id="2726" w:name="_Toc69772450"/>
      <w:bookmarkStart w:id="2727" w:name="_Toc69847072"/>
      <w:bookmarkStart w:id="2728" w:name="_Toc69850059"/>
      <w:bookmarkStart w:id="2729" w:name="_Toc69850544"/>
      <w:bookmarkStart w:id="2730" w:name="_Toc70362000"/>
      <w:bookmarkStart w:id="2731" w:name="_Toc71267439"/>
      <w:bookmarkStart w:id="2732" w:name="_Toc72331209"/>
      <w:bookmarkStart w:id="2733" w:name="_Toc72332577"/>
      <w:bookmarkStart w:id="2734" w:name="_Toc69672666"/>
      <w:bookmarkStart w:id="2735" w:name="_Toc69673074"/>
      <w:bookmarkStart w:id="2736" w:name="_Toc69673481"/>
      <w:bookmarkStart w:id="2737" w:name="_Toc69673887"/>
      <w:bookmarkStart w:id="2738" w:name="_Toc69674268"/>
      <w:bookmarkStart w:id="2739" w:name="_Toc69674626"/>
      <w:bookmarkStart w:id="2740" w:name="_Toc69772451"/>
      <w:bookmarkStart w:id="2741" w:name="_Toc69847073"/>
      <w:bookmarkStart w:id="2742" w:name="_Toc69850060"/>
      <w:bookmarkStart w:id="2743" w:name="_Toc69850545"/>
      <w:bookmarkStart w:id="2744" w:name="_Toc70362001"/>
      <w:bookmarkStart w:id="2745" w:name="_Toc71267440"/>
      <w:bookmarkStart w:id="2746" w:name="_Toc72331210"/>
      <w:bookmarkStart w:id="2747" w:name="_Toc72332578"/>
      <w:bookmarkStart w:id="2748" w:name="_Toc69672667"/>
      <w:bookmarkStart w:id="2749" w:name="_Toc69673075"/>
      <w:bookmarkStart w:id="2750" w:name="_Toc69673482"/>
      <w:bookmarkStart w:id="2751" w:name="_Toc69673888"/>
      <w:bookmarkStart w:id="2752" w:name="_Toc69674269"/>
      <w:bookmarkStart w:id="2753" w:name="_Toc69674627"/>
      <w:bookmarkStart w:id="2754" w:name="_Toc69772452"/>
      <w:bookmarkStart w:id="2755" w:name="_Toc69847074"/>
      <w:bookmarkStart w:id="2756" w:name="_Toc69850061"/>
      <w:bookmarkStart w:id="2757" w:name="_Toc69850546"/>
      <w:bookmarkStart w:id="2758" w:name="_Toc70362002"/>
      <w:bookmarkStart w:id="2759" w:name="_Toc71267441"/>
      <w:bookmarkStart w:id="2760" w:name="_Toc72331211"/>
      <w:bookmarkStart w:id="2761" w:name="_Toc72332579"/>
      <w:bookmarkStart w:id="2762" w:name="_Toc64029055"/>
      <w:bookmarkStart w:id="2763" w:name="_Toc64029168"/>
      <w:bookmarkStart w:id="2764" w:name="_Toc64032666"/>
      <w:bookmarkStart w:id="2765" w:name="_Toc64045859"/>
      <w:bookmarkStart w:id="2766" w:name="_Toc64046201"/>
      <w:bookmarkStart w:id="2767" w:name="_Toc64046313"/>
      <w:bookmarkStart w:id="2768" w:name="_Toc64075100"/>
      <w:bookmarkStart w:id="2769" w:name="_Toc62888557"/>
      <w:bookmarkStart w:id="2770" w:name="_Toc74917166"/>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r>
        <w:rPr>
          <w:rFonts w:asciiTheme="minorHAnsi" w:hAnsiTheme="minorHAnsi" w:cstheme="minorHAnsi"/>
          <w:color w:val="000E9A"/>
          <w:sz w:val="28"/>
          <w:szCs w:val="28"/>
        </w:rPr>
        <w:br w:type="page"/>
      </w:r>
    </w:p>
    <w:p w14:paraId="037A79F1" w14:textId="7BC1C8D5" w:rsidR="005568DE" w:rsidRPr="00C07ED8" w:rsidRDefault="00FF24A1" w:rsidP="0041512C">
      <w:pPr>
        <w:pStyle w:val="Titre1"/>
        <w:numPr>
          <w:ilvl w:val="0"/>
          <w:numId w:val="11"/>
        </w:numPr>
        <w:spacing w:before="240" w:after="0"/>
        <w:ind w:left="284" w:right="-74" w:hanging="284"/>
        <w:rPr>
          <w:rFonts w:asciiTheme="minorHAnsi" w:hAnsiTheme="minorHAnsi" w:cstheme="minorHAnsi"/>
          <w:color w:val="000E9A"/>
          <w:sz w:val="28"/>
          <w:szCs w:val="28"/>
        </w:rPr>
      </w:pPr>
      <w:bookmarkStart w:id="2771" w:name="_Toc100603605"/>
      <w:bookmarkStart w:id="2772" w:name="_Toc100605212"/>
      <w:bookmarkStart w:id="2773" w:name="_Toc100684198"/>
      <w:bookmarkStart w:id="2774" w:name="_Toc100689224"/>
      <w:bookmarkStart w:id="2775" w:name="_Toc100689273"/>
      <w:r w:rsidRPr="00C07ED8">
        <w:rPr>
          <w:rFonts w:asciiTheme="minorHAnsi" w:hAnsiTheme="minorHAnsi" w:cstheme="minorHAnsi"/>
          <w:color w:val="000E9A"/>
          <w:sz w:val="28"/>
          <w:szCs w:val="28"/>
        </w:rPr>
        <w:lastRenderedPageBreak/>
        <w:t xml:space="preserve">Notes relatives aux états financiers </w:t>
      </w:r>
      <w:r w:rsidR="00753FD0" w:rsidRPr="00C07ED8">
        <w:rPr>
          <w:rFonts w:asciiTheme="minorHAnsi" w:hAnsiTheme="minorHAnsi" w:cstheme="minorHAnsi"/>
          <w:color w:val="000E9A"/>
          <w:sz w:val="28"/>
          <w:szCs w:val="28"/>
        </w:rPr>
        <w:t>consolidés</w:t>
      </w:r>
      <w:r w:rsidR="00753FD0">
        <w:rPr>
          <w:rFonts w:asciiTheme="minorHAnsi" w:hAnsiTheme="minorHAnsi" w:cstheme="minorHAnsi"/>
          <w:color w:val="000E9A"/>
          <w:sz w:val="28"/>
          <w:szCs w:val="28"/>
        </w:rPr>
        <w:t xml:space="preserve"> </w:t>
      </w:r>
      <w:r w:rsidR="005A0274">
        <w:rPr>
          <w:rFonts w:asciiTheme="minorHAnsi" w:hAnsiTheme="minorHAnsi" w:cstheme="minorHAnsi"/>
          <w:color w:val="000E9A"/>
          <w:sz w:val="28"/>
          <w:szCs w:val="28"/>
        </w:rPr>
        <w:t xml:space="preserve">semestriels </w:t>
      </w:r>
      <w:bookmarkEnd w:id="2769"/>
      <w:bookmarkEnd w:id="2770"/>
      <w:r w:rsidR="005A0274">
        <w:rPr>
          <w:rFonts w:asciiTheme="minorHAnsi" w:hAnsiTheme="minorHAnsi" w:cstheme="minorHAnsi"/>
          <w:color w:val="000E9A"/>
          <w:sz w:val="28"/>
          <w:szCs w:val="28"/>
        </w:rPr>
        <w:t>résumés</w:t>
      </w:r>
      <w:bookmarkEnd w:id="2771"/>
      <w:bookmarkEnd w:id="2772"/>
      <w:bookmarkEnd w:id="2773"/>
      <w:bookmarkEnd w:id="2774"/>
      <w:bookmarkEnd w:id="2775"/>
    </w:p>
    <w:p w14:paraId="0CA4D7F0" w14:textId="77777777" w:rsidR="005B6547" w:rsidRPr="0099106A" w:rsidRDefault="005B6547" w:rsidP="005B6547">
      <w:pPr>
        <w:rPr>
          <w:rFonts w:cs="Calibri"/>
        </w:rPr>
      </w:pPr>
    </w:p>
    <w:p w14:paraId="01368CAC" w14:textId="0C9BF8F7" w:rsidR="009B2255" w:rsidRPr="00B97286" w:rsidRDefault="009B2255" w:rsidP="0041512C">
      <w:pPr>
        <w:pStyle w:val="Titre2"/>
        <w:numPr>
          <w:ilvl w:val="1"/>
          <w:numId w:val="16"/>
        </w:numPr>
        <w:spacing w:before="0"/>
        <w:ind w:left="567" w:hanging="567"/>
        <w:rPr>
          <w:rFonts w:ascii="Calibri" w:hAnsi="Calibri"/>
          <w:color w:val="auto"/>
          <w:sz w:val="28"/>
          <w:szCs w:val="28"/>
        </w:rPr>
      </w:pPr>
      <w:bookmarkStart w:id="2776" w:name="_Toc74917167"/>
      <w:bookmarkStart w:id="2777" w:name="_Toc100603606"/>
      <w:bookmarkStart w:id="2778" w:name="_Toc100605213"/>
      <w:bookmarkStart w:id="2779" w:name="_Toc100684199"/>
      <w:bookmarkStart w:id="2780" w:name="_Toc100689225"/>
      <w:bookmarkStart w:id="2781" w:name="_Toc100689274"/>
      <w:bookmarkStart w:id="2782" w:name="_Ref65357520"/>
      <w:bookmarkStart w:id="2783" w:name="_Hlk65453101"/>
      <w:r w:rsidRPr="00B97286">
        <w:rPr>
          <w:rFonts w:ascii="Calibri" w:hAnsi="Calibri"/>
          <w:color w:val="auto"/>
          <w:sz w:val="28"/>
          <w:szCs w:val="28"/>
        </w:rPr>
        <w:t>Information sectorielle</w:t>
      </w:r>
      <w:bookmarkEnd w:id="2776"/>
      <w:bookmarkEnd w:id="2777"/>
      <w:bookmarkEnd w:id="2778"/>
      <w:bookmarkEnd w:id="2779"/>
      <w:bookmarkEnd w:id="2780"/>
      <w:bookmarkEnd w:id="2781"/>
    </w:p>
    <w:p w14:paraId="1B99BBB7" w14:textId="73C326EE" w:rsidR="009B2255" w:rsidRPr="00B97286" w:rsidRDefault="009B2255" w:rsidP="009B2255">
      <w:pPr>
        <w:rPr>
          <w:sz w:val="24"/>
          <w:szCs w:val="24"/>
          <w:highlight w:val="yellow"/>
        </w:rPr>
      </w:pPr>
    </w:p>
    <w:p w14:paraId="14712251" w14:textId="1A9E9983" w:rsidR="008731B9" w:rsidRDefault="008731B9" w:rsidP="008731B9">
      <w:pPr>
        <w:jc w:val="both"/>
        <w:rPr>
          <w:rFonts w:cstheme="minorHAnsi"/>
          <w:sz w:val="20"/>
          <w:szCs w:val="20"/>
        </w:rPr>
      </w:pPr>
      <w:r>
        <w:rPr>
          <w:rFonts w:cstheme="minorHAnsi"/>
          <w:sz w:val="20"/>
          <w:szCs w:val="20"/>
        </w:rPr>
        <w:t xml:space="preserve">Conformément aux dispositions de la norme IFRS 8 </w:t>
      </w:r>
      <w:r w:rsidR="006904DC">
        <w:rPr>
          <w:rFonts w:cstheme="minorHAnsi"/>
          <w:sz w:val="20"/>
          <w:szCs w:val="20"/>
        </w:rPr>
        <w:t>« </w:t>
      </w:r>
      <w:r>
        <w:rPr>
          <w:rFonts w:cstheme="minorHAnsi"/>
          <w:sz w:val="20"/>
          <w:szCs w:val="20"/>
        </w:rPr>
        <w:t>Information sectorielle</w:t>
      </w:r>
      <w:r w:rsidR="006904DC">
        <w:rPr>
          <w:rFonts w:cstheme="minorHAnsi"/>
          <w:sz w:val="20"/>
          <w:szCs w:val="20"/>
        </w:rPr>
        <w:t> »</w:t>
      </w:r>
      <w:r>
        <w:rPr>
          <w:rFonts w:cstheme="minorHAnsi"/>
          <w:sz w:val="20"/>
          <w:szCs w:val="20"/>
        </w:rPr>
        <w:t xml:space="preserve">, </w:t>
      </w:r>
      <w:r w:rsidR="002E6C78">
        <w:rPr>
          <w:rFonts w:cstheme="minorHAnsi"/>
          <w:sz w:val="20"/>
          <w:szCs w:val="20"/>
        </w:rPr>
        <w:t xml:space="preserve">le </w:t>
      </w:r>
      <w:r>
        <w:rPr>
          <w:rFonts w:cstheme="minorHAnsi"/>
          <w:sz w:val="20"/>
          <w:szCs w:val="20"/>
        </w:rPr>
        <w:t xml:space="preserve">Groupe a identifié </w:t>
      </w:r>
      <w:r w:rsidR="006063AE">
        <w:rPr>
          <w:rFonts w:cstheme="minorHAnsi"/>
          <w:sz w:val="20"/>
          <w:szCs w:val="20"/>
        </w:rPr>
        <w:t>3</w:t>
      </w:r>
      <w:r>
        <w:rPr>
          <w:rFonts w:cstheme="minorHAnsi"/>
          <w:sz w:val="20"/>
          <w:szCs w:val="20"/>
        </w:rPr>
        <w:t xml:space="preserve"> secteurs opérationnels</w:t>
      </w:r>
      <w:r w:rsidR="00C61693">
        <w:rPr>
          <w:rFonts w:cstheme="minorHAnsi"/>
          <w:sz w:val="20"/>
          <w:szCs w:val="20"/>
        </w:rPr>
        <w:t> :</w:t>
      </w:r>
      <w:r>
        <w:rPr>
          <w:rFonts w:cstheme="minorHAnsi"/>
          <w:sz w:val="20"/>
          <w:szCs w:val="20"/>
        </w:rPr>
        <w:t xml:space="preserve"> </w:t>
      </w:r>
      <w:proofErr w:type="spellStart"/>
      <w:r>
        <w:rPr>
          <w:rFonts w:cstheme="minorHAnsi"/>
          <w:sz w:val="20"/>
          <w:szCs w:val="20"/>
        </w:rPr>
        <w:t>Private</w:t>
      </w:r>
      <w:proofErr w:type="spellEnd"/>
      <w:r>
        <w:rPr>
          <w:rFonts w:cstheme="minorHAnsi"/>
          <w:sz w:val="20"/>
          <w:szCs w:val="20"/>
        </w:rPr>
        <w:t xml:space="preserve"> Cloud, Public Cloud et Web</w:t>
      </w:r>
      <w:r w:rsidR="00101D07">
        <w:rPr>
          <w:rFonts w:cstheme="minorHAnsi"/>
          <w:sz w:val="20"/>
          <w:szCs w:val="20"/>
        </w:rPr>
        <w:t>c</w:t>
      </w:r>
      <w:r>
        <w:rPr>
          <w:rFonts w:cstheme="minorHAnsi"/>
          <w:sz w:val="20"/>
          <w:szCs w:val="20"/>
        </w:rPr>
        <w:t>loud</w:t>
      </w:r>
      <w:r w:rsidR="004F237D">
        <w:rPr>
          <w:rFonts w:cstheme="minorHAnsi"/>
          <w:sz w:val="20"/>
          <w:szCs w:val="20"/>
        </w:rPr>
        <w:t xml:space="preserve"> &amp; </w:t>
      </w:r>
      <w:proofErr w:type="spellStart"/>
      <w:r w:rsidR="004F237D">
        <w:rPr>
          <w:rFonts w:cstheme="minorHAnsi"/>
          <w:sz w:val="20"/>
          <w:szCs w:val="20"/>
        </w:rPr>
        <w:t>Other</w:t>
      </w:r>
      <w:proofErr w:type="spellEnd"/>
      <w:r>
        <w:rPr>
          <w:rFonts w:cstheme="minorHAnsi"/>
          <w:sz w:val="20"/>
          <w:szCs w:val="20"/>
        </w:rPr>
        <w:t xml:space="preserve">. L’information sectorielle est présentée par activité, conformément à l’organisation du </w:t>
      </w:r>
      <w:proofErr w:type="spellStart"/>
      <w:r>
        <w:rPr>
          <w:rFonts w:cstheme="minorHAnsi"/>
          <w:sz w:val="20"/>
          <w:szCs w:val="20"/>
        </w:rPr>
        <w:t>reporting</w:t>
      </w:r>
      <w:proofErr w:type="spellEnd"/>
      <w:r>
        <w:rPr>
          <w:rFonts w:cstheme="minorHAnsi"/>
          <w:sz w:val="20"/>
          <w:szCs w:val="20"/>
        </w:rPr>
        <w:t xml:space="preserve"> interne du Groupe.</w:t>
      </w:r>
    </w:p>
    <w:p w14:paraId="1528D11C" w14:textId="77777777" w:rsidR="008731B9" w:rsidRDefault="008731B9" w:rsidP="008731B9">
      <w:pPr>
        <w:rPr>
          <w:rFonts w:cstheme="minorHAnsi"/>
          <w:sz w:val="20"/>
          <w:szCs w:val="20"/>
          <w:u w:val="single"/>
        </w:rPr>
      </w:pPr>
      <w:r>
        <w:rPr>
          <w:rFonts w:cstheme="minorHAnsi"/>
          <w:sz w:val="20"/>
          <w:szCs w:val="20"/>
          <w:u w:val="single"/>
        </w:rPr>
        <w:t>Présentation</w:t>
      </w:r>
    </w:p>
    <w:p w14:paraId="59EAD0FF" w14:textId="4C747BB5" w:rsidR="008731B9" w:rsidRDefault="008731B9" w:rsidP="008731B9">
      <w:pPr>
        <w:jc w:val="both"/>
        <w:rPr>
          <w:rFonts w:cstheme="minorHAnsi"/>
          <w:b/>
          <w:bCs/>
          <w:sz w:val="20"/>
          <w:szCs w:val="20"/>
        </w:rPr>
      </w:pPr>
      <w:proofErr w:type="spellStart"/>
      <w:r>
        <w:rPr>
          <w:rFonts w:cstheme="minorHAnsi"/>
          <w:b/>
          <w:bCs/>
          <w:sz w:val="20"/>
          <w:szCs w:val="20"/>
        </w:rPr>
        <w:t>Private</w:t>
      </w:r>
      <w:proofErr w:type="spellEnd"/>
      <w:r>
        <w:rPr>
          <w:rFonts w:cstheme="minorHAnsi"/>
          <w:b/>
          <w:bCs/>
          <w:sz w:val="20"/>
          <w:szCs w:val="20"/>
        </w:rPr>
        <w:t xml:space="preserve"> Cloud </w:t>
      </w:r>
    </w:p>
    <w:p w14:paraId="2060BED3" w14:textId="64647F1D" w:rsidR="008731B9" w:rsidRDefault="008731B9" w:rsidP="008731B9">
      <w:pPr>
        <w:jc w:val="both"/>
        <w:rPr>
          <w:rFonts w:cstheme="minorHAnsi"/>
          <w:sz w:val="20"/>
          <w:szCs w:val="20"/>
        </w:rPr>
      </w:pPr>
      <w:r>
        <w:rPr>
          <w:rFonts w:cstheme="minorHAnsi"/>
          <w:sz w:val="20"/>
          <w:szCs w:val="20"/>
        </w:rPr>
        <w:t xml:space="preserve">Le </w:t>
      </w:r>
      <w:proofErr w:type="spellStart"/>
      <w:r>
        <w:rPr>
          <w:rFonts w:cstheme="minorHAnsi"/>
          <w:sz w:val="20"/>
          <w:szCs w:val="20"/>
        </w:rPr>
        <w:t>Private</w:t>
      </w:r>
      <w:proofErr w:type="spellEnd"/>
      <w:r>
        <w:rPr>
          <w:rFonts w:cstheme="minorHAnsi"/>
          <w:sz w:val="20"/>
          <w:szCs w:val="20"/>
        </w:rPr>
        <w:t xml:space="preserve"> Cloud offre des services et des solutions qui sont hébergés sur des ressources dédiées aux clients. Cette offre de service se compose principalement</w:t>
      </w:r>
      <w:r w:rsidR="00C61693">
        <w:rPr>
          <w:rFonts w:cstheme="minorHAnsi"/>
          <w:sz w:val="20"/>
          <w:szCs w:val="20"/>
        </w:rPr>
        <w:t xml:space="preserve"> de</w:t>
      </w:r>
      <w:r w:rsidR="00CE0969">
        <w:rPr>
          <w:rFonts w:cstheme="minorHAnsi"/>
          <w:sz w:val="20"/>
          <w:szCs w:val="20"/>
        </w:rPr>
        <w:t xml:space="preserve"> </w:t>
      </w:r>
      <w:r>
        <w:rPr>
          <w:rFonts w:cstheme="minorHAnsi"/>
          <w:sz w:val="20"/>
          <w:szCs w:val="20"/>
        </w:rPr>
        <w:t>:</w:t>
      </w:r>
    </w:p>
    <w:p w14:paraId="3A85659E" w14:textId="77777777" w:rsidR="008731B9" w:rsidRDefault="008731B9" w:rsidP="0041512C">
      <w:pPr>
        <w:pStyle w:val="Paragraphedeliste"/>
        <w:numPr>
          <w:ilvl w:val="0"/>
          <w:numId w:val="15"/>
        </w:numPr>
        <w:spacing w:line="254" w:lineRule="auto"/>
        <w:ind w:left="426" w:hanging="426"/>
        <w:jc w:val="both"/>
        <w:rPr>
          <w:rFonts w:cstheme="minorHAnsi"/>
          <w:sz w:val="20"/>
          <w:szCs w:val="20"/>
        </w:rPr>
      </w:pPr>
      <w:proofErr w:type="spellStart"/>
      <w:r w:rsidRPr="00CA1BA2">
        <w:rPr>
          <w:rFonts w:cstheme="minorHAnsi"/>
          <w:b/>
          <w:bCs/>
          <w:sz w:val="20"/>
          <w:szCs w:val="20"/>
        </w:rPr>
        <w:t>Baremetal</w:t>
      </w:r>
      <w:proofErr w:type="spellEnd"/>
      <w:r w:rsidRPr="00CA1BA2">
        <w:rPr>
          <w:rFonts w:cstheme="minorHAnsi"/>
          <w:b/>
          <w:bCs/>
          <w:sz w:val="20"/>
          <w:szCs w:val="20"/>
        </w:rPr>
        <w:t> </w:t>
      </w:r>
      <w:r>
        <w:rPr>
          <w:rFonts w:cstheme="minorHAnsi"/>
          <w:sz w:val="20"/>
          <w:szCs w:val="20"/>
        </w:rPr>
        <w:t xml:space="preserve">: solution dédiée et administrée entièrement par le client selon ses besoins et sans contrainte car il en est le seul utilisateur. Les usages d’une solution </w:t>
      </w:r>
      <w:proofErr w:type="spellStart"/>
      <w:r>
        <w:rPr>
          <w:rFonts w:cstheme="minorHAnsi"/>
          <w:sz w:val="20"/>
          <w:szCs w:val="20"/>
        </w:rPr>
        <w:t>Baremetal</w:t>
      </w:r>
      <w:proofErr w:type="spellEnd"/>
      <w:r>
        <w:rPr>
          <w:rFonts w:cstheme="minorHAnsi"/>
          <w:sz w:val="20"/>
          <w:szCs w:val="20"/>
        </w:rPr>
        <w:t xml:space="preserve"> sont multiples : big data, machine </w:t>
      </w:r>
      <w:proofErr w:type="spellStart"/>
      <w:r>
        <w:rPr>
          <w:rFonts w:cstheme="minorHAnsi"/>
          <w:sz w:val="20"/>
          <w:szCs w:val="20"/>
        </w:rPr>
        <w:t>learning</w:t>
      </w:r>
      <w:proofErr w:type="spellEnd"/>
      <w:r>
        <w:rPr>
          <w:rFonts w:cstheme="minorHAnsi"/>
          <w:sz w:val="20"/>
          <w:szCs w:val="20"/>
        </w:rPr>
        <w:t>, hébergement de sites et applications web, stockage et sauvegarde, virtualisation d’infrastructures, cluster de serveurs, applications métier (CRM, ERP) ou encore hébergement de jeux en ligne.</w:t>
      </w:r>
    </w:p>
    <w:p w14:paraId="4888CCB1" w14:textId="7AA4E4DC" w:rsidR="00A03CA3" w:rsidRPr="00D41C4C" w:rsidRDefault="008731B9" w:rsidP="0041512C">
      <w:pPr>
        <w:pStyle w:val="Paragraphedeliste"/>
        <w:numPr>
          <w:ilvl w:val="0"/>
          <w:numId w:val="15"/>
        </w:numPr>
        <w:spacing w:line="254" w:lineRule="auto"/>
        <w:ind w:left="426" w:hanging="426"/>
        <w:jc w:val="both"/>
        <w:rPr>
          <w:rFonts w:cstheme="minorHAnsi"/>
          <w:sz w:val="20"/>
          <w:szCs w:val="20"/>
        </w:rPr>
      </w:pPr>
      <w:proofErr w:type="spellStart"/>
      <w:r w:rsidRPr="00CA1BA2">
        <w:rPr>
          <w:rFonts w:cstheme="minorHAnsi"/>
          <w:b/>
          <w:bCs/>
          <w:sz w:val="20"/>
          <w:szCs w:val="20"/>
        </w:rPr>
        <w:t>Hosted</w:t>
      </w:r>
      <w:proofErr w:type="spellEnd"/>
      <w:r w:rsidRPr="00CA1BA2">
        <w:rPr>
          <w:rFonts w:cstheme="minorHAnsi"/>
          <w:b/>
          <w:bCs/>
          <w:sz w:val="20"/>
          <w:szCs w:val="20"/>
        </w:rPr>
        <w:t xml:space="preserve"> </w:t>
      </w:r>
      <w:proofErr w:type="spellStart"/>
      <w:r w:rsidRPr="00CA1BA2">
        <w:rPr>
          <w:rFonts w:cstheme="minorHAnsi"/>
          <w:b/>
          <w:bCs/>
          <w:sz w:val="20"/>
          <w:szCs w:val="20"/>
        </w:rPr>
        <w:t>Private</w:t>
      </w:r>
      <w:proofErr w:type="spellEnd"/>
      <w:r w:rsidRPr="00CA1BA2">
        <w:rPr>
          <w:rFonts w:cstheme="minorHAnsi"/>
          <w:b/>
          <w:bCs/>
          <w:sz w:val="20"/>
          <w:szCs w:val="20"/>
        </w:rPr>
        <w:t xml:space="preserve"> Cloud</w:t>
      </w:r>
      <w:r w:rsidR="00F94FB2">
        <w:rPr>
          <w:rFonts w:cstheme="minorHAnsi"/>
          <w:sz w:val="20"/>
          <w:szCs w:val="20"/>
        </w:rPr>
        <w:t xml:space="preserve"> </w:t>
      </w:r>
      <w:r>
        <w:rPr>
          <w:rFonts w:cstheme="minorHAnsi"/>
          <w:sz w:val="20"/>
          <w:szCs w:val="20"/>
        </w:rPr>
        <w:t>: solution dédiée gérée par les équipes d</w:t>
      </w:r>
      <w:r w:rsidR="006063AE">
        <w:rPr>
          <w:rFonts w:cstheme="minorHAnsi"/>
          <w:sz w:val="20"/>
          <w:szCs w:val="20"/>
        </w:rPr>
        <w:t xml:space="preserve">u </w:t>
      </w:r>
      <w:r w:rsidR="0006394A">
        <w:rPr>
          <w:rFonts w:cstheme="minorHAnsi"/>
          <w:sz w:val="20"/>
          <w:szCs w:val="20"/>
        </w:rPr>
        <w:t>G</w:t>
      </w:r>
      <w:r w:rsidR="006063AE">
        <w:rPr>
          <w:rFonts w:cstheme="minorHAnsi"/>
          <w:sz w:val="20"/>
          <w:szCs w:val="20"/>
        </w:rPr>
        <w:t xml:space="preserve">roupe </w:t>
      </w:r>
      <w:r>
        <w:rPr>
          <w:rFonts w:cstheme="minorHAnsi"/>
          <w:sz w:val="20"/>
          <w:szCs w:val="20"/>
        </w:rPr>
        <w:t>OVH</w:t>
      </w:r>
      <w:r w:rsidR="00DA7D1F">
        <w:rPr>
          <w:rFonts w:cstheme="minorHAnsi"/>
          <w:sz w:val="20"/>
          <w:szCs w:val="20"/>
        </w:rPr>
        <w:t>c</w:t>
      </w:r>
      <w:r>
        <w:rPr>
          <w:rFonts w:cstheme="minorHAnsi"/>
          <w:sz w:val="20"/>
          <w:szCs w:val="20"/>
        </w:rPr>
        <w:t xml:space="preserve">loud, intégrant la technologie de virtualisation VMWare. L’offre </w:t>
      </w:r>
      <w:proofErr w:type="spellStart"/>
      <w:r>
        <w:rPr>
          <w:rFonts w:cstheme="minorHAnsi"/>
          <w:sz w:val="20"/>
          <w:szCs w:val="20"/>
        </w:rPr>
        <w:t>Hosted</w:t>
      </w:r>
      <w:proofErr w:type="spellEnd"/>
      <w:r>
        <w:rPr>
          <w:rFonts w:cstheme="minorHAnsi"/>
          <w:sz w:val="20"/>
          <w:szCs w:val="20"/>
        </w:rPr>
        <w:t xml:space="preserve"> </w:t>
      </w:r>
      <w:proofErr w:type="spellStart"/>
      <w:r>
        <w:rPr>
          <w:rFonts w:cstheme="minorHAnsi"/>
          <w:sz w:val="20"/>
          <w:szCs w:val="20"/>
        </w:rPr>
        <w:t>Private</w:t>
      </w:r>
      <w:proofErr w:type="spellEnd"/>
      <w:r>
        <w:rPr>
          <w:rFonts w:cstheme="minorHAnsi"/>
          <w:sz w:val="20"/>
          <w:szCs w:val="20"/>
        </w:rPr>
        <w:t xml:space="preserve"> Cloud est particulièrement adaptée à l’hébergement de données sensibles stratégiques telles que les données de santé </w:t>
      </w:r>
      <w:r w:rsidR="006904DC">
        <w:rPr>
          <w:rFonts w:cstheme="minorHAnsi"/>
          <w:sz w:val="20"/>
          <w:szCs w:val="20"/>
        </w:rPr>
        <w:t>ou</w:t>
      </w:r>
      <w:r>
        <w:rPr>
          <w:rFonts w:cstheme="minorHAnsi"/>
          <w:sz w:val="20"/>
          <w:szCs w:val="20"/>
        </w:rPr>
        <w:t xml:space="preserve"> financières.</w:t>
      </w:r>
    </w:p>
    <w:p w14:paraId="287D20BF" w14:textId="347BA009" w:rsidR="008731B9" w:rsidRDefault="008731B9" w:rsidP="008731B9">
      <w:pPr>
        <w:jc w:val="both"/>
        <w:rPr>
          <w:rFonts w:cstheme="minorHAnsi"/>
          <w:b/>
          <w:bCs/>
          <w:sz w:val="20"/>
          <w:szCs w:val="20"/>
        </w:rPr>
      </w:pPr>
      <w:r>
        <w:rPr>
          <w:rFonts w:cstheme="minorHAnsi"/>
          <w:b/>
          <w:bCs/>
          <w:sz w:val="20"/>
          <w:szCs w:val="20"/>
        </w:rPr>
        <w:t>Public Cloud</w:t>
      </w:r>
    </w:p>
    <w:p w14:paraId="26DBD2B7" w14:textId="49468B59" w:rsidR="008731B9" w:rsidRDefault="008731B9" w:rsidP="008731B9">
      <w:pPr>
        <w:jc w:val="both"/>
        <w:rPr>
          <w:rFonts w:cstheme="minorHAnsi"/>
          <w:sz w:val="20"/>
          <w:szCs w:val="20"/>
        </w:rPr>
      </w:pPr>
      <w:r>
        <w:rPr>
          <w:rFonts w:cstheme="minorHAnsi"/>
          <w:sz w:val="20"/>
          <w:szCs w:val="20"/>
        </w:rPr>
        <w:t>Le Public Cloud est une offre de solutions cloud facturées à l’usage, basées sur des standards ouverts (</w:t>
      </w:r>
      <w:proofErr w:type="spellStart"/>
      <w:r>
        <w:rPr>
          <w:rFonts w:cstheme="minorHAnsi"/>
          <w:sz w:val="20"/>
          <w:szCs w:val="20"/>
        </w:rPr>
        <w:t>OpenStack</w:t>
      </w:r>
      <w:proofErr w:type="spellEnd"/>
      <w:r>
        <w:rPr>
          <w:rFonts w:cstheme="minorHAnsi"/>
          <w:sz w:val="20"/>
          <w:szCs w:val="20"/>
        </w:rPr>
        <w:t xml:space="preserve">, </w:t>
      </w:r>
      <w:proofErr w:type="spellStart"/>
      <w:r>
        <w:rPr>
          <w:rFonts w:cstheme="minorHAnsi"/>
          <w:sz w:val="20"/>
          <w:szCs w:val="20"/>
        </w:rPr>
        <w:t>Kubernetes</w:t>
      </w:r>
      <w:proofErr w:type="spellEnd"/>
      <w:r>
        <w:rPr>
          <w:rFonts w:cstheme="minorHAnsi"/>
          <w:sz w:val="20"/>
          <w:szCs w:val="20"/>
        </w:rPr>
        <w:t>). Les ressources, telles que la puissance de calcul ou le stockage, ainsi que l’infrastructure physique qui les fournit, sont mutualisées, c’est-à-dire partagées entre les utilisateurs du fournisseur de services cloud, et flexibles, c’est-à-dire ajustables aux besoins des clients et pouvant être déployées instantanément à grande échelle. Ces solutions sont généralement utilisées pour des applications dont la demande peut connaître des pics élevés, comme le commerce électronique, et les applications dont les besoins sont très importants, comme le streaming vidéo</w:t>
      </w:r>
      <w:r w:rsidR="00F94FB2">
        <w:rPr>
          <w:rFonts w:cstheme="minorHAnsi"/>
          <w:sz w:val="20"/>
          <w:szCs w:val="20"/>
        </w:rPr>
        <w:t xml:space="preserve">, </w:t>
      </w:r>
      <w:r>
        <w:rPr>
          <w:rFonts w:cstheme="minorHAnsi"/>
          <w:sz w:val="20"/>
          <w:szCs w:val="20"/>
        </w:rPr>
        <w:t xml:space="preserve">la musique en continu </w:t>
      </w:r>
      <w:r w:rsidR="00F94FB2">
        <w:rPr>
          <w:rFonts w:cstheme="minorHAnsi"/>
          <w:sz w:val="20"/>
          <w:szCs w:val="20"/>
        </w:rPr>
        <w:t xml:space="preserve">ou </w:t>
      </w:r>
      <w:r>
        <w:rPr>
          <w:rFonts w:cstheme="minorHAnsi"/>
          <w:sz w:val="20"/>
          <w:szCs w:val="20"/>
        </w:rPr>
        <w:t>les tests et le développement d'applications.</w:t>
      </w:r>
    </w:p>
    <w:p w14:paraId="5A2F8F45" w14:textId="73EAAAEC" w:rsidR="008731B9" w:rsidRDefault="008731B9" w:rsidP="008731B9">
      <w:pPr>
        <w:jc w:val="both"/>
        <w:rPr>
          <w:rFonts w:cstheme="minorHAnsi"/>
          <w:b/>
          <w:bCs/>
          <w:sz w:val="20"/>
          <w:szCs w:val="20"/>
        </w:rPr>
      </w:pPr>
      <w:r>
        <w:rPr>
          <w:rFonts w:cstheme="minorHAnsi"/>
          <w:b/>
          <w:bCs/>
          <w:sz w:val="20"/>
          <w:szCs w:val="20"/>
        </w:rPr>
        <w:t>Web</w:t>
      </w:r>
      <w:r w:rsidR="00101D07">
        <w:rPr>
          <w:rFonts w:cstheme="minorHAnsi"/>
          <w:b/>
          <w:bCs/>
          <w:sz w:val="20"/>
          <w:szCs w:val="20"/>
        </w:rPr>
        <w:t>c</w:t>
      </w:r>
      <w:r>
        <w:rPr>
          <w:rFonts w:cstheme="minorHAnsi"/>
          <w:b/>
          <w:bCs/>
          <w:sz w:val="20"/>
          <w:szCs w:val="20"/>
        </w:rPr>
        <w:t>loud</w:t>
      </w:r>
      <w:r w:rsidR="004F237D">
        <w:rPr>
          <w:rFonts w:cstheme="minorHAnsi"/>
          <w:b/>
          <w:bCs/>
          <w:sz w:val="20"/>
          <w:szCs w:val="20"/>
        </w:rPr>
        <w:t xml:space="preserve"> &amp; </w:t>
      </w:r>
      <w:proofErr w:type="spellStart"/>
      <w:r w:rsidR="004F237D">
        <w:rPr>
          <w:rFonts w:cstheme="minorHAnsi"/>
          <w:b/>
          <w:bCs/>
          <w:sz w:val="20"/>
          <w:szCs w:val="20"/>
        </w:rPr>
        <w:t>Other</w:t>
      </w:r>
      <w:proofErr w:type="spellEnd"/>
    </w:p>
    <w:p w14:paraId="6D982D45" w14:textId="124EF66C" w:rsidR="008731B9" w:rsidRDefault="008731B9" w:rsidP="008731B9">
      <w:pPr>
        <w:jc w:val="both"/>
        <w:rPr>
          <w:rFonts w:cstheme="minorHAnsi"/>
          <w:sz w:val="20"/>
          <w:szCs w:val="20"/>
        </w:rPr>
      </w:pPr>
      <w:r>
        <w:rPr>
          <w:rFonts w:cstheme="minorHAnsi"/>
          <w:sz w:val="20"/>
          <w:szCs w:val="20"/>
        </w:rPr>
        <w:t>OVHcloud propose à ses clients des solutions périphériques permettant la création et l’hébergement de site</w:t>
      </w:r>
      <w:r w:rsidR="006904DC">
        <w:rPr>
          <w:rFonts w:cstheme="minorHAnsi"/>
          <w:sz w:val="20"/>
          <w:szCs w:val="20"/>
        </w:rPr>
        <w:t xml:space="preserve"> </w:t>
      </w:r>
      <w:r w:rsidR="00A03CA3">
        <w:rPr>
          <w:rFonts w:cstheme="minorHAnsi"/>
          <w:sz w:val="20"/>
          <w:szCs w:val="20"/>
        </w:rPr>
        <w:t>web en</w:t>
      </w:r>
      <w:r>
        <w:rPr>
          <w:rFonts w:cstheme="minorHAnsi"/>
          <w:sz w:val="20"/>
          <w:szCs w:val="20"/>
        </w:rPr>
        <w:t xml:space="preserve"> ligne comme la recherche et le renouvellement des noms de domaine, la création d’un site ou d’une boutique en ligne. OVH</w:t>
      </w:r>
      <w:r w:rsidR="00A30B4D">
        <w:rPr>
          <w:rFonts w:cstheme="minorHAnsi"/>
          <w:sz w:val="20"/>
          <w:szCs w:val="20"/>
        </w:rPr>
        <w:t>c</w:t>
      </w:r>
      <w:r>
        <w:rPr>
          <w:rFonts w:cstheme="minorHAnsi"/>
          <w:sz w:val="20"/>
          <w:szCs w:val="20"/>
        </w:rPr>
        <w:t>loud propose aussi des solutions de collaboration</w:t>
      </w:r>
      <w:r w:rsidR="00F94FB2">
        <w:rPr>
          <w:rFonts w:cstheme="minorHAnsi"/>
          <w:sz w:val="20"/>
          <w:szCs w:val="20"/>
        </w:rPr>
        <w:t xml:space="preserve"> telles que notamment des messageries</w:t>
      </w:r>
      <w:r>
        <w:rPr>
          <w:rFonts w:cstheme="minorHAnsi"/>
          <w:sz w:val="20"/>
          <w:szCs w:val="20"/>
        </w:rPr>
        <w:t xml:space="preserve"> professionnelles</w:t>
      </w:r>
      <w:r w:rsidR="00F94FB2">
        <w:rPr>
          <w:rFonts w:cstheme="minorHAnsi"/>
          <w:sz w:val="20"/>
          <w:szCs w:val="20"/>
        </w:rPr>
        <w:t>, de la</w:t>
      </w:r>
      <w:r w:rsidR="006063AE">
        <w:rPr>
          <w:rFonts w:cstheme="minorHAnsi"/>
          <w:sz w:val="20"/>
          <w:szCs w:val="20"/>
        </w:rPr>
        <w:t xml:space="preserve"> </w:t>
      </w:r>
      <w:r>
        <w:rPr>
          <w:rFonts w:cstheme="minorHAnsi"/>
          <w:sz w:val="20"/>
          <w:szCs w:val="20"/>
        </w:rPr>
        <w:t>télécommunication</w:t>
      </w:r>
      <w:r w:rsidR="00F94FB2">
        <w:rPr>
          <w:rFonts w:cstheme="minorHAnsi"/>
          <w:sz w:val="20"/>
          <w:szCs w:val="20"/>
        </w:rPr>
        <w:t xml:space="preserve"> ou</w:t>
      </w:r>
      <w:r w:rsidR="006063AE">
        <w:rPr>
          <w:rFonts w:cstheme="minorHAnsi"/>
          <w:sz w:val="20"/>
          <w:szCs w:val="20"/>
        </w:rPr>
        <w:t xml:space="preserve"> </w:t>
      </w:r>
      <w:r w:rsidR="00F94FB2">
        <w:rPr>
          <w:rFonts w:cstheme="minorHAnsi"/>
          <w:sz w:val="20"/>
          <w:szCs w:val="20"/>
        </w:rPr>
        <w:t>des</w:t>
      </w:r>
      <w:r>
        <w:rPr>
          <w:rFonts w:cstheme="minorHAnsi"/>
          <w:sz w:val="20"/>
          <w:szCs w:val="20"/>
        </w:rPr>
        <w:t xml:space="preserve"> sm</w:t>
      </w:r>
      <w:r w:rsidR="00F94FB2">
        <w:rPr>
          <w:rFonts w:cstheme="minorHAnsi"/>
          <w:sz w:val="20"/>
          <w:szCs w:val="20"/>
        </w:rPr>
        <w:t>s.</w:t>
      </w:r>
    </w:p>
    <w:p w14:paraId="020D9CCB" w14:textId="2B3C08C2" w:rsidR="008731B9" w:rsidRDefault="007256AD" w:rsidP="008731B9">
      <w:pPr>
        <w:jc w:val="both"/>
        <w:rPr>
          <w:rFonts w:cstheme="minorHAnsi"/>
          <w:sz w:val="20"/>
          <w:szCs w:val="20"/>
        </w:rPr>
      </w:pPr>
      <w:bookmarkStart w:id="2784" w:name="_Hlk72311255"/>
      <w:r>
        <w:rPr>
          <w:rFonts w:cstheme="minorHAnsi"/>
          <w:sz w:val="20"/>
          <w:szCs w:val="20"/>
        </w:rPr>
        <w:t>Ce segment inclu</w:t>
      </w:r>
      <w:r w:rsidR="00A30B4D">
        <w:rPr>
          <w:rFonts w:cstheme="minorHAnsi"/>
          <w:sz w:val="20"/>
          <w:szCs w:val="20"/>
        </w:rPr>
        <w:t>t</w:t>
      </w:r>
      <w:r>
        <w:rPr>
          <w:rFonts w:cstheme="minorHAnsi"/>
          <w:sz w:val="20"/>
          <w:szCs w:val="20"/>
        </w:rPr>
        <w:t xml:space="preserve"> également, de manière résiduelle, </w:t>
      </w:r>
      <w:r w:rsidR="003E7D53">
        <w:rPr>
          <w:rFonts w:cstheme="minorHAnsi"/>
          <w:sz w:val="20"/>
          <w:szCs w:val="20"/>
        </w:rPr>
        <w:t>diverses activités</w:t>
      </w:r>
      <w:r w:rsidR="006904DC">
        <w:rPr>
          <w:rFonts w:cstheme="minorHAnsi"/>
          <w:sz w:val="20"/>
          <w:szCs w:val="20"/>
        </w:rPr>
        <w:t xml:space="preserve"> non significatives</w:t>
      </w:r>
      <w:r w:rsidR="003E7D53">
        <w:rPr>
          <w:rFonts w:cstheme="minorHAnsi"/>
          <w:sz w:val="20"/>
          <w:szCs w:val="20"/>
        </w:rPr>
        <w:t>, notamment</w:t>
      </w:r>
      <w:r w:rsidR="00423A5B">
        <w:rPr>
          <w:rFonts w:cstheme="minorHAnsi"/>
          <w:sz w:val="20"/>
          <w:szCs w:val="20"/>
        </w:rPr>
        <w:t xml:space="preserve"> </w:t>
      </w:r>
      <w:r w:rsidR="003E7D53">
        <w:rPr>
          <w:rFonts w:cstheme="minorHAnsi"/>
          <w:sz w:val="20"/>
          <w:szCs w:val="20"/>
        </w:rPr>
        <w:t>de l’organisation d’évènements.</w:t>
      </w:r>
    </w:p>
    <w:bookmarkEnd w:id="2784"/>
    <w:p w14:paraId="6AB13859" w14:textId="01D64E64" w:rsidR="008731B9" w:rsidRDefault="008731B9" w:rsidP="008731B9">
      <w:pPr>
        <w:jc w:val="both"/>
        <w:rPr>
          <w:rFonts w:cstheme="minorHAnsi"/>
          <w:sz w:val="20"/>
          <w:szCs w:val="20"/>
        </w:rPr>
      </w:pPr>
      <w:r>
        <w:rPr>
          <w:rFonts w:cstheme="minorHAnsi"/>
          <w:sz w:val="20"/>
          <w:szCs w:val="20"/>
        </w:rPr>
        <w:t xml:space="preserve">Ce découpage sectoriel est le reflet </w:t>
      </w:r>
      <w:r w:rsidR="00CD3B7C">
        <w:rPr>
          <w:rFonts w:cstheme="minorHAnsi"/>
          <w:sz w:val="20"/>
          <w:szCs w:val="20"/>
        </w:rPr>
        <w:t xml:space="preserve">du </w:t>
      </w:r>
      <w:proofErr w:type="spellStart"/>
      <w:r>
        <w:rPr>
          <w:rFonts w:cstheme="minorHAnsi"/>
          <w:sz w:val="20"/>
          <w:szCs w:val="20"/>
        </w:rPr>
        <w:t>reporting</w:t>
      </w:r>
      <w:proofErr w:type="spellEnd"/>
      <w:r>
        <w:rPr>
          <w:rFonts w:cstheme="minorHAnsi"/>
          <w:sz w:val="20"/>
          <w:szCs w:val="20"/>
        </w:rPr>
        <w:t xml:space="preserve"> interne tel que soumis au </w:t>
      </w:r>
      <w:r w:rsidR="008A6F94">
        <w:rPr>
          <w:rFonts w:cstheme="minorHAnsi"/>
          <w:sz w:val="20"/>
          <w:szCs w:val="20"/>
        </w:rPr>
        <w:t>Directeur Général du Groupe</w:t>
      </w:r>
      <w:r>
        <w:rPr>
          <w:rFonts w:cstheme="minorHAnsi"/>
          <w:sz w:val="20"/>
          <w:szCs w:val="20"/>
        </w:rPr>
        <w:t>, principal décideur opérationnel (« PDO ») du groupe OVH</w:t>
      </w:r>
      <w:r w:rsidR="00DA7D1F">
        <w:rPr>
          <w:rFonts w:cstheme="minorHAnsi"/>
          <w:sz w:val="20"/>
          <w:szCs w:val="20"/>
        </w:rPr>
        <w:t>cloud</w:t>
      </w:r>
      <w:r>
        <w:rPr>
          <w:rFonts w:cstheme="minorHAnsi"/>
          <w:sz w:val="20"/>
          <w:szCs w:val="20"/>
        </w:rPr>
        <w:t>. La mise en place de cet outil de suivi permet d’évaluer la performance des secteurs opérationnels, et de décider de l’allocation des ressources notamment des investissements.</w:t>
      </w:r>
    </w:p>
    <w:p w14:paraId="6296B102" w14:textId="77777777" w:rsidR="008731B9" w:rsidRDefault="008731B9" w:rsidP="008731B9">
      <w:pPr>
        <w:rPr>
          <w:rFonts w:cstheme="minorHAnsi"/>
          <w:sz w:val="20"/>
          <w:szCs w:val="20"/>
          <w:u w:val="single"/>
        </w:rPr>
      </w:pPr>
      <w:r>
        <w:rPr>
          <w:rFonts w:cstheme="minorHAnsi"/>
          <w:sz w:val="20"/>
          <w:szCs w:val="20"/>
          <w:u w:val="single"/>
        </w:rPr>
        <w:t>Indicateurs clés de performance</w:t>
      </w:r>
    </w:p>
    <w:p w14:paraId="4A1197FB" w14:textId="77777777" w:rsidR="008731B9" w:rsidRDefault="008731B9" w:rsidP="006063AE">
      <w:pPr>
        <w:pStyle w:val="Corpsdetexte"/>
        <w:spacing w:before="90"/>
        <w:jc w:val="both"/>
        <w:rPr>
          <w:rFonts w:asciiTheme="minorHAnsi" w:hAnsiTheme="minorHAnsi" w:cstheme="minorHAnsi"/>
          <w:sz w:val="20"/>
          <w:szCs w:val="20"/>
        </w:rPr>
      </w:pPr>
      <w:r>
        <w:rPr>
          <w:rFonts w:asciiTheme="minorHAnsi" w:hAnsiTheme="minorHAnsi" w:cstheme="minorHAnsi"/>
          <w:sz w:val="20"/>
          <w:szCs w:val="20"/>
        </w:rPr>
        <w:t>Le Groupe a recours aux agrégats suivants pour évaluer la performance des secteurs opérationnels présentés :</w:t>
      </w:r>
    </w:p>
    <w:p w14:paraId="0BB753CE" w14:textId="7B2E7EEB" w:rsidR="00EB02BD" w:rsidRDefault="008731B9" w:rsidP="00367A45">
      <w:pPr>
        <w:jc w:val="both"/>
        <w:rPr>
          <w:b/>
          <w:bCs/>
          <w:sz w:val="20"/>
          <w:szCs w:val="20"/>
        </w:rPr>
      </w:pPr>
      <w:r w:rsidRPr="00367A45">
        <w:rPr>
          <w:b/>
          <w:bCs/>
          <w:sz w:val="20"/>
          <w:szCs w:val="20"/>
        </w:rPr>
        <w:t>Le revenu</w:t>
      </w:r>
      <w:r w:rsidR="00A30B4D" w:rsidRPr="00367A45">
        <w:rPr>
          <w:b/>
          <w:bCs/>
          <w:sz w:val="20"/>
          <w:szCs w:val="20"/>
        </w:rPr>
        <w:t xml:space="preserve"> : </w:t>
      </w:r>
      <w:r w:rsidR="00A30B4D" w:rsidRPr="00367A45">
        <w:rPr>
          <w:sz w:val="20"/>
          <w:szCs w:val="20"/>
        </w:rPr>
        <w:t>tel que présenté dans les comptes consolidés.</w:t>
      </w:r>
    </w:p>
    <w:p w14:paraId="5E91847E" w14:textId="77296FEA" w:rsidR="00124C84" w:rsidRPr="00367A45" w:rsidRDefault="00124C84" w:rsidP="00367A45">
      <w:pPr>
        <w:jc w:val="both"/>
        <w:rPr>
          <w:sz w:val="20"/>
          <w:szCs w:val="20"/>
        </w:rPr>
      </w:pPr>
      <w:r w:rsidRPr="00367A45">
        <w:rPr>
          <w:b/>
          <w:bCs/>
          <w:sz w:val="20"/>
          <w:szCs w:val="20"/>
        </w:rPr>
        <w:lastRenderedPageBreak/>
        <w:t xml:space="preserve">Coûts directs : </w:t>
      </w:r>
      <w:r w:rsidRPr="00367A45">
        <w:rPr>
          <w:sz w:val="20"/>
          <w:szCs w:val="20"/>
        </w:rPr>
        <w:t xml:space="preserve">Les </w:t>
      </w:r>
      <w:r w:rsidR="007A2AB2" w:rsidRPr="00367A45">
        <w:rPr>
          <w:sz w:val="20"/>
          <w:szCs w:val="20"/>
        </w:rPr>
        <w:t>c</w:t>
      </w:r>
      <w:r w:rsidRPr="00367A45">
        <w:rPr>
          <w:sz w:val="20"/>
          <w:szCs w:val="20"/>
        </w:rPr>
        <w:t>oûts directs comprennent l’ensemble des coûts directement ou indirectement liés aux produits vendus. Il s’agit principalement des coûts des matières premières, de l’énergie, des charges salariales, des coûts de transport</w:t>
      </w:r>
      <w:r w:rsidR="006904DC" w:rsidRPr="00367A45">
        <w:rPr>
          <w:sz w:val="20"/>
          <w:szCs w:val="20"/>
        </w:rPr>
        <w:t xml:space="preserve"> et de licence.</w:t>
      </w:r>
      <w:r w:rsidRPr="00367A45">
        <w:rPr>
          <w:sz w:val="20"/>
          <w:szCs w:val="20"/>
        </w:rPr>
        <w:t xml:space="preserve"> Cet agrégat est suivi avant dotations aux amortissements.</w:t>
      </w:r>
    </w:p>
    <w:p w14:paraId="0F94BA55" w14:textId="5DE5ADD2" w:rsidR="00124C84" w:rsidRPr="00367A45" w:rsidRDefault="00124C84" w:rsidP="00367A45">
      <w:pPr>
        <w:jc w:val="both"/>
        <w:rPr>
          <w:sz w:val="20"/>
          <w:szCs w:val="20"/>
        </w:rPr>
      </w:pPr>
      <w:r w:rsidRPr="00367A45">
        <w:rPr>
          <w:b/>
          <w:bCs/>
          <w:sz w:val="20"/>
          <w:szCs w:val="20"/>
        </w:rPr>
        <w:t xml:space="preserve">Marge brute : </w:t>
      </w:r>
      <w:r w:rsidRPr="00367A45">
        <w:rPr>
          <w:sz w:val="20"/>
          <w:szCs w:val="20"/>
        </w:rPr>
        <w:t xml:space="preserve">La </w:t>
      </w:r>
      <w:r w:rsidR="007A2AB2" w:rsidRPr="00367A45">
        <w:rPr>
          <w:sz w:val="20"/>
          <w:szCs w:val="20"/>
        </w:rPr>
        <w:t>m</w:t>
      </w:r>
      <w:r w:rsidRPr="00367A45">
        <w:rPr>
          <w:sz w:val="20"/>
          <w:szCs w:val="20"/>
        </w:rPr>
        <w:t xml:space="preserve">arge brute correspond au </w:t>
      </w:r>
      <w:r w:rsidR="00AA57CE">
        <w:rPr>
          <w:sz w:val="20"/>
          <w:szCs w:val="20"/>
        </w:rPr>
        <w:t>r</w:t>
      </w:r>
      <w:r w:rsidRPr="00367A45">
        <w:rPr>
          <w:sz w:val="20"/>
          <w:szCs w:val="20"/>
        </w:rPr>
        <w:t xml:space="preserve">evenu minoré du poste de </w:t>
      </w:r>
      <w:r w:rsidR="00822F1C" w:rsidRPr="00367A45">
        <w:rPr>
          <w:sz w:val="20"/>
          <w:szCs w:val="20"/>
        </w:rPr>
        <w:t>c</w:t>
      </w:r>
      <w:r w:rsidRPr="00367A45">
        <w:rPr>
          <w:sz w:val="20"/>
          <w:szCs w:val="20"/>
        </w:rPr>
        <w:t xml:space="preserve">oûts </w:t>
      </w:r>
      <w:r w:rsidR="00822F1C" w:rsidRPr="00367A45">
        <w:rPr>
          <w:sz w:val="20"/>
          <w:szCs w:val="20"/>
        </w:rPr>
        <w:t>directs</w:t>
      </w:r>
      <w:r w:rsidRPr="00367A45">
        <w:rPr>
          <w:sz w:val="20"/>
          <w:szCs w:val="20"/>
        </w:rPr>
        <w:t>. Cet agrégat est suivi avant dotations aux amortissements.</w:t>
      </w:r>
    </w:p>
    <w:p w14:paraId="57BCF936" w14:textId="29753E23" w:rsidR="00124C84" w:rsidRPr="00367A45" w:rsidRDefault="00124C84" w:rsidP="00367A45">
      <w:pPr>
        <w:jc w:val="both"/>
        <w:rPr>
          <w:b/>
          <w:bCs/>
          <w:sz w:val="20"/>
          <w:szCs w:val="20"/>
        </w:rPr>
      </w:pPr>
      <w:r w:rsidRPr="00367A45">
        <w:rPr>
          <w:b/>
          <w:bCs/>
          <w:sz w:val="20"/>
          <w:szCs w:val="20"/>
        </w:rPr>
        <w:t xml:space="preserve">Coûts commerciaux et marketing : </w:t>
      </w:r>
      <w:r w:rsidRPr="00367A45">
        <w:rPr>
          <w:sz w:val="20"/>
          <w:szCs w:val="20"/>
        </w:rPr>
        <w:t xml:space="preserve">Les </w:t>
      </w:r>
      <w:r w:rsidR="007A2AB2" w:rsidRPr="00367A45">
        <w:rPr>
          <w:sz w:val="20"/>
          <w:szCs w:val="20"/>
        </w:rPr>
        <w:t>c</w:t>
      </w:r>
      <w:r w:rsidRPr="00367A45">
        <w:rPr>
          <w:sz w:val="20"/>
          <w:szCs w:val="20"/>
        </w:rPr>
        <w:t>oûts commerciaux et marketing comprennent l’ensemble des coûts directs et indirects liés aux activités de vente et marketing qui sont principalement des charges de personnel</w:t>
      </w:r>
      <w:r w:rsidR="006904DC" w:rsidRPr="00367A45">
        <w:rPr>
          <w:sz w:val="20"/>
          <w:szCs w:val="20"/>
        </w:rPr>
        <w:t xml:space="preserve"> et de sous-traitance marketing</w:t>
      </w:r>
      <w:r w:rsidRPr="00367A45">
        <w:rPr>
          <w:sz w:val="20"/>
          <w:szCs w:val="20"/>
        </w:rPr>
        <w:t>. Cet agrégat est suivi avant dotations aux amortissements.</w:t>
      </w:r>
    </w:p>
    <w:p w14:paraId="07B17E83" w14:textId="4F4A4773" w:rsidR="00124C84" w:rsidRPr="00367A45" w:rsidRDefault="00124C84" w:rsidP="00367A45">
      <w:pPr>
        <w:jc w:val="both"/>
        <w:rPr>
          <w:sz w:val="20"/>
          <w:szCs w:val="20"/>
        </w:rPr>
      </w:pPr>
      <w:r w:rsidRPr="001B5A88">
        <w:rPr>
          <w:b/>
          <w:bCs/>
          <w:sz w:val="20"/>
          <w:szCs w:val="20"/>
        </w:rPr>
        <w:t>Frais généraux et administratifs :</w:t>
      </w:r>
      <w:r>
        <w:rPr>
          <w:b/>
          <w:bCs/>
          <w:sz w:val="20"/>
          <w:szCs w:val="20"/>
        </w:rPr>
        <w:t xml:space="preserve"> </w:t>
      </w:r>
      <w:r w:rsidRPr="00367A45">
        <w:rPr>
          <w:sz w:val="20"/>
          <w:szCs w:val="20"/>
        </w:rPr>
        <w:t xml:space="preserve">Les </w:t>
      </w:r>
      <w:r w:rsidR="007A2AB2" w:rsidRPr="00367A45">
        <w:rPr>
          <w:sz w:val="20"/>
          <w:szCs w:val="20"/>
        </w:rPr>
        <w:t>f</w:t>
      </w:r>
      <w:r w:rsidRPr="00367A45">
        <w:rPr>
          <w:sz w:val="20"/>
          <w:szCs w:val="20"/>
        </w:rPr>
        <w:t>rais généraux et administratifs comprennent l’ensemble des frais liés aux activités de direction générale, de finance et comptabilité, d’informatique, juridique, de ressources humaines, techniques. Cet agrégat est suivi avant dotations aux amortissements.</w:t>
      </w:r>
    </w:p>
    <w:p w14:paraId="339EDE15" w14:textId="4955C8CC" w:rsidR="00B40C4C" w:rsidRPr="00367A45" w:rsidRDefault="00B40C4C" w:rsidP="00367A45">
      <w:pPr>
        <w:jc w:val="both"/>
        <w:rPr>
          <w:sz w:val="20"/>
          <w:szCs w:val="20"/>
        </w:rPr>
      </w:pPr>
      <w:r w:rsidRPr="00367A45">
        <w:rPr>
          <w:b/>
          <w:bCs/>
          <w:sz w:val="20"/>
          <w:szCs w:val="20"/>
        </w:rPr>
        <w:t>L'EBITDA courant</w:t>
      </w:r>
      <w:r w:rsidR="00365E5D">
        <w:rPr>
          <w:b/>
          <w:bCs/>
          <w:sz w:val="20"/>
          <w:szCs w:val="20"/>
        </w:rPr>
        <w:t xml:space="preserve"> : </w:t>
      </w:r>
      <w:r w:rsidR="00365E5D" w:rsidRPr="00365E5D">
        <w:rPr>
          <w:sz w:val="20"/>
          <w:szCs w:val="20"/>
        </w:rPr>
        <w:t>Cet</w:t>
      </w:r>
      <w:r w:rsidRPr="00365E5D">
        <w:rPr>
          <w:sz w:val="20"/>
          <w:szCs w:val="20"/>
        </w:rPr>
        <w:t xml:space="preserve"> </w:t>
      </w:r>
      <w:r w:rsidRPr="00367A45">
        <w:rPr>
          <w:sz w:val="20"/>
          <w:szCs w:val="20"/>
        </w:rPr>
        <w:t>indicateur de suivi de la performance</w:t>
      </w:r>
      <w:r w:rsidR="00365E5D">
        <w:rPr>
          <w:sz w:val="20"/>
          <w:szCs w:val="20"/>
        </w:rPr>
        <w:t>,</w:t>
      </w:r>
      <w:r w:rsidRPr="00367A45">
        <w:rPr>
          <w:sz w:val="20"/>
          <w:szCs w:val="20"/>
        </w:rPr>
        <w:t xml:space="preserve"> tel que présenté dans les comptes consolidés</w:t>
      </w:r>
      <w:r w:rsidR="00365E5D">
        <w:rPr>
          <w:sz w:val="20"/>
          <w:szCs w:val="20"/>
        </w:rPr>
        <w:t>,</w:t>
      </w:r>
      <w:r w:rsidR="00124C84" w:rsidRPr="00367A45">
        <w:rPr>
          <w:sz w:val="20"/>
          <w:szCs w:val="20"/>
        </w:rPr>
        <w:t xml:space="preserve"> correspond également au </w:t>
      </w:r>
      <w:bookmarkStart w:id="2785" w:name="_Hlk73953714"/>
      <w:r w:rsidR="00124C84" w:rsidRPr="00367A45">
        <w:rPr>
          <w:sz w:val="20"/>
          <w:szCs w:val="20"/>
        </w:rPr>
        <w:t>Revenu minoré des Coûts directs, des Coûts commerciaux et marketing et des Frais généraux et administratifs.</w:t>
      </w:r>
      <w:bookmarkEnd w:id="2785"/>
    </w:p>
    <w:p w14:paraId="3A3107FA" w14:textId="716A810C" w:rsidR="008731B9" w:rsidRPr="00367A45" w:rsidRDefault="00A30B4D" w:rsidP="00367A45">
      <w:pPr>
        <w:jc w:val="both"/>
        <w:rPr>
          <w:sz w:val="20"/>
          <w:szCs w:val="20"/>
        </w:rPr>
      </w:pPr>
      <w:bookmarkStart w:id="2786" w:name="_Hlk75362543"/>
      <w:r w:rsidRPr="00367A45">
        <w:rPr>
          <w:b/>
          <w:bCs/>
          <w:sz w:val="20"/>
          <w:szCs w:val="20"/>
        </w:rPr>
        <w:t>Les dépenses d’investissements</w:t>
      </w:r>
      <w:r w:rsidR="00BF3A5A" w:rsidRPr="00367A45">
        <w:rPr>
          <w:b/>
          <w:bCs/>
          <w:sz w:val="20"/>
          <w:szCs w:val="20"/>
        </w:rPr>
        <w:t xml:space="preserve"> (hors acquisitions d’entreprises)</w:t>
      </w:r>
      <w:r w:rsidR="008731B9" w:rsidRPr="00367A45">
        <w:rPr>
          <w:b/>
          <w:bCs/>
          <w:sz w:val="20"/>
          <w:szCs w:val="20"/>
        </w:rPr>
        <w:t xml:space="preserve"> </w:t>
      </w:r>
      <w:r w:rsidR="008731B9" w:rsidRPr="00367A45">
        <w:rPr>
          <w:sz w:val="20"/>
          <w:szCs w:val="20"/>
        </w:rPr>
        <w:t xml:space="preserve">correspondant </w:t>
      </w:r>
      <w:bookmarkEnd w:id="2786"/>
      <w:r w:rsidR="008731B9" w:rsidRPr="00367A45">
        <w:rPr>
          <w:sz w:val="20"/>
          <w:szCs w:val="20"/>
        </w:rPr>
        <w:t xml:space="preserve">aux acquisitions d’immobilisations corporelles et </w:t>
      </w:r>
      <w:r w:rsidR="006904DC" w:rsidRPr="00367A45">
        <w:rPr>
          <w:sz w:val="20"/>
          <w:szCs w:val="20"/>
        </w:rPr>
        <w:t>au</w:t>
      </w:r>
      <w:r w:rsidR="008731B9" w:rsidRPr="00367A45">
        <w:rPr>
          <w:sz w:val="20"/>
          <w:szCs w:val="20"/>
        </w:rPr>
        <w:t xml:space="preserve"> coût de</w:t>
      </w:r>
      <w:r w:rsidR="006904DC" w:rsidRPr="00367A45">
        <w:rPr>
          <w:sz w:val="20"/>
          <w:szCs w:val="20"/>
        </w:rPr>
        <w:t>s</w:t>
      </w:r>
      <w:r w:rsidR="008731B9" w:rsidRPr="00367A45">
        <w:rPr>
          <w:sz w:val="20"/>
          <w:szCs w:val="20"/>
        </w:rPr>
        <w:t xml:space="preserve"> projets capitalisés du Groupe</w:t>
      </w:r>
      <w:r w:rsidR="007A2AB2" w:rsidRPr="00367A45">
        <w:rPr>
          <w:sz w:val="20"/>
          <w:szCs w:val="20"/>
        </w:rPr>
        <w:t xml:space="preserve"> (flux nets de trésorerie liés aux activités d’investissements </w:t>
      </w:r>
      <w:r w:rsidR="005055BA" w:rsidRPr="00367A45">
        <w:rPr>
          <w:sz w:val="20"/>
          <w:szCs w:val="20"/>
        </w:rPr>
        <w:t>hors</w:t>
      </w:r>
      <w:r w:rsidR="007A2AB2" w:rsidRPr="00367A45">
        <w:rPr>
          <w:sz w:val="20"/>
          <w:szCs w:val="20"/>
        </w:rPr>
        <w:t xml:space="preserve"> acquisitions d’entreprises nette de la trésorerie acquise)</w:t>
      </w:r>
      <w:r w:rsidR="00B40C4C" w:rsidRPr="00367A45">
        <w:rPr>
          <w:sz w:val="20"/>
          <w:szCs w:val="20"/>
        </w:rPr>
        <w:t>.</w:t>
      </w:r>
    </w:p>
    <w:p w14:paraId="3E14E9DA" w14:textId="173B61A5" w:rsidR="00757B0B" w:rsidRDefault="008731B9" w:rsidP="00650CBC">
      <w:pPr>
        <w:jc w:val="both"/>
        <w:rPr>
          <w:rFonts w:cstheme="minorHAnsi"/>
          <w:sz w:val="20"/>
          <w:szCs w:val="20"/>
        </w:rPr>
      </w:pPr>
      <w:r w:rsidRPr="00C5264A">
        <w:rPr>
          <w:rFonts w:cstheme="minorHAnsi"/>
          <w:sz w:val="20"/>
          <w:szCs w:val="20"/>
        </w:rPr>
        <w:t xml:space="preserve">Par ailleurs, le Groupe ne suit aucun indicateur de passif sectoriel, l’endettement financier étant piloté de manière centralisée et non au niveau des trois secteurs de </w:t>
      </w:r>
      <w:proofErr w:type="spellStart"/>
      <w:r w:rsidRPr="00C5264A">
        <w:rPr>
          <w:rFonts w:cstheme="minorHAnsi"/>
          <w:sz w:val="20"/>
          <w:szCs w:val="20"/>
        </w:rPr>
        <w:t>reporting</w:t>
      </w:r>
      <w:proofErr w:type="spellEnd"/>
      <w:r w:rsidRPr="00C5264A">
        <w:rPr>
          <w:rFonts w:cstheme="minorHAnsi"/>
          <w:sz w:val="20"/>
          <w:szCs w:val="20"/>
        </w:rPr>
        <w:t>.</w:t>
      </w:r>
    </w:p>
    <w:p w14:paraId="5C1DA399" w14:textId="3FAAD2AC" w:rsidR="008A4EE3" w:rsidRDefault="006B3B84" w:rsidP="00650CBC">
      <w:pPr>
        <w:jc w:val="both"/>
        <w:rPr>
          <w:rFonts w:cstheme="minorHAnsi"/>
          <w:sz w:val="20"/>
          <w:szCs w:val="20"/>
        </w:rPr>
      </w:pPr>
      <w:r w:rsidRPr="006B3B84">
        <w:rPr>
          <w:noProof/>
        </w:rPr>
        <w:drawing>
          <wp:inline distT="0" distB="0" distL="0" distR="0" wp14:anchorId="6E562FBA" wp14:editId="503A6280">
            <wp:extent cx="4889469" cy="1566407"/>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05630" cy="1571584"/>
                    </a:xfrm>
                    <a:prstGeom prst="rect">
                      <a:avLst/>
                    </a:prstGeom>
                    <a:noFill/>
                    <a:ln>
                      <a:noFill/>
                    </a:ln>
                  </pic:spPr>
                </pic:pic>
              </a:graphicData>
            </a:graphic>
          </wp:inline>
        </w:drawing>
      </w:r>
    </w:p>
    <w:p w14:paraId="006C680A" w14:textId="1760F26B" w:rsidR="00A62ADC" w:rsidRPr="004368AB" w:rsidRDefault="006B3B84" w:rsidP="00D01A82">
      <w:pPr>
        <w:spacing w:after="0" w:line="240" w:lineRule="auto"/>
      </w:pPr>
      <w:r w:rsidRPr="006B3B84">
        <w:rPr>
          <w:noProof/>
        </w:rPr>
        <w:drawing>
          <wp:inline distT="0" distB="0" distL="0" distR="0" wp14:anchorId="4745F724" wp14:editId="208129FC">
            <wp:extent cx="4888865" cy="1566214"/>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03963" cy="1571051"/>
                    </a:xfrm>
                    <a:prstGeom prst="rect">
                      <a:avLst/>
                    </a:prstGeom>
                    <a:noFill/>
                    <a:ln>
                      <a:noFill/>
                    </a:ln>
                  </pic:spPr>
                </pic:pic>
              </a:graphicData>
            </a:graphic>
          </wp:inline>
        </w:drawing>
      </w:r>
    </w:p>
    <w:p w14:paraId="2BBBDE97" w14:textId="6C990162" w:rsidR="00B5466F" w:rsidRDefault="00B5466F" w:rsidP="00D01A82">
      <w:pPr>
        <w:spacing w:after="0" w:line="240" w:lineRule="auto"/>
      </w:pPr>
    </w:p>
    <w:p w14:paraId="23B32413" w14:textId="622B5049" w:rsidR="001F0DB1" w:rsidRDefault="003F2B9B" w:rsidP="001410D2">
      <w:pPr>
        <w:spacing w:after="0" w:line="240" w:lineRule="auto"/>
        <w:jc w:val="both"/>
        <w:rPr>
          <w:sz w:val="20"/>
          <w:szCs w:val="18"/>
        </w:rPr>
      </w:pPr>
      <w:r w:rsidRPr="001410D2">
        <w:rPr>
          <w:sz w:val="20"/>
          <w:szCs w:val="18"/>
        </w:rPr>
        <w:t>L</w:t>
      </w:r>
      <w:r>
        <w:rPr>
          <w:sz w:val="20"/>
          <w:szCs w:val="18"/>
        </w:rPr>
        <w:t>a valeur nette comptable des</w:t>
      </w:r>
      <w:r w:rsidRPr="001410D2">
        <w:rPr>
          <w:sz w:val="20"/>
          <w:szCs w:val="18"/>
        </w:rPr>
        <w:t xml:space="preserve"> </w:t>
      </w:r>
      <w:r>
        <w:rPr>
          <w:sz w:val="20"/>
          <w:szCs w:val="18"/>
        </w:rPr>
        <w:t xml:space="preserve">actifs non courants </w:t>
      </w:r>
      <w:r w:rsidR="00753FD0">
        <w:rPr>
          <w:sz w:val="20"/>
          <w:szCs w:val="18"/>
        </w:rPr>
        <w:t>est répartie</w:t>
      </w:r>
      <w:r w:rsidR="001F0DB1" w:rsidRPr="001410D2">
        <w:rPr>
          <w:sz w:val="20"/>
          <w:szCs w:val="18"/>
        </w:rPr>
        <w:t xml:space="preserve"> comme suit dans les principaux pays où le Groupe opère :</w:t>
      </w:r>
      <w:r w:rsidR="005B231F" w:rsidRPr="001410D2">
        <w:rPr>
          <w:sz w:val="20"/>
          <w:szCs w:val="18"/>
        </w:rPr>
        <w:t xml:space="preserve"> </w:t>
      </w:r>
    </w:p>
    <w:p w14:paraId="0817A84C" w14:textId="77777777" w:rsidR="00EB02BD" w:rsidRDefault="00EB02BD" w:rsidP="001410D2">
      <w:pPr>
        <w:spacing w:after="0" w:line="240" w:lineRule="auto"/>
        <w:jc w:val="both"/>
        <w:rPr>
          <w:sz w:val="20"/>
          <w:szCs w:val="18"/>
          <w:highlight w:val="yellow"/>
        </w:rPr>
      </w:pPr>
    </w:p>
    <w:p w14:paraId="682B4836" w14:textId="7442529D" w:rsidR="001F0DB1" w:rsidRDefault="005D1BD0" w:rsidP="00D01A82">
      <w:pPr>
        <w:spacing w:after="0" w:line="240" w:lineRule="auto"/>
      </w:pPr>
      <w:r w:rsidRPr="005D1BD0">
        <w:rPr>
          <w:noProof/>
        </w:rPr>
        <w:drawing>
          <wp:inline distT="0" distB="0" distL="0" distR="0" wp14:anchorId="531FBF37" wp14:editId="58D4036F">
            <wp:extent cx="3433941" cy="97313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55766" cy="979315"/>
                    </a:xfrm>
                    <a:prstGeom prst="rect">
                      <a:avLst/>
                    </a:prstGeom>
                    <a:noFill/>
                    <a:ln>
                      <a:noFill/>
                    </a:ln>
                  </pic:spPr>
                </pic:pic>
              </a:graphicData>
            </a:graphic>
          </wp:inline>
        </w:drawing>
      </w:r>
    </w:p>
    <w:p w14:paraId="1BD5E4E8" w14:textId="299942E8" w:rsidR="00146E7D" w:rsidRPr="00146E7D" w:rsidRDefault="00146E7D" w:rsidP="00146E7D">
      <w:pPr>
        <w:spacing w:after="0" w:line="240" w:lineRule="auto"/>
        <w:jc w:val="both"/>
        <w:rPr>
          <w:sz w:val="20"/>
          <w:szCs w:val="18"/>
        </w:rPr>
      </w:pPr>
      <w:r w:rsidRPr="00146E7D">
        <w:rPr>
          <w:sz w:val="20"/>
          <w:szCs w:val="18"/>
        </w:rPr>
        <w:lastRenderedPageBreak/>
        <w:t>Les actifs non</w:t>
      </w:r>
      <w:r w:rsidR="00145CC2">
        <w:rPr>
          <w:sz w:val="20"/>
          <w:szCs w:val="18"/>
        </w:rPr>
        <w:t xml:space="preserve"> </w:t>
      </w:r>
      <w:r w:rsidRPr="00146E7D">
        <w:rPr>
          <w:sz w:val="20"/>
          <w:szCs w:val="18"/>
        </w:rPr>
        <w:t>courants sont principalement constitués d’immobilisations corporelles et incorporelles. Il convient de noter que les immobilisations corporelles sont constituées majoritairement de serveurs qui sont le plus souvent mutualisés et gérés en fonction des besoins des clients et spécificités des services qui leur sont rendus et non de la géographie d’implantation de ces équipements. Ainsi</w:t>
      </w:r>
      <w:r w:rsidR="007F3EF0">
        <w:rPr>
          <w:sz w:val="20"/>
          <w:szCs w:val="18"/>
        </w:rPr>
        <w:t>,</w:t>
      </w:r>
      <w:r w:rsidRPr="00146E7D">
        <w:rPr>
          <w:sz w:val="20"/>
          <w:szCs w:val="18"/>
        </w:rPr>
        <w:t xml:space="preserve"> il n’existe pas de corrélation dans un pays donné, entre le montant des immobilisations et le niveau des revenus ou d’EBITDA courant.</w:t>
      </w:r>
    </w:p>
    <w:p w14:paraId="68A39425" w14:textId="77777777" w:rsidR="00146E7D" w:rsidRDefault="00146E7D" w:rsidP="00D01A82">
      <w:pPr>
        <w:spacing w:after="0" w:line="240" w:lineRule="auto"/>
      </w:pPr>
    </w:p>
    <w:p w14:paraId="5A4DDCAC" w14:textId="0B1C7544" w:rsidR="00B579FE" w:rsidRDefault="00B579FE" w:rsidP="0041512C">
      <w:pPr>
        <w:pStyle w:val="Titre2"/>
        <w:numPr>
          <w:ilvl w:val="1"/>
          <w:numId w:val="16"/>
        </w:numPr>
        <w:spacing w:before="0"/>
        <w:ind w:left="567" w:hanging="567"/>
        <w:rPr>
          <w:rFonts w:ascii="Calibri" w:hAnsi="Calibri"/>
          <w:color w:val="auto"/>
          <w:sz w:val="28"/>
          <w:szCs w:val="28"/>
        </w:rPr>
      </w:pPr>
      <w:bookmarkStart w:id="2787" w:name="_Toc100603607"/>
      <w:bookmarkStart w:id="2788" w:name="_Toc100605214"/>
      <w:bookmarkStart w:id="2789" w:name="_Toc100684200"/>
      <w:bookmarkStart w:id="2790" w:name="_Toc100689226"/>
      <w:bookmarkStart w:id="2791" w:name="_Toc100689275"/>
      <w:r>
        <w:rPr>
          <w:rFonts w:ascii="Calibri" w:hAnsi="Calibri"/>
          <w:color w:val="auto"/>
          <w:sz w:val="28"/>
          <w:szCs w:val="28"/>
        </w:rPr>
        <w:t>EBI</w:t>
      </w:r>
      <w:r w:rsidR="00F54F44">
        <w:rPr>
          <w:rFonts w:ascii="Calibri" w:hAnsi="Calibri"/>
          <w:color w:val="auto"/>
          <w:sz w:val="28"/>
          <w:szCs w:val="28"/>
        </w:rPr>
        <w:t>TD</w:t>
      </w:r>
      <w:r>
        <w:rPr>
          <w:rFonts w:ascii="Calibri" w:hAnsi="Calibri"/>
          <w:color w:val="auto"/>
          <w:sz w:val="28"/>
          <w:szCs w:val="28"/>
        </w:rPr>
        <w:t xml:space="preserve">A </w:t>
      </w:r>
      <w:r w:rsidR="00056182">
        <w:rPr>
          <w:rFonts w:ascii="Calibri" w:hAnsi="Calibri"/>
          <w:color w:val="auto"/>
          <w:sz w:val="28"/>
          <w:szCs w:val="28"/>
        </w:rPr>
        <w:t>a</w:t>
      </w:r>
      <w:r>
        <w:rPr>
          <w:rFonts w:ascii="Calibri" w:hAnsi="Calibri"/>
          <w:color w:val="auto"/>
          <w:sz w:val="28"/>
          <w:szCs w:val="28"/>
        </w:rPr>
        <w:t>justé</w:t>
      </w:r>
      <w:bookmarkEnd w:id="2787"/>
      <w:bookmarkEnd w:id="2788"/>
      <w:bookmarkEnd w:id="2789"/>
      <w:bookmarkEnd w:id="2790"/>
      <w:bookmarkEnd w:id="2791"/>
    </w:p>
    <w:p w14:paraId="26352C07" w14:textId="60E6CC5A" w:rsidR="00B579FE" w:rsidRDefault="00B579FE" w:rsidP="00B579FE"/>
    <w:p w14:paraId="45CEA285" w14:textId="17E1F2CC" w:rsidR="008B38AA" w:rsidRPr="003B1244" w:rsidRDefault="008B38AA" w:rsidP="003B1244">
      <w:pPr>
        <w:spacing w:after="0" w:line="240" w:lineRule="auto"/>
        <w:jc w:val="both"/>
        <w:rPr>
          <w:sz w:val="20"/>
          <w:szCs w:val="18"/>
        </w:rPr>
      </w:pPr>
      <w:r w:rsidRPr="008B38AA">
        <w:rPr>
          <w:sz w:val="20"/>
          <w:szCs w:val="18"/>
        </w:rPr>
        <w:t>En complément de l'EBITDA courant, le Groupe suit un EBITDA ajusté</w:t>
      </w:r>
      <w:r w:rsidR="00D1320E">
        <w:rPr>
          <w:sz w:val="20"/>
          <w:szCs w:val="18"/>
        </w:rPr>
        <w:t>. Cet indicateur alternatif de performance</w:t>
      </w:r>
      <w:r w:rsidRPr="008B38AA">
        <w:rPr>
          <w:sz w:val="20"/>
          <w:szCs w:val="18"/>
        </w:rPr>
        <w:t xml:space="preserve"> correspond à l'EBITDA courant retraité, d’une part, des charges liées aux rémunérations fondées sur des actions et, d’autre part, des compléments de prix d'acquisition. En effet le Groupe considère que ces charges ne reflètent pas sa performance opérationnelle courante, notamment pour les plans de rémunérations réglés en capitaux propres, ces derniers n’ayant</w:t>
      </w:r>
      <w:r w:rsidR="005B1B9A">
        <w:rPr>
          <w:sz w:val="20"/>
          <w:szCs w:val="18"/>
        </w:rPr>
        <w:t xml:space="preserve"> pas</w:t>
      </w:r>
      <w:r w:rsidRPr="008B38AA">
        <w:rPr>
          <w:sz w:val="20"/>
          <w:szCs w:val="18"/>
        </w:rPr>
        <w:t xml:space="preserve"> d’impact direct sur la trésorerie.</w:t>
      </w:r>
    </w:p>
    <w:p w14:paraId="14861FA5" w14:textId="2B92FC46" w:rsidR="00B5466F" w:rsidRDefault="00B5466F" w:rsidP="00D01A82">
      <w:pPr>
        <w:spacing w:after="0" w:line="240" w:lineRule="auto"/>
      </w:pPr>
    </w:p>
    <w:p w14:paraId="63651FA8" w14:textId="19314C60" w:rsidR="00056182" w:rsidRPr="003B1244" w:rsidRDefault="00056182" w:rsidP="00D01A82">
      <w:pPr>
        <w:spacing w:after="0" w:line="240" w:lineRule="auto"/>
        <w:rPr>
          <w:b/>
          <w:bCs/>
        </w:rPr>
      </w:pPr>
      <w:r w:rsidRPr="003B1244">
        <w:rPr>
          <w:b/>
          <w:bCs/>
        </w:rPr>
        <w:t>Rapprochement entre l’EBITDA courant et l’EBITDA ajusté </w:t>
      </w:r>
    </w:p>
    <w:p w14:paraId="742F3320" w14:textId="619351FA" w:rsidR="00056182" w:rsidRDefault="00056182" w:rsidP="00D01A82">
      <w:pPr>
        <w:spacing w:after="0" w:line="240" w:lineRule="auto"/>
      </w:pPr>
    </w:p>
    <w:p w14:paraId="6BBCDF4D" w14:textId="32B3F782" w:rsidR="00056182" w:rsidRDefault="00854E83" w:rsidP="00D01A82">
      <w:pPr>
        <w:spacing w:after="0" w:line="240" w:lineRule="auto"/>
      </w:pPr>
      <w:r w:rsidRPr="00854E83">
        <w:rPr>
          <w:noProof/>
        </w:rPr>
        <w:drawing>
          <wp:inline distT="0" distB="0" distL="0" distR="0" wp14:anchorId="241F9DDC" wp14:editId="759A1CDD">
            <wp:extent cx="3759137" cy="101663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31845" cy="1036298"/>
                    </a:xfrm>
                    <a:prstGeom prst="rect">
                      <a:avLst/>
                    </a:prstGeom>
                    <a:noFill/>
                    <a:ln>
                      <a:noFill/>
                    </a:ln>
                  </pic:spPr>
                </pic:pic>
              </a:graphicData>
            </a:graphic>
          </wp:inline>
        </w:drawing>
      </w:r>
    </w:p>
    <w:p w14:paraId="5BF18240" w14:textId="77777777" w:rsidR="00EB02BD" w:rsidRPr="004368AB" w:rsidRDefault="00EB02BD" w:rsidP="00D01A82">
      <w:pPr>
        <w:spacing w:after="0" w:line="240" w:lineRule="auto"/>
      </w:pPr>
    </w:p>
    <w:p w14:paraId="2AFCCD4F" w14:textId="3D32042C" w:rsidR="00F53560" w:rsidRPr="006A0C19" w:rsidRDefault="00EE7548" w:rsidP="0041512C">
      <w:pPr>
        <w:pStyle w:val="Titre2"/>
        <w:numPr>
          <w:ilvl w:val="1"/>
          <w:numId w:val="16"/>
        </w:numPr>
        <w:spacing w:before="0"/>
        <w:ind w:left="567" w:hanging="567"/>
        <w:rPr>
          <w:rFonts w:ascii="Calibri" w:hAnsi="Calibri"/>
          <w:color w:val="auto"/>
          <w:sz w:val="28"/>
          <w:szCs w:val="28"/>
        </w:rPr>
      </w:pPr>
      <w:bookmarkStart w:id="2792" w:name="_Toc74917168"/>
      <w:bookmarkStart w:id="2793" w:name="_Toc100603608"/>
      <w:bookmarkStart w:id="2794" w:name="_Toc100605215"/>
      <w:bookmarkStart w:id="2795" w:name="_Toc100684201"/>
      <w:bookmarkStart w:id="2796" w:name="_Toc100689227"/>
      <w:bookmarkStart w:id="2797" w:name="_Toc100689276"/>
      <w:r w:rsidRPr="006A0C19">
        <w:rPr>
          <w:rFonts w:ascii="Calibri" w:hAnsi="Calibri"/>
          <w:color w:val="auto"/>
          <w:sz w:val="28"/>
          <w:szCs w:val="28"/>
        </w:rPr>
        <w:t>Revenu</w:t>
      </w:r>
      <w:bookmarkEnd w:id="2782"/>
      <w:bookmarkEnd w:id="2792"/>
      <w:bookmarkEnd w:id="2793"/>
      <w:bookmarkEnd w:id="2794"/>
      <w:bookmarkEnd w:id="2795"/>
      <w:bookmarkEnd w:id="2796"/>
      <w:bookmarkEnd w:id="2797"/>
    </w:p>
    <w:p w14:paraId="10C5E125" w14:textId="77777777" w:rsidR="008A4EE3" w:rsidRPr="003B1244" w:rsidRDefault="008A4EE3" w:rsidP="003B1244">
      <w:pPr>
        <w:spacing w:after="0" w:line="240" w:lineRule="auto"/>
      </w:pPr>
    </w:p>
    <w:p w14:paraId="48AC073E" w14:textId="08DC917B" w:rsidR="002D36E8" w:rsidRPr="00FA2762" w:rsidRDefault="000C4769" w:rsidP="00FA2762">
      <w:pPr>
        <w:spacing w:after="240"/>
        <w:rPr>
          <w:rFonts w:asciiTheme="minorHAnsi" w:hAnsiTheme="minorHAnsi" w:cstheme="minorHAnsi"/>
          <w:b/>
          <w:bCs/>
        </w:rPr>
      </w:pPr>
      <w:r w:rsidRPr="00FA2762">
        <w:rPr>
          <w:rFonts w:asciiTheme="minorHAnsi" w:hAnsiTheme="minorHAnsi" w:cstheme="minorHAnsi"/>
          <w:b/>
          <w:bCs/>
        </w:rPr>
        <w:t>Marchés géographiques</w:t>
      </w:r>
    </w:p>
    <w:p w14:paraId="32664C65" w14:textId="4C19437A" w:rsidR="000C1774" w:rsidRDefault="000C4769" w:rsidP="00301041">
      <w:pPr>
        <w:jc w:val="both"/>
        <w:rPr>
          <w:sz w:val="20"/>
          <w:szCs w:val="20"/>
        </w:rPr>
      </w:pPr>
      <w:r w:rsidRPr="00377DA9">
        <w:rPr>
          <w:sz w:val="20"/>
          <w:szCs w:val="20"/>
        </w:rPr>
        <w:t>Le revenu présenté par zone géographique correspond au revenu résidentiel</w:t>
      </w:r>
      <w:r w:rsidR="0062632F" w:rsidRPr="00D01A82">
        <w:rPr>
          <w:sz w:val="20"/>
          <w:szCs w:val="20"/>
        </w:rPr>
        <w:t xml:space="preserve"> des clients</w:t>
      </w:r>
      <w:r w:rsidRPr="00377DA9">
        <w:rPr>
          <w:sz w:val="20"/>
          <w:szCs w:val="20"/>
        </w:rPr>
        <w:t xml:space="preserve"> (</w:t>
      </w:r>
      <w:r w:rsidR="00423A5B" w:rsidRPr="00377DA9">
        <w:rPr>
          <w:sz w:val="20"/>
          <w:szCs w:val="20"/>
        </w:rPr>
        <w:t>lieu de résidence</w:t>
      </w:r>
      <w:r w:rsidR="00DD2E41" w:rsidRPr="00377DA9">
        <w:rPr>
          <w:sz w:val="20"/>
          <w:szCs w:val="20"/>
        </w:rPr>
        <w:t xml:space="preserve"> principale du client</w:t>
      </w:r>
      <w:r w:rsidRPr="00377DA9">
        <w:rPr>
          <w:sz w:val="20"/>
          <w:szCs w:val="20"/>
        </w:rPr>
        <w:t>).</w:t>
      </w:r>
    </w:p>
    <w:p w14:paraId="474213F9" w14:textId="34E3D294" w:rsidR="00DC58B0" w:rsidRDefault="004615BA">
      <w:pPr>
        <w:spacing w:after="0" w:line="240" w:lineRule="auto"/>
        <w:rPr>
          <w:rFonts w:asciiTheme="minorHAnsi" w:hAnsiTheme="minorHAnsi" w:cstheme="minorHAnsi"/>
          <w:b/>
          <w:bCs/>
        </w:rPr>
      </w:pPr>
      <w:r w:rsidRPr="004615BA">
        <w:rPr>
          <w:noProof/>
        </w:rPr>
        <w:drawing>
          <wp:inline distT="0" distB="0" distL="0" distR="0" wp14:anchorId="07314B81" wp14:editId="2F97C6A6">
            <wp:extent cx="3798236" cy="987552"/>
            <wp:effectExtent l="0" t="0" r="0" b="31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13846" cy="991611"/>
                    </a:xfrm>
                    <a:prstGeom prst="rect">
                      <a:avLst/>
                    </a:prstGeom>
                    <a:noFill/>
                    <a:ln>
                      <a:noFill/>
                    </a:ln>
                  </pic:spPr>
                </pic:pic>
              </a:graphicData>
            </a:graphic>
          </wp:inline>
        </w:drawing>
      </w:r>
      <w:r w:rsidRPr="004615BA" w:rsidDel="004615BA">
        <w:t xml:space="preserve"> </w:t>
      </w:r>
    </w:p>
    <w:p w14:paraId="7E74E2FF" w14:textId="77777777" w:rsidR="002D684B" w:rsidRDefault="002D684B">
      <w:pPr>
        <w:spacing w:after="0" w:line="240" w:lineRule="auto"/>
        <w:rPr>
          <w:rFonts w:asciiTheme="minorHAnsi" w:hAnsiTheme="minorHAnsi" w:cstheme="minorHAnsi"/>
          <w:b/>
          <w:bCs/>
        </w:rPr>
      </w:pPr>
    </w:p>
    <w:p w14:paraId="186BCA1F" w14:textId="0897EBEA" w:rsidR="000D72AF" w:rsidRPr="00FA2762" w:rsidRDefault="001127CC" w:rsidP="00FA2762">
      <w:pPr>
        <w:spacing w:after="240"/>
        <w:rPr>
          <w:rFonts w:asciiTheme="minorHAnsi" w:hAnsiTheme="minorHAnsi" w:cstheme="minorHAnsi"/>
          <w:b/>
          <w:bCs/>
        </w:rPr>
      </w:pPr>
      <w:r w:rsidRPr="00FA2762">
        <w:rPr>
          <w:rFonts w:asciiTheme="minorHAnsi" w:hAnsiTheme="minorHAnsi" w:cstheme="minorHAnsi"/>
          <w:b/>
          <w:bCs/>
        </w:rPr>
        <w:t xml:space="preserve">Revenu par </w:t>
      </w:r>
      <w:r w:rsidR="00C13AAC" w:rsidRPr="00FA2762">
        <w:rPr>
          <w:rFonts w:asciiTheme="minorHAnsi" w:hAnsiTheme="minorHAnsi" w:cstheme="minorHAnsi"/>
          <w:b/>
          <w:bCs/>
        </w:rPr>
        <w:t>produit</w:t>
      </w:r>
    </w:p>
    <w:p w14:paraId="77938584" w14:textId="23123E46" w:rsidR="001127CC" w:rsidRDefault="00D858B4">
      <w:pPr>
        <w:rPr>
          <w:sz w:val="20"/>
          <w:szCs w:val="20"/>
        </w:rPr>
      </w:pPr>
      <w:r w:rsidRPr="00D858B4">
        <w:rPr>
          <w:noProof/>
        </w:rPr>
        <w:drawing>
          <wp:inline distT="0" distB="0" distL="0" distR="0" wp14:anchorId="170BACE2" wp14:editId="7FF22EDE">
            <wp:extent cx="3783517" cy="1010181"/>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10543" cy="1017397"/>
                    </a:xfrm>
                    <a:prstGeom prst="rect">
                      <a:avLst/>
                    </a:prstGeom>
                    <a:noFill/>
                    <a:ln>
                      <a:noFill/>
                    </a:ln>
                  </pic:spPr>
                </pic:pic>
              </a:graphicData>
            </a:graphic>
          </wp:inline>
        </w:drawing>
      </w:r>
    </w:p>
    <w:p w14:paraId="49CCCFB0" w14:textId="23FC780D" w:rsidR="00AA47AA" w:rsidRDefault="00AA47AA" w:rsidP="00AA47AA">
      <w:pPr>
        <w:spacing w:after="0" w:line="240" w:lineRule="auto"/>
        <w:jc w:val="both"/>
        <w:rPr>
          <w:sz w:val="20"/>
          <w:szCs w:val="18"/>
        </w:rPr>
      </w:pPr>
      <w:r w:rsidRPr="008A4EE3">
        <w:rPr>
          <w:sz w:val="20"/>
          <w:szCs w:val="18"/>
        </w:rPr>
        <w:t>Le revenu tiré des contrats de location sous IFRS</w:t>
      </w:r>
      <w:r w:rsidR="006E1CBE">
        <w:rPr>
          <w:sz w:val="20"/>
          <w:szCs w:val="18"/>
        </w:rPr>
        <w:t xml:space="preserve"> </w:t>
      </w:r>
      <w:r w:rsidRPr="008A4EE3">
        <w:rPr>
          <w:sz w:val="20"/>
          <w:szCs w:val="18"/>
        </w:rPr>
        <w:t xml:space="preserve">16 </w:t>
      </w:r>
      <w:r w:rsidR="006E1CBE">
        <w:rPr>
          <w:sz w:val="20"/>
          <w:szCs w:val="18"/>
        </w:rPr>
        <w:t>« Locations »</w:t>
      </w:r>
      <w:r w:rsidRPr="008A4EE3">
        <w:rPr>
          <w:sz w:val="20"/>
          <w:szCs w:val="18"/>
        </w:rPr>
        <w:t xml:space="preserve"> correspond à la quasi-totalité des activités du secteur opérationnel </w:t>
      </w:r>
      <w:proofErr w:type="spellStart"/>
      <w:r w:rsidRPr="008A4EE3">
        <w:rPr>
          <w:sz w:val="20"/>
          <w:szCs w:val="18"/>
        </w:rPr>
        <w:t>Private</w:t>
      </w:r>
      <w:proofErr w:type="spellEnd"/>
      <w:r w:rsidRPr="008A4EE3">
        <w:rPr>
          <w:sz w:val="20"/>
          <w:szCs w:val="18"/>
        </w:rPr>
        <w:t xml:space="preserve"> Cloud. Les autres services, en dehors du secteur opérationnel </w:t>
      </w:r>
      <w:proofErr w:type="spellStart"/>
      <w:r w:rsidRPr="008A4EE3">
        <w:rPr>
          <w:sz w:val="20"/>
          <w:szCs w:val="18"/>
        </w:rPr>
        <w:t>Private</w:t>
      </w:r>
      <w:proofErr w:type="spellEnd"/>
      <w:r w:rsidRPr="008A4EE3">
        <w:rPr>
          <w:sz w:val="20"/>
          <w:szCs w:val="18"/>
        </w:rPr>
        <w:t xml:space="preserve"> Cloud, entrent dans le champ d’application d’IFRS</w:t>
      </w:r>
      <w:r w:rsidR="006E1CBE">
        <w:rPr>
          <w:sz w:val="20"/>
          <w:szCs w:val="18"/>
        </w:rPr>
        <w:t xml:space="preserve"> </w:t>
      </w:r>
      <w:r w:rsidRPr="008A4EE3">
        <w:rPr>
          <w:sz w:val="20"/>
          <w:szCs w:val="18"/>
        </w:rPr>
        <w:t>15</w:t>
      </w:r>
      <w:r w:rsidR="006E1CBE">
        <w:rPr>
          <w:sz w:val="20"/>
          <w:szCs w:val="18"/>
        </w:rPr>
        <w:t xml:space="preserve"> </w:t>
      </w:r>
      <w:r w:rsidR="006E1CBE">
        <w:rPr>
          <w:rFonts w:cstheme="minorHAnsi"/>
          <w:sz w:val="20"/>
          <w:szCs w:val="20"/>
        </w:rPr>
        <w:t xml:space="preserve">« </w:t>
      </w:r>
      <w:r w:rsidR="006E1CBE" w:rsidRPr="002E376A">
        <w:rPr>
          <w:rFonts w:cstheme="minorHAnsi"/>
          <w:sz w:val="20"/>
          <w:szCs w:val="20"/>
        </w:rPr>
        <w:t>Produits des activités ordinaires tirés de contrats conclus avec des clients</w:t>
      </w:r>
      <w:r w:rsidR="006E1CBE">
        <w:rPr>
          <w:rFonts w:cstheme="minorHAnsi"/>
          <w:sz w:val="20"/>
          <w:szCs w:val="20"/>
        </w:rPr>
        <w:t> »</w:t>
      </w:r>
      <w:r w:rsidRPr="008A4EE3">
        <w:rPr>
          <w:sz w:val="20"/>
          <w:szCs w:val="18"/>
        </w:rPr>
        <w:t>.</w:t>
      </w:r>
      <w:r w:rsidRPr="00AA47AA">
        <w:rPr>
          <w:sz w:val="20"/>
          <w:szCs w:val="18"/>
        </w:rPr>
        <w:t xml:space="preserve"> </w:t>
      </w:r>
    </w:p>
    <w:p w14:paraId="4BD28618" w14:textId="66F48C5B" w:rsidR="002D1F17" w:rsidRDefault="002D1F17" w:rsidP="00AA47AA">
      <w:pPr>
        <w:spacing w:after="0" w:line="240" w:lineRule="auto"/>
        <w:jc w:val="both"/>
        <w:rPr>
          <w:sz w:val="20"/>
          <w:szCs w:val="18"/>
        </w:rPr>
      </w:pPr>
    </w:p>
    <w:p w14:paraId="2415A391" w14:textId="33444FA0" w:rsidR="00791B24" w:rsidRDefault="00791B24" w:rsidP="00AA47AA">
      <w:pPr>
        <w:spacing w:after="0" w:line="240" w:lineRule="auto"/>
        <w:jc w:val="both"/>
        <w:rPr>
          <w:sz w:val="20"/>
          <w:szCs w:val="18"/>
        </w:rPr>
      </w:pPr>
    </w:p>
    <w:p w14:paraId="32FE0498" w14:textId="77777777" w:rsidR="00467CBD" w:rsidRDefault="00467CBD">
      <w:pPr>
        <w:spacing w:after="0" w:line="240" w:lineRule="auto"/>
        <w:rPr>
          <w:rFonts w:eastAsia="DengXian Light" w:cs="Times New Roman"/>
          <w:sz w:val="28"/>
          <w:szCs w:val="28"/>
        </w:rPr>
      </w:pPr>
      <w:bookmarkStart w:id="2798" w:name="_Toc86920312"/>
      <w:bookmarkStart w:id="2799" w:name="_Toc86922781"/>
      <w:bookmarkStart w:id="2800" w:name="_Toc86920313"/>
      <w:bookmarkStart w:id="2801" w:name="_Toc86922782"/>
      <w:bookmarkStart w:id="2802" w:name="_Toc74917169"/>
      <w:bookmarkStart w:id="2803" w:name="_Toc74917170"/>
      <w:bookmarkStart w:id="2804" w:name="_Toc74917171"/>
      <w:bookmarkStart w:id="2805" w:name="_Toc74917172"/>
      <w:bookmarkStart w:id="2806" w:name="_Toc72331216"/>
      <w:bookmarkStart w:id="2807" w:name="_Toc72332584"/>
      <w:bookmarkStart w:id="2808" w:name="_Toc72331217"/>
      <w:bookmarkStart w:id="2809" w:name="_Toc72332585"/>
      <w:bookmarkStart w:id="2810" w:name="_Toc72331218"/>
      <w:bookmarkStart w:id="2811" w:name="_Toc72332586"/>
      <w:bookmarkStart w:id="2812" w:name="_Toc72331219"/>
      <w:bookmarkStart w:id="2813" w:name="_Toc72332587"/>
      <w:bookmarkStart w:id="2814" w:name="_Toc72331221"/>
      <w:bookmarkStart w:id="2815" w:name="_Toc72332589"/>
      <w:bookmarkStart w:id="2816" w:name="_Toc67047672"/>
      <w:bookmarkStart w:id="2817" w:name="_Toc67059068"/>
      <w:bookmarkStart w:id="2818" w:name="_Toc67047673"/>
      <w:bookmarkStart w:id="2819" w:name="_Toc67059069"/>
      <w:bookmarkStart w:id="2820" w:name="_Toc72331222"/>
      <w:bookmarkStart w:id="2821" w:name="_Toc72332590"/>
      <w:bookmarkStart w:id="2822" w:name="_Toc72331223"/>
      <w:bookmarkStart w:id="2823" w:name="_Toc72332591"/>
      <w:bookmarkStart w:id="2824" w:name="_Toc72331225"/>
      <w:bookmarkStart w:id="2825" w:name="_Toc72332593"/>
      <w:bookmarkStart w:id="2826" w:name="_Toc72331226"/>
      <w:bookmarkStart w:id="2827" w:name="_Toc72332594"/>
      <w:bookmarkStart w:id="2828" w:name="_Toc72331227"/>
      <w:bookmarkStart w:id="2829" w:name="_Toc72332595"/>
      <w:bookmarkStart w:id="2830" w:name="_Toc72331228"/>
      <w:bookmarkStart w:id="2831" w:name="_Toc72332596"/>
      <w:bookmarkStart w:id="2832" w:name="_Toc72331230"/>
      <w:bookmarkStart w:id="2833" w:name="_Toc72332598"/>
      <w:bookmarkStart w:id="2834" w:name="_Toc72331231"/>
      <w:bookmarkStart w:id="2835" w:name="_Toc72332599"/>
      <w:bookmarkStart w:id="2836" w:name="_Toc72331232"/>
      <w:bookmarkStart w:id="2837" w:name="_Toc72332600"/>
      <w:bookmarkStart w:id="2838" w:name="_Toc72331233"/>
      <w:bookmarkStart w:id="2839" w:name="_Toc72332601"/>
      <w:bookmarkStart w:id="2840" w:name="_Toc72331234"/>
      <w:bookmarkStart w:id="2841" w:name="_Toc72332602"/>
      <w:bookmarkStart w:id="2842" w:name="_Toc72331235"/>
      <w:bookmarkStart w:id="2843" w:name="_Toc72332603"/>
      <w:bookmarkStart w:id="2844" w:name="_Toc72331236"/>
      <w:bookmarkStart w:id="2845" w:name="_Toc72332604"/>
      <w:bookmarkStart w:id="2846" w:name="_Toc72331237"/>
      <w:bookmarkStart w:id="2847" w:name="_Toc72332605"/>
      <w:bookmarkStart w:id="2848" w:name="_Toc72331238"/>
      <w:bookmarkStart w:id="2849" w:name="_Toc72332606"/>
      <w:bookmarkStart w:id="2850" w:name="_Toc72331239"/>
      <w:bookmarkStart w:id="2851" w:name="_Toc72332607"/>
      <w:bookmarkStart w:id="2852" w:name="_Toc72331240"/>
      <w:bookmarkStart w:id="2853" w:name="_Toc72332608"/>
      <w:bookmarkStart w:id="2854" w:name="_Toc72331241"/>
      <w:bookmarkStart w:id="2855" w:name="_Toc72332609"/>
      <w:bookmarkStart w:id="2856" w:name="_Toc72331242"/>
      <w:bookmarkStart w:id="2857" w:name="_Toc72332610"/>
      <w:bookmarkStart w:id="2858" w:name="_Toc72331243"/>
      <w:bookmarkStart w:id="2859" w:name="_Toc72332611"/>
      <w:bookmarkStart w:id="2860" w:name="_Toc70362008"/>
      <w:bookmarkStart w:id="2861" w:name="_Toc71267447"/>
      <w:bookmarkStart w:id="2862" w:name="_Toc72331244"/>
      <w:bookmarkStart w:id="2863" w:name="_Toc72332612"/>
      <w:bookmarkStart w:id="2864" w:name="_Toc74917173"/>
      <w:bookmarkEnd w:id="2783"/>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r>
        <w:rPr>
          <w:sz w:val="28"/>
          <w:szCs w:val="28"/>
        </w:rPr>
        <w:br w:type="page"/>
      </w:r>
    </w:p>
    <w:p w14:paraId="6BB49570" w14:textId="1CBDA8B6" w:rsidR="00A17F19" w:rsidRPr="006A0C19" w:rsidRDefault="00A17F19" w:rsidP="0041512C">
      <w:pPr>
        <w:pStyle w:val="Titre2"/>
        <w:numPr>
          <w:ilvl w:val="1"/>
          <w:numId w:val="16"/>
        </w:numPr>
        <w:spacing w:before="0"/>
        <w:ind w:left="567" w:hanging="567"/>
        <w:rPr>
          <w:rFonts w:ascii="Calibri" w:hAnsi="Calibri"/>
          <w:color w:val="auto"/>
          <w:sz w:val="28"/>
          <w:szCs w:val="28"/>
        </w:rPr>
      </w:pPr>
      <w:bookmarkStart w:id="2865" w:name="_Toc100603609"/>
      <w:bookmarkStart w:id="2866" w:name="_Toc100605216"/>
      <w:bookmarkStart w:id="2867" w:name="_Toc100684202"/>
      <w:bookmarkStart w:id="2868" w:name="_Toc100689228"/>
      <w:bookmarkStart w:id="2869" w:name="_Toc100689277"/>
      <w:r w:rsidRPr="006A0C19">
        <w:rPr>
          <w:rFonts w:ascii="Calibri" w:hAnsi="Calibri"/>
          <w:color w:val="auto"/>
          <w:sz w:val="28"/>
          <w:szCs w:val="28"/>
        </w:rPr>
        <w:lastRenderedPageBreak/>
        <w:t xml:space="preserve">Charges de </w:t>
      </w:r>
      <w:bookmarkEnd w:id="2864"/>
      <w:r w:rsidRPr="006A0C19">
        <w:rPr>
          <w:rFonts w:ascii="Calibri" w:hAnsi="Calibri"/>
          <w:color w:val="auto"/>
          <w:sz w:val="28"/>
          <w:szCs w:val="28"/>
        </w:rPr>
        <w:t>personne</w:t>
      </w:r>
      <w:r w:rsidR="005A4F3B" w:rsidRPr="006A0C19">
        <w:rPr>
          <w:rFonts w:ascii="Calibri" w:hAnsi="Calibri"/>
          <w:color w:val="auto"/>
          <w:sz w:val="28"/>
          <w:szCs w:val="28"/>
        </w:rPr>
        <w:t>l</w:t>
      </w:r>
      <w:bookmarkEnd w:id="2865"/>
      <w:bookmarkEnd w:id="2866"/>
      <w:bookmarkEnd w:id="2867"/>
      <w:bookmarkEnd w:id="2868"/>
      <w:bookmarkEnd w:id="2869"/>
    </w:p>
    <w:p w14:paraId="2CC8D5F8" w14:textId="0440ACB5" w:rsidR="00055144" w:rsidRDefault="00055144" w:rsidP="00055144">
      <w:pPr>
        <w:spacing w:before="120" w:after="0"/>
      </w:pPr>
    </w:p>
    <w:p w14:paraId="2E7C0AFF" w14:textId="74ED3F7B" w:rsidR="00650CBC" w:rsidRPr="002D1F17" w:rsidRDefault="0088606B" w:rsidP="00A950DC">
      <w:pPr>
        <w:spacing w:before="120" w:after="0"/>
      </w:pPr>
      <w:r w:rsidRPr="0088606B">
        <w:rPr>
          <w:noProof/>
        </w:rPr>
        <w:drawing>
          <wp:inline distT="0" distB="0" distL="0" distR="0" wp14:anchorId="6FE9F3B4" wp14:editId="63D972AA">
            <wp:extent cx="4904105" cy="1468348"/>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13355" cy="1471117"/>
                    </a:xfrm>
                    <a:prstGeom prst="rect">
                      <a:avLst/>
                    </a:prstGeom>
                    <a:noFill/>
                    <a:ln>
                      <a:noFill/>
                    </a:ln>
                  </pic:spPr>
                </pic:pic>
              </a:graphicData>
            </a:graphic>
          </wp:inline>
        </w:drawing>
      </w:r>
    </w:p>
    <w:p w14:paraId="671FFBCA" w14:textId="5922FFC9" w:rsidR="009100F1" w:rsidRDefault="009100F1" w:rsidP="009100F1">
      <w:pPr>
        <w:spacing w:before="120" w:after="0" w:line="240" w:lineRule="auto"/>
        <w:jc w:val="both"/>
        <w:rPr>
          <w:sz w:val="20"/>
          <w:szCs w:val="20"/>
        </w:rPr>
      </w:pPr>
      <w:r w:rsidRPr="00045EF9">
        <w:rPr>
          <w:sz w:val="20"/>
          <w:szCs w:val="20"/>
        </w:rPr>
        <w:t xml:space="preserve">Les </w:t>
      </w:r>
      <w:r>
        <w:rPr>
          <w:sz w:val="20"/>
          <w:szCs w:val="20"/>
        </w:rPr>
        <w:t>paiements en action</w:t>
      </w:r>
      <w:r w:rsidR="00416767">
        <w:rPr>
          <w:sz w:val="20"/>
          <w:szCs w:val="20"/>
        </w:rPr>
        <w:t>s</w:t>
      </w:r>
      <w:r>
        <w:rPr>
          <w:sz w:val="20"/>
          <w:szCs w:val="20"/>
        </w:rPr>
        <w:t xml:space="preserve"> </w:t>
      </w:r>
      <w:r w:rsidRPr="00045EF9">
        <w:rPr>
          <w:sz w:val="20"/>
          <w:szCs w:val="20"/>
        </w:rPr>
        <w:t xml:space="preserve">sont </w:t>
      </w:r>
      <w:r>
        <w:rPr>
          <w:sz w:val="20"/>
          <w:szCs w:val="20"/>
        </w:rPr>
        <w:t xml:space="preserve">en </w:t>
      </w:r>
      <w:r w:rsidRPr="00045EF9">
        <w:rPr>
          <w:sz w:val="20"/>
          <w:szCs w:val="20"/>
        </w:rPr>
        <w:t xml:space="preserve">augmentation par rapport </w:t>
      </w:r>
      <w:r w:rsidR="00251FE2">
        <w:rPr>
          <w:sz w:val="20"/>
          <w:szCs w:val="20"/>
        </w:rPr>
        <w:t>à la période close le 28 février 2021</w:t>
      </w:r>
      <w:r w:rsidR="00680D5C">
        <w:rPr>
          <w:sz w:val="20"/>
          <w:szCs w:val="20"/>
        </w:rPr>
        <w:t>,</w:t>
      </w:r>
      <w:r w:rsidR="00251FE2">
        <w:rPr>
          <w:sz w:val="20"/>
          <w:szCs w:val="20"/>
        </w:rPr>
        <w:t xml:space="preserve"> </w:t>
      </w:r>
      <w:r w:rsidRPr="00045EF9">
        <w:rPr>
          <w:sz w:val="20"/>
          <w:szCs w:val="20"/>
        </w:rPr>
        <w:t>notamment</w:t>
      </w:r>
      <w:r w:rsidR="00CD28EE">
        <w:rPr>
          <w:sz w:val="20"/>
          <w:szCs w:val="20"/>
        </w:rPr>
        <w:t xml:space="preserve"> </w:t>
      </w:r>
      <w:r w:rsidR="0078590D">
        <w:rPr>
          <w:sz w:val="20"/>
          <w:szCs w:val="20"/>
        </w:rPr>
        <w:t>du fait de</w:t>
      </w:r>
      <w:r w:rsidR="0078590D" w:rsidRPr="0078590D">
        <w:rPr>
          <w:sz w:val="20"/>
          <w:szCs w:val="20"/>
        </w:rPr>
        <w:t xml:space="preserve"> l’avantage octroyé aux salariés dans le cadre de l</w:t>
      </w:r>
      <w:proofErr w:type="gramStart"/>
      <w:r w:rsidR="0078590D" w:rsidRPr="0078590D">
        <w:rPr>
          <w:sz w:val="20"/>
          <w:szCs w:val="20"/>
        </w:rPr>
        <w:t>’«</w:t>
      </w:r>
      <w:proofErr w:type="gramEnd"/>
      <w:r w:rsidR="0078590D" w:rsidRPr="0078590D">
        <w:rPr>
          <w:sz w:val="20"/>
          <w:szCs w:val="20"/>
        </w:rPr>
        <w:t xml:space="preserve"> </w:t>
      </w:r>
      <w:proofErr w:type="spellStart"/>
      <w:r w:rsidR="0078590D" w:rsidRPr="0078590D">
        <w:rPr>
          <w:sz w:val="20"/>
          <w:szCs w:val="20"/>
        </w:rPr>
        <w:t>Employee</w:t>
      </w:r>
      <w:proofErr w:type="spellEnd"/>
      <w:r w:rsidR="0078590D" w:rsidRPr="0078590D">
        <w:rPr>
          <w:sz w:val="20"/>
          <w:szCs w:val="20"/>
        </w:rPr>
        <w:t xml:space="preserve"> </w:t>
      </w:r>
      <w:proofErr w:type="spellStart"/>
      <w:r w:rsidR="0078590D" w:rsidRPr="0078590D">
        <w:rPr>
          <w:sz w:val="20"/>
          <w:szCs w:val="20"/>
        </w:rPr>
        <w:t>Shareplan</w:t>
      </w:r>
      <w:proofErr w:type="spellEnd"/>
      <w:r w:rsidR="0078590D" w:rsidRPr="0078590D">
        <w:rPr>
          <w:sz w:val="20"/>
          <w:szCs w:val="20"/>
        </w:rPr>
        <w:t xml:space="preserve"> 2021</w:t>
      </w:r>
      <w:r w:rsidR="0078590D">
        <w:rPr>
          <w:sz w:val="20"/>
          <w:szCs w:val="20"/>
        </w:rPr>
        <w:t xml:space="preserve"> » pour un montant de </w:t>
      </w:r>
      <w:r w:rsidR="00274C6D" w:rsidRPr="0078590D">
        <w:rPr>
          <w:sz w:val="20"/>
          <w:szCs w:val="20"/>
        </w:rPr>
        <w:t>1</w:t>
      </w:r>
      <w:r w:rsidR="00274C6D">
        <w:rPr>
          <w:sz w:val="20"/>
          <w:szCs w:val="20"/>
        </w:rPr>
        <w:t>4</w:t>
      </w:r>
      <w:r w:rsidR="0078590D" w:rsidRPr="0078590D">
        <w:rPr>
          <w:sz w:val="20"/>
          <w:szCs w:val="20"/>
        </w:rPr>
        <w:t>,</w:t>
      </w:r>
      <w:r w:rsidR="00274C6D">
        <w:rPr>
          <w:sz w:val="20"/>
          <w:szCs w:val="20"/>
        </w:rPr>
        <w:t>9</w:t>
      </w:r>
      <w:r w:rsidR="00274C6D" w:rsidRPr="0078590D">
        <w:rPr>
          <w:sz w:val="20"/>
          <w:szCs w:val="20"/>
        </w:rPr>
        <w:t xml:space="preserve"> </w:t>
      </w:r>
      <w:r w:rsidR="0078590D" w:rsidRPr="0078590D">
        <w:rPr>
          <w:sz w:val="20"/>
          <w:szCs w:val="20"/>
        </w:rPr>
        <w:t>millions d’euros</w:t>
      </w:r>
      <w:r w:rsidR="00680D5C">
        <w:rPr>
          <w:sz w:val="20"/>
          <w:szCs w:val="20"/>
        </w:rPr>
        <w:t xml:space="preserve"> et de la </w:t>
      </w:r>
      <w:r w:rsidR="00680D5C" w:rsidRPr="00D27926">
        <w:rPr>
          <w:sz w:val="20"/>
          <w:szCs w:val="20"/>
        </w:rPr>
        <w:t xml:space="preserve">charge de </w:t>
      </w:r>
      <w:r w:rsidR="00680D5C">
        <w:rPr>
          <w:sz w:val="20"/>
          <w:szCs w:val="20"/>
        </w:rPr>
        <w:t>4,9</w:t>
      </w:r>
      <w:r w:rsidR="00680D5C" w:rsidRPr="00D27926">
        <w:rPr>
          <w:sz w:val="20"/>
          <w:szCs w:val="20"/>
        </w:rPr>
        <w:t xml:space="preserve"> millions d’euros</w:t>
      </w:r>
      <w:r w:rsidR="00680D5C">
        <w:rPr>
          <w:sz w:val="20"/>
          <w:szCs w:val="20"/>
        </w:rPr>
        <w:t xml:space="preserve"> comptabilisée</w:t>
      </w:r>
      <w:r w:rsidR="00680D5C" w:rsidRPr="00D27926">
        <w:rPr>
          <w:sz w:val="20"/>
          <w:szCs w:val="20"/>
        </w:rPr>
        <w:t xml:space="preserve"> au titre de la juste valeur des actions gratuites </w:t>
      </w:r>
      <w:r w:rsidR="0078590D">
        <w:rPr>
          <w:sz w:val="20"/>
          <w:szCs w:val="20"/>
        </w:rPr>
        <w:t>(cf. Note 4.2</w:t>
      </w:r>
      <w:r w:rsidR="00C40F66">
        <w:rPr>
          <w:sz w:val="20"/>
          <w:szCs w:val="20"/>
        </w:rPr>
        <w:t>0)</w:t>
      </w:r>
      <w:r w:rsidR="00680D5C">
        <w:rPr>
          <w:sz w:val="20"/>
          <w:szCs w:val="20"/>
        </w:rPr>
        <w:t>.</w:t>
      </w:r>
    </w:p>
    <w:p w14:paraId="3EBC3CF7" w14:textId="0B79DAC1" w:rsidR="00F868D3" w:rsidRDefault="00F868D3" w:rsidP="009100F1">
      <w:pPr>
        <w:spacing w:before="120" w:after="0" w:line="240" w:lineRule="auto"/>
        <w:jc w:val="both"/>
        <w:rPr>
          <w:sz w:val="20"/>
          <w:szCs w:val="20"/>
        </w:rPr>
      </w:pPr>
      <w:r>
        <w:rPr>
          <w:sz w:val="20"/>
          <w:szCs w:val="20"/>
        </w:rPr>
        <w:t>Par ailleurs, l</w:t>
      </w:r>
      <w:r w:rsidRPr="00F868D3">
        <w:rPr>
          <w:sz w:val="20"/>
          <w:szCs w:val="20"/>
        </w:rPr>
        <w:t xml:space="preserve">’accord d’achat </w:t>
      </w:r>
      <w:r>
        <w:rPr>
          <w:sz w:val="20"/>
          <w:szCs w:val="20"/>
        </w:rPr>
        <w:t xml:space="preserve">de la société </w:t>
      </w:r>
      <w:proofErr w:type="spellStart"/>
      <w:r>
        <w:rPr>
          <w:sz w:val="20"/>
          <w:szCs w:val="20"/>
        </w:rPr>
        <w:t>BuyDRM</w:t>
      </w:r>
      <w:proofErr w:type="spellEnd"/>
      <w:r>
        <w:rPr>
          <w:sz w:val="20"/>
          <w:szCs w:val="20"/>
        </w:rPr>
        <w:t xml:space="preserve"> (acquise le 2</w:t>
      </w:r>
      <w:r w:rsidR="005B0C2A">
        <w:rPr>
          <w:sz w:val="20"/>
          <w:szCs w:val="20"/>
        </w:rPr>
        <w:t>2</w:t>
      </w:r>
      <w:r>
        <w:rPr>
          <w:sz w:val="20"/>
          <w:szCs w:val="20"/>
        </w:rPr>
        <w:t xml:space="preserve"> juillet 202</w:t>
      </w:r>
      <w:r w:rsidR="005B0C2A">
        <w:rPr>
          <w:sz w:val="20"/>
          <w:szCs w:val="20"/>
        </w:rPr>
        <w:t>1</w:t>
      </w:r>
      <w:r>
        <w:rPr>
          <w:sz w:val="20"/>
          <w:szCs w:val="20"/>
        </w:rPr>
        <w:t xml:space="preserve">) prévoyait une </w:t>
      </w:r>
      <w:r w:rsidRPr="00F868D3">
        <w:rPr>
          <w:sz w:val="20"/>
          <w:szCs w:val="20"/>
        </w:rPr>
        <w:t xml:space="preserve">clause de complément de prix conditionnel d’un maximum de 14 millions de dollars, basée sur l’atteinte d’un chiffre d’affaires et de marge d’EBITDA sur les exercices clos au 31 août 2022 et 2023, ainsi que </w:t>
      </w:r>
      <w:r>
        <w:rPr>
          <w:sz w:val="20"/>
          <w:szCs w:val="20"/>
        </w:rPr>
        <w:t xml:space="preserve">sur </w:t>
      </w:r>
      <w:r w:rsidRPr="00F868D3">
        <w:rPr>
          <w:sz w:val="20"/>
          <w:szCs w:val="20"/>
        </w:rPr>
        <w:t xml:space="preserve">la réalisation d’objectifs opérationnels et assortie d’une condition de présence. </w:t>
      </w:r>
      <w:r w:rsidR="00F80110">
        <w:rPr>
          <w:sz w:val="20"/>
          <w:szCs w:val="20"/>
        </w:rPr>
        <w:t xml:space="preserve">Au 28 février 2022, le Groupe a comptabilisé une charge de 4,5 millions d’euros au titre de ce complément en charges de personnel. </w:t>
      </w:r>
    </w:p>
    <w:p w14:paraId="2DB1AE15" w14:textId="103BE50F" w:rsidR="00B163F2" w:rsidRDefault="00B163F2" w:rsidP="009100F1">
      <w:pPr>
        <w:spacing w:before="120" w:after="0" w:line="240" w:lineRule="auto"/>
        <w:jc w:val="both"/>
        <w:rPr>
          <w:sz w:val="20"/>
          <w:szCs w:val="20"/>
        </w:rPr>
      </w:pPr>
      <w:r w:rsidRPr="003A2E99">
        <w:rPr>
          <w:sz w:val="20"/>
          <w:szCs w:val="20"/>
        </w:rPr>
        <w:t xml:space="preserve">En France, le Groupe bénéficie d’un produit de Crédit d’Impôt Recherche qui est déduit des charges </w:t>
      </w:r>
      <w:r w:rsidR="00130D7A" w:rsidRPr="003A2E99">
        <w:rPr>
          <w:sz w:val="20"/>
          <w:szCs w:val="20"/>
        </w:rPr>
        <w:t>de personnel</w:t>
      </w:r>
      <w:r w:rsidRPr="003A2E99">
        <w:rPr>
          <w:sz w:val="20"/>
          <w:szCs w:val="20"/>
        </w:rPr>
        <w:t xml:space="preserve"> à hauteur de </w:t>
      </w:r>
      <w:r w:rsidR="00295B37">
        <w:rPr>
          <w:sz w:val="20"/>
          <w:szCs w:val="20"/>
        </w:rPr>
        <w:t>4</w:t>
      </w:r>
      <w:r w:rsidR="00130D7A" w:rsidRPr="003A2E99">
        <w:rPr>
          <w:sz w:val="20"/>
          <w:szCs w:val="20"/>
        </w:rPr>
        <w:t>,</w:t>
      </w:r>
      <w:r w:rsidR="00295B37">
        <w:rPr>
          <w:sz w:val="20"/>
          <w:szCs w:val="20"/>
        </w:rPr>
        <w:t>7</w:t>
      </w:r>
      <w:r w:rsidR="00295B37" w:rsidRPr="003A2E99">
        <w:rPr>
          <w:sz w:val="20"/>
          <w:szCs w:val="20"/>
        </w:rPr>
        <w:t xml:space="preserve"> </w:t>
      </w:r>
      <w:r w:rsidRPr="003A2E99">
        <w:rPr>
          <w:sz w:val="20"/>
          <w:szCs w:val="20"/>
        </w:rPr>
        <w:t>millions d’euros (</w:t>
      </w:r>
      <w:r w:rsidR="00130D7A" w:rsidRPr="003A2E99">
        <w:rPr>
          <w:sz w:val="20"/>
          <w:szCs w:val="20"/>
        </w:rPr>
        <w:t>0,4</w:t>
      </w:r>
      <w:r w:rsidRPr="003A2E99">
        <w:rPr>
          <w:sz w:val="20"/>
          <w:szCs w:val="20"/>
        </w:rPr>
        <w:t xml:space="preserve"> million d’euros </w:t>
      </w:r>
      <w:r w:rsidR="00130D7A" w:rsidRPr="003A2E99">
        <w:rPr>
          <w:sz w:val="20"/>
          <w:szCs w:val="20"/>
        </w:rPr>
        <w:t>au 28 février 2021</w:t>
      </w:r>
      <w:r w:rsidRPr="003A2E99">
        <w:rPr>
          <w:sz w:val="20"/>
          <w:szCs w:val="20"/>
        </w:rPr>
        <w:t>)</w:t>
      </w:r>
      <w:r w:rsidR="00DF3BB2">
        <w:rPr>
          <w:sz w:val="20"/>
          <w:szCs w:val="20"/>
        </w:rPr>
        <w:t xml:space="preserve">. Au 28 février 2022, </w:t>
      </w:r>
      <w:r w:rsidR="00130D7A" w:rsidRPr="003A2E99">
        <w:rPr>
          <w:sz w:val="20"/>
          <w:szCs w:val="20"/>
        </w:rPr>
        <w:t>2,1</w:t>
      </w:r>
      <w:r w:rsidRPr="003A2E99">
        <w:rPr>
          <w:sz w:val="20"/>
          <w:szCs w:val="20"/>
        </w:rPr>
        <w:t xml:space="preserve"> millions d’euros </w:t>
      </w:r>
      <w:r w:rsidR="00DF3BB2">
        <w:rPr>
          <w:sz w:val="20"/>
          <w:szCs w:val="20"/>
        </w:rPr>
        <w:t xml:space="preserve">sont </w:t>
      </w:r>
      <w:r w:rsidRPr="003A2E99">
        <w:rPr>
          <w:sz w:val="20"/>
          <w:szCs w:val="20"/>
        </w:rPr>
        <w:t>relatifs à des projets</w:t>
      </w:r>
      <w:r w:rsidR="00E419E8" w:rsidRPr="00E419E8">
        <w:t xml:space="preserve"> </w:t>
      </w:r>
      <w:r w:rsidR="00E419E8" w:rsidRPr="00E419E8">
        <w:rPr>
          <w:sz w:val="20"/>
          <w:szCs w:val="20"/>
        </w:rPr>
        <w:t>identifiés comme éligibles au CIR au cours de ce semestre mais</w:t>
      </w:r>
      <w:r w:rsidRPr="003A2E99">
        <w:rPr>
          <w:sz w:val="20"/>
          <w:szCs w:val="20"/>
        </w:rPr>
        <w:t xml:space="preserve"> dont les coûts ont été supportés </w:t>
      </w:r>
      <w:r w:rsidR="00130D7A" w:rsidRPr="003A2E99">
        <w:rPr>
          <w:sz w:val="20"/>
          <w:szCs w:val="20"/>
        </w:rPr>
        <w:t>lors d’</w:t>
      </w:r>
      <w:r w:rsidRPr="003A2E99">
        <w:rPr>
          <w:sz w:val="20"/>
          <w:szCs w:val="20"/>
        </w:rPr>
        <w:t>exercices antérieurs.</w:t>
      </w:r>
    </w:p>
    <w:p w14:paraId="34BE614B" w14:textId="3FC1B95E" w:rsidR="004951A1" w:rsidRPr="002D1F17" w:rsidRDefault="00861FD1" w:rsidP="004951A1">
      <w:pPr>
        <w:spacing w:before="120" w:after="0"/>
      </w:pPr>
      <w:r>
        <w:tab/>
      </w:r>
    </w:p>
    <w:p w14:paraId="5ABD1891" w14:textId="2EA55C10" w:rsidR="00E54574" w:rsidRDefault="00B71A96" w:rsidP="00B71A96">
      <w:pPr>
        <w:pStyle w:val="000Normal"/>
        <w:spacing w:line="240" w:lineRule="auto"/>
        <w:rPr>
          <w:rFonts w:ascii="Calibri" w:hAnsi="Calibri"/>
          <w:color w:val="000000"/>
        </w:rPr>
      </w:pPr>
      <w:r w:rsidRPr="002D35FE">
        <w:rPr>
          <w:rFonts w:ascii="Calibri" w:hAnsi="Calibri"/>
          <w:color w:val="000000"/>
        </w:rPr>
        <w:t xml:space="preserve">L’effectif </w:t>
      </w:r>
      <w:r w:rsidR="000D46CA">
        <w:rPr>
          <w:rFonts w:ascii="Calibri" w:hAnsi="Calibri"/>
          <w:color w:val="000000"/>
        </w:rPr>
        <w:t>m</w:t>
      </w:r>
      <w:r w:rsidR="00DC1F43">
        <w:rPr>
          <w:rFonts w:ascii="Calibri" w:hAnsi="Calibri"/>
          <w:color w:val="000000"/>
        </w:rPr>
        <w:t xml:space="preserve">oyen </w:t>
      </w:r>
      <w:r w:rsidRPr="002D35FE">
        <w:rPr>
          <w:rFonts w:ascii="Calibri" w:hAnsi="Calibri"/>
          <w:color w:val="000000"/>
        </w:rPr>
        <w:t>du Groupe est réparti comme suit</w:t>
      </w:r>
      <w:r w:rsidR="004B088F">
        <w:rPr>
          <w:rFonts w:ascii="Calibri" w:hAnsi="Calibri"/>
          <w:color w:val="000000"/>
        </w:rPr>
        <w:t xml:space="preserve"> sur les différentes périodes</w:t>
      </w:r>
      <w:r w:rsidRPr="002D35FE">
        <w:rPr>
          <w:rFonts w:ascii="Calibri" w:hAnsi="Calibri"/>
          <w:color w:val="000000"/>
        </w:rPr>
        <w:t> :</w:t>
      </w:r>
    </w:p>
    <w:p w14:paraId="5171B2FB" w14:textId="03D9BB3D" w:rsidR="00AE3009" w:rsidRDefault="007B6829" w:rsidP="00A950DC">
      <w:pPr>
        <w:rPr>
          <w:rFonts w:cs="Calibri"/>
          <w:sz w:val="24"/>
          <w:szCs w:val="24"/>
        </w:rPr>
      </w:pPr>
      <w:r w:rsidRPr="007B6829">
        <w:rPr>
          <w:rFonts w:ascii="Arial" w:hAnsi="Arial"/>
          <w:noProof/>
          <w:sz w:val="20"/>
          <w:szCs w:val="20"/>
          <w:lang w:eastAsia="en-GB" w:bidi="en-GB"/>
        </w:rPr>
        <w:drawing>
          <wp:inline distT="0" distB="0" distL="0" distR="0" wp14:anchorId="602EE4E2" wp14:editId="600B3DAD">
            <wp:extent cx="4692650" cy="1233583"/>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32484" cy="1244055"/>
                    </a:xfrm>
                    <a:prstGeom prst="rect">
                      <a:avLst/>
                    </a:prstGeom>
                    <a:noFill/>
                    <a:ln>
                      <a:noFill/>
                    </a:ln>
                  </pic:spPr>
                </pic:pic>
              </a:graphicData>
            </a:graphic>
          </wp:inline>
        </w:drawing>
      </w:r>
    </w:p>
    <w:p w14:paraId="3F50584B" w14:textId="16765AA2" w:rsidR="00650CBC" w:rsidRDefault="00650CBC" w:rsidP="00AE3009">
      <w:pPr>
        <w:rPr>
          <w:rFonts w:cs="Calibri"/>
          <w:sz w:val="24"/>
          <w:szCs w:val="24"/>
        </w:rPr>
      </w:pPr>
    </w:p>
    <w:p w14:paraId="58475654" w14:textId="773DC52A" w:rsidR="00364C5F" w:rsidRPr="006A0C19" w:rsidRDefault="00364C5F" w:rsidP="0041512C">
      <w:pPr>
        <w:pStyle w:val="Titre2"/>
        <w:numPr>
          <w:ilvl w:val="1"/>
          <w:numId w:val="16"/>
        </w:numPr>
        <w:spacing w:before="0"/>
        <w:ind w:left="567" w:hanging="567"/>
        <w:rPr>
          <w:rFonts w:ascii="Calibri" w:hAnsi="Calibri"/>
          <w:color w:val="auto"/>
          <w:sz w:val="28"/>
          <w:szCs w:val="28"/>
        </w:rPr>
      </w:pPr>
      <w:bookmarkStart w:id="2870" w:name="_Toc85967501"/>
      <w:bookmarkStart w:id="2871" w:name="_Toc69850068"/>
      <w:bookmarkStart w:id="2872" w:name="_Toc69850553"/>
      <w:bookmarkStart w:id="2873" w:name="_Toc70362010"/>
      <w:bookmarkStart w:id="2874" w:name="_Toc71267449"/>
      <w:bookmarkStart w:id="2875" w:name="_Toc72331246"/>
      <w:bookmarkStart w:id="2876" w:name="_Toc72332614"/>
      <w:bookmarkStart w:id="2877" w:name="_Toc69850069"/>
      <w:bookmarkStart w:id="2878" w:name="_Toc69850554"/>
      <w:bookmarkStart w:id="2879" w:name="_Toc70362011"/>
      <w:bookmarkStart w:id="2880" w:name="_Toc71267450"/>
      <w:bookmarkStart w:id="2881" w:name="_Toc72331247"/>
      <w:bookmarkStart w:id="2882" w:name="_Toc72332615"/>
      <w:bookmarkStart w:id="2883" w:name="_Toc69850070"/>
      <w:bookmarkStart w:id="2884" w:name="_Toc69850555"/>
      <w:bookmarkStart w:id="2885" w:name="_Toc70362012"/>
      <w:bookmarkStart w:id="2886" w:name="_Toc71267451"/>
      <w:bookmarkStart w:id="2887" w:name="_Toc72331248"/>
      <w:bookmarkStart w:id="2888" w:name="_Toc72332616"/>
      <w:bookmarkStart w:id="2889" w:name="_Toc69772457"/>
      <w:bookmarkStart w:id="2890" w:name="_Toc69847080"/>
      <w:bookmarkStart w:id="2891" w:name="_Toc69850071"/>
      <w:bookmarkStart w:id="2892" w:name="_Toc69850556"/>
      <w:bookmarkStart w:id="2893" w:name="_Toc70362013"/>
      <w:bookmarkStart w:id="2894" w:name="_Toc71267452"/>
      <w:bookmarkStart w:id="2895" w:name="_Toc72331249"/>
      <w:bookmarkStart w:id="2896" w:name="_Toc72332617"/>
      <w:bookmarkStart w:id="2897" w:name="_Toc62888560"/>
      <w:bookmarkStart w:id="2898" w:name="_Toc74917174"/>
      <w:bookmarkStart w:id="2899" w:name="_Toc100603610"/>
      <w:bookmarkStart w:id="2900" w:name="_Toc100605217"/>
      <w:bookmarkStart w:id="2901" w:name="_Toc100684203"/>
      <w:bookmarkStart w:id="2902" w:name="_Toc100689229"/>
      <w:bookmarkStart w:id="2903" w:name="_Toc100689278"/>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r w:rsidRPr="006A0C19">
        <w:rPr>
          <w:rFonts w:ascii="Calibri" w:hAnsi="Calibri"/>
          <w:color w:val="auto"/>
          <w:sz w:val="28"/>
          <w:szCs w:val="28"/>
        </w:rPr>
        <w:t xml:space="preserve">Charges </w:t>
      </w:r>
      <w:r w:rsidR="0093498E" w:rsidRPr="006A0C19">
        <w:rPr>
          <w:rFonts w:ascii="Calibri" w:hAnsi="Calibri"/>
          <w:color w:val="auto"/>
          <w:sz w:val="28"/>
          <w:szCs w:val="28"/>
        </w:rPr>
        <w:t>opérationnelles</w:t>
      </w:r>
      <w:bookmarkEnd w:id="2897"/>
      <w:bookmarkEnd w:id="2898"/>
      <w:bookmarkEnd w:id="2899"/>
      <w:bookmarkEnd w:id="2900"/>
      <w:bookmarkEnd w:id="2901"/>
      <w:bookmarkEnd w:id="2902"/>
      <w:bookmarkEnd w:id="2903"/>
    </w:p>
    <w:p w14:paraId="43C7BA7E" w14:textId="4BB8A8AB" w:rsidR="00364C5F" w:rsidRDefault="00364C5F" w:rsidP="00A950DC">
      <w:pPr>
        <w:rPr>
          <w:noProof/>
        </w:rPr>
      </w:pPr>
    </w:p>
    <w:p w14:paraId="66EEBB4B" w14:textId="2B8180FC" w:rsidR="00791B24" w:rsidRDefault="0031766C" w:rsidP="0001318F">
      <w:pPr>
        <w:spacing w:after="240"/>
        <w:jc w:val="both"/>
        <w:rPr>
          <w:sz w:val="20"/>
          <w:szCs w:val="16"/>
        </w:rPr>
      </w:pPr>
      <w:r w:rsidRPr="0031766C">
        <w:rPr>
          <w:noProof/>
        </w:rPr>
        <w:drawing>
          <wp:inline distT="0" distB="0" distL="0" distR="0" wp14:anchorId="38F5474F" wp14:editId="60540BD0">
            <wp:extent cx="4620588" cy="122837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56000" cy="1237784"/>
                    </a:xfrm>
                    <a:prstGeom prst="rect">
                      <a:avLst/>
                    </a:prstGeom>
                    <a:noFill/>
                    <a:ln>
                      <a:noFill/>
                    </a:ln>
                  </pic:spPr>
                </pic:pic>
              </a:graphicData>
            </a:graphic>
          </wp:inline>
        </w:drawing>
      </w:r>
    </w:p>
    <w:p w14:paraId="6EB92394" w14:textId="40A4B06B" w:rsidR="008864D3" w:rsidRDefault="00B430D1" w:rsidP="007B2AAC">
      <w:pPr>
        <w:spacing w:after="240"/>
        <w:jc w:val="both"/>
        <w:rPr>
          <w:sz w:val="20"/>
          <w:szCs w:val="20"/>
        </w:rPr>
      </w:pPr>
      <w:r w:rsidRPr="00B430D1">
        <w:rPr>
          <w:sz w:val="20"/>
          <w:szCs w:val="16"/>
        </w:rPr>
        <w:t>Le poste « Achats consommés » comprend notamment les achats de fournitures ou de services, les licences et noms de domaine mis à la disposition des clients, ainsi que les coûts d’énergie.</w:t>
      </w:r>
      <w:r w:rsidR="008864D3">
        <w:rPr>
          <w:sz w:val="20"/>
          <w:szCs w:val="20"/>
        </w:rPr>
        <w:br w:type="page"/>
      </w:r>
    </w:p>
    <w:p w14:paraId="692E832F" w14:textId="15337736" w:rsidR="008864D3" w:rsidRDefault="00152481" w:rsidP="005617E9">
      <w:pPr>
        <w:spacing w:after="0"/>
        <w:rPr>
          <w:sz w:val="20"/>
          <w:szCs w:val="20"/>
        </w:rPr>
      </w:pPr>
      <w:r w:rsidRPr="00E8002A">
        <w:rPr>
          <w:sz w:val="20"/>
          <w:szCs w:val="20"/>
        </w:rPr>
        <w:lastRenderedPageBreak/>
        <w:t>Le détail des charges externes est le suivant :</w:t>
      </w:r>
    </w:p>
    <w:p w14:paraId="768FB4DB" w14:textId="77777777" w:rsidR="007B575A" w:rsidRPr="005B148E" w:rsidRDefault="007B575A" w:rsidP="005617E9">
      <w:pPr>
        <w:spacing w:after="0"/>
        <w:rPr>
          <w:sz w:val="20"/>
          <w:szCs w:val="20"/>
        </w:rPr>
      </w:pPr>
    </w:p>
    <w:p w14:paraId="1A4301FB" w14:textId="47BFC660" w:rsidR="00E8002A" w:rsidRDefault="0031766C" w:rsidP="005362A4">
      <w:pPr>
        <w:rPr>
          <w:sz w:val="20"/>
          <w:szCs w:val="20"/>
        </w:rPr>
      </w:pPr>
      <w:r w:rsidRPr="0031766C">
        <w:rPr>
          <w:noProof/>
        </w:rPr>
        <w:drawing>
          <wp:inline distT="0" distB="0" distL="0" distR="0" wp14:anchorId="1D08B115" wp14:editId="5EAA3C71">
            <wp:extent cx="4635795" cy="18151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53129" cy="1821957"/>
                    </a:xfrm>
                    <a:prstGeom prst="rect">
                      <a:avLst/>
                    </a:prstGeom>
                    <a:noFill/>
                    <a:ln>
                      <a:noFill/>
                    </a:ln>
                  </pic:spPr>
                </pic:pic>
              </a:graphicData>
            </a:graphic>
          </wp:inline>
        </w:drawing>
      </w:r>
    </w:p>
    <w:p w14:paraId="1E0F9B38" w14:textId="7D5F2867" w:rsidR="00B579FE" w:rsidRDefault="00E8002A" w:rsidP="00E8002A">
      <w:pPr>
        <w:spacing w:after="240"/>
        <w:jc w:val="both"/>
        <w:rPr>
          <w:sz w:val="20"/>
          <w:szCs w:val="16"/>
        </w:rPr>
      </w:pPr>
      <w:r w:rsidRPr="00B7768A">
        <w:rPr>
          <w:sz w:val="20"/>
          <w:szCs w:val="16"/>
        </w:rPr>
        <w:t xml:space="preserve">Les </w:t>
      </w:r>
      <w:r w:rsidR="00E80221" w:rsidRPr="00B7768A">
        <w:rPr>
          <w:sz w:val="20"/>
          <w:szCs w:val="16"/>
        </w:rPr>
        <w:t>« </w:t>
      </w:r>
      <w:r w:rsidRPr="00B7768A">
        <w:rPr>
          <w:sz w:val="20"/>
          <w:szCs w:val="16"/>
        </w:rPr>
        <w:t>charges locatives</w:t>
      </w:r>
      <w:r w:rsidR="00E80221" w:rsidRPr="00B7768A">
        <w:rPr>
          <w:sz w:val="20"/>
          <w:szCs w:val="16"/>
        </w:rPr>
        <w:t> »</w:t>
      </w:r>
      <w:r w:rsidRPr="00B7768A">
        <w:rPr>
          <w:sz w:val="20"/>
          <w:szCs w:val="16"/>
        </w:rPr>
        <w:t xml:space="preserve">, incluses dans les « charges externes », qui passent de </w:t>
      </w:r>
      <w:r w:rsidR="00CD6222" w:rsidRPr="00B7768A">
        <w:rPr>
          <w:sz w:val="20"/>
          <w:szCs w:val="16"/>
        </w:rPr>
        <w:t>1</w:t>
      </w:r>
      <w:r w:rsidR="00543AA3" w:rsidRPr="00B7768A">
        <w:rPr>
          <w:sz w:val="20"/>
          <w:szCs w:val="16"/>
        </w:rPr>
        <w:t>0</w:t>
      </w:r>
      <w:r w:rsidR="00CD6222" w:rsidRPr="00B7768A">
        <w:rPr>
          <w:sz w:val="20"/>
          <w:szCs w:val="16"/>
        </w:rPr>
        <w:t>,</w:t>
      </w:r>
      <w:r w:rsidR="00543AA3" w:rsidRPr="00B7768A">
        <w:rPr>
          <w:sz w:val="20"/>
          <w:szCs w:val="16"/>
        </w:rPr>
        <w:t>2</w:t>
      </w:r>
      <w:r w:rsidRPr="00B7768A">
        <w:rPr>
          <w:sz w:val="20"/>
          <w:szCs w:val="16"/>
        </w:rPr>
        <w:t xml:space="preserve"> millions d’euros sur la période close </w:t>
      </w:r>
      <w:r w:rsidR="00AA12A1" w:rsidRPr="00B7768A">
        <w:rPr>
          <w:sz w:val="20"/>
          <w:szCs w:val="16"/>
        </w:rPr>
        <w:t>au</w:t>
      </w:r>
      <w:r w:rsidRPr="00B7768A">
        <w:rPr>
          <w:sz w:val="20"/>
          <w:szCs w:val="16"/>
        </w:rPr>
        <w:t xml:space="preserve"> </w:t>
      </w:r>
      <w:r w:rsidR="00543AA3" w:rsidRPr="00B7768A">
        <w:rPr>
          <w:sz w:val="20"/>
          <w:szCs w:val="16"/>
        </w:rPr>
        <w:t>28 février 2021</w:t>
      </w:r>
      <w:r w:rsidRPr="00B7768A">
        <w:rPr>
          <w:sz w:val="20"/>
          <w:szCs w:val="16"/>
        </w:rPr>
        <w:t xml:space="preserve">, à </w:t>
      </w:r>
      <w:r w:rsidR="00CD6222" w:rsidRPr="00B7768A">
        <w:rPr>
          <w:sz w:val="20"/>
          <w:szCs w:val="16"/>
        </w:rPr>
        <w:t>1</w:t>
      </w:r>
      <w:r w:rsidR="00543AA3" w:rsidRPr="00B7768A">
        <w:rPr>
          <w:sz w:val="20"/>
          <w:szCs w:val="16"/>
        </w:rPr>
        <w:t>3</w:t>
      </w:r>
      <w:r w:rsidR="00CD6222" w:rsidRPr="00B7768A">
        <w:rPr>
          <w:sz w:val="20"/>
          <w:szCs w:val="16"/>
        </w:rPr>
        <w:t>,</w:t>
      </w:r>
      <w:r w:rsidR="00543AA3" w:rsidRPr="00B7768A">
        <w:rPr>
          <w:sz w:val="20"/>
          <w:szCs w:val="16"/>
        </w:rPr>
        <w:t>3</w:t>
      </w:r>
      <w:r w:rsidR="00CD6222" w:rsidRPr="00B7768A">
        <w:rPr>
          <w:sz w:val="20"/>
          <w:szCs w:val="16"/>
        </w:rPr>
        <w:t xml:space="preserve"> </w:t>
      </w:r>
      <w:r w:rsidRPr="00B7768A">
        <w:rPr>
          <w:sz w:val="20"/>
          <w:szCs w:val="16"/>
        </w:rPr>
        <w:t xml:space="preserve">millions d’euros sur la période close </w:t>
      </w:r>
      <w:r w:rsidR="00AA12A1" w:rsidRPr="00B7768A">
        <w:rPr>
          <w:sz w:val="20"/>
          <w:szCs w:val="16"/>
        </w:rPr>
        <w:t>au</w:t>
      </w:r>
      <w:r w:rsidRPr="00B7768A">
        <w:rPr>
          <w:sz w:val="20"/>
          <w:szCs w:val="16"/>
        </w:rPr>
        <w:t xml:space="preserve"> </w:t>
      </w:r>
      <w:r w:rsidR="00543AA3" w:rsidRPr="00B7768A">
        <w:rPr>
          <w:sz w:val="20"/>
          <w:szCs w:val="16"/>
        </w:rPr>
        <w:t>28 février 2022</w:t>
      </w:r>
      <w:r w:rsidRPr="00B7768A">
        <w:rPr>
          <w:sz w:val="20"/>
          <w:szCs w:val="16"/>
        </w:rPr>
        <w:t>, représentent la part de loyer non retraité</w:t>
      </w:r>
      <w:r w:rsidR="00D21986" w:rsidRPr="00B7768A">
        <w:rPr>
          <w:sz w:val="20"/>
          <w:szCs w:val="16"/>
        </w:rPr>
        <w:t>e</w:t>
      </w:r>
      <w:r w:rsidRPr="00B7768A">
        <w:rPr>
          <w:sz w:val="20"/>
          <w:szCs w:val="16"/>
        </w:rPr>
        <w:t xml:space="preserve"> en application de la norme IFRS 16</w:t>
      </w:r>
      <w:r w:rsidR="005E0432" w:rsidRPr="00B7768A">
        <w:rPr>
          <w:sz w:val="20"/>
          <w:szCs w:val="16"/>
        </w:rPr>
        <w:t xml:space="preserve"> « Locations »</w:t>
      </w:r>
      <w:r w:rsidRPr="00B7768A">
        <w:rPr>
          <w:sz w:val="20"/>
          <w:szCs w:val="16"/>
        </w:rPr>
        <w:t xml:space="preserve"> (part de service inclus dans la charge des loyers, bien</w:t>
      </w:r>
      <w:r w:rsidR="00BB19E9" w:rsidRPr="00B7768A">
        <w:rPr>
          <w:sz w:val="20"/>
          <w:szCs w:val="16"/>
        </w:rPr>
        <w:t>s</w:t>
      </w:r>
      <w:r w:rsidRPr="00B7768A">
        <w:rPr>
          <w:sz w:val="20"/>
          <w:szCs w:val="16"/>
        </w:rPr>
        <w:t xml:space="preserve"> de faible valeur et/ou dont la durée des contrats de location est inférieure à 12 mois</w:t>
      </w:r>
      <w:r w:rsidR="00DC58B0" w:rsidRPr="00B7768A">
        <w:rPr>
          <w:sz w:val="20"/>
          <w:szCs w:val="16"/>
        </w:rPr>
        <w:t xml:space="preserve">, et </w:t>
      </w:r>
      <w:r w:rsidR="009079A1" w:rsidRPr="00B7768A">
        <w:rPr>
          <w:sz w:val="20"/>
          <w:szCs w:val="16"/>
        </w:rPr>
        <w:t>pour lesquels OVHcloud peut se désengager rapidement sans contraintes financières ou économiques</w:t>
      </w:r>
      <w:r w:rsidRPr="00B7768A">
        <w:rPr>
          <w:sz w:val="20"/>
          <w:szCs w:val="16"/>
        </w:rPr>
        <w:t>).</w:t>
      </w:r>
    </w:p>
    <w:p w14:paraId="5E80CC46" w14:textId="77777777" w:rsidR="008864D3" w:rsidRDefault="008864D3" w:rsidP="00E8002A">
      <w:pPr>
        <w:spacing w:after="240"/>
        <w:jc w:val="both"/>
        <w:rPr>
          <w:sz w:val="20"/>
          <w:szCs w:val="16"/>
        </w:rPr>
      </w:pPr>
    </w:p>
    <w:p w14:paraId="41B919AE" w14:textId="5A6A3F50" w:rsidR="0022578C" w:rsidRPr="006A0C19" w:rsidRDefault="0022578C" w:rsidP="0041512C">
      <w:pPr>
        <w:pStyle w:val="Titre2"/>
        <w:numPr>
          <w:ilvl w:val="1"/>
          <w:numId w:val="16"/>
        </w:numPr>
        <w:spacing w:before="0"/>
        <w:ind w:left="567" w:hanging="567"/>
        <w:rPr>
          <w:rFonts w:ascii="Calibri" w:hAnsi="Calibri"/>
          <w:color w:val="auto"/>
          <w:sz w:val="28"/>
          <w:szCs w:val="28"/>
        </w:rPr>
      </w:pPr>
      <w:bookmarkStart w:id="2904" w:name="_Toc85967503"/>
      <w:bookmarkStart w:id="2905" w:name="_Toc62888564"/>
      <w:bookmarkStart w:id="2906" w:name="_Toc74917175"/>
      <w:bookmarkStart w:id="2907" w:name="_Toc100603611"/>
      <w:bookmarkStart w:id="2908" w:name="_Toc100605218"/>
      <w:bookmarkStart w:id="2909" w:name="_Toc100684204"/>
      <w:bookmarkStart w:id="2910" w:name="_Toc100689230"/>
      <w:bookmarkStart w:id="2911" w:name="_Toc100689279"/>
      <w:bookmarkEnd w:id="2904"/>
      <w:r w:rsidRPr="006A0C19">
        <w:rPr>
          <w:rFonts w:ascii="Calibri" w:hAnsi="Calibri"/>
          <w:color w:val="auto"/>
          <w:sz w:val="28"/>
          <w:szCs w:val="28"/>
        </w:rPr>
        <w:t>Dotations aux amortissements</w:t>
      </w:r>
      <w:bookmarkEnd w:id="2905"/>
      <w:bookmarkEnd w:id="2906"/>
      <w:r w:rsidR="00B85CEB">
        <w:rPr>
          <w:rFonts w:ascii="Calibri" w:hAnsi="Calibri"/>
          <w:color w:val="auto"/>
          <w:sz w:val="28"/>
          <w:szCs w:val="28"/>
        </w:rPr>
        <w:t xml:space="preserve"> et dépréciation</w:t>
      </w:r>
      <w:r w:rsidR="00055150">
        <w:rPr>
          <w:rFonts w:ascii="Calibri" w:hAnsi="Calibri"/>
          <w:color w:val="auto"/>
          <w:sz w:val="28"/>
          <w:szCs w:val="28"/>
        </w:rPr>
        <w:t>s</w:t>
      </w:r>
      <w:bookmarkEnd w:id="2907"/>
      <w:bookmarkEnd w:id="2908"/>
      <w:bookmarkEnd w:id="2909"/>
      <w:bookmarkEnd w:id="2910"/>
      <w:bookmarkEnd w:id="2911"/>
    </w:p>
    <w:p w14:paraId="751B0B7D" w14:textId="77777777" w:rsidR="0022578C" w:rsidRPr="005C7CF0" w:rsidRDefault="0022578C" w:rsidP="00851E88"/>
    <w:p w14:paraId="2994AE1A" w14:textId="52F0CE6D" w:rsidR="0022578C" w:rsidRDefault="00F32450" w:rsidP="005362A4">
      <w:r w:rsidRPr="00F32450">
        <w:rPr>
          <w:noProof/>
        </w:rPr>
        <w:drawing>
          <wp:inline distT="0" distB="0" distL="0" distR="0" wp14:anchorId="38E5C5CC" wp14:editId="5F93F871">
            <wp:extent cx="4635500" cy="115887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58316" cy="1164579"/>
                    </a:xfrm>
                    <a:prstGeom prst="rect">
                      <a:avLst/>
                    </a:prstGeom>
                    <a:noFill/>
                    <a:ln>
                      <a:noFill/>
                    </a:ln>
                  </pic:spPr>
                </pic:pic>
              </a:graphicData>
            </a:graphic>
          </wp:inline>
        </w:drawing>
      </w:r>
    </w:p>
    <w:p w14:paraId="66433165" w14:textId="667BDD26" w:rsidR="00BC4D4E" w:rsidRDefault="001528D5" w:rsidP="007B2AAC">
      <w:pPr>
        <w:spacing w:after="240"/>
        <w:jc w:val="both"/>
      </w:pPr>
      <w:r w:rsidRPr="003F608D">
        <w:rPr>
          <w:sz w:val="20"/>
          <w:szCs w:val="16"/>
        </w:rPr>
        <w:t>L’augmentation des amortissements des immobilisations incorporelles provient principalement de la mise en service de projets de développement activés sur l’exercice clos le 31 août 202</w:t>
      </w:r>
      <w:r w:rsidR="00F21B30" w:rsidRPr="003F608D">
        <w:rPr>
          <w:sz w:val="20"/>
          <w:szCs w:val="16"/>
        </w:rPr>
        <w:t>1</w:t>
      </w:r>
      <w:r w:rsidRPr="003F608D">
        <w:rPr>
          <w:sz w:val="20"/>
          <w:szCs w:val="16"/>
        </w:rPr>
        <w:t xml:space="preserve"> et sur la période </w:t>
      </w:r>
      <w:r w:rsidR="00F21B30" w:rsidRPr="003F608D">
        <w:rPr>
          <w:sz w:val="20"/>
          <w:szCs w:val="16"/>
        </w:rPr>
        <w:t>close au 2</w:t>
      </w:r>
      <w:r w:rsidR="00854A6B">
        <w:rPr>
          <w:sz w:val="20"/>
          <w:szCs w:val="16"/>
        </w:rPr>
        <w:t>8</w:t>
      </w:r>
      <w:r w:rsidR="00F21B30" w:rsidRPr="003F608D">
        <w:rPr>
          <w:sz w:val="20"/>
          <w:szCs w:val="16"/>
        </w:rPr>
        <w:t xml:space="preserve"> février 2022. </w:t>
      </w:r>
      <w:r w:rsidR="00F21B30" w:rsidRPr="001E22C3">
        <w:rPr>
          <w:sz w:val="20"/>
          <w:szCs w:val="16"/>
        </w:rPr>
        <w:t xml:space="preserve">L’augmentation </w:t>
      </w:r>
      <w:r w:rsidR="00B65B58">
        <w:rPr>
          <w:sz w:val="20"/>
          <w:szCs w:val="16"/>
        </w:rPr>
        <w:t xml:space="preserve">des </w:t>
      </w:r>
      <w:r w:rsidR="00055150">
        <w:rPr>
          <w:sz w:val="20"/>
          <w:szCs w:val="16"/>
        </w:rPr>
        <w:t xml:space="preserve">dotations aux </w:t>
      </w:r>
      <w:r w:rsidR="00F21B30" w:rsidRPr="001E22C3">
        <w:rPr>
          <w:sz w:val="20"/>
          <w:szCs w:val="16"/>
        </w:rPr>
        <w:t xml:space="preserve">amortissements </w:t>
      </w:r>
      <w:r w:rsidR="00055150">
        <w:rPr>
          <w:sz w:val="20"/>
          <w:szCs w:val="16"/>
        </w:rPr>
        <w:t xml:space="preserve">et provisions pour dépréciation </w:t>
      </w:r>
      <w:r w:rsidR="00F21B30" w:rsidRPr="001E22C3">
        <w:rPr>
          <w:sz w:val="20"/>
          <w:szCs w:val="16"/>
        </w:rPr>
        <w:t xml:space="preserve">des immobilisations corporelles </w:t>
      </w:r>
      <w:r w:rsidR="00C92D0A" w:rsidRPr="001E22C3">
        <w:rPr>
          <w:sz w:val="20"/>
          <w:szCs w:val="16"/>
        </w:rPr>
        <w:t xml:space="preserve">résulte de la réduction de la période d’amortissement consécutive à </w:t>
      </w:r>
      <w:r w:rsidRPr="001E22C3">
        <w:rPr>
          <w:sz w:val="20"/>
          <w:szCs w:val="16"/>
        </w:rPr>
        <w:t>l’incendie du site de Strasbourg</w:t>
      </w:r>
      <w:r w:rsidR="003F608D" w:rsidRPr="001E22C3">
        <w:rPr>
          <w:sz w:val="20"/>
          <w:szCs w:val="16"/>
        </w:rPr>
        <w:t xml:space="preserve"> et d</w:t>
      </w:r>
      <w:r w:rsidR="00AA53EA" w:rsidRPr="001E22C3">
        <w:rPr>
          <w:sz w:val="20"/>
          <w:szCs w:val="16"/>
        </w:rPr>
        <w:t>’un</w:t>
      </w:r>
      <w:r w:rsidR="0048697E" w:rsidRPr="001E22C3">
        <w:rPr>
          <w:sz w:val="20"/>
          <w:szCs w:val="16"/>
        </w:rPr>
        <w:t>e dotation complémentaire de</w:t>
      </w:r>
      <w:r w:rsidR="003F608D" w:rsidRPr="001E22C3">
        <w:rPr>
          <w:sz w:val="20"/>
          <w:szCs w:val="16"/>
        </w:rPr>
        <w:t xml:space="preserve"> dépréciation de </w:t>
      </w:r>
      <w:r w:rsidR="00AA53EA" w:rsidRPr="001E22C3">
        <w:rPr>
          <w:sz w:val="20"/>
          <w:szCs w:val="16"/>
        </w:rPr>
        <w:t xml:space="preserve">certains </w:t>
      </w:r>
      <w:r w:rsidR="003F608D" w:rsidRPr="001E22C3">
        <w:rPr>
          <w:sz w:val="20"/>
          <w:szCs w:val="16"/>
        </w:rPr>
        <w:t>composants</w:t>
      </w:r>
      <w:r w:rsidR="00EE5800" w:rsidRPr="001E22C3">
        <w:rPr>
          <w:sz w:val="20"/>
          <w:szCs w:val="16"/>
        </w:rPr>
        <w:t xml:space="preserve"> </w:t>
      </w:r>
      <w:r w:rsidR="00EE5800" w:rsidRPr="007B2AAC">
        <w:rPr>
          <w:sz w:val="20"/>
          <w:szCs w:val="16"/>
        </w:rPr>
        <w:t xml:space="preserve">de </w:t>
      </w:r>
      <w:r w:rsidR="00A86819" w:rsidRPr="007B2AAC">
        <w:rPr>
          <w:sz w:val="20"/>
          <w:szCs w:val="16"/>
        </w:rPr>
        <w:t>6,8</w:t>
      </w:r>
      <w:r w:rsidR="00EE5800" w:rsidRPr="007B2AAC">
        <w:rPr>
          <w:sz w:val="20"/>
          <w:szCs w:val="16"/>
        </w:rPr>
        <w:t xml:space="preserve"> millions d’euros</w:t>
      </w:r>
      <w:r w:rsidR="00A86819" w:rsidRPr="00A86819">
        <w:rPr>
          <w:sz w:val="20"/>
          <w:szCs w:val="16"/>
        </w:rPr>
        <w:t xml:space="preserve">, </w:t>
      </w:r>
      <w:r w:rsidR="00B65B58">
        <w:rPr>
          <w:sz w:val="20"/>
          <w:szCs w:val="16"/>
        </w:rPr>
        <w:t xml:space="preserve">en lien avec </w:t>
      </w:r>
      <w:r w:rsidR="00A86819" w:rsidRPr="00A86819">
        <w:rPr>
          <w:sz w:val="20"/>
          <w:szCs w:val="16"/>
        </w:rPr>
        <w:t>u</w:t>
      </w:r>
      <w:r w:rsidR="00EE5800" w:rsidRPr="007B2AAC">
        <w:rPr>
          <w:sz w:val="20"/>
          <w:szCs w:val="16"/>
        </w:rPr>
        <w:t xml:space="preserve">n changement d’estimation correspondant </w:t>
      </w:r>
      <w:r w:rsidR="00CA6651">
        <w:rPr>
          <w:sz w:val="20"/>
          <w:szCs w:val="16"/>
        </w:rPr>
        <w:t>à</w:t>
      </w:r>
      <w:r w:rsidR="00EE5800" w:rsidRPr="007B2AAC">
        <w:rPr>
          <w:sz w:val="20"/>
          <w:szCs w:val="16"/>
        </w:rPr>
        <w:t xml:space="preserve"> </w:t>
      </w:r>
      <w:r w:rsidR="00CA6651">
        <w:rPr>
          <w:sz w:val="20"/>
          <w:szCs w:val="16"/>
        </w:rPr>
        <w:t xml:space="preserve">une </w:t>
      </w:r>
      <w:r w:rsidR="00EE5800" w:rsidRPr="007B2AAC">
        <w:rPr>
          <w:sz w:val="20"/>
          <w:szCs w:val="16"/>
        </w:rPr>
        <w:t xml:space="preserve">analyse plus précise de la nature </w:t>
      </w:r>
      <w:r w:rsidR="00CA6651">
        <w:rPr>
          <w:sz w:val="20"/>
          <w:szCs w:val="16"/>
        </w:rPr>
        <w:t xml:space="preserve">des composants </w:t>
      </w:r>
      <w:r w:rsidR="00EE5800" w:rsidRPr="007B2AAC">
        <w:rPr>
          <w:sz w:val="20"/>
          <w:szCs w:val="16"/>
        </w:rPr>
        <w:t>et l’usage projeté des composants.</w:t>
      </w:r>
      <w:r w:rsidR="0035259A" w:rsidRPr="001E22C3">
        <w:rPr>
          <w:sz w:val="20"/>
          <w:szCs w:val="16"/>
        </w:rPr>
        <w:t xml:space="preserve"> </w:t>
      </w:r>
      <w:r w:rsidR="001E22C3" w:rsidRPr="007B2AAC">
        <w:rPr>
          <w:sz w:val="20"/>
          <w:szCs w:val="16"/>
        </w:rPr>
        <w:t>Au</w:t>
      </w:r>
      <w:r w:rsidR="00C04683" w:rsidRPr="001E22C3">
        <w:rPr>
          <w:sz w:val="20"/>
          <w:szCs w:val="16"/>
        </w:rPr>
        <w:t xml:space="preserve"> 28 février 2022, la dépréciation</w:t>
      </w:r>
      <w:r w:rsidR="00B65B58">
        <w:rPr>
          <w:sz w:val="20"/>
          <w:szCs w:val="16"/>
        </w:rPr>
        <w:t xml:space="preserve"> des composants</w:t>
      </w:r>
      <w:r w:rsidR="00C04683" w:rsidRPr="001E22C3">
        <w:rPr>
          <w:sz w:val="20"/>
          <w:szCs w:val="16"/>
        </w:rPr>
        <w:t xml:space="preserve"> s’élève à 15,1 millions d’euros</w:t>
      </w:r>
      <w:r w:rsidR="00B65B58">
        <w:rPr>
          <w:sz w:val="20"/>
          <w:szCs w:val="16"/>
        </w:rPr>
        <w:t xml:space="preserve"> contre </w:t>
      </w:r>
      <w:r w:rsidR="007B0746">
        <w:rPr>
          <w:sz w:val="20"/>
          <w:szCs w:val="16"/>
        </w:rPr>
        <w:t>8,</w:t>
      </w:r>
      <w:r w:rsidR="002D5786">
        <w:rPr>
          <w:sz w:val="20"/>
          <w:szCs w:val="16"/>
        </w:rPr>
        <w:t>1</w:t>
      </w:r>
      <w:r w:rsidR="00B65B58">
        <w:rPr>
          <w:sz w:val="20"/>
          <w:szCs w:val="16"/>
        </w:rPr>
        <w:t xml:space="preserve"> millions à fin août 2021.</w:t>
      </w:r>
    </w:p>
    <w:p w14:paraId="31F0FECA" w14:textId="3DEEE774" w:rsidR="00EC6721" w:rsidRPr="006A0C19" w:rsidRDefault="00637417" w:rsidP="0041512C">
      <w:pPr>
        <w:pStyle w:val="Titre2"/>
        <w:numPr>
          <w:ilvl w:val="1"/>
          <w:numId w:val="16"/>
        </w:numPr>
        <w:spacing w:before="0"/>
        <w:ind w:left="567" w:hanging="567"/>
        <w:rPr>
          <w:rFonts w:ascii="Calibri" w:hAnsi="Calibri"/>
          <w:color w:val="auto"/>
          <w:sz w:val="28"/>
          <w:szCs w:val="28"/>
        </w:rPr>
      </w:pPr>
      <w:bookmarkStart w:id="2912" w:name="_Toc69772460"/>
      <w:bookmarkStart w:id="2913" w:name="_Toc69847083"/>
      <w:bookmarkStart w:id="2914" w:name="_Toc69850074"/>
      <w:bookmarkStart w:id="2915" w:name="_Toc69850559"/>
      <w:bookmarkStart w:id="2916" w:name="_Toc70362016"/>
      <w:bookmarkStart w:id="2917" w:name="_Toc71267455"/>
      <w:bookmarkStart w:id="2918" w:name="_Toc72331252"/>
      <w:bookmarkStart w:id="2919" w:name="_Toc72332620"/>
      <w:bookmarkStart w:id="2920" w:name="_Toc69772461"/>
      <w:bookmarkStart w:id="2921" w:name="_Toc69847084"/>
      <w:bookmarkStart w:id="2922" w:name="_Toc69850075"/>
      <w:bookmarkStart w:id="2923" w:name="_Toc69850560"/>
      <w:bookmarkStart w:id="2924" w:name="_Toc70362017"/>
      <w:bookmarkStart w:id="2925" w:name="_Toc71267456"/>
      <w:bookmarkStart w:id="2926" w:name="_Toc72331253"/>
      <w:bookmarkStart w:id="2927" w:name="_Toc72332621"/>
      <w:bookmarkStart w:id="2928" w:name="_Toc67059075"/>
      <w:bookmarkStart w:id="2929" w:name="_Toc67059076"/>
      <w:bookmarkStart w:id="2930" w:name="_Toc67059077"/>
      <w:bookmarkStart w:id="2931" w:name="_Toc67059078"/>
      <w:bookmarkStart w:id="2932" w:name="_Toc67047679"/>
      <w:bookmarkStart w:id="2933" w:name="_Toc67059079"/>
      <w:bookmarkStart w:id="2934" w:name="_Toc67047680"/>
      <w:bookmarkStart w:id="2935" w:name="_Toc67059080"/>
      <w:bookmarkStart w:id="2936" w:name="_Toc67047681"/>
      <w:bookmarkStart w:id="2937" w:name="_Toc67059081"/>
      <w:bookmarkStart w:id="2938" w:name="_Toc67047682"/>
      <w:bookmarkStart w:id="2939" w:name="_Toc67059082"/>
      <w:bookmarkStart w:id="2940" w:name="_Toc65543560"/>
      <w:bookmarkStart w:id="2941" w:name="_Toc65543737"/>
      <w:bookmarkStart w:id="2942" w:name="_Toc65543914"/>
      <w:bookmarkStart w:id="2943" w:name="_Toc65543561"/>
      <w:bookmarkStart w:id="2944" w:name="_Toc65543738"/>
      <w:bookmarkStart w:id="2945" w:name="_Toc65543915"/>
      <w:bookmarkStart w:id="2946" w:name="_Toc65543562"/>
      <w:bookmarkStart w:id="2947" w:name="_Toc65543739"/>
      <w:bookmarkStart w:id="2948" w:name="_Toc65543916"/>
      <w:bookmarkStart w:id="2949" w:name="_Toc65543563"/>
      <w:bookmarkStart w:id="2950" w:name="_Toc65543740"/>
      <w:bookmarkStart w:id="2951" w:name="_Toc65543917"/>
      <w:bookmarkStart w:id="2952" w:name="_Toc65543564"/>
      <w:bookmarkStart w:id="2953" w:name="_Toc65543741"/>
      <w:bookmarkStart w:id="2954" w:name="_Toc65543918"/>
      <w:bookmarkStart w:id="2955" w:name="_Toc65500759"/>
      <w:bookmarkStart w:id="2956" w:name="_Toc65501297"/>
      <w:bookmarkStart w:id="2957" w:name="_Toc65501460"/>
      <w:bookmarkStart w:id="2958" w:name="_Toc65501929"/>
      <w:bookmarkStart w:id="2959" w:name="_Toc65543565"/>
      <w:bookmarkStart w:id="2960" w:name="_Toc65543742"/>
      <w:bookmarkStart w:id="2961" w:name="_Toc65543919"/>
      <w:bookmarkStart w:id="2962" w:name="_Toc65500760"/>
      <w:bookmarkStart w:id="2963" w:name="_Toc65501298"/>
      <w:bookmarkStart w:id="2964" w:name="_Toc65501461"/>
      <w:bookmarkStart w:id="2965" w:name="_Toc65501930"/>
      <w:bookmarkStart w:id="2966" w:name="_Toc65543566"/>
      <w:bookmarkStart w:id="2967" w:name="_Toc65543743"/>
      <w:bookmarkStart w:id="2968" w:name="_Toc65543920"/>
      <w:bookmarkStart w:id="2969" w:name="_Toc65500761"/>
      <w:bookmarkStart w:id="2970" w:name="_Toc65501299"/>
      <w:bookmarkStart w:id="2971" w:name="_Toc65501462"/>
      <w:bookmarkStart w:id="2972" w:name="_Toc65501931"/>
      <w:bookmarkStart w:id="2973" w:name="_Toc65543567"/>
      <w:bookmarkStart w:id="2974" w:name="_Toc65543744"/>
      <w:bookmarkStart w:id="2975" w:name="_Toc65543921"/>
      <w:bookmarkStart w:id="2976" w:name="_Toc65500762"/>
      <w:bookmarkStart w:id="2977" w:name="_Toc65501300"/>
      <w:bookmarkStart w:id="2978" w:name="_Toc65501463"/>
      <w:bookmarkStart w:id="2979" w:name="_Toc65501932"/>
      <w:bookmarkStart w:id="2980" w:name="_Toc65543568"/>
      <w:bookmarkStart w:id="2981" w:name="_Toc65543745"/>
      <w:bookmarkStart w:id="2982" w:name="_Toc65543922"/>
      <w:bookmarkStart w:id="2983" w:name="_Toc65500763"/>
      <w:bookmarkStart w:id="2984" w:name="_Toc65501301"/>
      <w:bookmarkStart w:id="2985" w:name="_Toc65501464"/>
      <w:bookmarkStart w:id="2986" w:name="_Toc65501933"/>
      <w:bookmarkStart w:id="2987" w:name="_Toc65543569"/>
      <w:bookmarkStart w:id="2988" w:name="_Toc65543746"/>
      <w:bookmarkStart w:id="2989" w:name="_Toc65543923"/>
      <w:bookmarkStart w:id="2990" w:name="_Toc65500764"/>
      <w:bookmarkStart w:id="2991" w:name="_Toc65501302"/>
      <w:bookmarkStart w:id="2992" w:name="_Toc65501465"/>
      <w:bookmarkStart w:id="2993" w:name="_Toc65501934"/>
      <w:bookmarkStart w:id="2994" w:name="_Toc65543570"/>
      <w:bookmarkStart w:id="2995" w:name="_Toc65543747"/>
      <w:bookmarkStart w:id="2996" w:name="_Toc65543924"/>
      <w:bookmarkStart w:id="2997" w:name="_Toc65500765"/>
      <w:bookmarkStart w:id="2998" w:name="_Toc65501303"/>
      <w:bookmarkStart w:id="2999" w:name="_Toc65501466"/>
      <w:bookmarkStart w:id="3000" w:name="_Toc65501935"/>
      <w:bookmarkStart w:id="3001" w:name="_Toc65543571"/>
      <w:bookmarkStart w:id="3002" w:name="_Toc65543748"/>
      <w:bookmarkStart w:id="3003" w:name="_Toc65543925"/>
      <w:bookmarkStart w:id="3004" w:name="_Toc65500766"/>
      <w:bookmarkStart w:id="3005" w:name="_Toc65501304"/>
      <w:bookmarkStart w:id="3006" w:name="_Toc65501467"/>
      <w:bookmarkStart w:id="3007" w:name="_Toc65501936"/>
      <w:bookmarkStart w:id="3008" w:name="_Toc65543572"/>
      <w:bookmarkStart w:id="3009" w:name="_Toc65543749"/>
      <w:bookmarkStart w:id="3010" w:name="_Toc65543926"/>
      <w:bookmarkStart w:id="3011" w:name="_Toc65500767"/>
      <w:bookmarkStart w:id="3012" w:name="_Toc65501305"/>
      <w:bookmarkStart w:id="3013" w:name="_Toc65501468"/>
      <w:bookmarkStart w:id="3014" w:name="_Toc65501937"/>
      <w:bookmarkStart w:id="3015" w:name="_Toc65543573"/>
      <w:bookmarkStart w:id="3016" w:name="_Toc65543750"/>
      <w:bookmarkStart w:id="3017" w:name="_Toc65543927"/>
      <w:bookmarkStart w:id="3018" w:name="_Toc65500768"/>
      <w:bookmarkStart w:id="3019" w:name="_Toc65501306"/>
      <w:bookmarkStart w:id="3020" w:name="_Toc65501469"/>
      <w:bookmarkStart w:id="3021" w:name="_Toc65501938"/>
      <w:bookmarkStart w:id="3022" w:name="_Toc65543574"/>
      <w:bookmarkStart w:id="3023" w:name="_Toc65543751"/>
      <w:bookmarkStart w:id="3024" w:name="_Toc65543928"/>
      <w:bookmarkStart w:id="3025" w:name="_Toc65500769"/>
      <w:bookmarkStart w:id="3026" w:name="_Toc65501307"/>
      <w:bookmarkStart w:id="3027" w:name="_Toc65501470"/>
      <w:bookmarkStart w:id="3028" w:name="_Toc65501939"/>
      <w:bookmarkStart w:id="3029" w:name="_Toc65543575"/>
      <w:bookmarkStart w:id="3030" w:name="_Toc65543752"/>
      <w:bookmarkStart w:id="3031" w:name="_Toc65543929"/>
      <w:bookmarkStart w:id="3032" w:name="_Toc65500770"/>
      <w:bookmarkStart w:id="3033" w:name="_Toc65501308"/>
      <w:bookmarkStart w:id="3034" w:name="_Toc65501471"/>
      <w:bookmarkStart w:id="3035" w:name="_Toc65501940"/>
      <w:bookmarkStart w:id="3036" w:name="_Toc65543576"/>
      <w:bookmarkStart w:id="3037" w:name="_Toc65543753"/>
      <w:bookmarkStart w:id="3038" w:name="_Toc65543930"/>
      <w:bookmarkStart w:id="3039" w:name="_Toc65500771"/>
      <w:bookmarkStart w:id="3040" w:name="_Toc65501309"/>
      <w:bookmarkStart w:id="3041" w:name="_Toc65501472"/>
      <w:bookmarkStart w:id="3042" w:name="_Toc65501941"/>
      <w:bookmarkStart w:id="3043" w:name="_Toc65543577"/>
      <w:bookmarkStart w:id="3044" w:name="_Toc65543754"/>
      <w:bookmarkStart w:id="3045" w:name="_Toc65543931"/>
      <w:bookmarkStart w:id="3046" w:name="_Toc62888563"/>
      <w:bookmarkStart w:id="3047" w:name="_Ref65505702"/>
      <w:bookmarkStart w:id="3048" w:name="_Toc74917176"/>
      <w:bookmarkStart w:id="3049" w:name="_Toc100603612"/>
      <w:bookmarkStart w:id="3050" w:name="_Toc100605219"/>
      <w:bookmarkStart w:id="3051" w:name="_Toc100684205"/>
      <w:bookmarkStart w:id="3052" w:name="_Toc100689231"/>
      <w:bookmarkStart w:id="3053" w:name="_Toc100689280"/>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r w:rsidRPr="006A0C19">
        <w:rPr>
          <w:rFonts w:ascii="Calibri" w:hAnsi="Calibri"/>
          <w:color w:val="auto"/>
          <w:sz w:val="28"/>
          <w:szCs w:val="28"/>
        </w:rPr>
        <w:t xml:space="preserve">Autres produits et charges </w:t>
      </w:r>
      <w:bookmarkEnd w:id="3046"/>
      <w:r w:rsidR="002654C8" w:rsidRPr="006A0C19">
        <w:rPr>
          <w:rFonts w:ascii="Calibri" w:hAnsi="Calibri"/>
          <w:color w:val="auto"/>
          <w:sz w:val="28"/>
          <w:szCs w:val="28"/>
        </w:rPr>
        <w:t>opérationnels</w:t>
      </w:r>
      <w:bookmarkEnd w:id="3047"/>
      <w:r w:rsidR="0003374D" w:rsidRPr="006A0C19">
        <w:rPr>
          <w:rFonts w:ascii="Calibri" w:hAnsi="Calibri"/>
          <w:color w:val="auto"/>
          <w:sz w:val="28"/>
          <w:szCs w:val="28"/>
        </w:rPr>
        <w:t xml:space="preserve"> non</w:t>
      </w:r>
      <w:r w:rsidR="00AE3009" w:rsidRPr="006A0C19">
        <w:rPr>
          <w:rFonts w:ascii="Calibri" w:hAnsi="Calibri"/>
          <w:color w:val="auto"/>
          <w:sz w:val="28"/>
          <w:szCs w:val="28"/>
        </w:rPr>
        <w:t xml:space="preserve"> </w:t>
      </w:r>
      <w:r w:rsidR="0003374D" w:rsidRPr="006A0C19">
        <w:rPr>
          <w:rFonts w:ascii="Calibri" w:hAnsi="Calibri"/>
          <w:color w:val="auto"/>
          <w:sz w:val="28"/>
          <w:szCs w:val="28"/>
        </w:rPr>
        <w:t>courants</w:t>
      </w:r>
      <w:bookmarkEnd w:id="3048"/>
      <w:bookmarkEnd w:id="3049"/>
      <w:bookmarkEnd w:id="3050"/>
      <w:bookmarkEnd w:id="3051"/>
      <w:bookmarkEnd w:id="3052"/>
      <w:bookmarkEnd w:id="3053"/>
    </w:p>
    <w:p w14:paraId="2F7ABBCD" w14:textId="77777777" w:rsidR="001452B7" w:rsidRPr="001452B7" w:rsidRDefault="001452B7" w:rsidP="001452B7"/>
    <w:p w14:paraId="2F164553" w14:textId="22CA45E3" w:rsidR="00D707C5" w:rsidRDefault="0031766C" w:rsidP="007B2AAC">
      <w:pPr>
        <w:rPr>
          <w:b/>
          <w:bCs/>
          <w:sz w:val="20"/>
          <w:szCs w:val="18"/>
        </w:rPr>
      </w:pPr>
      <w:r w:rsidRPr="0031766C">
        <w:rPr>
          <w:noProof/>
        </w:rPr>
        <w:drawing>
          <wp:inline distT="0" distB="0" distL="0" distR="0" wp14:anchorId="7476EEDC" wp14:editId="65A59008">
            <wp:extent cx="4635500" cy="139337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52363" cy="1398444"/>
                    </a:xfrm>
                    <a:prstGeom prst="rect">
                      <a:avLst/>
                    </a:prstGeom>
                    <a:noFill/>
                    <a:ln>
                      <a:noFill/>
                    </a:ln>
                  </pic:spPr>
                </pic:pic>
              </a:graphicData>
            </a:graphic>
          </wp:inline>
        </w:drawing>
      </w:r>
    </w:p>
    <w:p w14:paraId="0792E32F" w14:textId="77777777" w:rsidR="003B3BBE" w:rsidRDefault="003B3BBE" w:rsidP="00425BA2">
      <w:pPr>
        <w:spacing w:after="240"/>
        <w:jc w:val="both"/>
        <w:rPr>
          <w:b/>
          <w:bCs/>
          <w:sz w:val="20"/>
          <w:szCs w:val="18"/>
        </w:rPr>
      </w:pPr>
    </w:p>
    <w:p w14:paraId="14FCECB6" w14:textId="527FB014" w:rsidR="00790E71" w:rsidRPr="007B2AAC" w:rsidRDefault="00790E71" w:rsidP="00425BA2">
      <w:pPr>
        <w:spacing w:after="240"/>
        <w:jc w:val="both"/>
        <w:rPr>
          <w:b/>
          <w:bCs/>
          <w:szCs w:val="20"/>
        </w:rPr>
      </w:pPr>
      <w:r w:rsidRPr="007B2AAC">
        <w:rPr>
          <w:b/>
          <w:bCs/>
          <w:szCs w:val="20"/>
        </w:rPr>
        <w:t>Coûts liés à des opérations sur le capital</w:t>
      </w:r>
    </w:p>
    <w:p w14:paraId="788A8489" w14:textId="4349334B" w:rsidR="00425BA2" w:rsidRDefault="00B430D1" w:rsidP="00425BA2">
      <w:pPr>
        <w:spacing w:after="240"/>
        <w:jc w:val="both"/>
        <w:rPr>
          <w:sz w:val="20"/>
          <w:szCs w:val="18"/>
        </w:rPr>
      </w:pPr>
      <w:r w:rsidRPr="00205B39">
        <w:rPr>
          <w:sz w:val="20"/>
          <w:szCs w:val="18"/>
        </w:rPr>
        <w:t>Les coûts liés à des opérations sur le capital correspondent aux coûts engagés par le Groupe dans le contexte</w:t>
      </w:r>
      <w:r w:rsidR="00205B39" w:rsidRPr="00205B39">
        <w:rPr>
          <w:sz w:val="20"/>
          <w:szCs w:val="18"/>
        </w:rPr>
        <w:t xml:space="preserve"> de son </w:t>
      </w:r>
      <w:r w:rsidRPr="00205B39">
        <w:rPr>
          <w:sz w:val="20"/>
          <w:szCs w:val="18"/>
        </w:rPr>
        <w:t xml:space="preserve">introduction en bourse (principalement honoraires de conseil) </w:t>
      </w:r>
      <w:r w:rsidR="00425BA2" w:rsidRPr="00205B39">
        <w:rPr>
          <w:sz w:val="20"/>
          <w:szCs w:val="18"/>
        </w:rPr>
        <w:t xml:space="preserve">sur les </w:t>
      </w:r>
      <w:r w:rsidR="00205B39" w:rsidRPr="00205B39">
        <w:rPr>
          <w:sz w:val="20"/>
          <w:szCs w:val="18"/>
        </w:rPr>
        <w:t xml:space="preserve">périodes closes aux 28 février </w:t>
      </w:r>
      <w:r w:rsidR="00425BA2" w:rsidRPr="00205B39">
        <w:rPr>
          <w:sz w:val="20"/>
          <w:szCs w:val="18"/>
        </w:rPr>
        <w:t>202</w:t>
      </w:r>
      <w:r w:rsidR="00315ACE" w:rsidRPr="00205B39">
        <w:rPr>
          <w:sz w:val="20"/>
          <w:szCs w:val="18"/>
        </w:rPr>
        <w:t xml:space="preserve">1 </w:t>
      </w:r>
      <w:r w:rsidR="00425BA2" w:rsidRPr="00205B39">
        <w:rPr>
          <w:sz w:val="20"/>
          <w:szCs w:val="18"/>
        </w:rPr>
        <w:t>et 202</w:t>
      </w:r>
      <w:r w:rsidR="00205B39" w:rsidRPr="00205B39">
        <w:rPr>
          <w:sz w:val="20"/>
          <w:szCs w:val="18"/>
        </w:rPr>
        <w:t>2</w:t>
      </w:r>
      <w:r w:rsidR="00425BA2" w:rsidRPr="00205B39">
        <w:rPr>
          <w:sz w:val="20"/>
          <w:szCs w:val="18"/>
        </w:rPr>
        <w:t>.</w:t>
      </w:r>
    </w:p>
    <w:p w14:paraId="738D65BE" w14:textId="0862BBA0" w:rsidR="00790E71" w:rsidRPr="007B2AAC" w:rsidRDefault="00790E71" w:rsidP="00790E71">
      <w:pPr>
        <w:spacing w:after="240"/>
        <w:jc w:val="both"/>
        <w:rPr>
          <w:b/>
          <w:bCs/>
          <w:szCs w:val="20"/>
        </w:rPr>
      </w:pPr>
      <w:r w:rsidRPr="007B2AAC">
        <w:rPr>
          <w:b/>
          <w:bCs/>
          <w:szCs w:val="20"/>
        </w:rPr>
        <w:t>Coûts des sinistres</w:t>
      </w:r>
    </w:p>
    <w:p w14:paraId="7F515E1E" w14:textId="21E17D54" w:rsidR="00B430D1" w:rsidRDefault="00B430D1" w:rsidP="00B430D1">
      <w:pPr>
        <w:spacing w:after="240"/>
        <w:jc w:val="both"/>
        <w:rPr>
          <w:sz w:val="20"/>
          <w:szCs w:val="18"/>
        </w:rPr>
      </w:pPr>
      <w:bookmarkStart w:id="3054" w:name="_Hlk100067161"/>
      <w:r w:rsidRPr="00063EC3">
        <w:rPr>
          <w:sz w:val="20"/>
          <w:szCs w:val="18"/>
        </w:rPr>
        <w:t xml:space="preserve">Les </w:t>
      </w:r>
      <w:r w:rsidR="002F6CDC" w:rsidRPr="00063EC3">
        <w:rPr>
          <w:sz w:val="20"/>
          <w:szCs w:val="18"/>
        </w:rPr>
        <w:t>coûts des s</w:t>
      </w:r>
      <w:r w:rsidRPr="00063EC3">
        <w:rPr>
          <w:sz w:val="20"/>
          <w:szCs w:val="18"/>
        </w:rPr>
        <w:t>inistre</w:t>
      </w:r>
      <w:r w:rsidR="00B3364C" w:rsidRPr="00063EC3">
        <w:rPr>
          <w:sz w:val="20"/>
          <w:szCs w:val="18"/>
        </w:rPr>
        <w:t>s</w:t>
      </w:r>
      <w:r w:rsidR="002F6CDC" w:rsidRPr="00063EC3">
        <w:rPr>
          <w:sz w:val="20"/>
          <w:szCs w:val="18"/>
        </w:rPr>
        <w:t xml:space="preserve"> </w:t>
      </w:r>
      <w:r w:rsidRPr="00063EC3">
        <w:rPr>
          <w:sz w:val="20"/>
          <w:szCs w:val="18"/>
        </w:rPr>
        <w:t xml:space="preserve">correspondent </w:t>
      </w:r>
      <w:r w:rsidR="00DD2197" w:rsidRPr="00063EC3">
        <w:rPr>
          <w:sz w:val="20"/>
          <w:szCs w:val="18"/>
        </w:rPr>
        <w:t xml:space="preserve">aux </w:t>
      </w:r>
      <w:r w:rsidRPr="00063EC3">
        <w:rPr>
          <w:sz w:val="20"/>
          <w:szCs w:val="18"/>
        </w:rPr>
        <w:t>coûts directement induits par la survenance du sinistre de Strasbourg</w:t>
      </w:r>
      <w:r w:rsidR="00063EC3" w:rsidRPr="00063EC3">
        <w:rPr>
          <w:sz w:val="20"/>
          <w:szCs w:val="18"/>
        </w:rPr>
        <w:t xml:space="preserve"> et</w:t>
      </w:r>
      <w:r w:rsidRPr="00063EC3">
        <w:rPr>
          <w:sz w:val="20"/>
          <w:szCs w:val="18"/>
        </w:rPr>
        <w:t xml:space="preserve"> </w:t>
      </w:r>
      <w:r w:rsidR="00063EC3" w:rsidRPr="00063EC3">
        <w:rPr>
          <w:sz w:val="20"/>
          <w:szCs w:val="18"/>
        </w:rPr>
        <w:t xml:space="preserve">aux </w:t>
      </w:r>
      <w:r w:rsidRPr="00063EC3">
        <w:rPr>
          <w:sz w:val="20"/>
          <w:szCs w:val="18"/>
        </w:rPr>
        <w:t>actions en responsabilité</w:t>
      </w:r>
      <w:r w:rsidRPr="00063EC3" w:rsidDel="0050277F">
        <w:rPr>
          <w:sz w:val="20"/>
          <w:szCs w:val="18"/>
        </w:rPr>
        <w:t xml:space="preserve"> </w:t>
      </w:r>
      <w:r w:rsidRPr="00063EC3">
        <w:rPr>
          <w:sz w:val="20"/>
          <w:szCs w:val="18"/>
        </w:rPr>
        <w:t>de la part de certains clients</w:t>
      </w:r>
      <w:r w:rsidR="00063EC3" w:rsidRPr="00063EC3">
        <w:rPr>
          <w:sz w:val="20"/>
          <w:szCs w:val="18"/>
        </w:rPr>
        <w:t xml:space="preserve">, couverts par une provision destinée à couvrir l’ensemble </w:t>
      </w:r>
      <w:r w:rsidR="00063EC3" w:rsidRPr="00437288">
        <w:rPr>
          <w:sz w:val="20"/>
          <w:szCs w:val="18"/>
        </w:rPr>
        <w:t>des effets du sinistre</w:t>
      </w:r>
      <w:r w:rsidRPr="00437288">
        <w:rPr>
          <w:sz w:val="20"/>
          <w:szCs w:val="18"/>
        </w:rPr>
        <w:t>.</w:t>
      </w:r>
      <w:bookmarkEnd w:id="3054"/>
    </w:p>
    <w:p w14:paraId="6291B8C2" w14:textId="1A8ABF15" w:rsidR="00790E71" w:rsidRPr="007B2AAC" w:rsidRDefault="00790E71" w:rsidP="00B430D1">
      <w:pPr>
        <w:spacing w:after="240"/>
        <w:jc w:val="both"/>
        <w:rPr>
          <w:szCs w:val="20"/>
        </w:rPr>
      </w:pPr>
      <w:r w:rsidRPr="007B2AAC">
        <w:rPr>
          <w:b/>
          <w:bCs/>
          <w:szCs w:val="20"/>
        </w:rPr>
        <w:t>Charges de restructuration</w:t>
      </w:r>
    </w:p>
    <w:p w14:paraId="5533D198" w14:textId="5B1528AD" w:rsidR="00EE52BC" w:rsidRDefault="00F92832" w:rsidP="00555575">
      <w:pPr>
        <w:spacing w:after="240"/>
        <w:jc w:val="both"/>
        <w:rPr>
          <w:sz w:val="20"/>
          <w:szCs w:val="18"/>
        </w:rPr>
      </w:pPr>
      <w:r w:rsidRPr="00437288">
        <w:rPr>
          <w:sz w:val="20"/>
          <w:szCs w:val="18"/>
        </w:rPr>
        <w:t xml:space="preserve">Les </w:t>
      </w:r>
      <w:r w:rsidR="00437288" w:rsidRPr="00437288">
        <w:rPr>
          <w:sz w:val="20"/>
          <w:szCs w:val="18"/>
        </w:rPr>
        <w:t xml:space="preserve">charges </w:t>
      </w:r>
      <w:r w:rsidRPr="00437288">
        <w:rPr>
          <w:sz w:val="20"/>
          <w:szCs w:val="18"/>
        </w:rPr>
        <w:t xml:space="preserve">de restructuration </w:t>
      </w:r>
      <w:r w:rsidR="00437288" w:rsidRPr="00437288">
        <w:rPr>
          <w:sz w:val="20"/>
          <w:szCs w:val="18"/>
        </w:rPr>
        <w:t xml:space="preserve">de la période close le 28 février 2022 concernent principalement </w:t>
      </w:r>
      <w:r w:rsidR="00EE52BC">
        <w:rPr>
          <w:sz w:val="20"/>
          <w:szCs w:val="18"/>
        </w:rPr>
        <w:t>la refonte des process industriels du Groupe</w:t>
      </w:r>
      <w:r w:rsidR="002A44FA">
        <w:rPr>
          <w:sz w:val="20"/>
          <w:szCs w:val="18"/>
        </w:rPr>
        <w:t xml:space="preserve"> en 2022</w:t>
      </w:r>
      <w:r w:rsidR="00EE52BC">
        <w:rPr>
          <w:sz w:val="20"/>
          <w:szCs w:val="18"/>
        </w:rPr>
        <w:t xml:space="preserve">. </w:t>
      </w:r>
    </w:p>
    <w:p w14:paraId="10BC6C54" w14:textId="016FA307" w:rsidR="00790E71" w:rsidRPr="007B2AAC" w:rsidRDefault="00790E71" w:rsidP="00555575">
      <w:pPr>
        <w:spacing w:after="240"/>
        <w:jc w:val="both"/>
        <w:rPr>
          <w:szCs w:val="20"/>
        </w:rPr>
      </w:pPr>
      <w:r w:rsidRPr="007B2AAC">
        <w:rPr>
          <w:b/>
          <w:bCs/>
          <w:szCs w:val="20"/>
        </w:rPr>
        <w:t>Autres charges</w:t>
      </w:r>
    </w:p>
    <w:p w14:paraId="3208CBA8" w14:textId="057E313E" w:rsidR="002D684B" w:rsidRDefault="00B430D1" w:rsidP="00555575">
      <w:pPr>
        <w:spacing w:after="240"/>
        <w:jc w:val="both"/>
        <w:rPr>
          <w:sz w:val="20"/>
          <w:szCs w:val="18"/>
        </w:rPr>
      </w:pPr>
      <w:r w:rsidRPr="00F92832">
        <w:rPr>
          <w:sz w:val="20"/>
          <w:szCs w:val="18"/>
        </w:rPr>
        <w:t xml:space="preserve">Les autres </w:t>
      </w:r>
      <w:r w:rsidR="00C15791" w:rsidRPr="00F92832">
        <w:rPr>
          <w:sz w:val="20"/>
          <w:szCs w:val="18"/>
        </w:rPr>
        <w:t>charges</w:t>
      </w:r>
      <w:r w:rsidRPr="00F92832">
        <w:rPr>
          <w:sz w:val="20"/>
          <w:szCs w:val="18"/>
        </w:rPr>
        <w:t xml:space="preserve"> sur </w:t>
      </w:r>
      <w:r w:rsidR="00F92832" w:rsidRPr="00F92832">
        <w:rPr>
          <w:sz w:val="20"/>
          <w:szCs w:val="18"/>
        </w:rPr>
        <w:t>les périodes closes les 28 février 2021 et 2022</w:t>
      </w:r>
      <w:r w:rsidRPr="00F92832">
        <w:rPr>
          <w:sz w:val="20"/>
          <w:szCs w:val="18"/>
        </w:rPr>
        <w:t xml:space="preserve"> sont essentiellement </w:t>
      </w:r>
      <w:r w:rsidR="00F92832" w:rsidRPr="00F92832">
        <w:rPr>
          <w:sz w:val="20"/>
          <w:szCs w:val="18"/>
        </w:rPr>
        <w:t xml:space="preserve">constituées </w:t>
      </w:r>
      <w:r w:rsidRPr="00F92832">
        <w:rPr>
          <w:sz w:val="20"/>
          <w:szCs w:val="18"/>
        </w:rPr>
        <w:t xml:space="preserve">de </w:t>
      </w:r>
      <w:r w:rsidR="00C15791" w:rsidRPr="00F92832">
        <w:rPr>
          <w:sz w:val="20"/>
          <w:szCs w:val="18"/>
        </w:rPr>
        <w:t>moins</w:t>
      </w:r>
      <w:r w:rsidRPr="00F92832">
        <w:rPr>
          <w:sz w:val="20"/>
          <w:szCs w:val="18"/>
        </w:rPr>
        <w:t>-values de cession</w:t>
      </w:r>
      <w:r w:rsidR="007A0BA1" w:rsidRPr="00F92832">
        <w:rPr>
          <w:sz w:val="20"/>
          <w:szCs w:val="18"/>
        </w:rPr>
        <w:t>s</w:t>
      </w:r>
      <w:r w:rsidRPr="00F92832">
        <w:rPr>
          <w:sz w:val="20"/>
          <w:szCs w:val="18"/>
        </w:rPr>
        <w:t xml:space="preserve"> sur immobilisations corporelles</w:t>
      </w:r>
      <w:bookmarkStart w:id="3055" w:name="_Toc67059084"/>
      <w:bookmarkStart w:id="3056" w:name="_Toc67059085"/>
      <w:bookmarkStart w:id="3057" w:name="_Toc67059086"/>
      <w:bookmarkStart w:id="3058" w:name="_Toc67059087"/>
      <w:bookmarkStart w:id="3059" w:name="_Toc67059088"/>
      <w:bookmarkStart w:id="3060" w:name="_Toc67059089"/>
      <w:bookmarkStart w:id="3061" w:name="_Toc74917177"/>
      <w:bookmarkEnd w:id="3055"/>
      <w:bookmarkEnd w:id="3056"/>
      <w:bookmarkEnd w:id="3057"/>
      <w:bookmarkEnd w:id="3058"/>
      <w:bookmarkEnd w:id="3059"/>
      <w:bookmarkEnd w:id="3060"/>
      <w:r w:rsidR="00F92832" w:rsidRPr="00F92832">
        <w:rPr>
          <w:sz w:val="20"/>
          <w:szCs w:val="18"/>
        </w:rPr>
        <w:t>.</w:t>
      </w:r>
    </w:p>
    <w:p w14:paraId="6C035884" w14:textId="77777777" w:rsidR="008864D3" w:rsidRDefault="008864D3" w:rsidP="00555575">
      <w:pPr>
        <w:spacing w:after="240"/>
        <w:jc w:val="both"/>
        <w:rPr>
          <w:rFonts w:eastAsia="DengXian Light" w:cs="Times New Roman"/>
          <w:sz w:val="28"/>
          <w:szCs w:val="28"/>
        </w:rPr>
      </w:pPr>
    </w:p>
    <w:p w14:paraId="33E25DE5" w14:textId="3141528D" w:rsidR="008778BE" w:rsidRPr="006A0C19" w:rsidRDefault="00267087" w:rsidP="0041512C">
      <w:pPr>
        <w:pStyle w:val="Titre2"/>
        <w:numPr>
          <w:ilvl w:val="1"/>
          <w:numId w:val="16"/>
        </w:numPr>
        <w:spacing w:before="0"/>
        <w:ind w:left="567" w:hanging="567"/>
        <w:rPr>
          <w:rFonts w:ascii="Calibri" w:hAnsi="Calibri"/>
          <w:color w:val="auto"/>
          <w:sz w:val="28"/>
          <w:szCs w:val="28"/>
        </w:rPr>
      </w:pPr>
      <w:bookmarkStart w:id="3062" w:name="_Toc100603613"/>
      <w:bookmarkStart w:id="3063" w:name="_Toc100605220"/>
      <w:bookmarkStart w:id="3064" w:name="_Toc100684206"/>
      <w:bookmarkStart w:id="3065" w:name="_Toc100689232"/>
      <w:bookmarkStart w:id="3066" w:name="_Toc100689281"/>
      <w:r w:rsidRPr="006A0C19">
        <w:rPr>
          <w:rFonts w:ascii="Calibri" w:hAnsi="Calibri"/>
          <w:color w:val="auto"/>
          <w:sz w:val="28"/>
          <w:szCs w:val="28"/>
        </w:rPr>
        <w:t>Résultat financier</w:t>
      </w:r>
      <w:bookmarkEnd w:id="3061"/>
      <w:bookmarkEnd w:id="3062"/>
      <w:bookmarkEnd w:id="3063"/>
      <w:bookmarkEnd w:id="3064"/>
      <w:bookmarkEnd w:id="3065"/>
      <w:bookmarkEnd w:id="3066"/>
    </w:p>
    <w:p w14:paraId="0E38E31A" w14:textId="77777777" w:rsidR="008778BE" w:rsidRPr="0099106A" w:rsidRDefault="008778BE" w:rsidP="005617E9">
      <w:pPr>
        <w:spacing w:after="0"/>
        <w:jc w:val="both"/>
        <w:rPr>
          <w:rFonts w:cs="Calibri"/>
          <w:sz w:val="24"/>
          <w:szCs w:val="24"/>
        </w:rPr>
      </w:pPr>
    </w:p>
    <w:p w14:paraId="36066F75" w14:textId="6CD7C20A" w:rsidR="00452DE6" w:rsidRDefault="001235AA" w:rsidP="003C6F61">
      <w:pPr>
        <w:spacing w:after="0"/>
        <w:rPr>
          <w:sz w:val="20"/>
          <w:szCs w:val="20"/>
        </w:rPr>
      </w:pPr>
      <w:r w:rsidRPr="001235AA">
        <w:rPr>
          <w:noProof/>
        </w:rPr>
        <w:drawing>
          <wp:inline distT="0" distB="0" distL="0" distR="0" wp14:anchorId="16995457" wp14:editId="611A3CE1">
            <wp:extent cx="4288562" cy="179427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05954" cy="1801551"/>
                    </a:xfrm>
                    <a:prstGeom prst="rect">
                      <a:avLst/>
                    </a:prstGeom>
                    <a:noFill/>
                    <a:ln>
                      <a:noFill/>
                    </a:ln>
                  </pic:spPr>
                </pic:pic>
              </a:graphicData>
            </a:graphic>
          </wp:inline>
        </w:drawing>
      </w:r>
    </w:p>
    <w:p w14:paraId="2D9C12CB" w14:textId="77777777" w:rsidR="00452DE6" w:rsidRDefault="00452DE6" w:rsidP="00452DE6">
      <w:pPr>
        <w:spacing w:after="0"/>
        <w:rPr>
          <w:sz w:val="20"/>
          <w:szCs w:val="20"/>
        </w:rPr>
      </w:pPr>
    </w:p>
    <w:p w14:paraId="1B0DA0E7" w14:textId="653CA00A" w:rsidR="00B430D1" w:rsidRPr="006719A5" w:rsidRDefault="00B430D1" w:rsidP="00B430D1">
      <w:pPr>
        <w:spacing w:after="240"/>
        <w:jc w:val="both"/>
        <w:rPr>
          <w:sz w:val="20"/>
          <w:szCs w:val="18"/>
          <w:highlight w:val="yellow"/>
        </w:rPr>
      </w:pPr>
      <w:r w:rsidRPr="00E066B0">
        <w:rPr>
          <w:sz w:val="20"/>
          <w:szCs w:val="18"/>
        </w:rPr>
        <w:t xml:space="preserve">Les gains et pertes de change sont </w:t>
      </w:r>
      <w:r w:rsidRPr="00DA281B">
        <w:rPr>
          <w:sz w:val="20"/>
          <w:szCs w:val="18"/>
        </w:rPr>
        <w:t xml:space="preserve">principalement relatifs à des positions en </w:t>
      </w:r>
      <w:r w:rsidR="0013421A" w:rsidRPr="00DA281B">
        <w:rPr>
          <w:sz w:val="20"/>
          <w:szCs w:val="18"/>
        </w:rPr>
        <w:t>d</w:t>
      </w:r>
      <w:r w:rsidRPr="00DA281B">
        <w:rPr>
          <w:sz w:val="20"/>
          <w:szCs w:val="18"/>
        </w:rPr>
        <w:t xml:space="preserve">ollars </w:t>
      </w:r>
      <w:r w:rsidR="00910173" w:rsidRPr="00DA281B">
        <w:rPr>
          <w:sz w:val="20"/>
          <w:szCs w:val="18"/>
        </w:rPr>
        <w:t>US</w:t>
      </w:r>
      <w:r w:rsidR="00AE5911">
        <w:rPr>
          <w:sz w:val="20"/>
          <w:szCs w:val="18"/>
        </w:rPr>
        <w:t xml:space="preserve"> </w:t>
      </w:r>
      <w:r w:rsidR="001E22C3">
        <w:rPr>
          <w:sz w:val="20"/>
          <w:szCs w:val="18"/>
        </w:rPr>
        <w:t>et ne proviennent pas des</w:t>
      </w:r>
      <w:r w:rsidR="00AE5911">
        <w:rPr>
          <w:sz w:val="20"/>
          <w:szCs w:val="18"/>
        </w:rPr>
        <w:t xml:space="preserve"> instruments de couvertur</w:t>
      </w:r>
      <w:r w:rsidR="001E22C3">
        <w:rPr>
          <w:sz w:val="20"/>
          <w:szCs w:val="18"/>
        </w:rPr>
        <w:t xml:space="preserve">e associés. </w:t>
      </w:r>
    </w:p>
    <w:p w14:paraId="7C2FD244" w14:textId="6DCECE7D" w:rsidR="00CA5C58" w:rsidRPr="00EC0915" w:rsidRDefault="00CA5C58" w:rsidP="00EC0915">
      <w:pPr>
        <w:jc w:val="both"/>
        <w:rPr>
          <w:sz w:val="20"/>
          <w:szCs w:val="20"/>
        </w:rPr>
      </w:pPr>
      <w:bookmarkStart w:id="3067" w:name="_Toc62888566"/>
      <w:bookmarkStart w:id="3068" w:name="_Ref65505339"/>
      <w:bookmarkStart w:id="3069" w:name="_Ref69674670"/>
      <w:bookmarkStart w:id="3070" w:name="_Toc74917178"/>
      <w:r w:rsidRPr="00600719">
        <w:rPr>
          <w:sz w:val="20"/>
          <w:szCs w:val="18"/>
        </w:rPr>
        <w:t xml:space="preserve">Le coût de l’endettement financier inclut les charges d’intérêts liées aux emprunts et dettes financières et les charges d’intérêts liées à la dette locative. La </w:t>
      </w:r>
      <w:r w:rsidR="003332BF" w:rsidRPr="00600719">
        <w:rPr>
          <w:sz w:val="20"/>
          <w:szCs w:val="18"/>
        </w:rPr>
        <w:t xml:space="preserve">baisse des </w:t>
      </w:r>
      <w:r w:rsidRPr="00600719">
        <w:rPr>
          <w:sz w:val="20"/>
          <w:szCs w:val="18"/>
        </w:rPr>
        <w:t xml:space="preserve">charges d’intérêts sur la période de </w:t>
      </w:r>
      <w:r w:rsidR="000461DC" w:rsidRPr="00600719">
        <w:rPr>
          <w:sz w:val="20"/>
          <w:szCs w:val="18"/>
        </w:rPr>
        <w:t>6</w:t>
      </w:r>
      <w:r w:rsidRPr="00600719">
        <w:rPr>
          <w:sz w:val="20"/>
          <w:szCs w:val="18"/>
        </w:rPr>
        <w:t xml:space="preserve"> mois close le </w:t>
      </w:r>
      <w:r w:rsidR="000461DC" w:rsidRPr="00600719">
        <w:rPr>
          <w:sz w:val="20"/>
          <w:szCs w:val="18"/>
        </w:rPr>
        <w:t>28 février 2022</w:t>
      </w:r>
      <w:r w:rsidRPr="00600719">
        <w:rPr>
          <w:sz w:val="20"/>
          <w:szCs w:val="18"/>
        </w:rPr>
        <w:t xml:space="preserve"> provient </w:t>
      </w:r>
      <w:r w:rsidR="00FF3620" w:rsidRPr="00600719">
        <w:rPr>
          <w:sz w:val="20"/>
          <w:szCs w:val="18"/>
        </w:rPr>
        <w:t>principalement</w:t>
      </w:r>
      <w:r w:rsidR="000461DC" w:rsidRPr="00600719">
        <w:rPr>
          <w:sz w:val="20"/>
          <w:szCs w:val="18"/>
        </w:rPr>
        <w:t xml:space="preserve"> </w:t>
      </w:r>
      <w:bookmarkStart w:id="3071" w:name="_Hlk100068208"/>
      <w:r w:rsidR="00512478" w:rsidRPr="00600719">
        <w:rPr>
          <w:sz w:val="20"/>
          <w:szCs w:val="18"/>
        </w:rPr>
        <w:t>des conditions de refinancement favorables (</w:t>
      </w:r>
      <w:r w:rsidR="00512478" w:rsidRPr="00600719">
        <w:rPr>
          <w:rStyle w:val="tlid-translation"/>
          <w:sz w:val="20"/>
          <w:szCs w:val="20"/>
        </w:rPr>
        <w:t xml:space="preserve">au 28 février 2022, la marge appliquée sur </w:t>
      </w:r>
      <w:r w:rsidR="00EC0915" w:rsidRPr="00600719">
        <w:rPr>
          <w:rStyle w:val="tlid-translation"/>
          <w:sz w:val="20"/>
          <w:szCs w:val="20"/>
        </w:rPr>
        <w:t>le</w:t>
      </w:r>
      <w:r w:rsidR="00EC0915">
        <w:rPr>
          <w:rStyle w:val="tlid-translation"/>
          <w:sz w:val="20"/>
          <w:szCs w:val="20"/>
        </w:rPr>
        <w:t xml:space="preserve"> nouvel emprunt à terme</w:t>
      </w:r>
      <w:r w:rsidR="006A7CF9">
        <w:rPr>
          <w:rStyle w:val="tlid-translation"/>
          <w:sz w:val="20"/>
          <w:szCs w:val="20"/>
        </w:rPr>
        <w:t xml:space="preserve"> </w:t>
      </w:r>
      <w:r w:rsidR="006A7CF9" w:rsidRPr="006A7CF9">
        <w:rPr>
          <w:rStyle w:val="tlid-translation"/>
          <w:sz w:val="20"/>
          <w:szCs w:val="20"/>
        </w:rPr>
        <w:t>est</w:t>
      </w:r>
      <w:r w:rsidR="00EC0915" w:rsidRPr="006A7CF9">
        <w:rPr>
          <w:rStyle w:val="tlid-translation"/>
          <w:sz w:val="20"/>
          <w:szCs w:val="20"/>
        </w:rPr>
        <w:t xml:space="preserve"> </w:t>
      </w:r>
      <w:r w:rsidR="00512478" w:rsidRPr="006A7CF9">
        <w:rPr>
          <w:rStyle w:val="tlid-translation"/>
          <w:sz w:val="20"/>
          <w:szCs w:val="20"/>
        </w:rPr>
        <w:t>de 1,10% contre 3,25% pour le précédent</w:t>
      </w:r>
      <w:r w:rsidR="00512478" w:rsidRPr="00F436D6">
        <w:rPr>
          <w:rStyle w:val="tlid-translation"/>
          <w:sz w:val="20"/>
          <w:szCs w:val="20"/>
        </w:rPr>
        <w:t xml:space="preserve"> financement</w:t>
      </w:r>
      <w:r w:rsidR="00EC0915">
        <w:rPr>
          <w:rStyle w:val="tlid-translation"/>
          <w:sz w:val="20"/>
          <w:szCs w:val="20"/>
        </w:rPr>
        <w:t>)</w:t>
      </w:r>
      <w:r w:rsidR="00512478" w:rsidRPr="00F436D6">
        <w:rPr>
          <w:rStyle w:val="tlid-translation"/>
          <w:sz w:val="20"/>
          <w:szCs w:val="20"/>
        </w:rPr>
        <w:t>.</w:t>
      </w:r>
    </w:p>
    <w:bookmarkEnd w:id="3071"/>
    <w:p w14:paraId="4DDD80FB" w14:textId="5A2A7AFB" w:rsidR="007D3250" w:rsidRDefault="007D3250">
      <w:pPr>
        <w:spacing w:after="0" w:line="240" w:lineRule="auto"/>
        <w:rPr>
          <w:rFonts w:eastAsia="DengXian Light" w:cs="Times New Roman"/>
          <w:sz w:val="28"/>
          <w:szCs w:val="28"/>
        </w:rPr>
      </w:pPr>
    </w:p>
    <w:p w14:paraId="17A9AAD7" w14:textId="77777777" w:rsidR="00940DF3" w:rsidRDefault="00940DF3">
      <w:pPr>
        <w:spacing w:after="0" w:line="240" w:lineRule="auto"/>
        <w:rPr>
          <w:rFonts w:eastAsia="DengXian Light" w:cs="Times New Roman"/>
          <w:sz w:val="28"/>
          <w:szCs w:val="28"/>
        </w:rPr>
      </w:pPr>
      <w:r>
        <w:rPr>
          <w:sz w:val="28"/>
          <w:szCs w:val="28"/>
        </w:rPr>
        <w:br w:type="page"/>
      </w:r>
    </w:p>
    <w:p w14:paraId="151BD56D" w14:textId="08A930FB" w:rsidR="005C3A3D" w:rsidRPr="00AC1919" w:rsidRDefault="00F05B06" w:rsidP="0041512C">
      <w:pPr>
        <w:pStyle w:val="Titre2"/>
        <w:numPr>
          <w:ilvl w:val="1"/>
          <w:numId w:val="16"/>
        </w:numPr>
        <w:spacing w:before="0"/>
        <w:ind w:left="567" w:hanging="567"/>
        <w:rPr>
          <w:rFonts w:ascii="Calibri" w:hAnsi="Calibri"/>
          <w:color w:val="auto"/>
          <w:sz w:val="28"/>
          <w:szCs w:val="28"/>
        </w:rPr>
      </w:pPr>
      <w:bookmarkStart w:id="3072" w:name="_Toc100603614"/>
      <w:bookmarkStart w:id="3073" w:name="_Toc100605221"/>
      <w:bookmarkStart w:id="3074" w:name="_Toc100684207"/>
      <w:bookmarkStart w:id="3075" w:name="_Toc100689233"/>
      <w:bookmarkStart w:id="3076" w:name="_Toc100689282"/>
      <w:r w:rsidRPr="006A0C19">
        <w:rPr>
          <w:rFonts w:ascii="Calibri" w:hAnsi="Calibri"/>
          <w:color w:val="auto"/>
          <w:sz w:val="28"/>
          <w:szCs w:val="28"/>
        </w:rPr>
        <w:lastRenderedPageBreak/>
        <w:t xml:space="preserve">Impôt sur le </w:t>
      </w:r>
      <w:r w:rsidR="0093498E" w:rsidRPr="006A0C19">
        <w:rPr>
          <w:rFonts w:ascii="Calibri" w:hAnsi="Calibri"/>
          <w:color w:val="auto"/>
          <w:sz w:val="28"/>
          <w:szCs w:val="28"/>
        </w:rPr>
        <w:t>résultat</w:t>
      </w:r>
      <w:bookmarkEnd w:id="3067"/>
      <w:bookmarkEnd w:id="3068"/>
      <w:bookmarkEnd w:id="3069"/>
      <w:bookmarkEnd w:id="3070"/>
      <w:bookmarkEnd w:id="3072"/>
      <w:bookmarkEnd w:id="3073"/>
      <w:bookmarkEnd w:id="3074"/>
      <w:bookmarkEnd w:id="3075"/>
      <w:bookmarkEnd w:id="3076"/>
    </w:p>
    <w:p w14:paraId="1058F65C" w14:textId="72BD78E2" w:rsidR="00A04357" w:rsidRDefault="00A04357">
      <w:pPr>
        <w:spacing w:after="0" w:line="240" w:lineRule="auto"/>
        <w:rPr>
          <w:rFonts w:cstheme="minorHAnsi"/>
          <w:b/>
          <w:bCs/>
          <w:sz w:val="20"/>
          <w:szCs w:val="20"/>
        </w:rPr>
      </w:pPr>
    </w:p>
    <w:p w14:paraId="079343CA" w14:textId="5DC8C96D" w:rsidR="008864D3" w:rsidRDefault="008864D3">
      <w:pPr>
        <w:spacing w:after="0" w:line="240" w:lineRule="auto"/>
        <w:rPr>
          <w:rFonts w:cstheme="minorHAnsi"/>
          <w:b/>
          <w:bCs/>
          <w:sz w:val="20"/>
          <w:szCs w:val="20"/>
        </w:rPr>
      </w:pPr>
    </w:p>
    <w:p w14:paraId="33512521" w14:textId="38118712" w:rsidR="00940F68" w:rsidRPr="007B2AAC" w:rsidRDefault="00DD30E2" w:rsidP="00650CBC">
      <w:pPr>
        <w:jc w:val="both"/>
        <w:rPr>
          <w:rFonts w:cstheme="minorHAnsi"/>
          <w:b/>
          <w:bCs/>
        </w:rPr>
      </w:pPr>
      <w:r w:rsidRPr="007B2AAC">
        <w:rPr>
          <w:rFonts w:cstheme="minorHAnsi"/>
          <w:b/>
          <w:bCs/>
        </w:rPr>
        <w:t xml:space="preserve">Rapprochement de la charge d’impôt pour les </w:t>
      </w:r>
      <w:r w:rsidR="00446E87" w:rsidRPr="007B2AAC">
        <w:rPr>
          <w:rFonts w:cstheme="minorHAnsi"/>
          <w:b/>
          <w:bCs/>
        </w:rPr>
        <w:t xml:space="preserve">périodes closes au 28 février </w:t>
      </w:r>
      <w:r w:rsidRPr="007B2AAC">
        <w:rPr>
          <w:rFonts w:cstheme="minorHAnsi"/>
          <w:b/>
          <w:bCs/>
        </w:rPr>
        <w:t>20</w:t>
      </w:r>
      <w:r w:rsidR="00A07D38" w:rsidRPr="007B2AAC">
        <w:rPr>
          <w:rFonts w:cstheme="minorHAnsi"/>
          <w:b/>
          <w:bCs/>
        </w:rPr>
        <w:t>21 et</w:t>
      </w:r>
      <w:r w:rsidRPr="007B2AAC">
        <w:rPr>
          <w:rFonts w:cstheme="minorHAnsi"/>
          <w:b/>
          <w:bCs/>
        </w:rPr>
        <w:t xml:space="preserve"> </w:t>
      </w:r>
      <w:r w:rsidR="00446E87" w:rsidRPr="007B2AAC">
        <w:rPr>
          <w:rFonts w:cstheme="minorHAnsi"/>
          <w:b/>
          <w:bCs/>
        </w:rPr>
        <w:t>au 28 février 2022</w:t>
      </w:r>
    </w:p>
    <w:p w14:paraId="1377919D" w14:textId="77777777" w:rsidR="00176861" w:rsidRPr="00B75E49" w:rsidRDefault="00176861" w:rsidP="00650CBC">
      <w:pPr>
        <w:jc w:val="both"/>
        <w:rPr>
          <w:rFonts w:cstheme="minorHAnsi"/>
          <w:b/>
          <w:bCs/>
          <w:sz w:val="20"/>
          <w:szCs w:val="20"/>
        </w:rPr>
      </w:pPr>
    </w:p>
    <w:p w14:paraId="08D5B011" w14:textId="50E6259D" w:rsidR="00532A84" w:rsidRPr="00B75E49" w:rsidRDefault="001235AA" w:rsidP="00650CBC">
      <w:pPr>
        <w:jc w:val="both"/>
        <w:rPr>
          <w:rFonts w:cstheme="minorHAnsi"/>
          <w:b/>
          <w:bCs/>
          <w:sz w:val="20"/>
          <w:szCs w:val="20"/>
        </w:rPr>
      </w:pPr>
      <w:r w:rsidRPr="001235AA">
        <w:rPr>
          <w:noProof/>
        </w:rPr>
        <w:drawing>
          <wp:inline distT="0" distB="0" distL="0" distR="0" wp14:anchorId="072BBF5E" wp14:editId="4BB9437D">
            <wp:extent cx="4961825" cy="2264247"/>
            <wp:effectExtent l="0" t="0" r="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75666" cy="2270563"/>
                    </a:xfrm>
                    <a:prstGeom prst="rect">
                      <a:avLst/>
                    </a:prstGeom>
                    <a:noFill/>
                    <a:ln>
                      <a:noFill/>
                    </a:ln>
                  </pic:spPr>
                </pic:pic>
              </a:graphicData>
            </a:graphic>
          </wp:inline>
        </w:drawing>
      </w:r>
    </w:p>
    <w:p w14:paraId="505B5280" w14:textId="1D5EE8CE" w:rsidR="00524660" w:rsidRPr="00196456" w:rsidRDefault="00524660" w:rsidP="00856985">
      <w:pPr>
        <w:jc w:val="both"/>
        <w:rPr>
          <w:sz w:val="18"/>
          <w:szCs w:val="18"/>
        </w:rPr>
      </w:pPr>
      <w:r w:rsidRPr="00C77D7B">
        <w:rPr>
          <w:sz w:val="20"/>
          <w:szCs w:val="20"/>
          <w:vertAlign w:val="superscript"/>
        </w:rPr>
        <w:t>(1)</w:t>
      </w:r>
      <w:r w:rsidRPr="00C77D7B">
        <w:rPr>
          <w:sz w:val="18"/>
          <w:szCs w:val="18"/>
        </w:rPr>
        <w:t xml:space="preserve"> </w:t>
      </w:r>
      <w:r w:rsidRPr="005B254C">
        <w:rPr>
          <w:sz w:val="18"/>
          <w:szCs w:val="18"/>
        </w:rPr>
        <w:t xml:space="preserve">Au 28 février 2022, comprend principalement </w:t>
      </w:r>
      <w:r w:rsidRPr="00196456">
        <w:rPr>
          <w:sz w:val="18"/>
          <w:szCs w:val="18"/>
        </w:rPr>
        <w:t>la non-déductibilité de certain</w:t>
      </w:r>
      <w:r w:rsidR="001235AA" w:rsidRPr="00196456">
        <w:rPr>
          <w:sz w:val="18"/>
          <w:szCs w:val="18"/>
        </w:rPr>
        <w:t>e</w:t>
      </w:r>
      <w:r w:rsidRPr="00196456">
        <w:rPr>
          <w:sz w:val="18"/>
          <w:szCs w:val="18"/>
        </w:rPr>
        <w:t>s charges</w:t>
      </w:r>
      <w:r w:rsidR="001A07DE" w:rsidRPr="00196456">
        <w:rPr>
          <w:sz w:val="18"/>
          <w:szCs w:val="18"/>
        </w:rPr>
        <w:t>,</w:t>
      </w:r>
      <w:r w:rsidRPr="00196456">
        <w:rPr>
          <w:sz w:val="18"/>
          <w:szCs w:val="18"/>
        </w:rPr>
        <w:t xml:space="preserve"> dont </w:t>
      </w:r>
      <w:r w:rsidR="001A07DE" w:rsidRPr="00196456">
        <w:rPr>
          <w:sz w:val="18"/>
          <w:szCs w:val="18"/>
        </w:rPr>
        <w:t xml:space="preserve">notamment </w:t>
      </w:r>
      <w:r w:rsidRPr="00196456">
        <w:rPr>
          <w:sz w:val="18"/>
          <w:szCs w:val="18"/>
        </w:rPr>
        <w:t xml:space="preserve">les charges liées aux rémunérations fondées sur des actions et </w:t>
      </w:r>
      <w:r w:rsidR="001A07DE" w:rsidRPr="00196456">
        <w:rPr>
          <w:sz w:val="18"/>
          <w:szCs w:val="18"/>
        </w:rPr>
        <w:t>aux</w:t>
      </w:r>
      <w:r w:rsidRPr="00196456">
        <w:rPr>
          <w:sz w:val="18"/>
          <w:szCs w:val="18"/>
        </w:rPr>
        <w:t xml:space="preserve"> complément</w:t>
      </w:r>
      <w:r w:rsidR="001A07DE" w:rsidRPr="00196456">
        <w:rPr>
          <w:sz w:val="18"/>
          <w:szCs w:val="18"/>
        </w:rPr>
        <w:t>s</w:t>
      </w:r>
      <w:r w:rsidRPr="00196456">
        <w:rPr>
          <w:sz w:val="18"/>
          <w:szCs w:val="18"/>
        </w:rPr>
        <w:t xml:space="preserve"> de prix d'acquisition.</w:t>
      </w:r>
    </w:p>
    <w:p w14:paraId="52FBDB00" w14:textId="5FA0FC50" w:rsidR="001A07DE" w:rsidRPr="00196456" w:rsidRDefault="001A07DE" w:rsidP="00856985">
      <w:pPr>
        <w:jc w:val="both"/>
        <w:rPr>
          <w:sz w:val="18"/>
          <w:szCs w:val="18"/>
        </w:rPr>
      </w:pPr>
      <w:r w:rsidRPr="007B2AAC">
        <w:rPr>
          <w:sz w:val="18"/>
          <w:szCs w:val="18"/>
          <w:vertAlign w:val="superscript"/>
        </w:rPr>
        <w:t>(2)</w:t>
      </w:r>
      <w:r w:rsidRPr="007B2AAC">
        <w:rPr>
          <w:sz w:val="18"/>
          <w:szCs w:val="18"/>
        </w:rPr>
        <w:t xml:space="preserve"> </w:t>
      </w:r>
      <w:r w:rsidR="00CE7AD4" w:rsidRPr="005B254C">
        <w:rPr>
          <w:sz w:val="18"/>
          <w:szCs w:val="18"/>
        </w:rPr>
        <w:t>Comprend les déficits fiscaux n’ayant pas fait l’objet d’une comptabilisation d’impôt différé actif, principalement sur le périmètre fiscal des Etats-Unis</w:t>
      </w:r>
      <w:r w:rsidR="00CE7AD4" w:rsidRPr="00196456">
        <w:rPr>
          <w:sz w:val="18"/>
          <w:szCs w:val="18"/>
        </w:rPr>
        <w:t xml:space="preserve">. </w:t>
      </w:r>
    </w:p>
    <w:p w14:paraId="5867AAC1" w14:textId="089ED4EE" w:rsidR="00856985" w:rsidRDefault="00856985" w:rsidP="00C77D7B">
      <w:pPr>
        <w:jc w:val="both"/>
        <w:rPr>
          <w:sz w:val="20"/>
          <w:szCs w:val="20"/>
        </w:rPr>
      </w:pPr>
      <w:r w:rsidRPr="00932D40">
        <w:rPr>
          <w:sz w:val="20"/>
          <w:szCs w:val="20"/>
        </w:rPr>
        <w:t>A ce jour, le Groupe n'active ses déficits reportables que sur le périmètre d'intégration fiscale de la France.</w:t>
      </w:r>
    </w:p>
    <w:p w14:paraId="53E0D1FD" w14:textId="28492DAF" w:rsidR="00856985" w:rsidRDefault="00856985" w:rsidP="00C77D7B">
      <w:pPr>
        <w:jc w:val="both"/>
        <w:rPr>
          <w:sz w:val="20"/>
          <w:szCs w:val="20"/>
        </w:rPr>
      </w:pPr>
      <w:r>
        <w:rPr>
          <w:sz w:val="20"/>
          <w:szCs w:val="20"/>
        </w:rPr>
        <w:t xml:space="preserve">Au 28 février </w:t>
      </w:r>
      <w:r w:rsidR="00642CC4">
        <w:rPr>
          <w:sz w:val="20"/>
          <w:szCs w:val="20"/>
        </w:rPr>
        <w:t xml:space="preserve">2021 et </w:t>
      </w:r>
      <w:r>
        <w:rPr>
          <w:sz w:val="20"/>
          <w:szCs w:val="20"/>
        </w:rPr>
        <w:t>2022</w:t>
      </w:r>
      <w:r w:rsidRPr="00932D40">
        <w:rPr>
          <w:sz w:val="20"/>
          <w:szCs w:val="20"/>
        </w:rPr>
        <w:t>, les déficits fiscaux n’ayant pas fait l’objet d’une comptabilisation d’impôt différé actif concernent pour l'essentiel le périmètre fiscal des Etats-Unis</w:t>
      </w:r>
      <w:r>
        <w:rPr>
          <w:sz w:val="20"/>
          <w:szCs w:val="20"/>
        </w:rPr>
        <w:t>.</w:t>
      </w:r>
    </w:p>
    <w:p w14:paraId="6F23816E" w14:textId="77777777" w:rsidR="00A04357" w:rsidRDefault="00A04357" w:rsidP="00D01A82">
      <w:pPr>
        <w:spacing w:after="0" w:line="240" w:lineRule="auto"/>
        <w:jc w:val="both"/>
        <w:rPr>
          <w:color w:val="2F5496"/>
        </w:rPr>
      </w:pPr>
    </w:p>
    <w:p w14:paraId="66FC25AA" w14:textId="334C5123" w:rsidR="00806CB0" w:rsidRPr="006A0C19" w:rsidRDefault="00806CB0" w:rsidP="0041512C">
      <w:pPr>
        <w:pStyle w:val="Titre2"/>
        <w:numPr>
          <w:ilvl w:val="1"/>
          <w:numId w:val="16"/>
        </w:numPr>
        <w:spacing w:before="0"/>
        <w:ind w:left="567" w:hanging="567"/>
        <w:rPr>
          <w:rFonts w:ascii="Calibri" w:hAnsi="Calibri"/>
          <w:color w:val="auto"/>
          <w:sz w:val="28"/>
          <w:szCs w:val="28"/>
        </w:rPr>
      </w:pPr>
      <w:bookmarkStart w:id="3077" w:name="_Toc74917179"/>
      <w:bookmarkStart w:id="3078" w:name="_Toc100603615"/>
      <w:bookmarkStart w:id="3079" w:name="_Toc100605222"/>
      <w:bookmarkStart w:id="3080" w:name="_Toc100684208"/>
      <w:bookmarkStart w:id="3081" w:name="_Toc100689234"/>
      <w:bookmarkStart w:id="3082" w:name="_Toc100689283"/>
      <w:r w:rsidRPr="006A0C19">
        <w:rPr>
          <w:rFonts w:ascii="Calibri" w:hAnsi="Calibri"/>
          <w:color w:val="auto"/>
          <w:sz w:val="28"/>
          <w:szCs w:val="28"/>
        </w:rPr>
        <w:t>Immobilisations incorporelles</w:t>
      </w:r>
      <w:bookmarkStart w:id="3083" w:name="_Toc62888567"/>
      <w:bookmarkEnd w:id="3077"/>
      <w:bookmarkEnd w:id="3078"/>
      <w:bookmarkEnd w:id="3079"/>
      <w:bookmarkEnd w:id="3080"/>
      <w:bookmarkEnd w:id="3081"/>
      <w:bookmarkEnd w:id="3082"/>
      <w:r w:rsidRPr="006A0C19">
        <w:rPr>
          <w:rFonts w:ascii="Calibri" w:hAnsi="Calibri"/>
          <w:color w:val="auto"/>
          <w:sz w:val="28"/>
          <w:szCs w:val="28"/>
        </w:rPr>
        <w:t xml:space="preserve"> </w:t>
      </w:r>
      <w:bookmarkEnd w:id="3083"/>
    </w:p>
    <w:p w14:paraId="597B430A" w14:textId="2E0153F1" w:rsidR="00E7509C" w:rsidRDefault="00E7509C" w:rsidP="005C7CF0"/>
    <w:p w14:paraId="15EF3963" w14:textId="592F8E7B" w:rsidR="007711BC" w:rsidRPr="006F22BC" w:rsidRDefault="007711BC" w:rsidP="007711BC">
      <w:pPr>
        <w:spacing w:after="0"/>
        <w:jc w:val="both"/>
        <w:rPr>
          <w:rStyle w:val="tlid-translation"/>
          <w:b/>
          <w:bCs/>
        </w:rPr>
      </w:pPr>
      <w:r>
        <w:rPr>
          <w:rStyle w:val="tlid-translation"/>
          <w:b/>
          <w:bCs/>
        </w:rPr>
        <w:t>Goodwill</w:t>
      </w:r>
    </w:p>
    <w:p w14:paraId="5ECD18C0" w14:textId="6A9371B6" w:rsidR="004B28A3" w:rsidRDefault="004B28A3" w:rsidP="005C7CF0"/>
    <w:p w14:paraId="62303A88" w14:textId="4DB2B291" w:rsidR="00F955CD" w:rsidRDefault="00F955CD" w:rsidP="00F955CD">
      <w:pPr>
        <w:spacing w:after="0"/>
        <w:jc w:val="both"/>
        <w:rPr>
          <w:sz w:val="20"/>
          <w:szCs w:val="20"/>
        </w:rPr>
      </w:pPr>
      <w:bookmarkStart w:id="3084" w:name="_Toc65500777"/>
      <w:bookmarkStart w:id="3085" w:name="_Toc65501315"/>
      <w:bookmarkStart w:id="3086" w:name="_Toc65501478"/>
      <w:bookmarkStart w:id="3087" w:name="_Toc65501947"/>
      <w:bookmarkStart w:id="3088" w:name="_Toc65543583"/>
      <w:bookmarkStart w:id="3089" w:name="_Toc65543760"/>
      <w:bookmarkStart w:id="3090" w:name="_Toc65543937"/>
      <w:bookmarkStart w:id="3091" w:name="_Toc65500778"/>
      <w:bookmarkStart w:id="3092" w:name="_Toc65501316"/>
      <w:bookmarkStart w:id="3093" w:name="_Toc65501479"/>
      <w:bookmarkStart w:id="3094" w:name="_Toc65501948"/>
      <w:bookmarkStart w:id="3095" w:name="_Toc65543584"/>
      <w:bookmarkStart w:id="3096" w:name="_Toc65543761"/>
      <w:bookmarkStart w:id="3097" w:name="_Toc65543938"/>
      <w:bookmarkStart w:id="3098" w:name="_Toc62888569"/>
      <w:bookmarkStart w:id="3099" w:name="_Ref64045982"/>
      <w:bookmarkStart w:id="3100" w:name="_Ref65505303"/>
      <w:bookmarkStart w:id="3101" w:name="_Ref69674668"/>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r w:rsidRPr="00B330DE">
        <w:rPr>
          <w:sz w:val="20"/>
          <w:szCs w:val="20"/>
        </w:rPr>
        <w:t>La variation du Goodwill entre le 31 août 202</w:t>
      </w:r>
      <w:r w:rsidR="00302952" w:rsidRPr="00B330DE">
        <w:rPr>
          <w:sz w:val="20"/>
          <w:szCs w:val="20"/>
        </w:rPr>
        <w:t>1</w:t>
      </w:r>
      <w:r w:rsidRPr="00B330DE">
        <w:rPr>
          <w:sz w:val="20"/>
          <w:szCs w:val="20"/>
        </w:rPr>
        <w:t xml:space="preserve"> et le </w:t>
      </w:r>
      <w:r w:rsidR="00302952" w:rsidRPr="00B330DE">
        <w:rPr>
          <w:sz w:val="20"/>
          <w:szCs w:val="20"/>
        </w:rPr>
        <w:t xml:space="preserve">28 février </w:t>
      </w:r>
      <w:r w:rsidR="00B330DE">
        <w:rPr>
          <w:sz w:val="20"/>
          <w:szCs w:val="20"/>
        </w:rPr>
        <w:t xml:space="preserve">2022 </w:t>
      </w:r>
      <w:r w:rsidRPr="00B330DE">
        <w:rPr>
          <w:sz w:val="20"/>
          <w:szCs w:val="20"/>
        </w:rPr>
        <w:t xml:space="preserve">n’est pas significative, passant de </w:t>
      </w:r>
      <w:r w:rsidR="00652295" w:rsidRPr="00B330DE">
        <w:rPr>
          <w:sz w:val="20"/>
          <w:szCs w:val="20"/>
        </w:rPr>
        <w:t>33</w:t>
      </w:r>
      <w:r w:rsidRPr="00B330DE">
        <w:rPr>
          <w:sz w:val="20"/>
          <w:szCs w:val="20"/>
        </w:rPr>
        <w:t>,8 millions d’euros au 31 août 202</w:t>
      </w:r>
      <w:r w:rsidR="00652295" w:rsidRPr="00B330DE">
        <w:rPr>
          <w:sz w:val="20"/>
          <w:szCs w:val="20"/>
        </w:rPr>
        <w:t>1</w:t>
      </w:r>
      <w:r w:rsidRPr="00B330DE">
        <w:rPr>
          <w:sz w:val="20"/>
          <w:szCs w:val="20"/>
        </w:rPr>
        <w:t xml:space="preserve"> à 2</w:t>
      </w:r>
      <w:r w:rsidR="00652295" w:rsidRPr="00B330DE">
        <w:rPr>
          <w:sz w:val="20"/>
          <w:szCs w:val="20"/>
        </w:rPr>
        <w:t>9</w:t>
      </w:r>
      <w:r w:rsidRPr="00B330DE">
        <w:rPr>
          <w:sz w:val="20"/>
          <w:szCs w:val="20"/>
        </w:rPr>
        <w:t>,</w:t>
      </w:r>
      <w:r w:rsidR="00652295" w:rsidRPr="00B330DE">
        <w:rPr>
          <w:sz w:val="20"/>
          <w:szCs w:val="20"/>
        </w:rPr>
        <w:t>5</w:t>
      </w:r>
      <w:r w:rsidRPr="00B330DE">
        <w:rPr>
          <w:sz w:val="20"/>
          <w:szCs w:val="20"/>
        </w:rPr>
        <w:t xml:space="preserve"> millions d’euros au </w:t>
      </w:r>
      <w:r w:rsidR="00652295" w:rsidRPr="00B330DE">
        <w:rPr>
          <w:sz w:val="20"/>
          <w:szCs w:val="20"/>
        </w:rPr>
        <w:t>28 février 2022</w:t>
      </w:r>
      <w:r w:rsidRPr="00B330DE">
        <w:rPr>
          <w:sz w:val="20"/>
          <w:szCs w:val="20"/>
        </w:rPr>
        <w:t xml:space="preserve">, du fait des effets de </w:t>
      </w:r>
      <w:r w:rsidR="003368A9">
        <w:rPr>
          <w:sz w:val="20"/>
          <w:szCs w:val="20"/>
        </w:rPr>
        <w:t xml:space="preserve">la </w:t>
      </w:r>
      <w:r w:rsidRPr="00B330DE">
        <w:rPr>
          <w:sz w:val="20"/>
          <w:szCs w:val="20"/>
        </w:rPr>
        <w:t>conversion</w:t>
      </w:r>
      <w:r w:rsidR="00447B33" w:rsidRPr="00B330DE">
        <w:rPr>
          <w:sz w:val="20"/>
          <w:szCs w:val="20"/>
        </w:rPr>
        <w:t xml:space="preserve"> </w:t>
      </w:r>
      <w:r w:rsidR="00652295" w:rsidRPr="00B330DE">
        <w:rPr>
          <w:sz w:val="20"/>
          <w:szCs w:val="20"/>
        </w:rPr>
        <w:t xml:space="preserve">et de la finalisation de l’allocation du prix d’acquisition </w:t>
      </w:r>
      <w:r w:rsidR="0098534F" w:rsidRPr="00B330DE">
        <w:rPr>
          <w:sz w:val="20"/>
          <w:szCs w:val="20"/>
        </w:rPr>
        <w:t xml:space="preserve">de </w:t>
      </w:r>
      <w:proofErr w:type="spellStart"/>
      <w:r w:rsidR="0098534F" w:rsidRPr="00B330DE">
        <w:rPr>
          <w:sz w:val="20"/>
          <w:szCs w:val="20"/>
        </w:rPr>
        <w:t>BuyDRM</w:t>
      </w:r>
      <w:proofErr w:type="spellEnd"/>
      <w:r w:rsidR="00B330DE">
        <w:rPr>
          <w:sz w:val="20"/>
          <w:szCs w:val="20"/>
        </w:rPr>
        <w:t xml:space="preserve"> (société acquise le 22 juillet 202</w:t>
      </w:r>
      <w:r w:rsidR="00DB147F">
        <w:rPr>
          <w:sz w:val="20"/>
          <w:szCs w:val="20"/>
        </w:rPr>
        <w:t>1</w:t>
      </w:r>
      <w:r w:rsidR="00B330DE">
        <w:rPr>
          <w:sz w:val="20"/>
          <w:szCs w:val="20"/>
        </w:rPr>
        <w:t>)</w:t>
      </w:r>
      <w:r w:rsidR="00000E01" w:rsidRPr="00B330DE">
        <w:rPr>
          <w:sz w:val="20"/>
          <w:szCs w:val="20"/>
        </w:rPr>
        <w:t>, ayant conduit à re</w:t>
      </w:r>
      <w:r w:rsidR="009E74D7">
        <w:rPr>
          <w:sz w:val="20"/>
          <w:szCs w:val="20"/>
        </w:rPr>
        <w:t>classer</w:t>
      </w:r>
      <w:r w:rsidR="00000E01" w:rsidRPr="00B330DE">
        <w:rPr>
          <w:sz w:val="20"/>
          <w:szCs w:val="20"/>
        </w:rPr>
        <w:t xml:space="preserve"> </w:t>
      </w:r>
      <w:r w:rsidR="001036C4" w:rsidRPr="00B330DE">
        <w:rPr>
          <w:sz w:val="20"/>
          <w:szCs w:val="20"/>
        </w:rPr>
        <w:t>7,1 millions d’euros</w:t>
      </w:r>
      <w:r w:rsidR="00A17763">
        <w:rPr>
          <w:sz w:val="20"/>
          <w:szCs w:val="20"/>
        </w:rPr>
        <w:t xml:space="preserve"> en immobilisations incorporelles</w:t>
      </w:r>
      <w:r w:rsidR="001036C4" w:rsidRPr="00B330DE">
        <w:rPr>
          <w:sz w:val="20"/>
          <w:szCs w:val="20"/>
        </w:rPr>
        <w:t xml:space="preserve"> au titre de la technologie. </w:t>
      </w:r>
    </w:p>
    <w:p w14:paraId="4532298A" w14:textId="79D64206" w:rsidR="00394136" w:rsidRPr="00B330DE" w:rsidRDefault="00394136">
      <w:pPr>
        <w:spacing w:after="0" w:line="240" w:lineRule="auto"/>
        <w:rPr>
          <w:sz w:val="20"/>
          <w:szCs w:val="20"/>
        </w:rPr>
      </w:pPr>
    </w:p>
    <w:p w14:paraId="44734997" w14:textId="2D115170" w:rsidR="00CC7A57" w:rsidRDefault="00CC7A57">
      <w:pPr>
        <w:spacing w:after="0" w:line="240" w:lineRule="auto"/>
        <w:rPr>
          <w:rStyle w:val="tlid-translation"/>
          <w:b/>
          <w:bCs/>
        </w:rPr>
      </w:pPr>
    </w:p>
    <w:p w14:paraId="72E0FC09" w14:textId="77777777" w:rsidR="00AA35F8" w:rsidRDefault="00AA35F8">
      <w:pPr>
        <w:spacing w:after="0" w:line="240" w:lineRule="auto"/>
        <w:rPr>
          <w:rStyle w:val="tlid-translation"/>
          <w:b/>
          <w:bCs/>
        </w:rPr>
      </w:pPr>
      <w:r>
        <w:rPr>
          <w:rStyle w:val="tlid-translation"/>
          <w:b/>
          <w:bCs/>
        </w:rPr>
        <w:br w:type="page"/>
      </w:r>
    </w:p>
    <w:p w14:paraId="597F6EEB" w14:textId="0C6DFF1F" w:rsidR="00806CB0" w:rsidRDefault="00BD66EC" w:rsidP="00017753">
      <w:pPr>
        <w:spacing w:after="0"/>
        <w:jc w:val="both"/>
        <w:rPr>
          <w:rStyle w:val="tlid-translation"/>
          <w:b/>
          <w:bCs/>
        </w:rPr>
      </w:pPr>
      <w:r w:rsidRPr="001C1925">
        <w:rPr>
          <w:rStyle w:val="tlid-translation"/>
          <w:b/>
          <w:bCs/>
        </w:rPr>
        <w:lastRenderedPageBreak/>
        <w:t>Autres i</w:t>
      </w:r>
      <w:r w:rsidR="00806CB0" w:rsidRPr="001C1925">
        <w:rPr>
          <w:rStyle w:val="tlid-translation"/>
          <w:b/>
          <w:bCs/>
        </w:rPr>
        <w:t>mmobilisations incorporelles</w:t>
      </w:r>
      <w:bookmarkEnd w:id="3098"/>
      <w:bookmarkEnd w:id="3099"/>
      <w:bookmarkEnd w:id="3100"/>
      <w:bookmarkEnd w:id="3101"/>
    </w:p>
    <w:p w14:paraId="54D86166" w14:textId="77777777" w:rsidR="00CC7A57" w:rsidRPr="006F22BC" w:rsidRDefault="00CC7A57" w:rsidP="00017753">
      <w:pPr>
        <w:spacing w:after="0"/>
        <w:jc w:val="both"/>
        <w:rPr>
          <w:rStyle w:val="tlid-translation"/>
          <w:b/>
          <w:bCs/>
        </w:rPr>
      </w:pPr>
    </w:p>
    <w:p w14:paraId="2714FED5" w14:textId="4DB60B04" w:rsidR="00C62268" w:rsidRPr="006F22BC" w:rsidRDefault="006E0074" w:rsidP="00017753">
      <w:pPr>
        <w:spacing w:after="0"/>
        <w:jc w:val="both"/>
        <w:rPr>
          <w:rStyle w:val="tlid-translation"/>
          <w:b/>
          <w:bCs/>
        </w:rPr>
      </w:pPr>
      <w:r w:rsidRPr="006E0074">
        <w:rPr>
          <w:rStyle w:val="tlid-translation"/>
          <w:noProof/>
        </w:rPr>
        <w:drawing>
          <wp:inline distT="0" distB="0" distL="0" distR="0" wp14:anchorId="6302864D" wp14:editId="17CCD196">
            <wp:extent cx="4780051" cy="3487375"/>
            <wp:effectExtent l="0" t="0" r="190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89650" cy="3494378"/>
                    </a:xfrm>
                    <a:prstGeom prst="rect">
                      <a:avLst/>
                    </a:prstGeom>
                    <a:noFill/>
                    <a:ln>
                      <a:noFill/>
                    </a:ln>
                  </pic:spPr>
                </pic:pic>
              </a:graphicData>
            </a:graphic>
          </wp:inline>
        </w:drawing>
      </w:r>
    </w:p>
    <w:p w14:paraId="3C58497F" w14:textId="794BCFB6" w:rsidR="0050072E" w:rsidRDefault="0050072E" w:rsidP="00354E32">
      <w:pPr>
        <w:spacing w:after="0"/>
        <w:jc w:val="both"/>
        <w:rPr>
          <w:rFonts w:cs="Calibri"/>
          <w:sz w:val="20"/>
          <w:szCs w:val="20"/>
        </w:rPr>
      </w:pPr>
    </w:p>
    <w:p w14:paraId="6C6C604B" w14:textId="77777777" w:rsidR="00E463E7" w:rsidRDefault="00E463E7" w:rsidP="00354E32">
      <w:pPr>
        <w:spacing w:after="0"/>
        <w:jc w:val="both"/>
        <w:rPr>
          <w:rFonts w:cs="Calibri"/>
          <w:sz w:val="20"/>
          <w:szCs w:val="20"/>
        </w:rPr>
      </w:pPr>
    </w:p>
    <w:p w14:paraId="24E0F0C9" w14:textId="1C18B5B1" w:rsidR="00FD61B3" w:rsidRPr="00486869" w:rsidRDefault="008813D8" w:rsidP="00FD61B3">
      <w:pPr>
        <w:pStyle w:val="NormalWeb"/>
        <w:jc w:val="both"/>
        <w:rPr>
          <w:rFonts w:asciiTheme="minorHAnsi" w:hAnsiTheme="minorHAnsi" w:cstheme="minorHAnsi"/>
          <w:sz w:val="20"/>
          <w:szCs w:val="20"/>
        </w:rPr>
      </w:pPr>
      <w:r>
        <w:rPr>
          <w:rFonts w:asciiTheme="minorHAnsi" w:hAnsiTheme="minorHAnsi" w:cstheme="minorHAnsi"/>
          <w:sz w:val="20"/>
          <w:szCs w:val="20"/>
        </w:rPr>
        <w:t>Au titre du premier semestre 2022, le total de</w:t>
      </w:r>
      <w:r w:rsidRPr="00486869">
        <w:rPr>
          <w:rFonts w:asciiTheme="minorHAnsi" w:hAnsiTheme="minorHAnsi" w:cstheme="minorHAnsi"/>
          <w:sz w:val="20"/>
          <w:szCs w:val="20"/>
        </w:rPr>
        <w:t xml:space="preserve">s </w:t>
      </w:r>
      <w:r w:rsidR="00FD61B3" w:rsidRPr="00486869">
        <w:rPr>
          <w:rFonts w:asciiTheme="minorHAnsi" w:hAnsiTheme="minorHAnsi" w:cstheme="minorHAnsi"/>
          <w:sz w:val="20"/>
          <w:szCs w:val="20"/>
        </w:rPr>
        <w:t xml:space="preserve">dépenses de recherche et développement d’OVHcloud s’élèvent à </w:t>
      </w:r>
      <w:r w:rsidR="00486869" w:rsidRPr="00C77D7B">
        <w:rPr>
          <w:rFonts w:asciiTheme="minorHAnsi" w:hAnsiTheme="minorHAnsi" w:cstheme="minorHAnsi"/>
          <w:sz w:val="20"/>
          <w:szCs w:val="20"/>
        </w:rPr>
        <w:t xml:space="preserve">45,6 </w:t>
      </w:r>
      <w:r w:rsidR="00FD61B3" w:rsidRPr="00C77D7B">
        <w:rPr>
          <w:rFonts w:asciiTheme="minorHAnsi" w:hAnsiTheme="minorHAnsi" w:cstheme="minorHAnsi"/>
          <w:sz w:val="20"/>
          <w:szCs w:val="20"/>
        </w:rPr>
        <w:t>millions d’euros</w:t>
      </w:r>
      <w:r w:rsidR="00FD61B3" w:rsidRPr="00486869">
        <w:rPr>
          <w:rFonts w:asciiTheme="minorHAnsi" w:hAnsiTheme="minorHAnsi" w:cstheme="minorHAnsi"/>
          <w:sz w:val="20"/>
          <w:szCs w:val="20"/>
        </w:rPr>
        <w:t xml:space="preserve">, et comprennent </w:t>
      </w:r>
      <w:r w:rsidR="00394136" w:rsidRPr="00486869">
        <w:rPr>
          <w:rFonts w:asciiTheme="minorHAnsi" w:hAnsiTheme="minorHAnsi" w:cstheme="minorHAnsi"/>
          <w:sz w:val="20"/>
          <w:szCs w:val="20"/>
        </w:rPr>
        <w:t>34</w:t>
      </w:r>
      <w:r w:rsidR="00B64467" w:rsidRPr="00486869">
        <w:rPr>
          <w:rFonts w:asciiTheme="minorHAnsi" w:hAnsiTheme="minorHAnsi" w:cstheme="minorHAnsi"/>
          <w:sz w:val="20"/>
          <w:szCs w:val="20"/>
        </w:rPr>
        <w:t>,5</w:t>
      </w:r>
      <w:r w:rsidR="00FD61B3" w:rsidRPr="00486869">
        <w:rPr>
          <w:rFonts w:asciiTheme="minorHAnsi" w:hAnsiTheme="minorHAnsi" w:cstheme="minorHAnsi"/>
          <w:sz w:val="20"/>
          <w:szCs w:val="20"/>
        </w:rPr>
        <w:t xml:space="preserve"> millions d’euros de coûts capitalisés (</w:t>
      </w:r>
      <w:r w:rsidR="00B64467" w:rsidRPr="00486869">
        <w:rPr>
          <w:rFonts w:asciiTheme="minorHAnsi" w:hAnsiTheme="minorHAnsi" w:cstheme="minorHAnsi"/>
          <w:sz w:val="20"/>
          <w:szCs w:val="20"/>
        </w:rPr>
        <w:t>29</w:t>
      </w:r>
      <w:r w:rsidR="00FD61B3" w:rsidRPr="00486869">
        <w:rPr>
          <w:rFonts w:asciiTheme="minorHAnsi" w:hAnsiTheme="minorHAnsi" w:cstheme="minorHAnsi"/>
          <w:sz w:val="20"/>
          <w:szCs w:val="20"/>
        </w:rPr>
        <w:t>,</w:t>
      </w:r>
      <w:r w:rsidR="00B64467" w:rsidRPr="00486869">
        <w:rPr>
          <w:rFonts w:asciiTheme="minorHAnsi" w:hAnsiTheme="minorHAnsi" w:cstheme="minorHAnsi"/>
          <w:sz w:val="20"/>
          <w:szCs w:val="20"/>
        </w:rPr>
        <w:t>6</w:t>
      </w:r>
      <w:r w:rsidR="00FD61B3" w:rsidRPr="00486869">
        <w:rPr>
          <w:rFonts w:asciiTheme="minorHAnsi" w:hAnsiTheme="minorHAnsi" w:cstheme="minorHAnsi"/>
          <w:sz w:val="20"/>
          <w:szCs w:val="20"/>
        </w:rPr>
        <w:t xml:space="preserve"> millions d’euros </w:t>
      </w:r>
      <w:r w:rsidR="00295DD0" w:rsidRPr="00486869">
        <w:rPr>
          <w:rFonts w:asciiTheme="minorHAnsi" w:hAnsiTheme="minorHAnsi" w:cstheme="minorHAnsi"/>
          <w:sz w:val="20"/>
          <w:szCs w:val="20"/>
        </w:rPr>
        <w:t xml:space="preserve">ont été capitalisés </w:t>
      </w:r>
      <w:r w:rsidR="00FD61B3" w:rsidRPr="00486869">
        <w:rPr>
          <w:rFonts w:asciiTheme="minorHAnsi" w:hAnsiTheme="minorHAnsi" w:cstheme="minorHAnsi"/>
          <w:sz w:val="20"/>
          <w:szCs w:val="20"/>
        </w:rPr>
        <w:t xml:space="preserve">au </w:t>
      </w:r>
      <w:r w:rsidR="00B64467" w:rsidRPr="00486869">
        <w:rPr>
          <w:rFonts w:asciiTheme="minorHAnsi" w:hAnsiTheme="minorHAnsi" w:cstheme="minorHAnsi"/>
          <w:sz w:val="20"/>
          <w:szCs w:val="20"/>
        </w:rPr>
        <w:t>28</w:t>
      </w:r>
      <w:r w:rsidR="00FD61B3" w:rsidRPr="00486869">
        <w:rPr>
          <w:rFonts w:asciiTheme="minorHAnsi" w:hAnsiTheme="minorHAnsi" w:cstheme="minorHAnsi"/>
          <w:sz w:val="20"/>
          <w:szCs w:val="20"/>
        </w:rPr>
        <w:t xml:space="preserve"> </w:t>
      </w:r>
      <w:r w:rsidR="00B64467" w:rsidRPr="00486869">
        <w:rPr>
          <w:rFonts w:asciiTheme="minorHAnsi" w:hAnsiTheme="minorHAnsi" w:cstheme="minorHAnsi"/>
          <w:sz w:val="20"/>
          <w:szCs w:val="20"/>
        </w:rPr>
        <w:t>février 2021</w:t>
      </w:r>
      <w:r w:rsidR="00FD61B3" w:rsidRPr="00486869">
        <w:rPr>
          <w:rFonts w:asciiTheme="minorHAnsi" w:hAnsiTheme="minorHAnsi" w:cstheme="minorHAnsi"/>
          <w:sz w:val="20"/>
          <w:szCs w:val="20"/>
        </w:rPr>
        <w:t xml:space="preserve">). Ces coûts capitalisés, qui répondent aux critères de la norme IAS 38 « Immobilisations incorporelles », sont fondamentaux pour le développement, la fabrication, la mise en œuvre et la commercialisation de technologies et de logiciels nouveaux ou en amélioration continue. </w:t>
      </w:r>
      <w:r w:rsidRPr="008813D8">
        <w:rPr>
          <w:rFonts w:asciiTheme="minorHAnsi" w:hAnsiTheme="minorHAnsi" w:cstheme="minorHAnsi"/>
          <w:sz w:val="20"/>
          <w:szCs w:val="20"/>
        </w:rPr>
        <w:t xml:space="preserve">Au 28 février 2022, les coûts de développement capitalisés </w:t>
      </w:r>
      <w:r w:rsidR="00762DAA">
        <w:rPr>
          <w:rFonts w:asciiTheme="minorHAnsi" w:hAnsiTheme="minorHAnsi" w:cstheme="minorHAnsi"/>
          <w:sz w:val="20"/>
          <w:szCs w:val="20"/>
        </w:rPr>
        <w:t xml:space="preserve">(mis en service et non mis en service) </w:t>
      </w:r>
      <w:r w:rsidRPr="008813D8">
        <w:rPr>
          <w:rFonts w:asciiTheme="minorHAnsi" w:hAnsiTheme="minorHAnsi" w:cstheme="minorHAnsi"/>
          <w:sz w:val="20"/>
          <w:szCs w:val="20"/>
        </w:rPr>
        <w:t>s’élèvent en cumul à 148,</w:t>
      </w:r>
      <w:r>
        <w:rPr>
          <w:rFonts w:asciiTheme="minorHAnsi" w:hAnsiTheme="minorHAnsi" w:cstheme="minorHAnsi"/>
          <w:sz w:val="20"/>
          <w:szCs w:val="20"/>
        </w:rPr>
        <w:t>2</w:t>
      </w:r>
      <w:r w:rsidRPr="008813D8">
        <w:rPr>
          <w:rFonts w:asciiTheme="minorHAnsi" w:hAnsiTheme="minorHAnsi" w:cstheme="minorHAnsi"/>
          <w:sz w:val="20"/>
          <w:szCs w:val="20"/>
        </w:rPr>
        <w:t xml:space="preserve"> millions d’euros</w:t>
      </w:r>
      <w:r>
        <w:rPr>
          <w:rFonts w:asciiTheme="minorHAnsi" w:hAnsiTheme="minorHAnsi" w:cstheme="minorHAnsi"/>
          <w:sz w:val="20"/>
          <w:szCs w:val="20"/>
        </w:rPr>
        <w:t xml:space="preserve"> </w:t>
      </w:r>
      <w:r w:rsidR="00762DAA">
        <w:rPr>
          <w:rFonts w:asciiTheme="minorHAnsi" w:hAnsiTheme="minorHAnsi" w:cstheme="minorHAnsi"/>
          <w:sz w:val="20"/>
          <w:szCs w:val="20"/>
        </w:rPr>
        <w:t>(</w:t>
      </w:r>
      <w:r>
        <w:rPr>
          <w:rFonts w:asciiTheme="minorHAnsi" w:hAnsiTheme="minorHAnsi" w:cstheme="minorHAnsi"/>
          <w:sz w:val="20"/>
          <w:szCs w:val="20"/>
        </w:rPr>
        <w:t>au 31 août 2021 : 113,7 millions d’euros).</w:t>
      </w:r>
    </w:p>
    <w:p w14:paraId="64820797" w14:textId="1601A52C" w:rsidR="00FD61B3" w:rsidRPr="00486869" w:rsidRDefault="00FD61B3" w:rsidP="00FD61B3">
      <w:pPr>
        <w:pStyle w:val="NormalWeb"/>
        <w:jc w:val="both"/>
        <w:rPr>
          <w:rFonts w:asciiTheme="minorHAnsi" w:hAnsiTheme="minorHAnsi" w:cstheme="minorHAnsi"/>
          <w:sz w:val="20"/>
          <w:szCs w:val="20"/>
        </w:rPr>
      </w:pPr>
      <w:r w:rsidRPr="00486869">
        <w:rPr>
          <w:rFonts w:asciiTheme="minorHAnsi" w:hAnsiTheme="minorHAnsi" w:cstheme="minorHAnsi"/>
          <w:sz w:val="20"/>
          <w:szCs w:val="20"/>
        </w:rPr>
        <w:t xml:space="preserve">Parmi les coûts capitalisés, </w:t>
      </w:r>
      <w:r w:rsidR="00C63699" w:rsidRPr="00486869">
        <w:rPr>
          <w:rFonts w:asciiTheme="minorHAnsi" w:hAnsiTheme="minorHAnsi" w:cstheme="minorHAnsi"/>
          <w:sz w:val="20"/>
          <w:szCs w:val="20"/>
        </w:rPr>
        <w:t>16</w:t>
      </w:r>
      <w:r w:rsidRPr="00486869">
        <w:rPr>
          <w:rFonts w:asciiTheme="minorHAnsi" w:hAnsiTheme="minorHAnsi" w:cstheme="minorHAnsi"/>
          <w:sz w:val="20"/>
          <w:szCs w:val="20"/>
        </w:rPr>
        <w:t>,</w:t>
      </w:r>
      <w:r w:rsidR="00C63699" w:rsidRPr="00486869">
        <w:rPr>
          <w:rFonts w:asciiTheme="minorHAnsi" w:hAnsiTheme="minorHAnsi" w:cstheme="minorHAnsi"/>
          <w:sz w:val="20"/>
          <w:szCs w:val="20"/>
        </w:rPr>
        <w:t>1</w:t>
      </w:r>
      <w:r w:rsidRPr="00486869">
        <w:rPr>
          <w:rFonts w:asciiTheme="minorHAnsi" w:hAnsiTheme="minorHAnsi" w:cstheme="minorHAnsi"/>
          <w:sz w:val="20"/>
          <w:szCs w:val="20"/>
        </w:rPr>
        <w:t xml:space="preserve"> millions d’euros correspondent à des coûts internes (coûts du personnel)</w:t>
      </w:r>
      <w:r w:rsidRPr="00486869">
        <w:rPr>
          <w:rFonts w:asciiTheme="minorHAnsi" w:hAnsiTheme="minorHAnsi" w:cstheme="minorHAnsi"/>
          <w:sz w:val="20"/>
          <w:szCs w:val="20"/>
        </w:rPr>
        <w:br/>
        <w:t>(1</w:t>
      </w:r>
      <w:r w:rsidR="00C63699" w:rsidRPr="00486869">
        <w:rPr>
          <w:rFonts w:asciiTheme="minorHAnsi" w:hAnsiTheme="minorHAnsi" w:cstheme="minorHAnsi"/>
          <w:sz w:val="20"/>
          <w:szCs w:val="20"/>
        </w:rPr>
        <w:t>4</w:t>
      </w:r>
      <w:r w:rsidRPr="00486869">
        <w:rPr>
          <w:rFonts w:asciiTheme="minorHAnsi" w:hAnsiTheme="minorHAnsi" w:cstheme="minorHAnsi"/>
          <w:sz w:val="20"/>
          <w:szCs w:val="20"/>
        </w:rPr>
        <w:t xml:space="preserve">,1 millions d’euros au </w:t>
      </w:r>
      <w:r w:rsidR="00C63699" w:rsidRPr="00486869">
        <w:rPr>
          <w:rFonts w:asciiTheme="minorHAnsi" w:hAnsiTheme="minorHAnsi" w:cstheme="minorHAnsi"/>
          <w:sz w:val="20"/>
          <w:szCs w:val="20"/>
        </w:rPr>
        <w:t>28 février 2021</w:t>
      </w:r>
      <w:r w:rsidRPr="00486869">
        <w:rPr>
          <w:rFonts w:asciiTheme="minorHAnsi" w:hAnsiTheme="minorHAnsi" w:cstheme="minorHAnsi"/>
          <w:sz w:val="20"/>
          <w:szCs w:val="20"/>
        </w:rPr>
        <w:t xml:space="preserve">), et </w:t>
      </w:r>
      <w:r w:rsidR="00C63699" w:rsidRPr="00486869">
        <w:rPr>
          <w:rFonts w:asciiTheme="minorHAnsi" w:hAnsiTheme="minorHAnsi" w:cstheme="minorHAnsi"/>
          <w:sz w:val="20"/>
          <w:szCs w:val="20"/>
        </w:rPr>
        <w:t>18,4</w:t>
      </w:r>
      <w:r w:rsidRPr="00486869">
        <w:rPr>
          <w:rFonts w:asciiTheme="minorHAnsi" w:hAnsiTheme="minorHAnsi" w:cstheme="minorHAnsi"/>
          <w:sz w:val="20"/>
          <w:szCs w:val="20"/>
        </w:rPr>
        <w:t xml:space="preserve"> millions d’euros à des coûts externes (logiciels, prestations) </w:t>
      </w:r>
      <w:r w:rsidRPr="00486869">
        <w:rPr>
          <w:rFonts w:asciiTheme="minorHAnsi" w:hAnsiTheme="minorHAnsi" w:cstheme="minorHAnsi"/>
          <w:sz w:val="20"/>
          <w:szCs w:val="20"/>
        </w:rPr>
        <w:br/>
        <w:t>(</w:t>
      </w:r>
      <w:r w:rsidR="00C63699" w:rsidRPr="00486869">
        <w:rPr>
          <w:rFonts w:asciiTheme="minorHAnsi" w:hAnsiTheme="minorHAnsi" w:cstheme="minorHAnsi"/>
          <w:sz w:val="20"/>
          <w:szCs w:val="20"/>
        </w:rPr>
        <w:t>15</w:t>
      </w:r>
      <w:r w:rsidRPr="00486869">
        <w:rPr>
          <w:rFonts w:asciiTheme="minorHAnsi" w:hAnsiTheme="minorHAnsi" w:cstheme="minorHAnsi"/>
          <w:sz w:val="20"/>
          <w:szCs w:val="20"/>
        </w:rPr>
        <w:t>,</w:t>
      </w:r>
      <w:r w:rsidR="00C63699" w:rsidRPr="00486869">
        <w:rPr>
          <w:rFonts w:asciiTheme="minorHAnsi" w:hAnsiTheme="minorHAnsi" w:cstheme="minorHAnsi"/>
          <w:sz w:val="20"/>
          <w:szCs w:val="20"/>
        </w:rPr>
        <w:t>5</w:t>
      </w:r>
      <w:r w:rsidRPr="00486869">
        <w:rPr>
          <w:rFonts w:asciiTheme="minorHAnsi" w:hAnsiTheme="minorHAnsi" w:cstheme="minorHAnsi"/>
          <w:sz w:val="20"/>
          <w:szCs w:val="20"/>
        </w:rPr>
        <w:t xml:space="preserve"> millions d’euros </w:t>
      </w:r>
      <w:r w:rsidR="00C63699" w:rsidRPr="00486869">
        <w:rPr>
          <w:rFonts w:asciiTheme="minorHAnsi" w:hAnsiTheme="minorHAnsi" w:cstheme="minorHAnsi"/>
          <w:sz w:val="20"/>
          <w:szCs w:val="20"/>
        </w:rPr>
        <w:t>au 28 février 2021</w:t>
      </w:r>
      <w:r w:rsidRPr="00486869">
        <w:rPr>
          <w:rFonts w:asciiTheme="minorHAnsi" w:hAnsiTheme="minorHAnsi" w:cstheme="minorHAnsi"/>
          <w:sz w:val="20"/>
          <w:szCs w:val="20"/>
        </w:rPr>
        <w:t xml:space="preserve">). </w:t>
      </w:r>
    </w:p>
    <w:p w14:paraId="6B6A0B03" w14:textId="3791E9AD" w:rsidR="00FD61B3" w:rsidRPr="00C77D7B" w:rsidRDefault="00FD61B3" w:rsidP="00FD61B3">
      <w:pPr>
        <w:pStyle w:val="NormalWeb"/>
        <w:jc w:val="both"/>
        <w:rPr>
          <w:rFonts w:asciiTheme="minorHAnsi" w:hAnsiTheme="minorHAnsi" w:cstheme="minorHAnsi"/>
          <w:sz w:val="20"/>
          <w:szCs w:val="20"/>
        </w:rPr>
      </w:pPr>
      <w:r w:rsidRPr="00486869">
        <w:rPr>
          <w:rFonts w:asciiTheme="minorHAnsi" w:hAnsiTheme="minorHAnsi" w:cstheme="minorHAnsi"/>
          <w:sz w:val="20"/>
          <w:szCs w:val="20"/>
        </w:rPr>
        <w:t xml:space="preserve">Les coûts internes capitalisés comprennent essentiellement des projets de refonte des systèmes d’information pour </w:t>
      </w:r>
      <w:r w:rsidR="00486869" w:rsidRPr="00C77D7B">
        <w:rPr>
          <w:rFonts w:asciiTheme="minorHAnsi" w:hAnsiTheme="minorHAnsi" w:cstheme="minorHAnsi"/>
          <w:sz w:val="20"/>
          <w:szCs w:val="20"/>
        </w:rPr>
        <w:t xml:space="preserve">6,7 </w:t>
      </w:r>
      <w:r w:rsidRPr="00C77D7B">
        <w:rPr>
          <w:rFonts w:asciiTheme="minorHAnsi" w:hAnsiTheme="minorHAnsi" w:cstheme="minorHAnsi"/>
          <w:sz w:val="20"/>
          <w:szCs w:val="20"/>
        </w:rPr>
        <w:t>millions d’euros (</w:t>
      </w:r>
      <w:r w:rsidR="00486869" w:rsidRPr="00C77D7B">
        <w:rPr>
          <w:rFonts w:asciiTheme="minorHAnsi" w:hAnsiTheme="minorHAnsi" w:cstheme="minorHAnsi"/>
          <w:sz w:val="20"/>
          <w:szCs w:val="20"/>
        </w:rPr>
        <w:t xml:space="preserve">5,9 </w:t>
      </w:r>
      <w:r w:rsidRPr="00C77D7B">
        <w:rPr>
          <w:rFonts w:asciiTheme="minorHAnsi" w:hAnsiTheme="minorHAnsi" w:cstheme="minorHAnsi"/>
          <w:sz w:val="20"/>
          <w:szCs w:val="20"/>
        </w:rPr>
        <w:t xml:space="preserve">millions d’euros </w:t>
      </w:r>
      <w:r w:rsidR="00E3141D" w:rsidRPr="00486869">
        <w:rPr>
          <w:rFonts w:asciiTheme="minorHAnsi" w:hAnsiTheme="minorHAnsi" w:cstheme="minorHAnsi"/>
          <w:sz w:val="20"/>
          <w:szCs w:val="20"/>
        </w:rPr>
        <w:t>au 28 février 2021</w:t>
      </w:r>
      <w:r w:rsidRPr="00486869">
        <w:rPr>
          <w:rFonts w:asciiTheme="minorHAnsi" w:hAnsiTheme="minorHAnsi" w:cstheme="minorHAnsi"/>
          <w:sz w:val="20"/>
          <w:szCs w:val="20"/>
        </w:rPr>
        <w:t>) et des projets de développement de nouveaux services à destination des clients pour</w:t>
      </w:r>
      <w:r w:rsidRPr="00C77D7B">
        <w:rPr>
          <w:rFonts w:asciiTheme="minorHAnsi" w:hAnsiTheme="minorHAnsi" w:cstheme="minorHAnsi"/>
          <w:sz w:val="20"/>
          <w:szCs w:val="20"/>
        </w:rPr>
        <w:t xml:space="preserve"> </w:t>
      </w:r>
      <w:r w:rsidR="00486869" w:rsidRPr="00C77D7B">
        <w:rPr>
          <w:rFonts w:asciiTheme="minorHAnsi" w:hAnsiTheme="minorHAnsi" w:cstheme="minorHAnsi"/>
          <w:sz w:val="20"/>
          <w:szCs w:val="20"/>
        </w:rPr>
        <w:t xml:space="preserve">9,5 </w:t>
      </w:r>
      <w:r w:rsidRPr="00C77D7B">
        <w:rPr>
          <w:rFonts w:asciiTheme="minorHAnsi" w:hAnsiTheme="minorHAnsi" w:cstheme="minorHAnsi"/>
          <w:sz w:val="20"/>
          <w:szCs w:val="20"/>
        </w:rPr>
        <w:t>millions d’euros (</w:t>
      </w:r>
      <w:r w:rsidR="00486869" w:rsidRPr="00C77D7B">
        <w:rPr>
          <w:rFonts w:asciiTheme="minorHAnsi" w:hAnsiTheme="minorHAnsi" w:cstheme="minorHAnsi"/>
          <w:sz w:val="20"/>
          <w:szCs w:val="20"/>
        </w:rPr>
        <w:t xml:space="preserve">8,2 </w:t>
      </w:r>
      <w:r w:rsidRPr="00C77D7B">
        <w:rPr>
          <w:rFonts w:asciiTheme="minorHAnsi" w:hAnsiTheme="minorHAnsi" w:cstheme="minorHAnsi"/>
          <w:sz w:val="20"/>
          <w:szCs w:val="20"/>
        </w:rPr>
        <w:t xml:space="preserve">millions d’euros </w:t>
      </w:r>
      <w:r w:rsidR="00E3141D" w:rsidRPr="00486869">
        <w:rPr>
          <w:rFonts w:asciiTheme="minorHAnsi" w:hAnsiTheme="minorHAnsi" w:cstheme="minorHAnsi"/>
          <w:sz w:val="20"/>
          <w:szCs w:val="20"/>
        </w:rPr>
        <w:t>au 28 février 2021</w:t>
      </w:r>
      <w:r w:rsidRPr="00486869">
        <w:rPr>
          <w:rFonts w:asciiTheme="minorHAnsi" w:hAnsiTheme="minorHAnsi" w:cstheme="minorHAnsi"/>
          <w:sz w:val="20"/>
          <w:szCs w:val="20"/>
        </w:rPr>
        <w:t xml:space="preserve">). </w:t>
      </w:r>
    </w:p>
    <w:p w14:paraId="55E52B17" w14:textId="59531C40" w:rsidR="00BB45DD" w:rsidRDefault="00B330DE" w:rsidP="00F84B4C">
      <w:pPr>
        <w:jc w:val="both"/>
        <w:rPr>
          <w:rStyle w:val="tlid-translation"/>
          <w:sz w:val="20"/>
          <w:szCs w:val="20"/>
        </w:rPr>
      </w:pPr>
      <w:r w:rsidRPr="00483FA3">
        <w:rPr>
          <w:rStyle w:val="tlid-translation"/>
          <w:sz w:val="20"/>
          <w:szCs w:val="20"/>
        </w:rPr>
        <w:t xml:space="preserve">Par ailleurs, l’allocation du prix d’acquisition de la société </w:t>
      </w:r>
      <w:proofErr w:type="spellStart"/>
      <w:r w:rsidRPr="00483FA3">
        <w:rPr>
          <w:rStyle w:val="tlid-translation"/>
          <w:sz w:val="20"/>
          <w:szCs w:val="20"/>
        </w:rPr>
        <w:t>BuyDRM</w:t>
      </w:r>
      <w:proofErr w:type="spellEnd"/>
      <w:r w:rsidR="000A6F37" w:rsidRPr="00483FA3">
        <w:rPr>
          <w:rStyle w:val="tlid-translation"/>
          <w:sz w:val="20"/>
          <w:szCs w:val="20"/>
        </w:rPr>
        <w:t>, acquise le 22 juillet 2021, a conduit à reconnaître 7</w:t>
      </w:r>
      <w:r w:rsidR="00F11D9C" w:rsidRPr="00483FA3">
        <w:rPr>
          <w:rStyle w:val="tlid-translation"/>
          <w:sz w:val="20"/>
          <w:szCs w:val="20"/>
        </w:rPr>
        <w:t>,</w:t>
      </w:r>
      <w:r w:rsidR="000A6F37" w:rsidRPr="00483FA3">
        <w:rPr>
          <w:rStyle w:val="tlid-translation"/>
          <w:sz w:val="20"/>
          <w:szCs w:val="20"/>
        </w:rPr>
        <w:t>1</w:t>
      </w:r>
      <w:r w:rsidR="00C42ADC" w:rsidRPr="00483FA3">
        <w:rPr>
          <w:rStyle w:val="tlid-translation"/>
          <w:sz w:val="20"/>
          <w:szCs w:val="20"/>
        </w:rPr>
        <w:t xml:space="preserve"> millions</w:t>
      </w:r>
      <w:r w:rsidR="00B279CA" w:rsidRPr="00483FA3">
        <w:rPr>
          <w:rStyle w:val="tlid-translation"/>
          <w:sz w:val="20"/>
          <w:szCs w:val="20"/>
        </w:rPr>
        <w:t xml:space="preserve"> d’euros </w:t>
      </w:r>
      <w:r w:rsidR="00483FA3">
        <w:rPr>
          <w:rStyle w:val="tlid-translation"/>
          <w:sz w:val="20"/>
          <w:szCs w:val="20"/>
        </w:rPr>
        <w:t xml:space="preserve">d’immobilisations incorporelles </w:t>
      </w:r>
      <w:r w:rsidR="000A6F37" w:rsidRPr="00483FA3">
        <w:rPr>
          <w:rStyle w:val="tlid-translation"/>
          <w:sz w:val="20"/>
          <w:szCs w:val="20"/>
        </w:rPr>
        <w:t>au titre de la technologie</w:t>
      </w:r>
      <w:r w:rsidR="005D0068">
        <w:rPr>
          <w:rStyle w:val="tlid-translation"/>
          <w:sz w:val="20"/>
          <w:szCs w:val="20"/>
        </w:rPr>
        <w:t>,</w:t>
      </w:r>
      <w:r w:rsidR="005D0068" w:rsidRPr="005D0068">
        <w:t xml:space="preserve"> </w:t>
      </w:r>
      <w:r w:rsidR="005D0068" w:rsidRPr="005D0068">
        <w:rPr>
          <w:rStyle w:val="tlid-translation"/>
          <w:sz w:val="20"/>
          <w:szCs w:val="20"/>
        </w:rPr>
        <w:t>amortie sur 5 ans au même titre que les autres coûts capitalisés d’OVHCloud</w:t>
      </w:r>
      <w:r w:rsidR="000A6F37" w:rsidRPr="00483FA3">
        <w:rPr>
          <w:rStyle w:val="tlid-translation"/>
          <w:sz w:val="20"/>
          <w:szCs w:val="20"/>
        </w:rPr>
        <w:t xml:space="preserve">. </w:t>
      </w:r>
      <w:bookmarkStart w:id="3102" w:name="_Toc62888570"/>
    </w:p>
    <w:p w14:paraId="1DAC1EDF" w14:textId="1F5B8988" w:rsidR="0065010F" w:rsidRDefault="0065010F">
      <w:pPr>
        <w:spacing w:after="0" w:line="240" w:lineRule="auto"/>
        <w:rPr>
          <w:rFonts w:eastAsia="DengXian Light" w:cs="Times New Roman"/>
          <w:sz w:val="28"/>
          <w:szCs w:val="28"/>
        </w:rPr>
      </w:pPr>
    </w:p>
    <w:p w14:paraId="53186B91" w14:textId="77777777" w:rsidR="00E5770E" w:rsidRDefault="00E5770E">
      <w:pPr>
        <w:spacing w:after="0" w:line="240" w:lineRule="auto"/>
        <w:rPr>
          <w:rFonts w:eastAsia="DengXian Light" w:cs="Times New Roman"/>
          <w:sz w:val="28"/>
          <w:szCs w:val="28"/>
        </w:rPr>
      </w:pPr>
      <w:r>
        <w:rPr>
          <w:sz w:val="28"/>
          <w:szCs w:val="28"/>
        </w:rPr>
        <w:br w:type="page"/>
      </w:r>
    </w:p>
    <w:p w14:paraId="4AF83567" w14:textId="00FF0967" w:rsidR="001B13DF" w:rsidRPr="006A0C19" w:rsidRDefault="001B13DF" w:rsidP="0041512C">
      <w:pPr>
        <w:pStyle w:val="Titre2"/>
        <w:numPr>
          <w:ilvl w:val="1"/>
          <w:numId w:val="16"/>
        </w:numPr>
        <w:spacing w:before="0"/>
        <w:ind w:left="567" w:hanging="567"/>
        <w:rPr>
          <w:rFonts w:ascii="Calibri" w:hAnsi="Calibri"/>
          <w:color w:val="auto"/>
          <w:sz w:val="28"/>
          <w:szCs w:val="28"/>
        </w:rPr>
      </w:pPr>
      <w:bookmarkStart w:id="3103" w:name="_Toc100603616"/>
      <w:bookmarkStart w:id="3104" w:name="_Toc100605223"/>
      <w:bookmarkStart w:id="3105" w:name="_Toc100684209"/>
      <w:bookmarkStart w:id="3106" w:name="_Toc100689235"/>
      <w:bookmarkStart w:id="3107" w:name="_Toc100689284"/>
      <w:r w:rsidRPr="006A0C19">
        <w:rPr>
          <w:rFonts w:ascii="Calibri" w:hAnsi="Calibri"/>
          <w:color w:val="auto"/>
          <w:sz w:val="28"/>
          <w:szCs w:val="28"/>
        </w:rPr>
        <w:lastRenderedPageBreak/>
        <w:t>Immobilisations corporelles</w:t>
      </w:r>
      <w:bookmarkStart w:id="3108" w:name="_Toc74917180"/>
      <w:bookmarkEnd w:id="3102"/>
      <w:bookmarkEnd w:id="3103"/>
      <w:bookmarkEnd w:id="3104"/>
      <w:bookmarkEnd w:id="3105"/>
      <w:bookmarkEnd w:id="3106"/>
      <w:bookmarkEnd w:id="3107"/>
      <w:r w:rsidRPr="006A0C19">
        <w:rPr>
          <w:rFonts w:ascii="Calibri" w:hAnsi="Calibri"/>
          <w:color w:val="auto"/>
          <w:sz w:val="28"/>
          <w:szCs w:val="28"/>
        </w:rPr>
        <w:t xml:space="preserve"> </w:t>
      </w:r>
      <w:bookmarkEnd w:id="3108"/>
    </w:p>
    <w:p w14:paraId="2EA82F19" w14:textId="2DC6B28A" w:rsidR="00BC4D4E" w:rsidRDefault="00BC4D4E" w:rsidP="004236D6"/>
    <w:p w14:paraId="5B4F1F90" w14:textId="35968100" w:rsidR="00C62268" w:rsidRPr="005C387C" w:rsidRDefault="00017FC1" w:rsidP="005C387C">
      <w:pPr>
        <w:rPr>
          <w:rStyle w:val="tlid-translation"/>
          <w:b/>
          <w:bCs/>
          <w:highlight w:val="yellow"/>
        </w:rPr>
      </w:pPr>
      <w:r w:rsidRPr="00017FC1" w:rsidDel="00017FC1">
        <w:rPr>
          <w:rStyle w:val="tlid-translation"/>
        </w:rPr>
        <w:t xml:space="preserve"> </w:t>
      </w:r>
      <w:r w:rsidR="00DD5EDA" w:rsidRPr="00DD5EDA">
        <w:rPr>
          <w:rStyle w:val="tlid-translation"/>
          <w:noProof/>
        </w:rPr>
        <w:drawing>
          <wp:inline distT="0" distB="0" distL="0" distR="0" wp14:anchorId="2491CFA9" wp14:editId="1C6B06FB">
            <wp:extent cx="5940425" cy="3274695"/>
            <wp:effectExtent l="0" t="0" r="317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0425" cy="3274695"/>
                    </a:xfrm>
                    <a:prstGeom prst="rect">
                      <a:avLst/>
                    </a:prstGeom>
                    <a:noFill/>
                    <a:ln>
                      <a:noFill/>
                    </a:ln>
                  </pic:spPr>
                </pic:pic>
              </a:graphicData>
            </a:graphic>
          </wp:inline>
        </w:drawing>
      </w:r>
    </w:p>
    <w:p w14:paraId="4FA00EB1" w14:textId="77777777" w:rsidR="00C9757F" w:rsidRDefault="00C9757F" w:rsidP="00D66287">
      <w:pPr>
        <w:autoSpaceDE w:val="0"/>
        <w:autoSpaceDN w:val="0"/>
        <w:adjustRightInd w:val="0"/>
        <w:spacing w:after="0" w:line="240" w:lineRule="auto"/>
        <w:jc w:val="both"/>
        <w:rPr>
          <w:rStyle w:val="tlid-translation"/>
          <w:b/>
        </w:rPr>
      </w:pPr>
    </w:p>
    <w:p w14:paraId="370F7910" w14:textId="057AB5E0" w:rsidR="00D804B1" w:rsidRPr="001F25DB" w:rsidRDefault="00D804B1" w:rsidP="00D66287">
      <w:pPr>
        <w:autoSpaceDE w:val="0"/>
        <w:autoSpaceDN w:val="0"/>
        <w:adjustRightInd w:val="0"/>
        <w:spacing w:after="0" w:line="240" w:lineRule="auto"/>
        <w:jc w:val="both"/>
        <w:rPr>
          <w:rStyle w:val="tlid-translation"/>
          <w:b/>
          <w:bCs/>
        </w:rPr>
      </w:pPr>
      <w:r w:rsidRPr="001F25DB">
        <w:rPr>
          <w:rStyle w:val="tlid-translation"/>
          <w:b/>
          <w:bCs/>
        </w:rPr>
        <w:t>Terrains et constructions</w:t>
      </w:r>
    </w:p>
    <w:p w14:paraId="1D3B4818" w14:textId="0AB6A52D" w:rsidR="00C62268" w:rsidRPr="00C54B15" w:rsidRDefault="00D804B1" w:rsidP="00C62268">
      <w:pPr>
        <w:spacing w:before="120" w:after="0"/>
        <w:jc w:val="both"/>
        <w:rPr>
          <w:sz w:val="20"/>
          <w:szCs w:val="20"/>
        </w:rPr>
      </w:pPr>
      <w:r w:rsidRPr="00C54B15">
        <w:rPr>
          <w:sz w:val="20"/>
          <w:szCs w:val="20"/>
        </w:rPr>
        <w:t>Les terrains et constructions d’une valeur comptable de 4</w:t>
      </w:r>
      <w:r w:rsidR="00C54B15" w:rsidRPr="00C54B15">
        <w:rPr>
          <w:sz w:val="20"/>
          <w:szCs w:val="20"/>
        </w:rPr>
        <w:t>5</w:t>
      </w:r>
      <w:r w:rsidRPr="00C54B15">
        <w:rPr>
          <w:sz w:val="20"/>
          <w:szCs w:val="20"/>
        </w:rPr>
        <w:t>,</w:t>
      </w:r>
      <w:r w:rsidR="00C54B15" w:rsidRPr="00C54B15">
        <w:rPr>
          <w:sz w:val="20"/>
          <w:szCs w:val="20"/>
        </w:rPr>
        <w:t>8</w:t>
      </w:r>
      <w:r w:rsidR="00652318" w:rsidRPr="00C54B15">
        <w:rPr>
          <w:sz w:val="20"/>
          <w:szCs w:val="20"/>
        </w:rPr>
        <w:t xml:space="preserve"> </w:t>
      </w:r>
      <w:r w:rsidRPr="00C54B15">
        <w:rPr>
          <w:sz w:val="20"/>
          <w:szCs w:val="20"/>
        </w:rPr>
        <w:t xml:space="preserve">millions d’euros en </w:t>
      </w:r>
      <w:r w:rsidR="00C54B15">
        <w:rPr>
          <w:sz w:val="20"/>
          <w:szCs w:val="20"/>
        </w:rPr>
        <w:t>février 2022</w:t>
      </w:r>
      <w:r w:rsidRPr="00C54B15">
        <w:rPr>
          <w:sz w:val="20"/>
          <w:szCs w:val="20"/>
        </w:rPr>
        <w:t xml:space="preserve"> (</w:t>
      </w:r>
      <w:r w:rsidR="00D009CF">
        <w:rPr>
          <w:sz w:val="20"/>
          <w:szCs w:val="20"/>
        </w:rPr>
        <w:t xml:space="preserve">au 31 août </w:t>
      </w:r>
      <w:r w:rsidRPr="00C54B15">
        <w:rPr>
          <w:sz w:val="20"/>
          <w:szCs w:val="20"/>
        </w:rPr>
        <w:t>202</w:t>
      </w:r>
      <w:r w:rsidR="001F25DB" w:rsidRPr="00C54B15">
        <w:rPr>
          <w:sz w:val="20"/>
          <w:szCs w:val="20"/>
        </w:rPr>
        <w:t>1</w:t>
      </w:r>
      <w:r w:rsidRPr="00C54B15">
        <w:rPr>
          <w:sz w:val="20"/>
          <w:szCs w:val="20"/>
        </w:rPr>
        <w:t xml:space="preserve"> : </w:t>
      </w:r>
      <w:r w:rsidR="009621FE" w:rsidRPr="00C54B15">
        <w:rPr>
          <w:sz w:val="20"/>
          <w:szCs w:val="20"/>
        </w:rPr>
        <w:t>4</w:t>
      </w:r>
      <w:r w:rsidR="001F25DB" w:rsidRPr="00C54B15">
        <w:rPr>
          <w:sz w:val="20"/>
          <w:szCs w:val="20"/>
        </w:rPr>
        <w:t>4</w:t>
      </w:r>
      <w:r w:rsidRPr="00C54B15">
        <w:rPr>
          <w:sz w:val="20"/>
          <w:szCs w:val="20"/>
        </w:rPr>
        <w:t>,</w:t>
      </w:r>
      <w:r w:rsidR="001F25DB" w:rsidRPr="00C54B15">
        <w:rPr>
          <w:sz w:val="20"/>
          <w:szCs w:val="20"/>
        </w:rPr>
        <w:t>7</w:t>
      </w:r>
      <w:r w:rsidRPr="00C54B15">
        <w:rPr>
          <w:sz w:val="20"/>
          <w:szCs w:val="20"/>
        </w:rPr>
        <w:t xml:space="preserve"> millions d’euros) sont principalement </w:t>
      </w:r>
      <w:r w:rsidR="00EB502D" w:rsidRPr="00C54B15">
        <w:rPr>
          <w:sz w:val="20"/>
          <w:szCs w:val="20"/>
        </w:rPr>
        <w:t>constitués de</w:t>
      </w:r>
      <w:r w:rsidR="00C60F2E" w:rsidRPr="00C54B15">
        <w:rPr>
          <w:sz w:val="20"/>
          <w:szCs w:val="20"/>
        </w:rPr>
        <w:t xml:space="preserve"> centres de données</w:t>
      </w:r>
      <w:r w:rsidR="00EB502D" w:rsidRPr="00C54B15">
        <w:rPr>
          <w:sz w:val="20"/>
          <w:szCs w:val="20"/>
        </w:rPr>
        <w:t xml:space="preserve"> et des terrains y afférents</w:t>
      </w:r>
      <w:r w:rsidR="00D66287" w:rsidRPr="00C54B15">
        <w:rPr>
          <w:sz w:val="20"/>
          <w:szCs w:val="20"/>
        </w:rPr>
        <w:t>.</w:t>
      </w:r>
    </w:p>
    <w:p w14:paraId="4F0EE4E4" w14:textId="77777777" w:rsidR="00C62268" w:rsidRPr="00411D58" w:rsidRDefault="00C62268" w:rsidP="00C62268">
      <w:pPr>
        <w:spacing w:before="120" w:after="0"/>
        <w:jc w:val="both"/>
        <w:rPr>
          <w:sz w:val="20"/>
          <w:szCs w:val="20"/>
          <w:highlight w:val="yellow"/>
        </w:rPr>
      </w:pPr>
    </w:p>
    <w:p w14:paraId="20346B79" w14:textId="747E2339" w:rsidR="00D804B1" w:rsidRPr="00411D58" w:rsidRDefault="00AE67C8" w:rsidP="00C62268">
      <w:pPr>
        <w:spacing w:before="120" w:after="0"/>
        <w:jc w:val="both"/>
        <w:rPr>
          <w:rStyle w:val="tlid-translation"/>
          <w:b/>
          <w:bCs/>
          <w:highlight w:val="yellow"/>
        </w:rPr>
      </w:pPr>
      <w:r w:rsidRPr="001F25DB">
        <w:rPr>
          <w:rStyle w:val="tlid-translation"/>
          <w:b/>
          <w:bCs/>
        </w:rPr>
        <w:t xml:space="preserve">Installations techniques, matériel et outillages, et </w:t>
      </w:r>
      <w:r w:rsidR="00D804B1" w:rsidRPr="001F25DB">
        <w:rPr>
          <w:rStyle w:val="tlid-translation"/>
          <w:b/>
          <w:bCs/>
        </w:rPr>
        <w:t>matériel informatique</w:t>
      </w:r>
    </w:p>
    <w:p w14:paraId="22961257" w14:textId="45F52419" w:rsidR="0024307B" w:rsidRDefault="00C60F2E" w:rsidP="0065010F">
      <w:pPr>
        <w:spacing w:before="120" w:after="0"/>
        <w:jc w:val="both"/>
        <w:rPr>
          <w:sz w:val="20"/>
          <w:szCs w:val="20"/>
        </w:rPr>
      </w:pPr>
      <w:r w:rsidRPr="00C54B15">
        <w:rPr>
          <w:sz w:val="20"/>
          <w:szCs w:val="20"/>
        </w:rPr>
        <w:t>Les m</w:t>
      </w:r>
      <w:r w:rsidR="00D804B1" w:rsidRPr="00C54B15">
        <w:rPr>
          <w:sz w:val="20"/>
          <w:szCs w:val="20"/>
        </w:rPr>
        <w:t xml:space="preserve">achines, équipements et matériel informatique d’une valeur comptable de </w:t>
      </w:r>
      <w:r w:rsidR="00C54B15" w:rsidRPr="00C54B15">
        <w:rPr>
          <w:sz w:val="20"/>
          <w:szCs w:val="20"/>
        </w:rPr>
        <w:t>571,3</w:t>
      </w:r>
      <w:r w:rsidR="00D804B1" w:rsidRPr="00C54B15">
        <w:rPr>
          <w:sz w:val="20"/>
          <w:szCs w:val="20"/>
        </w:rPr>
        <w:t xml:space="preserve"> millions d’euros en </w:t>
      </w:r>
      <w:r w:rsidR="00C54B15">
        <w:rPr>
          <w:sz w:val="20"/>
          <w:szCs w:val="20"/>
        </w:rPr>
        <w:t xml:space="preserve">février 2022 </w:t>
      </w:r>
      <w:r w:rsidR="00D804B1" w:rsidRPr="001F25DB">
        <w:rPr>
          <w:sz w:val="20"/>
          <w:szCs w:val="20"/>
        </w:rPr>
        <w:t>(</w:t>
      </w:r>
      <w:r w:rsidR="00222C74">
        <w:rPr>
          <w:sz w:val="20"/>
          <w:szCs w:val="20"/>
        </w:rPr>
        <w:t xml:space="preserve">au 31 août </w:t>
      </w:r>
      <w:r w:rsidR="00D804B1" w:rsidRPr="001F25DB">
        <w:rPr>
          <w:sz w:val="20"/>
          <w:szCs w:val="20"/>
        </w:rPr>
        <w:t>202</w:t>
      </w:r>
      <w:r w:rsidR="001F25DB" w:rsidRPr="001F25DB">
        <w:rPr>
          <w:sz w:val="20"/>
          <w:szCs w:val="20"/>
        </w:rPr>
        <w:t>1</w:t>
      </w:r>
      <w:r w:rsidR="00D804B1" w:rsidRPr="001F25DB">
        <w:rPr>
          <w:sz w:val="20"/>
          <w:szCs w:val="20"/>
        </w:rPr>
        <w:t xml:space="preserve"> : </w:t>
      </w:r>
      <w:r w:rsidR="001F25DB" w:rsidRPr="001F25DB">
        <w:rPr>
          <w:sz w:val="20"/>
          <w:szCs w:val="20"/>
        </w:rPr>
        <w:t>56</w:t>
      </w:r>
      <w:r w:rsidR="00C54B15">
        <w:rPr>
          <w:sz w:val="20"/>
          <w:szCs w:val="20"/>
        </w:rPr>
        <w:t>1</w:t>
      </w:r>
      <w:r w:rsidR="00D804B1" w:rsidRPr="001F25DB">
        <w:rPr>
          <w:sz w:val="20"/>
          <w:szCs w:val="20"/>
        </w:rPr>
        <w:t>,</w:t>
      </w:r>
      <w:r w:rsidR="00C54B15">
        <w:rPr>
          <w:sz w:val="20"/>
          <w:szCs w:val="20"/>
        </w:rPr>
        <w:t>1</w:t>
      </w:r>
      <w:r w:rsidR="00D804B1" w:rsidRPr="001F25DB">
        <w:rPr>
          <w:sz w:val="20"/>
          <w:szCs w:val="20"/>
        </w:rPr>
        <w:t xml:space="preserve"> millions d’euros) sont principalement constitués de serveurs informatiques.</w:t>
      </w:r>
      <w:r w:rsidR="00700F28" w:rsidRPr="001F25DB">
        <w:rPr>
          <w:sz w:val="20"/>
          <w:szCs w:val="20"/>
        </w:rPr>
        <w:t xml:space="preserve"> </w:t>
      </w:r>
    </w:p>
    <w:p w14:paraId="22BE7827" w14:textId="77777777" w:rsidR="0065010F" w:rsidRPr="00411D58" w:rsidRDefault="0065010F" w:rsidP="0065010F">
      <w:pPr>
        <w:spacing w:before="120" w:after="0"/>
        <w:jc w:val="both"/>
        <w:rPr>
          <w:rStyle w:val="tlid-translation"/>
          <w:b/>
          <w:highlight w:val="yellow"/>
        </w:rPr>
      </w:pPr>
    </w:p>
    <w:p w14:paraId="5D491323" w14:textId="140F1B46" w:rsidR="00D804B1" w:rsidRPr="00945B53" w:rsidRDefault="00D804B1" w:rsidP="00D66287">
      <w:pPr>
        <w:autoSpaceDE w:val="0"/>
        <w:autoSpaceDN w:val="0"/>
        <w:adjustRightInd w:val="0"/>
        <w:spacing w:after="0" w:line="240" w:lineRule="auto"/>
        <w:jc w:val="both"/>
        <w:rPr>
          <w:rStyle w:val="tlid-translation"/>
          <w:b/>
        </w:rPr>
      </w:pPr>
      <w:r w:rsidRPr="00945B53">
        <w:rPr>
          <w:rStyle w:val="tlid-translation"/>
          <w:b/>
        </w:rPr>
        <w:t>Autres immobilisations corporelles</w:t>
      </w:r>
    </w:p>
    <w:p w14:paraId="48D9050C" w14:textId="2B49AA45" w:rsidR="00700F28" w:rsidRPr="00F16B70" w:rsidRDefault="00C60F2E" w:rsidP="00D804B1">
      <w:pPr>
        <w:spacing w:before="120" w:after="0"/>
        <w:jc w:val="both"/>
        <w:rPr>
          <w:sz w:val="20"/>
          <w:szCs w:val="20"/>
        </w:rPr>
      </w:pPr>
      <w:r w:rsidRPr="00F16B70">
        <w:rPr>
          <w:sz w:val="20"/>
          <w:szCs w:val="20"/>
        </w:rPr>
        <w:t>Les a</w:t>
      </w:r>
      <w:r w:rsidR="00D804B1" w:rsidRPr="00F16B70">
        <w:rPr>
          <w:sz w:val="20"/>
          <w:szCs w:val="20"/>
        </w:rPr>
        <w:t>utres immobilisations corporelles d’une valeur comptable de 5</w:t>
      </w:r>
      <w:r w:rsidR="00F16B70" w:rsidRPr="00F16B70">
        <w:rPr>
          <w:sz w:val="20"/>
          <w:szCs w:val="20"/>
        </w:rPr>
        <w:t>9,7</w:t>
      </w:r>
      <w:r w:rsidR="00D804B1" w:rsidRPr="00F16B70">
        <w:rPr>
          <w:sz w:val="20"/>
          <w:szCs w:val="20"/>
        </w:rPr>
        <w:t xml:space="preserve"> millions d’euros (</w:t>
      </w:r>
      <w:r w:rsidR="00192B88">
        <w:rPr>
          <w:sz w:val="20"/>
          <w:szCs w:val="20"/>
        </w:rPr>
        <w:t xml:space="preserve">au 31 août </w:t>
      </w:r>
      <w:r w:rsidR="00D804B1" w:rsidRPr="00F16B70">
        <w:rPr>
          <w:sz w:val="20"/>
          <w:szCs w:val="20"/>
        </w:rPr>
        <w:t>202</w:t>
      </w:r>
      <w:r w:rsidR="00F16B70" w:rsidRPr="00F16B70">
        <w:rPr>
          <w:sz w:val="20"/>
          <w:szCs w:val="20"/>
        </w:rPr>
        <w:t>1</w:t>
      </w:r>
      <w:r w:rsidR="00D804B1" w:rsidRPr="00F16B70">
        <w:rPr>
          <w:sz w:val="20"/>
          <w:szCs w:val="20"/>
        </w:rPr>
        <w:t xml:space="preserve"> : </w:t>
      </w:r>
      <w:r w:rsidR="00F16B70" w:rsidRPr="00F16B70">
        <w:rPr>
          <w:sz w:val="20"/>
          <w:szCs w:val="20"/>
        </w:rPr>
        <w:t>57</w:t>
      </w:r>
      <w:r w:rsidR="00D804B1" w:rsidRPr="00F16B70">
        <w:rPr>
          <w:sz w:val="20"/>
          <w:szCs w:val="20"/>
        </w:rPr>
        <w:t xml:space="preserve"> millions d’euros) sont principalement des agencements réalisés sur la société OVH S.A.</w:t>
      </w:r>
      <w:r w:rsidR="00F566AB" w:rsidRPr="00F16B70">
        <w:rPr>
          <w:sz w:val="20"/>
          <w:szCs w:val="20"/>
        </w:rPr>
        <w:t>S.</w:t>
      </w:r>
      <w:r w:rsidR="00444ADB" w:rsidRPr="00F16B70">
        <w:rPr>
          <w:sz w:val="20"/>
          <w:szCs w:val="20"/>
        </w:rPr>
        <w:t xml:space="preserve"> </w:t>
      </w:r>
    </w:p>
    <w:p w14:paraId="1137F151" w14:textId="77777777" w:rsidR="006E0695" w:rsidRPr="00411D58" w:rsidRDefault="006E0695" w:rsidP="00D804B1">
      <w:pPr>
        <w:spacing w:before="120" w:after="0"/>
        <w:jc w:val="both"/>
        <w:rPr>
          <w:rFonts w:cs="Calibri"/>
          <w:sz w:val="20"/>
          <w:szCs w:val="20"/>
          <w:highlight w:val="yellow"/>
        </w:rPr>
      </w:pPr>
    </w:p>
    <w:p w14:paraId="00D0C390" w14:textId="456A943A" w:rsidR="00D804B1" w:rsidRPr="00945B53" w:rsidRDefault="00D804B1" w:rsidP="00D66287">
      <w:pPr>
        <w:autoSpaceDE w:val="0"/>
        <w:autoSpaceDN w:val="0"/>
        <w:adjustRightInd w:val="0"/>
        <w:spacing w:after="0" w:line="240" w:lineRule="auto"/>
        <w:jc w:val="both"/>
        <w:rPr>
          <w:rStyle w:val="tlid-translation"/>
          <w:b/>
        </w:rPr>
      </w:pPr>
      <w:r w:rsidRPr="00945B53">
        <w:rPr>
          <w:rStyle w:val="tlid-translation"/>
          <w:b/>
        </w:rPr>
        <w:t>Droits d’utilisation au titre des contrats de location</w:t>
      </w:r>
    </w:p>
    <w:p w14:paraId="3EEA23E8" w14:textId="60A3E600" w:rsidR="006E0695" w:rsidRDefault="00211443" w:rsidP="00D804B1">
      <w:pPr>
        <w:spacing w:before="120" w:after="0" w:line="240" w:lineRule="auto"/>
        <w:jc w:val="both"/>
        <w:rPr>
          <w:sz w:val="20"/>
          <w:szCs w:val="20"/>
        </w:rPr>
      </w:pPr>
      <w:r w:rsidRPr="00211443">
        <w:rPr>
          <w:sz w:val="20"/>
          <w:szCs w:val="20"/>
        </w:rPr>
        <w:t>Les droits d’utilisation au titre des contrats de location d’une valeur nette comptable de 4</w:t>
      </w:r>
      <w:r w:rsidR="00644571">
        <w:rPr>
          <w:sz w:val="20"/>
          <w:szCs w:val="20"/>
        </w:rPr>
        <w:t>2</w:t>
      </w:r>
      <w:r w:rsidRPr="00211443">
        <w:rPr>
          <w:sz w:val="20"/>
          <w:szCs w:val="20"/>
        </w:rPr>
        <w:t>,</w:t>
      </w:r>
      <w:r w:rsidR="00644571">
        <w:rPr>
          <w:sz w:val="20"/>
          <w:szCs w:val="20"/>
        </w:rPr>
        <w:t>4</w:t>
      </w:r>
      <w:r w:rsidRPr="00211443">
        <w:rPr>
          <w:sz w:val="20"/>
          <w:szCs w:val="20"/>
        </w:rPr>
        <w:t xml:space="preserve"> millions d’euros à fin </w:t>
      </w:r>
      <w:r w:rsidR="00B408CB">
        <w:rPr>
          <w:sz w:val="20"/>
          <w:szCs w:val="20"/>
        </w:rPr>
        <w:t>février 2022</w:t>
      </w:r>
      <w:r w:rsidRPr="00211443">
        <w:rPr>
          <w:sz w:val="20"/>
          <w:szCs w:val="20"/>
        </w:rPr>
        <w:t xml:space="preserve"> (</w:t>
      </w:r>
      <w:r w:rsidR="00644571">
        <w:rPr>
          <w:sz w:val="20"/>
          <w:szCs w:val="20"/>
        </w:rPr>
        <w:t>49,3</w:t>
      </w:r>
      <w:r w:rsidRPr="00211443">
        <w:rPr>
          <w:sz w:val="20"/>
          <w:szCs w:val="20"/>
        </w:rPr>
        <w:t xml:space="preserve"> millions d’euros au 31 août 202</w:t>
      </w:r>
      <w:r w:rsidR="00644571">
        <w:rPr>
          <w:sz w:val="20"/>
          <w:szCs w:val="20"/>
        </w:rPr>
        <w:t>1</w:t>
      </w:r>
      <w:r w:rsidRPr="00211443">
        <w:rPr>
          <w:sz w:val="20"/>
          <w:szCs w:val="20"/>
        </w:rPr>
        <w:t>) sont principalement composés de baux de bureaux et logements, de Data cent</w:t>
      </w:r>
      <w:r w:rsidR="00644571">
        <w:rPr>
          <w:sz w:val="20"/>
          <w:szCs w:val="20"/>
        </w:rPr>
        <w:t>res</w:t>
      </w:r>
      <w:r w:rsidRPr="00211443">
        <w:rPr>
          <w:sz w:val="20"/>
          <w:szCs w:val="20"/>
        </w:rPr>
        <w:t xml:space="preserve"> et de points de présence (POP).</w:t>
      </w:r>
    </w:p>
    <w:p w14:paraId="1615381E" w14:textId="77777777" w:rsidR="00211443" w:rsidRPr="00211443" w:rsidRDefault="00211443" w:rsidP="00D804B1">
      <w:pPr>
        <w:spacing w:before="120" w:after="0" w:line="240" w:lineRule="auto"/>
        <w:jc w:val="both"/>
        <w:rPr>
          <w:rFonts w:cs="Calibri"/>
          <w:sz w:val="20"/>
          <w:szCs w:val="20"/>
        </w:rPr>
      </w:pPr>
    </w:p>
    <w:p w14:paraId="4AFE001A" w14:textId="692E3293" w:rsidR="00D804B1" w:rsidRPr="00211443" w:rsidRDefault="00D804B1" w:rsidP="00D66287">
      <w:pPr>
        <w:autoSpaceDE w:val="0"/>
        <w:autoSpaceDN w:val="0"/>
        <w:adjustRightInd w:val="0"/>
        <w:spacing w:after="0" w:line="240" w:lineRule="auto"/>
        <w:jc w:val="both"/>
        <w:rPr>
          <w:rStyle w:val="tlid-translation"/>
          <w:b/>
          <w:bCs/>
        </w:rPr>
      </w:pPr>
      <w:r w:rsidRPr="00211443">
        <w:rPr>
          <w:rStyle w:val="tlid-translation"/>
          <w:b/>
          <w:bCs/>
        </w:rPr>
        <w:t>Immobilisations corporelles en construction</w:t>
      </w:r>
    </w:p>
    <w:p w14:paraId="0D56CE93" w14:textId="1343DA30" w:rsidR="00D804B1" w:rsidRPr="00194DF0" w:rsidRDefault="00D804B1" w:rsidP="00D804B1">
      <w:pPr>
        <w:spacing w:before="120" w:after="0"/>
        <w:jc w:val="both"/>
        <w:rPr>
          <w:rStyle w:val="jlqj4b"/>
          <w:sz w:val="20"/>
          <w:szCs w:val="20"/>
        </w:rPr>
      </w:pPr>
      <w:r w:rsidRPr="00211443">
        <w:rPr>
          <w:rStyle w:val="jlqj4b"/>
          <w:sz w:val="20"/>
          <w:szCs w:val="20"/>
        </w:rPr>
        <w:t xml:space="preserve">Les immobilisations corporelles en construction représentent principalement les coûts de production des serveurs </w:t>
      </w:r>
      <w:r w:rsidR="003F25D0">
        <w:rPr>
          <w:rStyle w:val="jlqj4b"/>
          <w:sz w:val="20"/>
          <w:szCs w:val="20"/>
        </w:rPr>
        <w:t xml:space="preserve">(composants) </w:t>
      </w:r>
      <w:r w:rsidRPr="00211443">
        <w:rPr>
          <w:rStyle w:val="jlqj4b"/>
          <w:sz w:val="20"/>
          <w:szCs w:val="20"/>
        </w:rPr>
        <w:t>et des réseaux, et l’aménagement des bâtiments.</w:t>
      </w:r>
      <w:r w:rsidR="00222C74">
        <w:rPr>
          <w:rStyle w:val="jlqj4b"/>
          <w:sz w:val="20"/>
          <w:szCs w:val="20"/>
        </w:rPr>
        <w:t xml:space="preserve"> </w:t>
      </w:r>
    </w:p>
    <w:p w14:paraId="3156FF74" w14:textId="77777777" w:rsidR="00F039F9" w:rsidRPr="00194DF0" w:rsidRDefault="00F039F9" w:rsidP="00D804B1">
      <w:pPr>
        <w:spacing w:before="120" w:after="0"/>
        <w:jc w:val="both"/>
        <w:rPr>
          <w:rStyle w:val="jlqj4b"/>
        </w:rPr>
      </w:pPr>
    </w:p>
    <w:p w14:paraId="587D3024" w14:textId="063C7AE8" w:rsidR="008B1F76" w:rsidRPr="00194DF0" w:rsidRDefault="008B1F76" w:rsidP="0041512C">
      <w:pPr>
        <w:pStyle w:val="Titre2"/>
        <w:numPr>
          <w:ilvl w:val="1"/>
          <w:numId w:val="16"/>
        </w:numPr>
        <w:spacing w:before="0"/>
        <w:ind w:left="567" w:hanging="567"/>
        <w:jc w:val="both"/>
        <w:rPr>
          <w:rFonts w:ascii="Calibri" w:hAnsi="Calibri"/>
          <w:color w:val="auto"/>
          <w:sz w:val="28"/>
          <w:szCs w:val="28"/>
        </w:rPr>
      </w:pPr>
      <w:bookmarkStart w:id="3109" w:name="_Toc100603617"/>
      <w:bookmarkStart w:id="3110" w:name="_Toc100605224"/>
      <w:bookmarkStart w:id="3111" w:name="_Toc100684210"/>
      <w:bookmarkStart w:id="3112" w:name="_Toc100689236"/>
      <w:bookmarkStart w:id="3113" w:name="_Toc100689285"/>
      <w:r w:rsidRPr="00194DF0">
        <w:rPr>
          <w:rFonts w:ascii="Calibri" w:hAnsi="Calibri"/>
          <w:color w:val="auto"/>
          <w:sz w:val="28"/>
          <w:szCs w:val="28"/>
        </w:rPr>
        <w:lastRenderedPageBreak/>
        <w:t>Tests de dépréciation des Goodwill</w:t>
      </w:r>
      <w:r w:rsidR="00CA61E1" w:rsidRPr="00194DF0">
        <w:rPr>
          <w:rFonts w:ascii="Calibri" w:hAnsi="Calibri"/>
          <w:color w:val="auto"/>
          <w:sz w:val="28"/>
          <w:szCs w:val="28"/>
        </w:rPr>
        <w:t xml:space="preserve"> et immobilisations corporelles et incorporelles</w:t>
      </w:r>
      <w:bookmarkEnd w:id="3109"/>
      <w:bookmarkEnd w:id="3110"/>
      <w:bookmarkEnd w:id="3111"/>
      <w:bookmarkEnd w:id="3112"/>
      <w:bookmarkEnd w:id="3113"/>
      <w:r w:rsidR="00CA61E1" w:rsidRPr="00194DF0">
        <w:rPr>
          <w:rFonts w:ascii="Calibri" w:hAnsi="Calibri"/>
          <w:color w:val="auto"/>
          <w:sz w:val="28"/>
          <w:szCs w:val="28"/>
        </w:rPr>
        <w:t xml:space="preserve"> </w:t>
      </w:r>
    </w:p>
    <w:p w14:paraId="55ACAE64" w14:textId="161CFA9D" w:rsidR="008B1F76" w:rsidRPr="00194DF0" w:rsidRDefault="008B1F76" w:rsidP="008B1F76">
      <w:pPr>
        <w:autoSpaceDE w:val="0"/>
        <w:autoSpaceDN w:val="0"/>
        <w:adjustRightInd w:val="0"/>
        <w:spacing w:after="0" w:line="240" w:lineRule="auto"/>
        <w:jc w:val="both"/>
        <w:rPr>
          <w:rStyle w:val="tlid-translation"/>
          <w:b/>
          <w:bCs/>
        </w:rPr>
      </w:pPr>
    </w:p>
    <w:p w14:paraId="2E72DA16" w14:textId="220BB9EE" w:rsidR="00173742" w:rsidRDefault="0024512A" w:rsidP="0024512A">
      <w:pPr>
        <w:spacing w:after="0"/>
        <w:jc w:val="both"/>
        <w:rPr>
          <w:rFonts w:cs="Calibri"/>
          <w:sz w:val="20"/>
          <w:szCs w:val="20"/>
        </w:rPr>
      </w:pPr>
      <w:r w:rsidRPr="0024512A">
        <w:rPr>
          <w:rFonts w:cs="Calibri"/>
          <w:sz w:val="20"/>
          <w:szCs w:val="20"/>
        </w:rPr>
        <w:t>Le Groupe n’a pas identifié d’indice de pertes de valeurs remettant en cause la valeur recouvrable de ses Unités Génératrices</w:t>
      </w:r>
      <w:r>
        <w:rPr>
          <w:rFonts w:cs="Calibri"/>
          <w:sz w:val="20"/>
          <w:szCs w:val="20"/>
        </w:rPr>
        <w:t xml:space="preserve"> </w:t>
      </w:r>
      <w:r w:rsidRPr="0024512A">
        <w:rPr>
          <w:rFonts w:cs="Calibri"/>
          <w:sz w:val="20"/>
          <w:szCs w:val="20"/>
        </w:rPr>
        <w:t>de Trésorerie (UGT) a</w:t>
      </w:r>
      <w:r>
        <w:rPr>
          <w:rFonts w:cs="Calibri"/>
          <w:sz w:val="20"/>
          <w:szCs w:val="20"/>
        </w:rPr>
        <w:t>u 28 février 2022.</w:t>
      </w:r>
    </w:p>
    <w:p w14:paraId="4F84B510" w14:textId="77777777" w:rsidR="0024512A" w:rsidRPr="00194DF0" w:rsidRDefault="0024512A" w:rsidP="00CA61E1">
      <w:pPr>
        <w:spacing w:after="0"/>
        <w:jc w:val="both"/>
        <w:rPr>
          <w:rFonts w:cs="Calibri"/>
          <w:sz w:val="20"/>
          <w:szCs w:val="20"/>
        </w:rPr>
      </w:pPr>
    </w:p>
    <w:p w14:paraId="13D1DDB2" w14:textId="45AF0C42" w:rsidR="00791B24" w:rsidRDefault="00791B24" w:rsidP="00C12A60">
      <w:pPr>
        <w:spacing w:after="0"/>
        <w:jc w:val="both"/>
        <w:rPr>
          <w:sz w:val="20"/>
          <w:szCs w:val="20"/>
        </w:rPr>
      </w:pPr>
      <w:bookmarkStart w:id="3114" w:name="_Toc69772467"/>
      <w:bookmarkStart w:id="3115" w:name="_Toc69847090"/>
      <w:bookmarkStart w:id="3116" w:name="_Toc69850081"/>
      <w:bookmarkStart w:id="3117" w:name="_Toc69850566"/>
      <w:bookmarkStart w:id="3118" w:name="_Toc70362023"/>
      <w:bookmarkStart w:id="3119" w:name="_Toc71267462"/>
      <w:bookmarkStart w:id="3120" w:name="_Toc72331259"/>
      <w:bookmarkStart w:id="3121" w:name="_Toc72332627"/>
      <w:bookmarkStart w:id="3122" w:name="_Toc69772468"/>
      <w:bookmarkStart w:id="3123" w:name="_Toc69847091"/>
      <w:bookmarkStart w:id="3124" w:name="_Toc69850082"/>
      <w:bookmarkStart w:id="3125" w:name="_Toc69850567"/>
      <w:bookmarkStart w:id="3126" w:name="_Toc70362024"/>
      <w:bookmarkStart w:id="3127" w:name="_Toc71267463"/>
      <w:bookmarkStart w:id="3128" w:name="_Toc72331260"/>
      <w:bookmarkStart w:id="3129" w:name="_Toc72332628"/>
      <w:bookmarkStart w:id="3130" w:name="_Toc69772469"/>
      <w:bookmarkStart w:id="3131" w:name="_Toc69847092"/>
      <w:bookmarkStart w:id="3132" w:name="_Toc69850083"/>
      <w:bookmarkStart w:id="3133" w:name="_Toc69850568"/>
      <w:bookmarkStart w:id="3134" w:name="_Toc70362025"/>
      <w:bookmarkStart w:id="3135" w:name="_Toc71267464"/>
      <w:bookmarkStart w:id="3136" w:name="_Toc72331261"/>
      <w:bookmarkStart w:id="3137" w:name="_Toc72332629"/>
      <w:bookmarkStart w:id="3138" w:name="_Toc64075127"/>
      <w:bookmarkStart w:id="3139" w:name="_Toc64075128"/>
      <w:bookmarkStart w:id="3140" w:name="_Toc70362028"/>
      <w:bookmarkStart w:id="3141" w:name="_Toc71267467"/>
      <w:bookmarkStart w:id="3142" w:name="_Toc72331264"/>
      <w:bookmarkStart w:id="3143" w:name="_Toc72332632"/>
      <w:bookmarkStart w:id="3144" w:name="_Toc67047718"/>
      <w:bookmarkStart w:id="3145" w:name="_Toc67059127"/>
      <w:bookmarkStart w:id="3146" w:name="_Toc67047719"/>
      <w:bookmarkStart w:id="3147" w:name="_Toc67059128"/>
      <w:bookmarkStart w:id="3148" w:name="_Toc67047720"/>
      <w:bookmarkStart w:id="3149" w:name="_Toc67059129"/>
      <w:bookmarkStart w:id="3150" w:name="_Toc67047721"/>
      <w:bookmarkStart w:id="3151" w:name="_Toc67059130"/>
      <w:bookmarkStart w:id="3152" w:name="_Toc67047722"/>
      <w:bookmarkStart w:id="3153" w:name="_Toc67059131"/>
      <w:bookmarkStart w:id="3154" w:name="_Toc67047723"/>
      <w:bookmarkStart w:id="3155" w:name="_Toc67059132"/>
      <w:bookmarkStart w:id="3156" w:name="_Toc67047724"/>
      <w:bookmarkStart w:id="3157" w:name="_Toc67059133"/>
      <w:bookmarkStart w:id="3158" w:name="_Toc67047725"/>
      <w:bookmarkStart w:id="3159" w:name="_Toc67059134"/>
      <w:bookmarkStart w:id="3160" w:name="_Toc67047726"/>
      <w:bookmarkStart w:id="3161" w:name="_Toc67059135"/>
      <w:bookmarkStart w:id="3162" w:name="_Toc65543614"/>
      <w:bookmarkStart w:id="3163" w:name="_Toc65543791"/>
      <w:bookmarkStart w:id="3164" w:name="_Toc65543968"/>
      <w:bookmarkStart w:id="3165" w:name="_Ref62841124"/>
      <w:bookmarkStart w:id="3166" w:name="_Toc62888575"/>
      <w:bookmarkStart w:id="3167" w:name="_Ref64036872"/>
      <w:bookmarkStart w:id="3168" w:name="_Ref69674764"/>
      <w:bookmarkStart w:id="3169" w:name="_Ref69674800"/>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p>
    <w:p w14:paraId="5FBF11AE" w14:textId="77777777" w:rsidR="00F826D1" w:rsidRPr="00C12A60" w:rsidRDefault="00F826D1" w:rsidP="00C12A60">
      <w:pPr>
        <w:spacing w:after="0"/>
        <w:jc w:val="both"/>
        <w:rPr>
          <w:rFonts w:cs="Calibri"/>
          <w:sz w:val="20"/>
          <w:szCs w:val="20"/>
        </w:rPr>
      </w:pPr>
    </w:p>
    <w:p w14:paraId="06477694" w14:textId="2CFD1788" w:rsidR="00466319" w:rsidRPr="006A0C19" w:rsidRDefault="00FF15A6" w:rsidP="0041512C">
      <w:pPr>
        <w:pStyle w:val="Titre2"/>
        <w:numPr>
          <w:ilvl w:val="1"/>
          <w:numId w:val="16"/>
        </w:numPr>
        <w:spacing w:before="0"/>
        <w:ind w:left="567" w:hanging="567"/>
        <w:rPr>
          <w:rFonts w:ascii="Calibri" w:hAnsi="Calibri"/>
          <w:color w:val="auto"/>
          <w:sz w:val="28"/>
          <w:szCs w:val="28"/>
        </w:rPr>
      </w:pPr>
      <w:bookmarkStart w:id="3170" w:name="_Toc74917184"/>
      <w:bookmarkStart w:id="3171" w:name="_Toc100603618"/>
      <w:bookmarkStart w:id="3172" w:name="_Toc100605225"/>
      <w:bookmarkStart w:id="3173" w:name="_Toc100684211"/>
      <w:bookmarkStart w:id="3174" w:name="_Toc100689237"/>
      <w:bookmarkStart w:id="3175" w:name="_Toc100689286"/>
      <w:r w:rsidRPr="006A0C19">
        <w:rPr>
          <w:rFonts w:ascii="Calibri" w:hAnsi="Calibri"/>
          <w:color w:val="auto"/>
          <w:sz w:val="28"/>
          <w:szCs w:val="28"/>
        </w:rPr>
        <w:t>C</w:t>
      </w:r>
      <w:r w:rsidR="00416767">
        <w:rPr>
          <w:rFonts w:ascii="Calibri" w:hAnsi="Calibri"/>
          <w:color w:val="auto"/>
          <w:sz w:val="28"/>
          <w:szCs w:val="28"/>
        </w:rPr>
        <w:t>lients</w:t>
      </w:r>
      <w:bookmarkEnd w:id="3165"/>
      <w:bookmarkEnd w:id="3166"/>
      <w:bookmarkEnd w:id="3167"/>
      <w:bookmarkEnd w:id="3168"/>
      <w:bookmarkEnd w:id="3169"/>
      <w:bookmarkEnd w:id="3170"/>
      <w:bookmarkEnd w:id="3171"/>
      <w:bookmarkEnd w:id="3172"/>
      <w:bookmarkEnd w:id="3173"/>
      <w:bookmarkEnd w:id="3174"/>
      <w:bookmarkEnd w:id="3175"/>
    </w:p>
    <w:p w14:paraId="7E9CBD71" w14:textId="778147C2" w:rsidR="00723C8C" w:rsidRDefault="00723C8C" w:rsidP="00D01A82"/>
    <w:p w14:paraId="55BB5915" w14:textId="01D48266" w:rsidR="00741379" w:rsidRDefault="00741379" w:rsidP="00741379">
      <w:pPr>
        <w:rPr>
          <w:sz w:val="20"/>
          <w:szCs w:val="20"/>
        </w:rPr>
      </w:pPr>
      <w:r>
        <w:rPr>
          <w:sz w:val="20"/>
          <w:szCs w:val="20"/>
        </w:rPr>
        <w:t xml:space="preserve">Les </w:t>
      </w:r>
      <w:r w:rsidR="000431F2">
        <w:rPr>
          <w:sz w:val="20"/>
          <w:szCs w:val="20"/>
        </w:rPr>
        <w:t xml:space="preserve">clients </w:t>
      </w:r>
      <w:r>
        <w:rPr>
          <w:sz w:val="20"/>
          <w:szCs w:val="20"/>
        </w:rPr>
        <w:t>se décomposent comme suit :</w:t>
      </w:r>
    </w:p>
    <w:p w14:paraId="441638A9" w14:textId="3D68BB25" w:rsidR="006B1A3D" w:rsidRDefault="000431F2" w:rsidP="005F0853">
      <w:r w:rsidRPr="000431F2">
        <w:rPr>
          <w:noProof/>
        </w:rPr>
        <w:drawing>
          <wp:inline distT="0" distB="0" distL="0" distR="0" wp14:anchorId="542E34B7" wp14:editId="3154266B">
            <wp:extent cx="4093210" cy="831554"/>
            <wp:effectExtent l="0" t="0" r="254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08111" cy="834581"/>
                    </a:xfrm>
                    <a:prstGeom prst="rect">
                      <a:avLst/>
                    </a:prstGeom>
                    <a:noFill/>
                    <a:ln>
                      <a:noFill/>
                    </a:ln>
                  </pic:spPr>
                </pic:pic>
              </a:graphicData>
            </a:graphic>
          </wp:inline>
        </w:drawing>
      </w:r>
    </w:p>
    <w:p w14:paraId="2E3C95AD" w14:textId="77777777" w:rsidR="000C1BAC" w:rsidRDefault="000C1BAC" w:rsidP="00D01A82">
      <w:bookmarkStart w:id="3176" w:name="_Toc62888576"/>
    </w:p>
    <w:p w14:paraId="006B6ACC" w14:textId="05A19D77" w:rsidR="00723C8C" w:rsidRPr="006A0C19" w:rsidRDefault="00723C8C" w:rsidP="0041512C">
      <w:pPr>
        <w:pStyle w:val="Titre2"/>
        <w:numPr>
          <w:ilvl w:val="1"/>
          <w:numId w:val="16"/>
        </w:numPr>
        <w:spacing w:before="0"/>
        <w:ind w:left="567" w:hanging="567"/>
        <w:rPr>
          <w:rFonts w:ascii="Calibri" w:hAnsi="Calibri"/>
          <w:color w:val="auto"/>
          <w:sz w:val="28"/>
          <w:szCs w:val="28"/>
        </w:rPr>
      </w:pPr>
      <w:bookmarkStart w:id="3177" w:name="_Toc74917185"/>
      <w:bookmarkStart w:id="3178" w:name="_Toc100603619"/>
      <w:bookmarkStart w:id="3179" w:name="_Toc100605226"/>
      <w:bookmarkStart w:id="3180" w:name="_Toc100684212"/>
      <w:bookmarkStart w:id="3181" w:name="_Toc100689238"/>
      <w:bookmarkStart w:id="3182" w:name="_Toc100689287"/>
      <w:r w:rsidRPr="006A0C19">
        <w:rPr>
          <w:rFonts w:ascii="Calibri" w:hAnsi="Calibri"/>
          <w:color w:val="auto"/>
          <w:sz w:val="28"/>
          <w:szCs w:val="28"/>
        </w:rPr>
        <w:t>Autres créances et actifs courants</w:t>
      </w:r>
      <w:bookmarkEnd w:id="3176"/>
      <w:bookmarkEnd w:id="3177"/>
      <w:bookmarkEnd w:id="3178"/>
      <w:bookmarkEnd w:id="3179"/>
      <w:bookmarkEnd w:id="3180"/>
      <w:bookmarkEnd w:id="3181"/>
      <w:bookmarkEnd w:id="3182"/>
    </w:p>
    <w:p w14:paraId="33ECC976" w14:textId="61B13970" w:rsidR="00483928" w:rsidRDefault="00483928" w:rsidP="00483928">
      <w:pPr>
        <w:rPr>
          <w:rFonts w:cs="Calibri"/>
        </w:rPr>
      </w:pPr>
    </w:p>
    <w:p w14:paraId="71647716" w14:textId="2E77D980" w:rsidR="00513A7C" w:rsidRDefault="00513A7C" w:rsidP="00513A7C">
      <w:pPr>
        <w:rPr>
          <w:sz w:val="20"/>
          <w:szCs w:val="20"/>
        </w:rPr>
      </w:pPr>
      <w:r>
        <w:rPr>
          <w:sz w:val="20"/>
          <w:szCs w:val="20"/>
        </w:rPr>
        <w:t>Les autres créances et actifs courants se décomposent comme suit :</w:t>
      </w:r>
    </w:p>
    <w:p w14:paraId="04EA95E1" w14:textId="294B6EA6" w:rsidR="00C56F60" w:rsidRPr="0099106A" w:rsidRDefault="00C163A9" w:rsidP="00AF4B66">
      <w:pPr>
        <w:rPr>
          <w:rFonts w:cs="Calibri"/>
        </w:rPr>
      </w:pPr>
      <w:r w:rsidRPr="00C163A9">
        <w:rPr>
          <w:noProof/>
        </w:rPr>
        <w:drawing>
          <wp:inline distT="0" distB="0" distL="0" distR="0" wp14:anchorId="28B3E8CF" wp14:editId="663C655D">
            <wp:extent cx="4154570" cy="1153077"/>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66340" cy="1156344"/>
                    </a:xfrm>
                    <a:prstGeom prst="rect">
                      <a:avLst/>
                    </a:prstGeom>
                    <a:noFill/>
                    <a:ln>
                      <a:noFill/>
                    </a:ln>
                  </pic:spPr>
                </pic:pic>
              </a:graphicData>
            </a:graphic>
          </wp:inline>
        </w:drawing>
      </w:r>
    </w:p>
    <w:p w14:paraId="2F2BE93B" w14:textId="4D8084AA" w:rsidR="00614F41" w:rsidRDefault="0099409D" w:rsidP="00614F41">
      <w:pPr>
        <w:jc w:val="both"/>
        <w:rPr>
          <w:sz w:val="20"/>
          <w:szCs w:val="20"/>
        </w:rPr>
      </w:pPr>
      <w:r w:rsidRPr="00563216">
        <w:rPr>
          <w:sz w:val="20"/>
          <w:szCs w:val="20"/>
        </w:rPr>
        <w:t xml:space="preserve">La variation des autres créances et </w:t>
      </w:r>
      <w:r w:rsidR="00247686" w:rsidRPr="00563216">
        <w:rPr>
          <w:sz w:val="20"/>
          <w:szCs w:val="20"/>
        </w:rPr>
        <w:t>actifs</w:t>
      </w:r>
      <w:r w:rsidRPr="00563216">
        <w:rPr>
          <w:sz w:val="20"/>
          <w:szCs w:val="20"/>
        </w:rPr>
        <w:t xml:space="preserve"> courants entre le 31 août 20</w:t>
      </w:r>
      <w:r w:rsidR="00893758" w:rsidRPr="00563216">
        <w:rPr>
          <w:sz w:val="20"/>
          <w:szCs w:val="20"/>
        </w:rPr>
        <w:t>2</w:t>
      </w:r>
      <w:r w:rsidR="004A1B3F" w:rsidRPr="00563216">
        <w:rPr>
          <w:sz w:val="20"/>
          <w:szCs w:val="20"/>
        </w:rPr>
        <w:t>1</w:t>
      </w:r>
      <w:r w:rsidRPr="00563216">
        <w:rPr>
          <w:sz w:val="20"/>
          <w:szCs w:val="20"/>
        </w:rPr>
        <w:t xml:space="preserve"> et </w:t>
      </w:r>
      <w:r w:rsidR="00563216" w:rsidRPr="00563216">
        <w:rPr>
          <w:sz w:val="20"/>
          <w:szCs w:val="20"/>
        </w:rPr>
        <w:t xml:space="preserve">le </w:t>
      </w:r>
      <w:r w:rsidR="00EE5582" w:rsidRPr="00563216">
        <w:rPr>
          <w:sz w:val="20"/>
          <w:szCs w:val="20"/>
        </w:rPr>
        <w:t>28 février 2022</w:t>
      </w:r>
      <w:r w:rsidRPr="00563216">
        <w:rPr>
          <w:sz w:val="20"/>
          <w:szCs w:val="20"/>
        </w:rPr>
        <w:t xml:space="preserve"> s’explique </w:t>
      </w:r>
      <w:r w:rsidR="003012D2" w:rsidRPr="00563216">
        <w:rPr>
          <w:sz w:val="20"/>
          <w:szCs w:val="20"/>
        </w:rPr>
        <w:t>notamment</w:t>
      </w:r>
      <w:r w:rsidR="00893758" w:rsidRPr="00563216">
        <w:rPr>
          <w:sz w:val="20"/>
          <w:szCs w:val="20"/>
        </w:rPr>
        <w:t xml:space="preserve"> </w:t>
      </w:r>
      <w:r w:rsidR="00614F41" w:rsidRPr="00563216">
        <w:rPr>
          <w:sz w:val="20"/>
          <w:szCs w:val="20"/>
        </w:rPr>
        <w:t xml:space="preserve">par </w:t>
      </w:r>
      <w:r w:rsidR="00563216" w:rsidRPr="00563216">
        <w:rPr>
          <w:sz w:val="20"/>
          <w:szCs w:val="20"/>
        </w:rPr>
        <w:t>l’encaissement de l’</w:t>
      </w:r>
      <w:r w:rsidR="00614F41" w:rsidRPr="00563216">
        <w:rPr>
          <w:sz w:val="20"/>
          <w:szCs w:val="20"/>
        </w:rPr>
        <w:t xml:space="preserve">indemnité forfaitaire </w:t>
      </w:r>
      <w:r w:rsidR="00563216" w:rsidRPr="00563216">
        <w:rPr>
          <w:sz w:val="20"/>
          <w:szCs w:val="20"/>
        </w:rPr>
        <w:t xml:space="preserve">octroyée par les compagnies d’assurance </w:t>
      </w:r>
      <w:r w:rsidR="00614F41" w:rsidRPr="00563216">
        <w:rPr>
          <w:sz w:val="20"/>
          <w:szCs w:val="20"/>
        </w:rPr>
        <w:t xml:space="preserve">au titre des dommages causés par l’incendie </w:t>
      </w:r>
      <w:r w:rsidRPr="00563216">
        <w:rPr>
          <w:sz w:val="20"/>
          <w:szCs w:val="20"/>
        </w:rPr>
        <w:t xml:space="preserve">du </w:t>
      </w:r>
      <w:r w:rsidR="000071B6" w:rsidRPr="00563216">
        <w:rPr>
          <w:sz w:val="20"/>
          <w:szCs w:val="20"/>
        </w:rPr>
        <w:t>site</w:t>
      </w:r>
      <w:r w:rsidRPr="00563216">
        <w:rPr>
          <w:sz w:val="20"/>
          <w:szCs w:val="20"/>
        </w:rPr>
        <w:t xml:space="preserve"> de </w:t>
      </w:r>
      <w:r w:rsidR="000071B6" w:rsidRPr="00563216">
        <w:rPr>
          <w:sz w:val="20"/>
          <w:szCs w:val="20"/>
        </w:rPr>
        <w:t>Strasbourg</w:t>
      </w:r>
      <w:r w:rsidRPr="00563216">
        <w:rPr>
          <w:sz w:val="20"/>
          <w:szCs w:val="20"/>
        </w:rPr>
        <w:t xml:space="preserve"> pour </w:t>
      </w:r>
      <w:r w:rsidR="00041F67" w:rsidRPr="00563216">
        <w:rPr>
          <w:sz w:val="20"/>
          <w:szCs w:val="20"/>
        </w:rPr>
        <w:t>un montant de 5</w:t>
      </w:r>
      <w:r w:rsidR="00E34655" w:rsidRPr="00563216">
        <w:rPr>
          <w:sz w:val="20"/>
          <w:szCs w:val="20"/>
        </w:rPr>
        <w:t>8</w:t>
      </w:r>
      <w:r w:rsidR="00F76FD7" w:rsidRPr="00563216">
        <w:rPr>
          <w:sz w:val="20"/>
          <w:szCs w:val="20"/>
        </w:rPr>
        <w:t xml:space="preserve"> millions</w:t>
      </w:r>
      <w:r w:rsidR="00181EEE" w:rsidRPr="00563216">
        <w:rPr>
          <w:sz w:val="20"/>
          <w:szCs w:val="20"/>
        </w:rPr>
        <w:t xml:space="preserve"> d’euros</w:t>
      </w:r>
      <w:r w:rsidRPr="00563216">
        <w:rPr>
          <w:sz w:val="20"/>
          <w:szCs w:val="20"/>
        </w:rPr>
        <w:t>.</w:t>
      </w:r>
      <w:r w:rsidR="00E74A5C" w:rsidRPr="00563216">
        <w:rPr>
          <w:sz w:val="20"/>
          <w:szCs w:val="20"/>
        </w:rPr>
        <w:t xml:space="preserve"> </w:t>
      </w:r>
    </w:p>
    <w:p w14:paraId="0C2199ED" w14:textId="6D35176A" w:rsidR="008D2E20" w:rsidRDefault="0047683D" w:rsidP="00C77D7B">
      <w:pPr>
        <w:spacing w:after="0" w:line="240" w:lineRule="auto"/>
        <w:jc w:val="both"/>
        <w:rPr>
          <w:sz w:val="20"/>
          <w:szCs w:val="20"/>
        </w:rPr>
      </w:pPr>
      <w:bookmarkStart w:id="3183" w:name="_Toc67047734"/>
      <w:bookmarkStart w:id="3184" w:name="_Toc67059143"/>
      <w:bookmarkStart w:id="3185" w:name="_Toc67047735"/>
      <w:bookmarkStart w:id="3186" w:name="_Toc67059144"/>
      <w:bookmarkStart w:id="3187" w:name="_Toc67047736"/>
      <w:bookmarkStart w:id="3188" w:name="_Toc67059145"/>
      <w:bookmarkStart w:id="3189" w:name="_Toc67047737"/>
      <w:bookmarkStart w:id="3190" w:name="_Toc67059146"/>
      <w:bookmarkStart w:id="3191" w:name="_Toc66134387"/>
      <w:bookmarkStart w:id="3192" w:name="_Toc66134671"/>
      <w:bookmarkStart w:id="3193" w:name="_Toc66134775"/>
      <w:bookmarkStart w:id="3194" w:name="_Toc66142611"/>
      <w:bookmarkStart w:id="3195" w:name="_Toc66142716"/>
      <w:bookmarkStart w:id="3196" w:name="_Toc66142821"/>
      <w:bookmarkStart w:id="3197" w:name="_Toc66142925"/>
      <w:bookmarkStart w:id="3198" w:name="_Toc67047738"/>
      <w:bookmarkStart w:id="3199" w:name="_Toc67059147"/>
      <w:bookmarkStart w:id="3200" w:name="_Ref62840712"/>
      <w:bookmarkStart w:id="3201" w:name="_Ref62840735"/>
      <w:bookmarkStart w:id="3202" w:name="_Ref62840776"/>
      <w:bookmarkStart w:id="3203" w:name="_Ref62840830"/>
      <w:bookmarkStart w:id="3204" w:name="_Toc62888578"/>
      <w:bookmarkStart w:id="3205" w:name="_Toc74917187"/>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r w:rsidRPr="00393A43">
        <w:rPr>
          <w:sz w:val="20"/>
          <w:szCs w:val="20"/>
        </w:rPr>
        <w:t xml:space="preserve">Les créances fiscales </w:t>
      </w:r>
      <w:r w:rsidR="00393A43" w:rsidRPr="00C77D7B">
        <w:rPr>
          <w:sz w:val="20"/>
          <w:szCs w:val="20"/>
        </w:rPr>
        <w:t>incluent notamment</w:t>
      </w:r>
      <w:r w:rsidRPr="00393A43">
        <w:rPr>
          <w:sz w:val="20"/>
          <w:szCs w:val="20"/>
        </w:rPr>
        <w:t xml:space="preserve"> </w:t>
      </w:r>
      <w:r w:rsidR="00683DC8" w:rsidRPr="00C77D7B">
        <w:rPr>
          <w:sz w:val="20"/>
          <w:szCs w:val="20"/>
        </w:rPr>
        <w:t>8,</w:t>
      </w:r>
      <w:r w:rsidR="00F85F6C">
        <w:rPr>
          <w:sz w:val="20"/>
          <w:szCs w:val="20"/>
        </w:rPr>
        <w:t>2</w:t>
      </w:r>
      <w:r w:rsidR="00F85F6C" w:rsidRPr="00393A43">
        <w:rPr>
          <w:sz w:val="20"/>
          <w:szCs w:val="20"/>
        </w:rPr>
        <w:t xml:space="preserve"> </w:t>
      </w:r>
      <w:r w:rsidRPr="00393A43">
        <w:rPr>
          <w:sz w:val="20"/>
          <w:szCs w:val="20"/>
        </w:rPr>
        <w:t xml:space="preserve">millions d’euros de </w:t>
      </w:r>
      <w:r w:rsidR="00143A90" w:rsidRPr="00393A43">
        <w:rPr>
          <w:sz w:val="20"/>
          <w:szCs w:val="20"/>
        </w:rPr>
        <w:t xml:space="preserve">Crédit d’Impôt Recherche </w:t>
      </w:r>
      <w:r w:rsidRPr="00393A43">
        <w:rPr>
          <w:sz w:val="20"/>
          <w:szCs w:val="20"/>
        </w:rPr>
        <w:t xml:space="preserve">au 28 février 2022 </w:t>
      </w:r>
      <w:r w:rsidR="00143A90" w:rsidRPr="00C77D7B">
        <w:rPr>
          <w:sz w:val="20"/>
          <w:szCs w:val="20"/>
        </w:rPr>
        <w:br/>
      </w:r>
      <w:r w:rsidRPr="00393A43">
        <w:rPr>
          <w:sz w:val="20"/>
          <w:szCs w:val="20"/>
        </w:rPr>
        <w:t>(</w:t>
      </w:r>
      <w:r w:rsidR="00143A90" w:rsidRPr="00C77D7B">
        <w:rPr>
          <w:sz w:val="20"/>
          <w:szCs w:val="20"/>
        </w:rPr>
        <w:t>3,8</w:t>
      </w:r>
      <w:r w:rsidRPr="00393A43">
        <w:rPr>
          <w:sz w:val="20"/>
          <w:szCs w:val="20"/>
        </w:rPr>
        <w:t xml:space="preserve"> millions d’euros </w:t>
      </w:r>
      <w:r w:rsidR="00143A90" w:rsidRPr="00C77D7B">
        <w:rPr>
          <w:sz w:val="20"/>
          <w:szCs w:val="20"/>
        </w:rPr>
        <w:t>au</w:t>
      </w:r>
      <w:r w:rsidR="001A1DEF" w:rsidRPr="00393A43">
        <w:rPr>
          <w:sz w:val="20"/>
          <w:szCs w:val="20"/>
        </w:rPr>
        <w:t xml:space="preserve"> 31 août 2021)</w:t>
      </w:r>
      <w:r w:rsidR="003F25D0">
        <w:rPr>
          <w:sz w:val="20"/>
          <w:szCs w:val="20"/>
        </w:rPr>
        <w:t>, ainsi que la TVA.</w:t>
      </w:r>
    </w:p>
    <w:p w14:paraId="381C5D1E" w14:textId="77777777" w:rsidR="008D2361" w:rsidRPr="0001318F" w:rsidRDefault="008D2361">
      <w:pPr>
        <w:spacing w:after="0" w:line="240" w:lineRule="auto"/>
        <w:rPr>
          <w:sz w:val="20"/>
          <w:szCs w:val="20"/>
        </w:rPr>
      </w:pPr>
    </w:p>
    <w:p w14:paraId="3F0B8032" w14:textId="5678D3B8" w:rsidR="00466319" w:rsidRPr="006A0C19" w:rsidRDefault="005568DE" w:rsidP="0041512C">
      <w:pPr>
        <w:pStyle w:val="Titre2"/>
        <w:numPr>
          <w:ilvl w:val="1"/>
          <w:numId w:val="16"/>
        </w:numPr>
        <w:spacing w:before="0"/>
        <w:ind w:left="567" w:hanging="567"/>
        <w:rPr>
          <w:rFonts w:ascii="Calibri" w:hAnsi="Calibri"/>
          <w:color w:val="auto"/>
          <w:sz w:val="28"/>
          <w:szCs w:val="28"/>
        </w:rPr>
      </w:pPr>
      <w:bookmarkStart w:id="3206" w:name="_Toc86920326"/>
      <w:bookmarkStart w:id="3207" w:name="_Toc86922795"/>
      <w:bookmarkStart w:id="3208" w:name="_Toc100603620"/>
      <w:bookmarkStart w:id="3209" w:name="_Toc100605227"/>
      <w:bookmarkStart w:id="3210" w:name="_Toc100684213"/>
      <w:bookmarkStart w:id="3211" w:name="_Toc100689239"/>
      <w:bookmarkStart w:id="3212" w:name="_Toc100689288"/>
      <w:bookmarkEnd w:id="3206"/>
      <w:bookmarkEnd w:id="3207"/>
      <w:r w:rsidRPr="006A0C19">
        <w:rPr>
          <w:rFonts w:ascii="Calibri" w:hAnsi="Calibri"/>
          <w:color w:val="auto"/>
          <w:sz w:val="28"/>
          <w:szCs w:val="28"/>
        </w:rPr>
        <w:t>Capital</w:t>
      </w:r>
      <w:bookmarkEnd w:id="3200"/>
      <w:bookmarkEnd w:id="3201"/>
      <w:bookmarkEnd w:id="3202"/>
      <w:bookmarkEnd w:id="3203"/>
      <w:bookmarkEnd w:id="3204"/>
      <w:bookmarkEnd w:id="3205"/>
      <w:bookmarkEnd w:id="3208"/>
      <w:bookmarkEnd w:id="3209"/>
      <w:bookmarkEnd w:id="3210"/>
      <w:bookmarkEnd w:id="3211"/>
      <w:bookmarkEnd w:id="3212"/>
    </w:p>
    <w:p w14:paraId="4AD70FEF" w14:textId="2285F005" w:rsidR="0025174C" w:rsidRDefault="0025174C" w:rsidP="004236D6"/>
    <w:p w14:paraId="6CBB524C" w14:textId="4E1B1159" w:rsidR="00F745EB" w:rsidRPr="007B2AAC" w:rsidRDefault="00F745EB" w:rsidP="00F745EB">
      <w:pPr>
        <w:jc w:val="both"/>
        <w:rPr>
          <w:rFonts w:cstheme="minorHAnsi"/>
          <w:b/>
          <w:bCs/>
        </w:rPr>
      </w:pPr>
      <w:r w:rsidRPr="007B2AAC">
        <w:rPr>
          <w:rFonts w:cstheme="minorHAnsi"/>
          <w:b/>
          <w:bCs/>
        </w:rPr>
        <w:t>Capital social au 31 août 2021</w:t>
      </w:r>
    </w:p>
    <w:p w14:paraId="7E6CEB1C" w14:textId="091C9D65" w:rsidR="007B3428" w:rsidRPr="00847902" w:rsidRDefault="007B3428" w:rsidP="00F47AFF">
      <w:pPr>
        <w:spacing w:before="120" w:after="0"/>
        <w:jc w:val="both"/>
        <w:rPr>
          <w:sz w:val="20"/>
          <w:szCs w:val="20"/>
        </w:rPr>
      </w:pPr>
      <w:r w:rsidRPr="00847902">
        <w:rPr>
          <w:sz w:val="20"/>
          <w:szCs w:val="20"/>
        </w:rPr>
        <w:t>Au 31 août 2021, l</w:t>
      </w:r>
      <w:r w:rsidR="001B7AB6" w:rsidRPr="00847902">
        <w:rPr>
          <w:sz w:val="20"/>
          <w:szCs w:val="20"/>
        </w:rPr>
        <w:t xml:space="preserve">e capital social </w:t>
      </w:r>
      <w:r w:rsidR="00F47AFF" w:rsidRPr="00847902">
        <w:rPr>
          <w:sz w:val="20"/>
          <w:szCs w:val="20"/>
        </w:rPr>
        <w:t>était</w:t>
      </w:r>
      <w:r w:rsidR="001B7AB6" w:rsidRPr="00847902">
        <w:rPr>
          <w:sz w:val="20"/>
          <w:szCs w:val="20"/>
        </w:rPr>
        <w:t xml:space="preserve"> composé d’actions ordinaires d’une valeur nominale de 1 </w:t>
      </w:r>
      <w:r w:rsidR="00525BE3" w:rsidRPr="00847902">
        <w:rPr>
          <w:sz w:val="20"/>
          <w:szCs w:val="20"/>
        </w:rPr>
        <w:t>euro</w:t>
      </w:r>
      <w:r w:rsidR="001B7AB6" w:rsidRPr="00847902">
        <w:rPr>
          <w:sz w:val="20"/>
          <w:szCs w:val="20"/>
        </w:rPr>
        <w:t xml:space="preserve"> et de deux catégories d’actions de préférence (A et C) d’une valeur nominale de 1,23 </w:t>
      </w:r>
      <w:r w:rsidR="00CB158B" w:rsidRPr="00847902">
        <w:rPr>
          <w:sz w:val="20"/>
          <w:szCs w:val="20"/>
        </w:rPr>
        <w:t>euro</w:t>
      </w:r>
      <w:r w:rsidR="001B7AB6" w:rsidRPr="00847902">
        <w:rPr>
          <w:sz w:val="20"/>
          <w:szCs w:val="20"/>
        </w:rPr>
        <w:t xml:space="preserve"> pour les actions de préférence A et d’une valeur nominale de 1 </w:t>
      </w:r>
      <w:r w:rsidR="00525BE3" w:rsidRPr="00847902">
        <w:rPr>
          <w:sz w:val="20"/>
          <w:szCs w:val="20"/>
        </w:rPr>
        <w:t>euro</w:t>
      </w:r>
      <w:r w:rsidR="001B7AB6" w:rsidRPr="00847902">
        <w:rPr>
          <w:sz w:val="20"/>
          <w:szCs w:val="20"/>
        </w:rPr>
        <w:t xml:space="preserve"> pour les actions de préférence C. </w:t>
      </w:r>
      <w:r w:rsidR="00F47AFF" w:rsidRPr="00847902">
        <w:rPr>
          <w:rFonts w:eastAsia="DengXian Light" w:cs="Calibri"/>
          <w:sz w:val="20"/>
          <w:szCs w:val="20"/>
        </w:rPr>
        <w:t>Il s’élevait à</w:t>
      </w:r>
      <w:r w:rsidRPr="00847902">
        <w:rPr>
          <w:sz w:val="20"/>
          <w:szCs w:val="20"/>
        </w:rPr>
        <w:t xml:space="preserve"> 170,8 millions d’euros et se compos</w:t>
      </w:r>
      <w:r w:rsidR="00F47AFF" w:rsidRPr="00847902">
        <w:rPr>
          <w:sz w:val="20"/>
          <w:szCs w:val="20"/>
        </w:rPr>
        <w:t>ait</w:t>
      </w:r>
      <w:r w:rsidRPr="00847902">
        <w:rPr>
          <w:sz w:val="20"/>
          <w:szCs w:val="20"/>
        </w:rPr>
        <w:t xml:space="preserve"> de 136 378 003 actions ordinaires, 27 968 123 actions de préférence A et 2 actions de préférence C.</w:t>
      </w:r>
    </w:p>
    <w:p w14:paraId="7176753A" w14:textId="7E00D61B" w:rsidR="009D7684" w:rsidRPr="00847902" w:rsidRDefault="007B3428" w:rsidP="007B3428">
      <w:pPr>
        <w:spacing w:before="120" w:after="0"/>
        <w:rPr>
          <w:sz w:val="20"/>
          <w:szCs w:val="20"/>
        </w:rPr>
      </w:pPr>
      <w:r w:rsidRPr="00847902">
        <w:rPr>
          <w:sz w:val="20"/>
          <w:szCs w:val="20"/>
        </w:rPr>
        <w:t>Au 31 août 2021, le capital social de la Société était détenu à 79 % par la famille du fondateur, 17 % par des fonds d’investissement et 4 % par certains salariés du Groupe dans le cadre d’un plan d’attribution d’actions.</w:t>
      </w:r>
    </w:p>
    <w:p w14:paraId="0A05699F" w14:textId="77777777" w:rsidR="00F745EB" w:rsidRDefault="00F745EB" w:rsidP="00F745EB">
      <w:pPr>
        <w:jc w:val="both"/>
        <w:rPr>
          <w:rFonts w:cstheme="minorHAnsi"/>
          <w:b/>
          <w:bCs/>
          <w:sz w:val="20"/>
          <w:szCs w:val="20"/>
        </w:rPr>
      </w:pPr>
    </w:p>
    <w:p w14:paraId="269B1390" w14:textId="199B11EB" w:rsidR="00F745EB" w:rsidRPr="007B2AAC" w:rsidRDefault="00F745EB" w:rsidP="00F745EB">
      <w:pPr>
        <w:jc w:val="both"/>
        <w:rPr>
          <w:rFonts w:cstheme="minorHAnsi"/>
          <w:b/>
          <w:bCs/>
        </w:rPr>
      </w:pPr>
      <w:r w:rsidRPr="007B2AAC">
        <w:rPr>
          <w:rFonts w:cstheme="minorHAnsi"/>
          <w:b/>
          <w:bCs/>
        </w:rPr>
        <w:lastRenderedPageBreak/>
        <w:t>Capital social au 28 février 2022</w:t>
      </w:r>
    </w:p>
    <w:p w14:paraId="2144D8C7" w14:textId="0828EAB3" w:rsidR="005D07AE" w:rsidRPr="0003600D" w:rsidRDefault="00F639C4" w:rsidP="003B6366">
      <w:pPr>
        <w:spacing w:before="120" w:after="0"/>
        <w:jc w:val="both"/>
        <w:rPr>
          <w:sz w:val="20"/>
          <w:szCs w:val="20"/>
        </w:rPr>
      </w:pPr>
      <w:r>
        <w:rPr>
          <w:sz w:val="20"/>
          <w:szCs w:val="20"/>
        </w:rPr>
        <w:t xml:space="preserve">A la suite des diverses opérations sur l’actionnariat de la </w:t>
      </w:r>
      <w:r w:rsidR="004F030A">
        <w:rPr>
          <w:sz w:val="20"/>
          <w:szCs w:val="20"/>
        </w:rPr>
        <w:t>S</w:t>
      </w:r>
      <w:r>
        <w:rPr>
          <w:sz w:val="20"/>
          <w:szCs w:val="20"/>
        </w:rPr>
        <w:t xml:space="preserve">ociété survenues </w:t>
      </w:r>
      <w:r w:rsidR="004F030A">
        <w:rPr>
          <w:sz w:val="20"/>
          <w:szCs w:val="20"/>
        </w:rPr>
        <w:t xml:space="preserve">après son introduction en bourse </w:t>
      </w:r>
      <w:r>
        <w:rPr>
          <w:sz w:val="20"/>
          <w:szCs w:val="20"/>
        </w:rPr>
        <w:t xml:space="preserve">(fusion des </w:t>
      </w:r>
      <w:r w:rsidRPr="00F639C4">
        <w:rPr>
          <w:sz w:val="20"/>
          <w:szCs w:val="20"/>
        </w:rPr>
        <w:t>sociétés MANOVH et MENOVH dans la Société</w:t>
      </w:r>
      <w:r w:rsidR="004F030A">
        <w:rPr>
          <w:sz w:val="20"/>
          <w:szCs w:val="20"/>
        </w:rPr>
        <w:t xml:space="preserve">, conversion des </w:t>
      </w:r>
      <w:r w:rsidRPr="00F639C4">
        <w:rPr>
          <w:sz w:val="20"/>
          <w:szCs w:val="20"/>
        </w:rPr>
        <w:t xml:space="preserve">actions de Préférence A et </w:t>
      </w:r>
      <w:r w:rsidR="004F030A">
        <w:rPr>
          <w:sz w:val="20"/>
          <w:szCs w:val="20"/>
        </w:rPr>
        <w:t>d</w:t>
      </w:r>
      <w:r w:rsidRPr="00F639C4">
        <w:rPr>
          <w:sz w:val="20"/>
          <w:szCs w:val="20"/>
        </w:rPr>
        <w:t>es actions de Préférence C en actions Ordinaires de la Société</w:t>
      </w:r>
      <w:r w:rsidR="004F030A">
        <w:rPr>
          <w:sz w:val="20"/>
          <w:szCs w:val="20"/>
        </w:rPr>
        <w:t xml:space="preserve">, Offre </w:t>
      </w:r>
      <w:r w:rsidRPr="00F639C4">
        <w:rPr>
          <w:sz w:val="20"/>
          <w:szCs w:val="20"/>
        </w:rPr>
        <w:t>d’actionnariat réservée aux employés du Groupe</w:t>
      </w:r>
      <w:r w:rsidR="004F030A">
        <w:rPr>
          <w:sz w:val="20"/>
          <w:szCs w:val="20"/>
        </w:rPr>
        <w:t xml:space="preserve"> et </w:t>
      </w:r>
      <w:r w:rsidR="006808C6" w:rsidRPr="0003600D">
        <w:rPr>
          <w:sz w:val="20"/>
          <w:szCs w:val="20"/>
        </w:rPr>
        <w:t>l’acquisition</w:t>
      </w:r>
      <w:r w:rsidR="004F030A" w:rsidRPr="0003600D">
        <w:rPr>
          <w:sz w:val="20"/>
          <w:szCs w:val="20"/>
        </w:rPr>
        <w:t xml:space="preserve"> d’actions </w:t>
      </w:r>
      <w:r w:rsidR="00C43F3C" w:rsidRPr="0003600D">
        <w:rPr>
          <w:sz w:val="20"/>
          <w:szCs w:val="20"/>
        </w:rPr>
        <w:t xml:space="preserve">gratuites dans le cadre du plan </w:t>
      </w:r>
      <w:r w:rsidR="006808C6" w:rsidRPr="0003600D">
        <w:rPr>
          <w:sz w:val="20"/>
          <w:szCs w:val="20"/>
        </w:rPr>
        <w:t xml:space="preserve">d’attribution </w:t>
      </w:r>
      <w:r w:rsidR="00C43F3C" w:rsidRPr="0003600D">
        <w:rPr>
          <w:sz w:val="20"/>
          <w:szCs w:val="20"/>
        </w:rPr>
        <w:t xml:space="preserve">octroyé en Février </w:t>
      </w:r>
      <w:r w:rsidR="00F93A52" w:rsidRPr="0003600D">
        <w:rPr>
          <w:sz w:val="20"/>
          <w:szCs w:val="20"/>
        </w:rPr>
        <w:t>2021, tel que détaillé en Notes 2 et 4.20</w:t>
      </w:r>
      <w:r w:rsidR="004F030A" w:rsidRPr="0003600D">
        <w:rPr>
          <w:sz w:val="20"/>
          <w:szCs w:val="20"/>
        </w:rPr>
        <w:t>)</w:t>
      </w:r>
      <w:r w:rsidR="003B6366" w:rsidRPr="0003600D">
        <w:rPr>
          <w:sz w:val="20"/>
          <w:szCs w:val="20"/>
        </w:rPr>
        <w:t>, le capital social est composé de</w:t>
      </w:r>
      <w:r w:rsidR="005D07AE" w:rsidRPr="0003600D">
        <w:rPr>
          <w:sz w:val="20"/>
          <w:szCs w:val="20"/>
        </w:rPr>
        <w:t xml:space="preserve"> 190 340</w:t>
      </w:r>
      <w:r w:rsidR="003B6366" w:rsidRPr="0003600D">
        <w:rPr>
          <w:sz w:val="20"/>
          <w:szCs w:val="20"/>
        </w:rPr>
        <w:t> </w:t>
      </w:r>
      <w:r w:rsidR="005D07AE" w:rsidRPr="0003600D">
        <w:rPr>
          <w:sz w:val="20"/>
          <w:szCs w:val="20"/>
        </w:rPr>
        <w:t>242</w:t>
      </w:r>
      <w:r w:rsidR="003B6366" w:rsidRPr="0003600D">
        <w:rPr>
          <w:sz w:val="20"/>
          <w:szCs w:val="20"/>
        </w:rPr>
        <w:t xml:space="preserve"> </w:t>
      </w:r>
      <w:r w:rsidR="005D07AE" w:rsidRPr="0003600D">
        <w:rPr>
          <w:sz w:val="20"/>
          <w:szCs w:val="20"/>
        </w:rPr>
        <w:t>actions ordinaires d’une valeur nominale de 1 euro.</w:t>
      </w:r>
    </w:p>
    <w:p w14:paraId="0882EA90" w14:textId="77777777" w:rsidR="009C49C7" w:rsidRPr="0003600D" w:rsidRDefault="005D07AE" w:rsidP="00E90895">
      <w:pPr>
        <w:spacing w:before="120" w:after="0"/>
        <w:jc w:val="both"/>
        <w:rPr>
          <w:sz w:val="20"/>
          <w:szCs w:val="20"/>
        </w:rPr>
      </w:pPr>
      <w:r w:rsidRPr="0003600D">
        <w:rPr>
          <w:sz w:val="20"/>
          <w:szCs w:val="20"/>
        </w:rPr>
        <w:t xml:space="preserve">Au </w:t>
      </w:r>
      <w:r w:rsidR="001D31F2" w:rsidRPr="0003600D">
        <w:rPr>
          <w:sz w:val="20"/>
          <w:szCs w:val="20"/>
        </w:rPr>
        <w:t>28 février 2022</w:t>
      </w:r>
      <w:r w:rsidRPr="0003600D">
        <w:rPr>
          <w:sz w:val="20"/>
          <w:szCs w:val="20"/>
        </w:rPr>
        <w:t>, le capital social de la Société était détenu</w:t>
      </w:r>
      <w:r w:rsidR="009C49C7" w:rsidRPr="0003600D">
        <w:rPr>
          <w:sz w:val="20"/>
          <w:szCs w:val="20"/>
        </w:rPr>
        <w:t xml:space="preserve"> comme suit :</w:t>
      </w:r>
    </w:p>
    <w:p w14:paraId="78234F8D" w14:textId="599E4795" w:rsidR="009C49C7" w:rsidRPr="006B3BAF" w:rsidRDefault="009C49C7" w:rsidP="0041512C">
      <w:pPr>
        <w:pStyle w:val="Paragraphedeliste"/>
        <w:numPr>
          <w:ilvl w:val="0"/>
          <w:numId w:val="15"/>
        </w:numPr>
        <w:spacing w:before="120" w:after="0"/>
        <w:jc w:val="both"/>
        <w:rPr>
          <w:sz w:val="20"/>
          <w:szCs w:val="20"/>
        </w:rPr>
      </w:pPr>
      <w:r w:rsidRPr="006B3BAF">
        <w:rPr>
          <w:sz w:val="20"/>
          <w:szCs w:val="20"/>
        </w:rPr>
        <w:t xml:space="preserve">Famille </w:t>
      </w:r>
      <w:r w:rsidR="00FD414D">
        <w:rPr>
          <w:sz w:val="20"/>
          <w:szCs w:val="20"/>
        </w:rPr>
        <w:t>Klaba</w:t>
      </w:r>
      <w:r w:rsidRPr="006B3BAF">
        <w:rPr>
          <w:sz w:val="20"/>
          <w:szCs w:val="20"/>
        </w:rPr>
        <w:t xml:space="preserve"> : </w:t>
      </w:r>
      <w:r w:rsidR="00D93F55">
        <w:rPr>
          <w:sz w:val="20"/>
          <w:szCs w:val="20"/>
        </w:rPr>
        <w:t>68,89%</w:t>
      </w:r>
      <w:r w:rsidR="005D07AE" w:rsidRPr="006B3BAF">
        <w:rPr>
          <w:sz w:val="20"/>
          <w:szCs w:val="20"/>
        </w:rPr>
        <w:t xml:space="preserve"> </w:t>
      </w:r>
    </w:p>
    <w:p w14:paraId="6B1857ED" w14:textId="3F4CC769" w:rsidR="009C49C7" w:rsidRPr="006B3BAF" w:rsidRDefault="009C49C7" w:rsidP="0041512C">
      <w:pPr>
        <w:pStyle w:val="Paragraphedeliste"/>
        <w:numPr>
          <w:ilvl w:val="0"/>
          <w:numId w:val="15"/>
        </w:numPr>
        <w:spacing w:before="120" w:after="0"/>
        <w:jc w:val="both"/>
        <w:rPr>
          <w:sz w:val="20"/>
          <w:szCs w:val="20"/>
        </w:rPr>
      </w:pPr>
      <w:r w:rsidRPr="006B3BAF">
        <w:rPr>
          <w:sz w:val="20"/>
          <w:szCs w:val="20"/>
        </w:rPr>
        <w:t>Fonds d’investissement </w:t>
      </w:r>
      <w:r w:rsidRPr="00C77D7B">
        <w:rPr>
          <w:sz w:val="20"/>
          <w:szCs w:val="20"/>
        </w:rPr>
        <w:t>:</w:t>
      </w:r>
      <w:r w:rsidR="005D07AE" w:rsidRPr="00C77D7B">
        <w:rPr>
          <w:sz w:val="20"/>
          <w:szCs w:val="20"/>
        </w:rPr>
        <w:t xml:space="preserve"> 1</w:t>
      </w:r>
      <w:r w:rsidRPr="00C77D7B">
        <w:rPr>
          <w:sz w:val="20"/>
          <w:szCs w:val="20"/>
        </w:rPr>
        <w:t>5,</w:t>
      </w:r>
      <w:r w:rsidR="00D93F55" w:rsidRPr="00C77D7B">
        <w:rPr>
          <w:sz w:val="20"/>
          <w:szCs w:val="20"/>
        </w:rPr>
        <w:t>26</w:t>
      </w:r>
      <w:r w:rsidR="005D07AE" w:rsidRPr="00D93F55">
        <w:rPr>
          <w:sz w:val="20"/>
          <w:szCs w:val="20"/>
        </w:rPr>
        <w:t>%</w:t>
      </w:r>
    </w:p>
    <w:p w14:paraId="0DC3C7BA" w14:textId="7F8AD73D" w:rsidR="009C49C7" w:rsidRPr="006B3BAF" w:rsidRDefault="009C49C7" w:rsidP="0041512C">
      <w:pPr>
        <w:pStyle w:val="Paragraphedeliste"/>
        <w:numPr>
          <w:ilvl w:val="0"/>
          <w:numId w:val="15"/>
        </w:numPr>
        <w:spacing w:before="120" w:after="0"/>
        <w:jc w:val="both"/>
        <w:rPr>
          <w:sz w:val="20"/>
          <w:szCs w:val="20"/>
        </w:rPr>
      </w:pPr>
      <w:r w:rsidRPr="006B3BAF">
        <w:rPr>
          <w:sz w:val="20"/>
          <w:szCs w:val="20"/>
        </w:rPr>
        <w:t>Salariés du Groupe (plans d’attribution d’actions et actionnariat salarié</w:t>
      </w:r>
      <w:r w:rsidR="00E40287">
        <w:rPr>
          <w:sz w:val="20"/>
          <w:szCs w:val="20"/>
        </w:rPr>
        <w:t>)</w:t>
      </w:r>
      <w:r w:rsidRPr="006B3BAF">
        <w:rPr>
          <w:sz w:val="20"/>
          <w:szCs w:val="20"/>
        </w:rPr>
        <w:t> :</w:t>
      </w:r>
      <w:r w:rsidR="00BE303D">
        <w:rPr>
          <w:sz w:val="20"/>
          <w:szCs w:val="20"/>
        </w:rPr>
        <w:t xml:space="preserve"> </w:t>
      </w:r>
      <w:r w:rsidR="00D93F55" w:rsidRPr="00C77D7B">
        <w:rPr>
          <w:sz w:val="20"/>
          <w:szCs w:val="20"/>
        </w:rPr>
        <w:t>2,15</w:t>
      </w:r>
      <w:r w:rsidRPr="00D93F55">
        <w:rPr>
          <w:sz w:val="20"/>
          <w:szCs w:val="20"/>
        </w:rPr>
        <w:t>%</w:t>
      </w:r>
    </w:p>
    <w:p w14:paraId="5CC12BB9" w14:textId="0C704609" w:rsidR="009C49C7" w:rsidRPr="006B3BAF" w:rsidRDefault="009C49C7" w:rsidP="0041512C">
      <w:pPr>
        <w:pStyle w:val="Paragraphedeliste"/>
        <w:numPr>
          <w:ilvl w:val="0"/>
          <w:numId w:val="15"/>
        </w:numPr>
        <w:spacing w:before="120" w:after="0"/>
        <w:jc w:val="both"/>
        <w:rPr>
          <w:sz w:val="20"/>
          <w:szCs w:val="20"/>
        </w:rPr>
      </w:pPr>
      <w:r w:rsidRPr="006B3BAF">
        <w:rPr>
          <w:sz w:val="20"/>
          <w:szCs w:val="20"/>
        </w:rPr>
        <w:t>Dirigeants et administrateurs </w:t>
      </w:r>
      <w:r w:rsidRPr="00D93F55">
        <w:rPr>
          <w:sz w:val="20"/>
          <w:szCs w:val="20"/>
        </w:rPr>
        <w:t xml:space="preserve">: </w:t>
      </w:r>
      <w:r w:rsidRPr="00C77D7B">
        <w:rPr>
          <w:sz w:val="20"/>
          <w:szCs w:val="20"/>
        </w:rPr>
        <w:t>0,</w:t>
      </w:r>
      <w:r w:rsidR="00D93F55" w:rsidRPr="00C77D7B">
        <w:rPr>
          <w:sz w:val="20"/>
          <w:szCs w:val="20"/>
        </w:rPr>
        <w:t>4</w:t>
      </w:r>
      <w:r w:rsidRPr="00C77D7B">
        <w:rPr>
          <w:sz w:val="20"/>
          <w:szCs w:val="20"/>
        </w:rPr>
        <w:t>5</w:t>
      </w:r>
      <w:r w:rsidR="005D07AE" w:rsidRPr="00D93F55">
        <w:rPr>
          <w:sz w:val="20"/>
          <w:szCs w:val="20"/>
        </w:rPr>
        <w:t>%</w:t>
      </w:r>
      <w:r w:rsidR="005D07AE" w:rsidRPr="006B3BAF">
        <w:rPr>
          <w:sz w:val="20"/>
          <w:szCs w:val="20"/>
        </w:rPr>
        <w:t xml:space="preserve"> </w:t>
      </w:r>
    </w:p>
    <w:p w14:paraId="4E2F5BD4" w14:textId="669BC629" w:rsidR="009C49C7" w:rsidRPr="006B3BAF" w:rsidRDefault="00D93F55" w:rsidP="0041512C">
      <w:pPr>
        <w:pStyle w:val="Paragraphedeliste"/>
        <w:numPr>
          <w:ilvl w:val="0"/>
          <w:numId w:val="15"/>
        </w:numPr>
        <w:spacing w:before="120" w:after="0"/>
        <w:jc w:val="both"/>
        <w:rPr>
          <w:sz w:val="20"/>
          <w:szCs w:val="20"/>
        </w:rPr>
      </w:pPr>
      <w:r>
        <w:rPr>
          <w:sz w:val="20"/>
          <w:szCs w:val="20"/>
        </w:rPr>
        <w:t>Autre</w:t>
      </w:r>
      <w:r w:rsidRPr="006B3BAF">
        <w:rPr>
          <w:sz w:val="20"/>
          <w:szCs w:val="20"/>
        </w:rPr>
        <w:t> </w:t>
      </w:r>
      <w:r w:rsidR="009C49C7" w:rsidRPr="006B3BAF">
        <w:rPr>
          <w:sz w:val="20"/>
          <w:szCs w:val="20"/>
        </w:rPr>
        <w:t xml:space="preserve">: </w:t>
      </w:r>
      <w:r>
        <w:rPr>
          <w:sz w:val="20"/>
          <w:szCs w:val="20"/>
        </w:rPr>
        <w:t>13,25</w:t>
      </w:r>
      <w:r w:rsidR="009C49C7" w:rsidRPr="006B3BAF">
        <w:rPr>
          <w:sz w:val="20"/>
          <w:szCs w:val="20"/>
        </w:rPr>
        <w:t>%.</w:t>
      </w:r>
    </w:p>
    <w:p w14:paraId="2CF3176F" w14:textId="0EDE9109" w:rsidR="006B2C1C" w:rsidRDefault="006B2C1C" w:rsidP="006B2C1C">
      <w:pPr>
        <w:spacing w:before="120" w:after="0"/>
        <w:jc w:val="both"/>
        <w:rPr>
          <w:rFonts w:eastAsia="DengXian Light" w:cs="Calibri"/>
          <w:sz w:val="20"/>
          <w:szCs w:val="20"/>
        </w:rPr>
      </w:pPr>
    </w:p>
    <w:p w14:paraId="314EAC44" w14:textId="6EEBA364" w:rsidR="00F93A52" w:rsidRPr="007B2AAC" w:rsidRDefault="00F93A52" w:rsidP="00F93A52">
      <w:pPr>
        <w:jc w:val="both"/>
        <w:rPr>
          <w:rFonts w:cstheme="minorHAnsi"/>
          <w:b/>
          <w:bCs/>
        </w:rPr>
      </w:pPr>
      <w:r w:rsidRPr="007B2AAC">
        <w:rPr>
          <w:rFonts w:cstheme="minorHAnsi"/>
          <w:b/>
          <w:bCs/>
        </w:rPr>
        <w:t>Augmentations de capital</w:t>
      </w:r>
    </w:p>
    <w:p w14:paraId="5287116A" w14:textId="7C223566" w:rsidR="00B630BB" w:rsidRPr="0049296B" w:rsidRDefault="00B630BB" w:rsidP="00B630BB">
      <w:pPr>
        <w:spacing w:before="120" w:after="0"/>
        <w:jc w:val="both"/>
        <w:rPr>
          <w:sz w:val="20"/>
          <w:szCs w:val="20"/>
        </w:rPr>
      </w:pPr>
      <w:r>
        <w:rPr>
          <w:sz w:val="20"/>
          <w:szCs w:val="20"/>
        </w:rPr>
        <w:t>Sur la période close au 28 février 2022</w:t>
      </w:r>
      <w:r w:rsidRPr="0049296B">
        <w:rPr>
          <w:sz w:val="20"/>
          <w:szCs w:val="20"/>
        </w:rPr>
        <w:t xml:space="preserve">, les opérations suivantes ont été réalisées par décision des actionnaires : </w:t>
      </w:r>
    </w:p>
    <w:p w14:paraId="1C1559E8" w14:textId="43E862B5" w:rsidR="00002CC1" w:rsidRPr="00C2761E" w:rsidRDefault="00786A44" w:rsidP="0041512C">
      <w:pPr>
        <w:pStyle w:val="Paragraphedeliste"/>
        <w:numPr>
          <w:ilvl w:val="0"/>
          <w:numId w:val="13"/>
        </w:numPr>
        <w:spacing w:before="120" w:after="0"/>
        <w:ind w:left="284" w:hanging="284"/>
        <w:jc w:val="both"/>
        <w:rPr>
          <w:sz w:val="20"/>
          <w:szCs w:val="20"/>
        </w:rPr>
      </w:pPr>
      <w:r w:rsidRPr="00C2761E">
        <w:rPr>
          <w:sz w:val="20"/>
          <w:szCs w:val="20"/>
        </w:rPr>
        <w:t>En date du 1</w:t>
      </w:r>
      <w:r w:rsidR="00002CC1" w:rsidRPr="00C2761E">
        <w:rPr>
          <w:sz w:val="20"/>
          <w:szCs w:val="20"/>
        </w:rPr>
        <w:t>8</w:t>
      </w:r>
      <w:r w:rsidRPr="00C2761E">
        <w:rPr>
          <w:sz w:val="20"/>
          <w:szCs w:val="20"/>
        </w:rPr>
        <w:t xml:space="preserve"> octobre 2021 : </w:t>
      </w:r>
      <w:r w:rsidR="00002CC1" w:rsidRPr="00C2761E">
        <w:rPr>
          <w:sz w:val="20"/>
          <w:szCs w:val="20"/>
        </w:rPr>
        <w:t xml:space="preserve">réduction de capital </w:t>
      </w:r>
      <w:r w:rsidR="004E374A">
        <w:rPr>
          <w:sz w:val="20"/>
          <w:szCs w:val="20"/>
        </w:rPr>
        <w:t xml:space="preserve">de </w:t>
      </w:r>
      <w:r w:rsidR="00002CC1" w:rsidRPr="00C2761E">
        <w:rPr>
          <w:sz w:val="20"/>
          <w:szCs w:val="20"/>
        </w:rPr>
        <w:t>1 165 047 euros</w:t>
      </w:r>
      <w:r w:rsidR="006B0D5A" w:rsidRPr="00C2761E">
        <w:rPr>
          <w:sz w:val="20"/>
          <w:szCs w:val="20"/>
        </w:rPr>
        <w:t xml:space="preserve"> (en contrepartie de la prime d’émission)</w:t>
      </w:r>
      <w:r w:rsidR="00002CC1" w:rsidRPr="00C2761E">
        <w:rPr>
          <w:sz w:val="20"/>
          <w:szCs w:val="20"/>
        </w:rPr>
        <w:t xml:space="preserve"> correspondant à :</w:t>
      </w:r>
    </w:p>
    <w:p w14:paraId="40662FD3" w14:textId="3410DE98" w:rsidR="00002CC1" w:rsidRPr="00C2761E" w:rsidRDefault="004E374A" w:rsidP="0041512C">
      <w:pPr>
        <w:pStyle w:val="Paragraphedeliste"/>
        <w:numPr>
          <w:ilvl w:val="0"/>
          <w:numId w:val="18"/>
        </w:numPr>
        <w:spacing w:before="120" w:after="0"/>
        <w:jc w:val="both"/>
        <w:rPr>
          <w:sz w:val="20"/>
          <w:szCs w:val="20"/>
        </w:rPr>
      </w:pPr>
      <w:r w:rsidRPr="00C2761E">
        <w:rPr>
          <w:sz w:val="20"/>
          <w:szCs w:val="20"/>
        </w:rPr>
        <w:t>U</w:t>
      </w:r>
      <w:r w:rsidR="00002CC1" w:rsidRPr="00C2761E">
        <w:rPr>
          <w:sz w:val="20"/>
          <w:szCs w:val="20"/>
        </w:rPr>
        <w:t>n</w:t>
      </w:r>
      <w:r>
        <w:rPr>
          <w:sz w:val="20"/>
          <w:szCs w:val="20"/>
        </w:rPr>
        <w:t>e réduction du</w:t>
      </w:r>
      <w:r w:rsidR="00002CC1" w:rsidRPr="00C2761E">
        <w:rPr>
          <w:sz w:val="20"/>
          <w:szCs w:val="20"/>
        </w:rPr>
        <w:t xml:space="preserve"> montant nominal de 6 432</w:t>
      </w:r>
      <w:r w:rsidR="00084C45">
        <w:rPr>
          <w:sz w:val="20"/>
          <w:szCs w:val="20"/>
        </w:rPr>
        <w:t> </w:t>
      </w:r>
      <w:r w:rsidR="00002CC1" w:rsidRPr="00C2761E">
        <w:rPr>
          <w:sz w:val="20"/>
          <w:szCs w:val="20"/>
        </w:rPr>
        <w:t>668</w:t>
      </w:r>
      <w:r w:rsidR="00084C45">
        <w:rPr>
          <w:sz w:val="20"/>
          <w:szCs w:val="20"/>
        </w:rPr>
        <w:t>,29</w:t>
      </w:r>
      <w:r w:rsidR="00002CC1" w:rsidRPr="00C2761E">
        <w:rPr>
          <w:sz w:val="20"/>
          <w:szCs w:val="20"/>
        </w:rPr>
        <w:t xml:space="preserve"> euros, consécutivement à la réduction de la valeur nominale des actions de préférence A de 1,23 euros à 1 euro par action de préférence de catégorie A, </w:t>
      </w:r>
    </w:p>
    <w:p w14:paraId="70B04182" w14:textId="1872E3EA" w:rsidR="00682F8D" w:rsidRPr="00C2761E" w:rsidRDefault="00002CC1" w:rsidP="0041512C">
      <w:pPr>
        <w:pStyle w:val="Paragraphedeliste"/>
        <w:numPr>
          <w:ilvl w:val="0"/>
          <w:numId w:val="18"/>
        </w:numPr>
        <w:spacing w:before="120" w:after="0"/>
        <w:jc w:val="both"/>
        <w:rPr>
          <w:sz w:val="20"/>
          <w:szCs w:val="20"/>
        </w:rPr>
      </w:pPr>
      <w:proofErr w:type="gramStart"/>
      <w:r w:rsidRPr="00C2761E">
        <w:rPr>
          <w:sz w:val="20"/>
          <w:szCs w:val="20"/>
        </w:rPr>
        <w:t>une</w:t>
      </w:r>
      <w:proofErr w:type="gramEnd"/>
      <w:r w:rsidRPr="00C2761E">
        <w:rPr>
          <w:sz w:val="20"/>
          <w:szCs w:val="20"/>
        </w:rPr>
        <w:t xml:space="preserve"> augmentation de capital d’un montant nominal de 5 267 621 euros, par voie d’émission de 33 235 744 Actions Ordinaires d’une valeur nominale de 1 euro chacune consécutivement à la conversion de l’ensemble des actions de préférence en Actions Ordinaires</w:t>
      </w:r>
      <w:r w:rsidR="006B0D5A" w:rsidRPr="00C2761E">
        <w:rPr>
          <w:sz w:val="20"/>
          <w:szCs w:val="20"/>
        </w:rPr>
        <w:t> ;</w:t>
      </w:r>
    </w:p>
    <w:p w14:paraId="3219685F" w14:textId="62067EAE" w:rsidR="00682F8D" w:rsidRPr="00C13E74" w:rsidRDefault="00682F8D" w:rsidP="0041512C">
      <w:pPr>
        <w:pStyle w:val="Paragraphedeliste"/>
        <w:numPr>
          <w:ilvl w:val="0"/>
          <w:numId w:val="13"/>
        </w:numPr>
        <w:spacing w:before="120" w:after="0"/>
        <w:ind w:left="284" w:hanging="284"/>
        <w:jc w:val="both"/>
        <w:rPr>
          <w:sz w:val="20"/>
          <w:szCs w:val="20"/>
        </w:rPr>
      </w:pPr>
      <w:r w:rsidRPr="00C2761E">
        <w:rPr>
          <w:sz w:val="20"/>
          <w:szCs w:val="20"/>
        </w:rPr>
        <w:t>En date du 18 octobre 2021 : augmentation de capital de 18 918 919 euros, par émission de 18 918 919 actions</w:t>
      </w:r>
      <w:r w:rsidRPr="00C13E74">
        <w:rPr>
          <w:sz w:val="20"/>
          <w:szCs w:val="20"/>
        </w:rPr>
        <w:t xml:space="preserve"> nouvelles d’une valeur nominale de 1 euro, par offre au public avec suppression du droit préférentiel de </w:t>
      </w:r>
      <w:proofErr w:type="gramStart"/>
      <w:r w:rsidRPr="00C13E74">
        <w:rPr>
          <w:sz w:val="20"/>
          <w:szCs w:val="20"/>
        </w:rPr>
        <w:t>souscription;</w:t>
      </w:r>
      <w:proofErr w:type="gramEnd"/>
    </w:p>
    <w:p w14:paraId="67865583" w14:textId="5E114271" w:rsidR="00F4569B" w:rsidRPr="00786A44" w:rsidRDefault="000B48DF" w:rsidP="0041512C">
      <w:pPr>
        <w:pStyle w:val="Paragraphedeliste"/>
        <w:numPr>
          <w:ilvl w:val="0"/>
          <w:numId w:val="13"/>
        </w:numPr>
        <w:spacing w:before="120" w:after="0"/>
        <w:ind w:left="284" w:hanging="284"/>
        <w:jc w:val="both"/>
        <w:rPr>
          <w:sz w:val="20"/>
          <w:szCs w:val="20"/>
        </w:rPr>
      </w:pPr>
      <w:r w:rsidRPr="00786A44">
        <w:rPr>
          <w:sz w:val="20"/>
          <w:szCs w:val="20"/>
        </w:rPr>
        <w:t xml:space="preserve">En date du </w:t>
      </w:r>
      <w:r w:rsidR="00B17A30" w:rsidRPr="00786A44">
        <w:rPr>
          <w:sz w:val="20"/>
          <w:szCs w:val="20"/>
        </w:rPr>
        <w:t>9 novembre 2021 : augmentation de capital au titre de l’offre d’actionnariat salarié (« ESP 2021 ») pour un montant de 9,8 millions d’euros, correspondant à l’émission de 1 365 343 actions d’une valeur nominale de 1 euro </w:t>
      </w:r>
      <w:r w:rsidR="008B34BB" w:rsidRPr="00786A44">
        <w:rPr>
          <w:sz w:val="20"/>
          <w:szCs w:val="20"/>
        </w:rPr>
        <w:t>(dont 702 269 actions nouvelles et 663 074 actions créées par incorporation au capital d'un montant de 663 074 euros prélevé sur le compte de "réserves" au titre de l'abondement</w:t>
      </w:r>
      <w:proofErr w:type="gramStart"/>
      <w:r w:rsidR="008B34BB" w:rsidRPr="00786A44">
        <w:rPr>
          <w:sz w:val="20"/>
          <w:szCs w:val="20"/>
        </w:rPr>
        <w:t>)</w:t>
      </w:r>
      <w:r w:rsidR="00B17A30" w:rsidRPr="00786A44">
        <w:rPr>
          <w:sz w:val="20"/>
          <w:szCs w:val="20"/>
        </w:rPr>
        <w:t>;</w:t>
      </w:r>
      <w:proofErr w:type="gramEnd"/>
    </w:p>
    <w:p w14:paraId="4F501714" w14:textId="77C14B26" w:rsidR="002D7EC3" w:rsidRPr="00786A44" w:rsidRDefault="00543816" w:rsidP="0041512C">
      <w:pPr>
        <w:pStyle w:val="Paragraphedeliste"/>
        <w:numPr>
          <w:ilvl w:val="0"/>
          <w:numId w:val="13"/>
        </w:numPr>
        <w:spacing w:before="120" w:after="0"/>
        <w:ind w:left="284" w:hanging="284"/>
        <w:jc w:val="both"/>
        <w:rPr>
          <w:sz w:val="20"/>
          <w:szCs w:val="20"/>
        </w:rPr>
      </w:pPr>
      <w:r w:rsidRPr="00786A44">
        <w:rPr>
          <w:sz w:val="20"/>
          <w:szCs w:val="20"/>
        </w:rPr>
        <w:t>En date du 23 février 2022 : a</w:t>
      </w:r>
      <w:r w:rsidR="002D7EC3" w:rsidRPr="00786A44">
        <w:rPr>
          <w:sz w:val="20"/>
          <w:szCs w:val="20"/>
        </w:rPr>
        <w:t>ugmentation de capital de 442</w:t>
      </w:r>
      <w:r w:rsidR="001E7150" w:rsidRPr="00786A44">
        <w:rPr>
          <w:sz w:val="20"/>
          <w:szCs w:val="20"/>
        </w:rPr>
        <w:t> 186 e</w:t>
      </w:r>
      <w:r w:rsidR="002D7EC3" w:rsidRPr="00786A44">
        <w:rPr>
          <w:sz w:val="20"/>
          <w:szCs w:val="20"/>
        </w:rPr>
        <w:t>uros</w:t>
      </w:r>
      <w:r w:rsidR="00F4569B" w:rsidRPr="00786A44">
        <w:rPr>
          <w:sz w:val="20"/>
          <w:szCs w:val="20"/>
        </w:rPr>
        <w:t xml:space="preserve"> </w:t>
      </w:r>
      <w:r w:rsidR="002D7EC3" w:rsidRPr="00786A44">
        <w:rPr>
          <w:sz w:val="20"/>
          <w:szCs w:val="20"/>
        </w:rPr>
        <w:t>par incorporation de primes d’émission via l’émission de 442 186 actions ordinaires.</w:t>
      </w:r>
    </w:p>
    <w:p w14:paraId="135F8B66" w14:textId="77777777" w:rsidR="005576BA" w:rsidRDefault="005576BA">
      <w:pPr>
        <w:spacing w:after="0" w:line="240" w:lineRule="auto"/>
        <w:rPr>
          <w:rFonts w:eastAsia="DengXian Light" w:cs="Times New Roman"/>
          <w:sz w:val="28"/>
          <w:szCs w:val="28"/>
        </w:rPr>
      </w:pPr>
      <w:bookmarkStart w:id="3213" w:name="_Toc86843163"/>
      <w:bookmarkStart w:id="3214" w:name="_Toc86852445"/>
      <w:bookmarkStart w:id="3215" w:name="_Toc86920040"/>
      <w:bookmarkStart w:id="3216" w:name="_Toc86920328"/>
      <w:bookmarkStart w:id="3217" w:name="_Toc86922797"/>
      <w:bookmarkEnd w:id="3213"/>
      <w:bookmarkEnd w:id="3214"/>
      <w:bookmarkEnd w:id="3215"/>
      <w:bookmarkEnd w:id="3216"/>
      <w:bookmarkEnd w:id="3217"/>
      <w:r>
        <w:rPr>
          <w:sz w:val="28"/>
          <w:szCs w:val="28"/>
        </w:rPr>
        <w:br w:type="page"/>
      </w:r>
    </w:p>
    <w:p w14:paraId="05C94497" w14:textId="639847F8" w:rsidR="00466319" w:rsidRPr="006A0C19" w:rsidRDefault="004771F3" w:rsidP="0041512C">
      <w:pPr>
        <w:pStyle w:val="Titre2"/>
        <w:numPr>
          <w:ilvl w:val="1"/>
          <w:numId w:val="16"/>
        </w:numPr>
        <w:spacing w:before="0"/>
        <w:ind w:left="567" w:hanging="567"/>
        <w:rPr>
          <w:rFonts w:ascii="Calibri" w:hAnsi="Calibri"/>
          <w:color w:val="auto"/>
          <w:sz w:val="28"/>
          <w:szCs w:val="28"/>
        </w:rPr>
      </w:pPr>
      <w:bookmarkStart w:id="3218" w:name="_Toc100603621"/>
      <w:bookmarkStart w:id="3219" w:name="_Toc100605228"/>
      <w:bookmarkStart w:id="3220" w:name="_Toc100684214"/>
      <w:bookmarkStart w:id="3221" w:name="_Toc100689240"/>
      <w:bookmarkStart w:id="3222" w:name="_Toc100689289"/>
      <w:r>
        <w:rPr>
          <w:rFonts w:ascii="Calibri" w:hAnsi="Calibri"/>
          <w:color w:val="auto"/>
          <w:sz w:val="28"/>
          <w:szCs w:val="28"/>
        </w:rPr>
        <w:lastRenderedPageBreak/>
        <w:t>Endettement net</w:t>
      </w:r>
      <w:bookmarkEnd w:id="3218"/>
      <w:bookmarkEnd w:id="3219"/>
      <w:bookmarkEnd w:id="3220"/>
      <w:bookmarkEnd w:id="3221"/>
      <w:bookmarkEnd w:id="3222"/>
      <w:r w:rsidR="00DE152E">
        <w:rPr>
          <w:rFonts w:ascii="Calibri" w:hAnsi="Calibri"/>
          <w:color w:val="auto"/>
          <w:sz w:val="28"/>
          <w:szCs w:val="28"/>
        </w:rPr>
        <w:t xml:space="preserve"> </w:t>
      </w:r>
    </w:p>
    <w:p w14:paraId="79F5B124" w14:textId="77777777" w:rsidR="008D776C" w:rsidRPr="009B5897" w:rsidRDefault="008D776C" w:rsidP="00D01A82">
      <w:bookmarkStart w:id="3223" w:name="_Toc62888581"/>
    </w:p>
    <w:p w14:paraId="158D176F" w14:textId="66C3BCC5" w:rsidR="004E29E0" w:rsidRPr="007B2AAC" w:rsidRDefault="00714DFE" w:rsidP="007E045C">
      <w:pPr>
        <w:jc w:val="both"/>
        <w:rPr>
          <w:rFonts w:cstheme="minorHAnsi"/>
          <w:b/>
          <w:bCs/>
        </w:rPr>
      </w:pPr>
      <w:r w:rsidRPr="007B2AAC">
        <w:rPr>
          <w:rFonts w:cstheme="minorHAnsi"/>
          <w:b/>
          <w:bCs/>
        </w:rPr>
        <w:t>Endettement net</w:t>
      </w:r>
      <w:bookmarkEnd w:id="3223"/>
    </w:p>
    <w:p w14:paraId="213F437F" w14:textId="77777777" w:rsidR="009E6952" w:rsidRDefault="009E6952" w:rsidP="009E6952">
      <w:pPr>
        <w:spacing w:before="120" w:after="0"/>
        <w:rPr>
          <w:sz w:val="20"/>
          <w:szCs w:val="20"/>
        </w:rPr>
      </w:pPr>
      <w:r w:rsidRPr="00F77212">
        <w:rPr>
          <w:sz w:val="20"/>
          <w:szCs w:val="20"/>
        </w:rPr>
        <w:t xml:space="preserve">L’endettement net comprend l’ensemble des </w:t>
      </w:r>
      <w:r w:rsidR="009433A7" w:rsidRPr="00F77212">
        <w:rPr>
          <w:sz w:val="20"/>
          <w:szCs w:val="20"/>
        </w:rPr>
        <w:t>dettes financières</w:t>
      </w:r>
      <w:r w:rsidRPr="00F77212">
        <w:rPr>
          <w:sz w:val="20"/>
          <w:szCs w:val="20"/>
        </w:rPr>
        <w:t xml:space="preserve"> courant</w:t>
      </w:r>
      <w:r w:rsidR="009433A7" w:rsidRPr="00F77212">
        <w:rPr>
          <w:sz w:val="20"/>
          <w:szCs w:val="20"/>
        </w:rPr>
        <w:t>e</w:t>
      </w:r>
      <w:r w:rsidRPr="00F77212">
        <w:rPr>
          <w:sz w:val="20"/>
          <w:szCs w:val="20"/>
        </w:rPr>
        <w:t>s et non courant</w:t>
      </w:r>
      <w:r w:rsidR="009433A7" w:rsidRPr="00F77212">
        <w:rPr>
          <w:sz w:val="20"/>
          <w:szCs w:val="20"/>
        </w:rPr>
        <w:t>e</w:t>
      </w:r>
      <w:r w:rsidRPr="00F77212">
        <w:rPr>
          <w:sz w:val="20"/>
          <w:szCs w:val="20"/>
        </w:rPr>
        <w:t>s</w:t>
      </w:r>
      <w:r w:rsidR="00D321EE" w:rsidRPr="00F77212">
        <w:rPr>
          <w:sz w:val="20"/>
          <w:szCs w:val="20"/>
        </w:rPr>
        <w:t xml:space="preserve"> </w:t>
      </w:r>
      <w:r w:rsidRPr="00F77212">
        <w:rPr>
          <w:sz w:val="20"/>
          <w:szCs w:val="20"/>
        </w:rPr>
        <w:t xml:space="preserve">diminué du montant de la trésorerie et des équivalents de trésorerie. </w:t>
      </w:r>
    </w:p>
    <w:p w14:paraId="642F1864" w14:textId="5EB3616A" w:rsidR="00783C6B" w:rsidRDefault="00783C6B" w:rsidP="002E7D65">
      <w:pPr>
        <w:spacing w:before="120" w:after="0"/>
        <w:rPr>
          <w:sz w:val="20"/>
          <w:szCs w:val="20"/>
        </w:rPr>
      </w:pPr>
      <w:r w:rsidRPr="00783C6B">
        <w:rPr>
          <w:sz w:val="20"/>
          <w:szCs w:val="20"/>
        </w:rPr>
        <w:t xml:space="preserve">Le tableau suivant présente un résumé de la dette financière nette et brute </w:t>
      </w:r>
      <w:r>
        <w:rPr>
          <w:sz w:val="20"/>
          <w:szCs w:val="20"/>
        </w:rPr>
        <w:t>du Groupe :</w:t>
      </w:r>
    </w:p>
    <w:p w14:paraId="22ACF90D" w14:textId="77777777" w:rsidR="0036787B" w:rsidRDefault="0036787B" w:rsidP="002E7D65">
      <w:pPr>
        <w:spacing w:before="120" w:after="0"/>
        <w:rPr>
          <w:sz w:val="20"/>
          <w:szCs w:val="20"/>
        </w:rPr>
      </w:pPr>
    </w:p>
    <w:p w14:paraId="1C63FD82" w14:textId="0B8764B5" w:rsidR="00902CD2" w:rsidRPr="0099106A" w:rsidRDefault="004A6001" w:rsidP="002E7D65">
      <w:pPr>
        <w:spacing w:before="120" w:after="0"/>
        <w:rPr>
          <w:rFonts w:cs="Calibri"/>
          <w:sz w:val="20"/>
          <w:szCs w:val="20"/>
        </w:rPr>
      </w:pPr>
      <w:r w:rsidRPr="004A6001">
        <w:rPr>
          <w:noProof/>
        </w:rPr>
        <w:drawing>
          <wp:inline distT="0" distB="0" distL="0" distR="0" wp14:anchorId="24B2C8CB" wp14:editId="0CEDE883">
            <wp:extent cx="3709686" cy="1245573"/>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31419" cy="1252870"/>
                    </a:xfrm>
                    <a:prstGeom prst="rect">
                      <a:avLst/>
                    </a:prstGeom>
                    <a:noFill/>
                    <a:ln>
                      <a:noFill/>
                    </a:ln>
                  </pic:spPr>
                </pic:pic>
              </a:graphicData>
            </a:graphic>
          </wp:inline>
        </w:drawing>
      </w:r>
    </w:p>
    <w:p w14:paraId="2E179FFB" w14:textId="29E2FB13" w:rsidR="00832F1E" w:rsidRDefault="00832F1E" w:rsidP="002E2A82">
      <w:pPr>
        <w:autoSpaceDE w:val="0"/>
        <w:autoSpaceDN w:val="0"/>
        <w:adjustRightInd w:val="0"/>
        <w:spacing w:after="0" w:line="240" w:lineRule="auto"/>
        <w:jc w:val="both"/>
        <w:rPr>
          <w:sz w:val="20"/>
        </w:rPr>
      </w:pPr>
    </w:p>
    <w:p w14:paraId="03C6C379" w14:textId="7B45BBF1" w:rsidR="00C23205" w:rsidRDefault="00C23205" w:rsidP="002E2A82">
      <w:pPr>
        <w:autoSpaceDE w:val="0"/>
        <w:autoSpaceDN w:val="0"/>
        <w:adjustRightInd w:val="0"/>
        <w:spacing w:after="0" w:line="240" w:lineRule="auto"/>
        <w:jc w:val="both"/>
        <w:rPr>
          <w:sz w:val="20"/>
        </w:rPr>
      </w:pPr>
    </w:p>
    <w:p w14:paraId="2B750B9D" w14:textId="77777777" w:rsidR="00C23205" w:rsidRPr="007B2AAC" w:rsidRDefault="00C23205" w:rsidP="00C23205">
      <w:pPr>
        <w:jc w:val="both"/>
        <w:rPr>
          <w:rFonts w:cstheme="minorHAnsi"/>
          <w:b/>
          <w:bCs/>
        </w:rPr>
      </w:pPr>
      <w:bookmarkStart w:id="3224" w:name="_Toc62888582"/>
      <w:r w:rsidRPr="007B2AAC">
        <w:rPr>
          <w:rFonts w:cstheme="minorHAnsi"/>
          <w:b/>
          <w:bCs/>
        </w:rPr>
        <w:t>Structure de la dette du Groupe</w:t>
      </w:r>
      <w:bookmarkEnd w:id="3224"/>
    </w:p>
    <w:p w14:paraId="1972A724" w14:textId="77777777" w:rsidR="00560838" w:rsidRDefault="00560838" w:rsidP="00036E60">
      <w:pPr>
        <w:autoSpaceDE w:val="0"/>
        <w:autoSpaceDN w:val="0"/>
        <w:adjustRightInd w:val="0"/>
        <w:spacing w:after="0" w:line="240" w:lineRule="auto"/>
        <w:jc w:val="both"/>
        <w:rPr>
          <w:sz w:val="20"/>
          <w:szCs w:val="20"/>
        </w:rPr>
      </w:pPr>
    </w:p>
    <w:p w14:paraId="5CF62954" w14:textId="0E464A69" w:rsidR="00560838" w:rsidRPr="00560838" w:rsidRDefault="00560838" w:rsidP="00560838">
      <w:pPr>
        <w:jc w:val="both"/>
        <w:rPr>
          <w:sz w:val="20"/>
          <w:szCs w:val="20"/>
          <w:u w:val="single"/>
        </w:rPr>
      </w:pPr>
      <w:r w:rsidRPr="00560838">
        <w:rPr>
          <w:sz w:val="20"/>
          <w:szCs w:val="20"/>
          <w:u w:val="single"/>
        </w:rPr>
        <w:t>Nouvelle Convention de Crédits</w:t>
      </w:r>
    </w:p>
    <w:p w14:paraId="61978922" w14:textId="5E82DA1B" w:rsidR="00560838" w:rsidRDefault="00036E60" w:rsidP="00036E60">
      <w:pPr>
        <w:autoSpaceDE w:val="0"/>
        <w:autoSpaceDN w:val="0"/>
        <w:adjustRightInd w:val="0"/>
        <w:spacing w:after="0" w:line="240" w:lineRule="auto"/>
        <w:jc w:val="both"/>
        <w:rPr>
          <w:sz w:val="20"/>
          <w:szCs w:val="20"/>
        </w:rPr>
      </w:pPr>
      <w:r w:rsidRPr="00560838">
        <w:rPr>
          <w:sz w:val="20"/>
          <w:szCs w:val="20"/>
        </w:rPr>
        <w:t>Le 24 septembre 2021, OVHcloud a conclu avec un pool de banques un nouveau contrat de crédits senior</w:t>
      </w:r>
      <w:r w:rsidR="00560838">
        <w:rPr>
          <w:sz w:val="20"/>
          <w:szCs w:val="20"/>
        </w:rPr>
        <w:t xml:space="preserve"> </w:t>
      </w:r>
      <w:r w:rsidRPr="00560838">
        <w:rPr>
          <w:sz w:val="20"/>
          <w:szCs w:val="20"/>
        </w:rPr>
        <w:t>(la « Nouvelle Convention de Crédits ») pour un refinancement non sécurisé de 920 millions d’euros.</w:t>
      </w:r>
      <w:r w:rsidR="00560838">
        <w:rPr>
          <w:sz w:val="20"/>
          <w:szCs w:val="20"/>
        </w:rPr>
        <w:t xml:space="preserve"> </w:t>
      </w:r>
    </w:p>
    <w:p w14:paraId="441C0291" w14:textId="6E54714F" w:rsidR="00560838" w:rsidRDefault="00560838" w:rsidP="00036E60">
      <w:pPr>
        <w:autoSpaceDE w:val="0"/>
        <w:autoSpaceDN w:val="0"/>
        <w:adjustRightInd w:val="0"/>
        <w:spacing w:after="0" w:line="240" w:lineRule="auto"/>
        <w:jc w:val="both"/>
        <w:rPr>
          <w:sz w:val="20"/>
          <w:szCs w:val="20"/>
        </w:rPr>
      </w:pPr>
      <w:r>
        <w:rPr>
          <w:sz w:val="20"/>
          <w:szCs w:val="20"/>
        </w:rPr>
        <w:t>Le Groupe</w:t>
      </w:r>
      <w:r w:rsidR="00036E60" w:rsidRPr="00560838">
        <w:rPr>
          <w:sz w:val="20"/>
          <w:szCs w:val="20"/>
        </w:rPr>
        <w:t xml:space="preserve"> a décidé d’engager ce refinancement </w:t>
      </w:r>
      <w:r w:rsidR="009A1544">
        <w:rPr>
          <w:sz w:val="20"/>
          <w:szCs w:val="20"/>
        </w:rPr>
        <w:t xml:space="preserve">conditionné par la réalisation de l’IPO </w:t>
      </w:r>
      <w:r w:rsidR="00036E60" w:rsidRPr="00560838">
        <w:rPr>
          <w:sz w:val="20"/>
          <w:szCs w:val="20"/>
        </w:rPr>
        <w:t>en raison de bonnes conditions de marché et de l’évolution</w:t>
      </w:r>
      <w:r>
        <w:rPr>
          <w:sz w:val="20"/>
          <w:szCs w:val="20"/>
        </w:rPr>
        <w:t xml:space="preserve"> </w:t>
      </w:r>
      <w:r w:rsidR="00036E60" w:rsidRPr="00560838">
        <w:rPr>
          <w:sz w:val="20"/>
          <w:szCs w:val="20"/>
        </w:rPr>
        <w:t>favorable de son profil de crédit en lien avec l’introduction en bourse.</w:t>
      </w:r>
      <w:r>
        <w:rPr>
          <w:sz w:val="20"/>
          <w:szCs w:val="20"/>
        </w:rPr>
        <w:t xml:space="preserve"> </w:t>
      </w:r>
    </w:p>
    <w:p w14:paraId="6FEDDC40" w14:textId="58AD6EAD" w:rsidR="00560838" w:rsidRDefault="00036E60" w:rsidP="00560838">
      <w:pPr>
        <w:jc w:val="both"/>
        <w:rPr>
          <w:rStyle w:val="tlid-translation"/>
          <w:sz w:val="20"/>
          <w:szCs w:val="20"/>
        </w:rPr>
      </w:pPr>
      <w:r w:rsidRPr="00560838">
        <w:rPr>
          <w:sz w:val="20"/>
          <w:szCs w:val="20"/>
        </w:rPr>
        <w:t>Les facilités de crédit</w:t>
      </w:r>
      <w:r w:rsidR="004A5177">
        <w:rPr>
          <w:sz w:val="20"/>
          <w:szCs w:val="20"/>
        </w:rPr>
        <w:t xml:space="preserve">, qui </w:t>
      </w:r>
      <w:r w:rsidR="004A5177">
        <w:rPr>
          <w:rStyle w:val="tlid-translation"/>
          <w:sz w:val="20"/>
          <w:szCs w:val="20"/>
        </w:rPr>
        <w:t xml:space="preserve">ne font </w:t>
      </w:r>
      <w:r w:rsidR="004A5177" w:rsidRPr="00A47712">
        <w:rPr>
          <w:rStyle w:val="tlid-translation"/>
          <w:sz w:val="20"/>
          <w:szCs w:val="20"/>
        </w:rPr>
        <w:t>pas l’objet d’une garantie donnée par la société</w:t>
      </w:r>
      <w:r w:rsidR="004A5177">
        <w:rPr>
          <w:sz w:val="20"/>
          <w:szCs w:val="20"/>
        </w:rPr>
        <w:t xml:space="preserve">, </w:t>
      </w:r>
      <w:r w:rsidRPr="00560838">
        <w:rPr>
          <w:sz w:val="20"/>
          <w:szCs w:val="20"/>
        </w:rPr>
        <w:t>comprennent un prêt à terme d’un montant de 500</w:t>
      </w:r>
      <w:r w:rsidR="00560838">
        <w:rPr>
          <w:sz w:val="20"/>
          <w:szCs w:val="20"/>
        </w:rPr>
        <w:t xml:space="preserve"> </w:t>
      </w:r>
      <w:r w:rsidRPr="00560838">
        <w:rPr>
          <w:sz w:val="20"/>
          <w:szCs w:val="20"/>
        </w:rPr>
        <w:t>millions d’euros</w:t>
      </w:r>
      <w:r w:rsidR="00560838">
        <w:rPr>
          <w:sz w:val="20"/>
          <w:szCs w:val="20"/>
        </w:rPr>
        <w:t>,</w:t>
      </w:r>
      <w:r w:rsidRPr="00560838">
        <w:rPr>
          <w:sz w:val="20"/>
          <w:szCs w:val="20"/>
        </w:rPr>
        <w:t xml:space="preserve"> </w:t>
      </w:r>
      <w:r w:rsidR="00560838">
        <w:rPr>
          <w:rStyle w:val="tlid-translation"/>
          <w:sz w:val="20"/>
          <w:szCs w:val="20"/>
        </w:rPr>
        <w:t xml:space="preserve">pour une durée de 5 ans, </w:t>
      </w:r>
      <w:r w:rsidR="00560838" w:rsidRPr="00E25951">
        <w:rPr>
          <w:rStyle w:val="tlid-translation"/>
          <w:sz w:val="20"/>
          <w:szCs w:val="20"/>
        </w:rPr>
        <w:t>et la mise en place d’une nouvelle facilité de crédit renouvelable (RCF) pour une capacité maximale de 420 millions d’euros</w:t>
      </w:r>
      <w:r w:rsidR="00560838">
        <w:rPr>
          <w:rStyle w:val="tlid-translation"/>
          <w:sz w:val="20"/>
          <w:szCs w:val="20"/>
        </w:rPr>
        <w:t xml:space="preserve"> dont l’échéance initiale est fixée à 5 ans, mais pouvant bénéficier de deux options d’extension d’une année supplémentaire. </w:t>
      </w:r>
      <w:r w:rsidR="009A1544" w:rsidRPr="009A1544">
        <w:rPr>
          <w:rStyle w:val="tlid-translation"/>
          <w:sz w:val="20"/>
          <w:szCs w:val="20"/>
        </w:rPr>
        <w:t>La RCF n’a fait l’objet d’aucun tirage à ce jour.</w:t>
      </w:r>
    </w:p>
    <w:p w14:paraId="3D47F53A" w14:textId="6318AA13" w:rsidR="00C23205" w:rsidRDefault="00036E60" w:rsidP="00036E60">
      <w:pPr>
        <w:autoSpaceDE w:val="0"/>
        <w:autoSpaceDN w:val="0"/>
        <w:adjustRightInd w:val="0"/>
        <w:spacing w:after="0" w:line="240" w:lineRule="auto"/>
        <w:jc w:val="both"/>
        <w:rPr>
          <w:sz w:val="20"/>
          <w:szCs w:val="20"/>
        </w:rPr>
      </w:pPr>
      <w:r w:rsidRPr="00560838">
        <w:rPr>
          <w:sz w:val="20"/>
          <w:szCs w:val="20"/>
        </w:rPr>
        <w:t>La Nouvelle</w:t>
      </w:r>
      <w:r w:rsidR="00B34F61" w:rsidRPr="00560838">
        <w:rPr>
          <w:sz w:val="20"/>
          <w:szCs w:val="20"/>
        </w:rPr>
        <w:t xml:space="preserve"> Co</w:t>
      </w:r>
      <w:r w:rsidRPr="00560838">
        <w:rPr>
          <w:sz w:val="20"/>
          <w:szCs w:val="20"/>
        </w:rPr>
        <w:t>nvention de Crédits prévoit également des prêts à terme et des facilités de crédit renouvelables</w:t>
      </w:r>
      <w:r w:rsidR="00B34F61" w:rsidRPr="00560838">
        <w:rPr>
          <w:sz w:val="20"/>
          <w:szCs w:val="20"/>
        </w:rPr>
        <w:t xml:space="preserve"> </w:t>
      </w:r>
      <w:r w:rsidRPr="00560838">
        <w:rPr>
          <w:sz w:val="20"/>
          <w:szCs w:val="20"/>
        </w:rPr>
        <w:t>additionnels non confirmés (les « Crédits Non Confirmés »), sous réserve du respect de certaines</w:t>
      </w:r>
      <w:r w:rsidR="00B34F61" w:rsidRPr="00560838">
        <w:rPr>
          <w:sz w:val="20"/>
          <w:szCs w:val="20"/>
        </w:rPr>
        <w:t xml:space="preserve"> </w:t>
      </w:r>
      <w:r w:rsidRPr="00560838">
        <w:rPr>
          <w:sz w:val="20"/>
          <w:szCs w:val="20"/>
        </w:rPr>
        <w:t>conditions.</w:t>
      </w:r>
    </w:p>
    <w:p w14:paraId="44418706" w14:textId="20E5CF24" w:rsidR="00F723AC" w:rsidRDefault="00F723AC" w:rsidP="00036E60">
      <w:pPr>
        <w:autoSpaceDE w:val="0"/>
        <w:autoSpaceDN w:val="0"/>
        <w:adjustRightInd w:val="0"/>
        <w:spacing w:after="0" w:line="240" w:lineRule="auto"/>
        <w:jc w:val="both"/>
        <w:rPr>
          <w:sz w:val="20"/>
          <w:szCs w:val="20"/>
        </w:rPr>
      </w:pPr>
    </w:p>
    <w:p w14:paraId="2B486960" w14:textId="4AB628F7" w:rsidR="00F723AC" w:rsidRDefault="00F723AC" w:rsidP="00F723AC">
      <w:pPr>
        <w:autoSpaceDE w:val="0"/>
        <w:autoSpaceDN w:val="0"/>
        <w:adjustRightInd w:val="0"/>
        <w:spacing w:after="0" w:line="240" w:lineRule="auto"/>
        <w:jc w:val="both"/>
        <w:rPr>
          <w:sz w:val="20"/>
          <w:szCs w:val="20"/>
        </w:rPr>
      </w:pPr>
      <w:r w:rsidRPr="00F723AC">
        <w:rPr>
          <w:sz w:val="20"/>
          <w:szCs w:val="20"/>
        </w:rPr>
        <w:t xml:space="preserve">La Nouvelle Convention de Crédits contient une clause limitant le ratio de levier de </w:t>
      </w:r>
      <w:proofErr w:type="gramStart"/>
      <w:r w:rsidRPr="00F723AC">
        <w:rPr>
          <w:sz w:val="20"/>
          <w:szCs w:val="20"/>
        </w:rPr>
        <w:t>4:</w:t>
      </w:r>
      <w:proofErr w:type="gramEnd"/>
      <w:r w:rsidRPr="00F723AC">
        <w:rPr>
          <w:sz w:val="20"/>
          <w:szCs w:val="20"/>
        </w:rPr>
        <w:t>1</w:t>
      </w:r>
      <w:r w:rsidR="00040F9C">
        <w:rPr>
          <w:sz w:val="20"/>
          <w:szCs w:val="20"/>
        </w:rPr>
        <w:t>. Ce ratio est respecté pour la période close au 28 février 2022.</w:t>
      </w:r>
    </w:p>
    <w:p w14:paraId="543E5883" w14:textId="76D6827D" w:rsidR="00572931" w:rsidRDefault="00572931" w:rsidP="00F723AC">
      <w:pPr>
        <w:autoSpaceDE w:val="0"/>
        <w:autoSpaceDN w:val="0"/>
        <w:adjustRightInd w:val="0"/>
        <w:spacing w:after="0" w:line="240" w:lineRule="auto"/>
        <w:jc w:val="both"/>
        <w:rPr>
          <w:sz w:val="20"/>
          <w:szCs w:val="20"/>
        </w:rPr>
      </w:pPr>
    </w:p>
    <w:p w14:paraId="1E58DAA4" w14:textId="181EA30D" w:rsidR="00572931" w:rsidRPr="00036E60" w:rsidRDefault="00572931" w:rsidP="00F723AC">
      <w:pPr>
        <w:autoSpaceDE w:val="0"/>
        <w:autoSpaceDN w:val="0"/>
        <w:adjustRightInd w:val="0"/>
        <w:spacing w:after="0" w:line="240" w:lineRule="auto"/>
        <w:jc w:val="both"/>
        <w:rPr>
          <w:sz w:val="20"/>
          <w:szCs w:val="20"/>
        </w:rPr>
      </w:pPr>
      <w:r>
        <w:rPr>
          <w:sz w:val="20"/>
          <w:szCs w:val="20"/>
        </w:rPr>
        <w:t xml:space="preserve">Au 28 février 2022, le covenant </w:t>
      </w:r>
      <w:r w:rsidR="00813050">
        <w:rPr>
          <w:sz w:val="20"/>
          <w:szCs w:val="20"/>
        </w:rPr>
        <w:t>bancaire au titre de la Nouvelle Convention de Crédits était respecté.</w:t>
      </w:r>
    </w:p>
    <w:p w14:paraId="2F673C35" w14:textId="02E7A708" w:rsidR="00C23205" w:rsidRDefault="00C23205" w:rsidP="002E2A82">
      <w:pPr>
        <w:autoSpaceDE w:val="0"/>
        <w:autoSpaceDN w:val="0"/>
        <w:adjustRightInd w:val="0"/>
        <w:spacing w:after="0" w:line="240" w:lineRule="auto"/>
        <w:jc w:val="both"/>
        <w:rPr>
          <w:sz w:val="20"/>
        </w:rPr>
      </w:pPr>
    </w:p>
    <w:p w14:paraId="14B11F4F" w14:textId="664485E4" w:rsidR="00C23205" w:rsidRPr="00C23205" w:rsidRDefault="00C23205" w:rsidP="00C23205">
      <w:pPr>
        <w:jc w:val="both"/>
        <w:rPr>
          <w:sz w:val="20"/>
          <w:szCs w:val="20"/>
          <w:u w:val="single"/>
        </w:rPr>
      </w:pPr>
      <w:r w:rsidRPr="00C23205">
        <w:rPr>
          <w:sz w:val="20"/>
          <w:szCs w:val="20"/>
          <w:u w:val="single"/>
        </w:rPr>
        <w:t>Prêt</w:t>
      </w:r>
      <w:r w:rsidR="0036787B">
        <w:rPr>
          <w:sz w:val="20"/>
          <w:szCs w:val="20"/>
          <w:u w:val="single"/>
        </w:rPr>
        <w:t>s</w:t>
      </w:r>
      <w:r w:rsidRPr="00C23205">
        <w:rPr>
          <w:sz w:val="20"/>
          <w:szCs w:val="20"/>
          <w:u w:val="single"/>
        </w:rPr>
        <w:t xml:space="preserve"> </w:t>
      </w:r>
      <w:proofErr w:type="spellStart"/>
      <w:r w:rsidRPr="00C23205">
        <w:rPr>
          <w:sz w:val="20"/>
          <w:szCs w:val="20"/>
          <w:u w:val="single"/>
        </w:rPr>
        <w:t>BPI</w:t>
      </w:r>
      <w:r w:rsidR="0036787B">
        <w:rPr>
          <w:sz w:val="20"/>
          <w:szCs w:val="20"/>
          <w:u w:val="single"/>
        </w:rPr>
        <w:t>france</w:t>
      </w:r>
      <w:proofErr w:type="spellEnd"/>
    </w:p>
    <w:p w14:paraId="7A547248" w14:textId="65663271" w:rsidR="00C23205" w:rsidRDefault="0036787B" w:rsidP="0036787B">
      <w:pPr>
        <w:autoSpaceDE w:val="0"/>
        <w:autoSpaceDN w:val="0"/>
        <w:adjustRightInd w:val="0"/>
        <w:spacing w:after="0" w:line="240" w:lineRule="auto"/>
        <w:jc w:val="both"/>
        <w:rPr>
          <w:sz w:val="20"/>
          <w:szCs w:val="20"/>
        </w:rPr>
      </w:pPr>
      <w:r>
        <w:rPr>
          <w:sz w:val="20"/>
          <w:szCs w:val="20"/>
        </w:rPr>
        <w:t>L</w:t>
      </w:r>
      <w:r w:rsidRPr="0036787B">
        <w:rPr>
          <w:sz w:val="20"/>
          <w:szCs w:val="20"/>
        </w:rPr>
        <w:t xml:space="preserve">e prêt à terme </w:t>
      </w:r>
      <w:r w:rsidR="00AC0D1A">
        <w:rPr>
          <w:sz w:val="20"/>
          <w:szCs w:val="20"/>
        </w:rPr>
        <w:t>A</w:t>
      </w:r>
      <w:r w:rsidRPr="0036787B">
        <w:rPr>
          <w:sz w:val="20"/>
          <w:szCs w:val="20"/>
        </w:rPr>
        <w:t xml:space="preserve"> de </w:t>
      </w:r>
      <w:proofErr w:type="spellStart"/>
      <w:r w:rsidRPr="0036787B">
        <w:rPr>
          <w:sz w:val="20"/>
          <w:szCs w:val="20"/>
        </w:rPr>
        <w:t>BPI</w:t>
      </w:r>
      <w:r w:rsidR="000E08F7">
        <w:rPr>
          <w:sz w:val="20"/>
          <w:szCs w:val="20"/>
        </w:rPr>
        <w:t>f</w:t>
      </w:r>
      <w:r w:rsidRPr="0036787B">
        <w:rPr>
          <w:sz w:val="20"/>
          <w:szCs w:val="20"/>
        </w:rPr>
        <w:t>rance</w:t>
      </w:r>
      <w:proofErr w:type="spellEnd"/>
      <w:r w:rsidRPr="0036787B">
        <w:rPr>
          <w:sz w:val="20"/>
          <w:szCs w:val="20"/>
        </w:rPr>
        <w:t xml:space="preserve"> a été refinancé en juin 2021 par le biais d’un prêt vert de</w:t>
      </w:r>
      <w:r>
        <w:rPr>
          <w:sz w:val="20"/>
          <w:szCs w:val="20"/>
        </w:rPr>
        <w:t xml:space="preserve"> </w:t>
      </w:r>
      <w:r w:rsidRPr="0036787B">
        <w:rPr>
          <w:sz w:val="20"/>
          <w:szCs w:val="20"/>
        </w:rPr>
        <w:t xml:space="preserve">5 millions d’euros de </w:t>
      </w:r>
      <w:proofErr w:type="spellStart"/>
      <w:r w:rsidRPr="0036787B">
        <w:rPr>
          <w:sz w:val="20"/>
          <w:szCs w:val="20"/>
        </w:rPr>
        <w:t>BPI</w:t>
      </w:r>
      <w:r w:rsidR="000E08F7">
        <w:rPr>
          <w:sz w:val="20"/>
          <w:szCs w:val="20"/>
        </w:rPr>
        <w:t>f</w:t>
      </w:r>
      <w:r w:rsidRPr="0036787B">
        <w:rPr>
          <w:sz w:val="20"/>
          <w:szCs w:val="20"/>
        </w:rPr>
        <w:t>rance</w:t>
      </w:r>
      <w:proofErr w:type="spellEnd"/>
      <w:r w:rsidRPr="0036787B">
        <w:rPr>
          <w:sz w:val="20"/>
          <w:szCs w:val="20"/>
        </w:rPr>
        <w:t>, à un taux d’intérêt annuel de 0,98%, remboursable en 20 échéances</w:t>
      </w:r>
      <w:r>
        <w:rPr>
          <w:sz w:val="20"/>
          <w:szCs w:val="20"/>
        </w:rPr>
        <w:t xml:space="preserve"> </w:t>
      </w:r>
      <w:r w:rsidRPr="0036787B">
        <w:rPr>
          <w:sz w:val="20"/>
          <w:szCs w:val="20"/>
        </w:rPr>
        <w:t>trimestrielles entre le 30 septembre 2023 et le 30 juin 2028.</w:t>
      </w:r>
    </w:p>
    <w:p w14:paraId="7DC7D689" w14:textId="77777777" w:rsidR="00DE152E" w:rsidRDefault="00DE152E">
      <w:pPr>
        <w:spacing w:after="0" w:line="240" w:lineRule="auto"/>
        <w:rPr>
          <w:rFonts w:cstheme="minorHAnsi"/>
          <w:b/>
          <w:bCs/>
          <w:sz w:val="20"/>
          <w:szCs w:val="20"/>
        </w:rPr>
      </w:pPr>
      <w:r>
        <w:rPr>
          <w:rFonts w:cstheme="minorHAnsi"/>
          <w:b/>
          <w:bCs/>
          <w:sz w:val="20"/>
          <w:szCs w:val="20"/>
        </w:rPr>
        <w:br w:type="page"/>
      </w:r>
    </w:p>
    <w:p w14:paraId="7C4C30B4" w14:textId="04604F1E" w:rsidR="00F70BB0" w:rsidRPr="007B2AAC" w:rsidRDefault="00F70BB0" w:rsidP="00F70BB0">
      <w:pPr>
        <w:jc w:val="both"/>
        <w:rPr>
          <w:rFonts w:cstheme="minorHAnsi"/>
          <w:b/>
          <w:bCs/>
        </w:rPr>
      </w:pPr>
      <w:r w:rsidRPr="007B2AAC">
        <w:rPr>
          <w:rFonts w:cstheme="minorHAnsi"/>
          <w:b/>
          <w:bCs/>
        </w:rPr>
        <w:lastRenderedPageBreak/>
        <w:t>Détail des dettes financières</w:t>
      </w:r>
    </w:p>
    <w:p w14:paraId="45016989" w14:textId="28111C9A" w:rsidR="00860EC7" w:rsidRPr="00917313" w:rsidRDefault="00860EC7" w:rsidP="001D0E68">
      <w:pPr>
        <w:spacing w:before="120" w:after="0"/>
        <w:jc w:val="both"/>
        <w:rPr>
          <w:b/>
          <w:bCs/>
          <w:color w:val="002060"/>
          <w:highlight w:val="cyan"/>
        </w:rPr>
      </w:pPr>
    </w:p>
    <w:p w14:paraId="0F0B4842" w14:textId="6E78D89D" w:rsidR="009B0640" w:rsidRPr="001558CD" w:rsidRDefault="001A1DEF" w:rsidP="0088184C">
      <w:pPr>
        <w:jc w:val="both"/>
        <w:rPr>
          <w:rFonts w:cstheme="minorHAnsi"/>
          <w:b/>
          <w:bCs/>
          <w:sz w:val="20"/>
          <w:szCs w:val="20"/>
        </w:rPr>
      </w:pPr>
      <w:bookmarkStart w:id="3225" w:name="_Toc62868157"/>
      <w:bookmarkStart w:id="3226" w:name="_Toc62888583"/>
      <w:bookmarkStart w:id="3227" w:name="_Toc63085628"/>
      <w:bookmarkStart w:id="3228" w:name="_Toc62868158"/>
      <w:bookmarkStart w:id="3229" w:name="_Toc62888584"/>
      <w:bookmarkStart w:id="3230" w:name="_Toc63085629"/>
      <w:bookmarkStart w:id="3231" w:name="_Toc62868159"/>
      <w:bookmarkStart w:id="3232" w:name="_Toc62888585"/>
      <w:bookmarkStart w:id="3233" w:name="_Toc63085630"/>
      <w:bookmarkStart w:id="3234" w:name="_Toc62868160"/>
      <w:bookmarkStart w:id="3235" w:name="_Toc62888586"/>
      <w:bookmarkStart w:id="3236" w:name="_Toc63085631"/>
      <w:bookmarkStart w:id="3237" w:name="_Toc62868161"/>
      <w:bookmarkStart w:id="3238" w:name="_Toc62888587"/>
      <w:bookmarkStart w:id="3239" w:name="_Toc63085632"/>
      <w:bookmarkStart w:id="3240" w:name="_Toc62868162"/>
      <w:bookmarkStart w:id="3241" w:name="_Toc62888588"/>
      <w:bookmarkStart w:id="3242" w:name="_Toc63085633"/>
      <w:bookmarkStart w:id="3243" w:name="_Toc62868163"/>
      <w:bookmarkStart w:id="3244" w:name="_Toc62888589"/>
      <w:bookmarkStart w:id="3245" w:name="_Toc63085634"/>
      <w:bookmarkStart w:id="3246" w:name="_Toc62868164"/>
      <w:bookmarkStart w:id="3247" w:name="_Toc62888590"/>
      <w:bookmarkStart w:id="3248" w:name="_Toc63085635"/>
      <w:bookmarkStart w:id="3249" w:name="_Toc62868165"/>
      <w:bookmarkStart w:id="3250" w:name="_Toc62888591"/>
      <w:bookmarkStart w:id="3251" w:name="_Toc63085636"/>
      <w:bookmarkStart w:id="3252" w:name="_Ref62840763"/>
      <w:bookmarkStart w:id="3253" w:name="_Toc62888592"/>
      <w:bookmarkStart w:id="3254" w:name="_Ref65503597"/>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r w:rsidRPr="001A1DEF">
        <w:rPr>
          <w:noProof/>
        </w:rPr>
        <w:drawing>
          <wp:inline distT="0" distB="0" distL="0" distR="0" wp14:anchorId="0B327968" wp14:editId="25B60D9B">
            <wp:extent cx="5940425" cy="1525905"/>
            <wp:effectExtent l="0" t="0" r="317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0425" cy="1525905"/>
                    </a:xfrm>
                    <a:prstGeom prst="rect">
                      <a:avLst/>
                    </a:prstGeom>
                    <a:noFill/>
                    <a:ln>
                      <a:noFill/>
                    </a:ln>
                  </pic:spPr>
                </pic:pic>
              </a:graphicData>
            </a:graphic>
          </wp:inline>
        </w:drawing>
      </w:r>
    </w:p>
    <w:bookmarkEnd w:id="3252"/>
    <w:bookmarkEnd w:id="3253"/>
    <w:bookmarkEnd w:id="3254"/>
    <w:p w14:paraId="2352B358" w14:textId="77777777" w:rsidR="00091C30" w:rsidRPr="007B2AAC" w:rsidRDefault="00091C30" w:rsidP="00091C30">
      <w:pPr>
        <w:jc w:val="both"/>
      </w:pPr>
      <w:r w:rsidRPr="007B2AAC">
        <w:rPr>
          <w:rFonts w:cstheme="minorHAnsi"/>
          <w:b/>
          <w:bCs/>
        </w:rPr>
        <w:t>Variation des dettes financières</w:t>
      </w:r>
    </w:p>
    <w:p w14:paraId="48E96337" w14:textId="54F08DF1" w:rsidR="00B34F61" w:rsidRDefault="00B34F61" w:rsidP="00B34F61">
      <w:pPr>
        <w:jc w:val="both"/>
        <w:rPr>
          <w:rStyle w:val="tlid-translation"/>
          <w:sz w:val="20"/>
          <w:szCs w:val="20"/>
        </w:rPr>
      </w:pPr>
      <w:r>
        <w:rPr>
          <w:rStyle w:val="tlid-translation"/>
          <w:sz w:val="20"/>
          <w:szCs w:val="20"/>
        </w:rPr>
        <w:t xml:space="preserve">A la suite de </w:t>
      </w:r>
      <w:r w:rsidRPr="00E25951">
        <w:rPr>
          <w:rStyle w:val="tlid-translation"/>
          <w:sz w:val="20"/>
          <w:szCs w:val="20"/>
        </w:rPr>
        <w:t xml:space="preserve">son introduction en bourse, le Groupe a procédé, </w:t>
      </w:r>
      <w:r>
        <w:rPr>
          <w:rStyle w:val="tlid-translation"/>
          <w:sz w:val="20"/>
          <w:szCs w:val="20"/>
        </w:rPr>
        <w:t xml:space="preserve">le 25 octobre 2021, </w:t>
      </w:r>
      <w:r w:rsidRPr="00E25951">
        <w:rPr>
          <w:rStyle w:val="tlid-translation"/>
          <w:sz w:val="20"/>
          <w:szCs w:val="20"/>
        </w:rPr>
        <w:t xml:space="preserve">au remboursement intégral du Contrat de Crédits antérieurs (Prêt à Terme et Facilité de Crédit Renouvelable), ainsi que </w:t>
      </w:r>
      <w:r>
        <w:rPr>
          <w:rStyle w:val="tlid-translation"/>
          <w:sz w:val="20"/>
          <w:szCs w:val="20"/>
        </w:rPr>
        <w:t>d</w:t>
      </w:r>
      <w:r w:rsidRPr="00E25951">
        <w:rPr>
          <w:rStyle w:val="tlid-translation"/>
          <w:sz w:val="20"/>
          <w:szCs w:val="20"/>
        </w:rPr>
        <w:t xml:space="preserve">es obligations Euro PP, </w:t>
      </w:r>
      <w:r>
        <w:rPr>
          <w:rStyle w:val="tlid-translation"/>
          <w:sz w:val="20"/>
          <w:szCs w:val="20"/>
        </w:rPr>
        <w:t xml:space="preserve">pour un montant </w:t>
      </w:r>
      <w:r w:rsidRPr="00E225CE">
        <w:rPr>
          <w:rStyle w:val="tlid-translation"/>
          <w:sz w:val="20"/>
          <w:szCs w:val="20"/>
        </w:rPr>
        <w:t xml:space="preserve">de </w:t>
      </w:r>
      <w:r w:rsidRPr="0001318F">
        <w:rPr>
          <w:rStyle w:val="tlid-translation"/>
          <w:sz w:val="20"/>
          <w:szCs w:val="20"/>
        </w:rPr>
        <w:t>70</w:t>
      </w:r>
      <w:r>
        <w:rPr>
          <w:rStyle w:val="tlid-translation"/>
          <w:sz w:val="20"/>
          <w:szCs w:val="20"/>
        </w:rPr>
        <w:t>5</w:t>
      </w:r>
      <w:r w:rsidRPr="0001318F">
        <w:rPr>
          <w:rStyle w:val="tlid-translation"/>
          <w:sz w:val="20"/>
          <w:szCs w:val="20"/>
        </w:rPr>
        <w:t>,</w:t>
      </w:r>
      <w:r>
        <w:rPr>
          <w:rStyle w:val="tlid-translation"/>
          <w:sz w:val="20"/>
          <w:szCs w:val="20"/>
        </w:rPr>
        <w:t>2</w:t>
      </w:r>
      <w:r w:rsidRPr="00E225CE">
        <w:rPr>
          <w:rStyle w:val="tlid-translation"/>
          <w:sz w:val="20"/>
          <w:szCs w:val="20"/>
        </w:rPr>
        <w:t xml:space="preserve"> millions d’euros</w:t>
      </w:r>
      <w:r w:rsidRPr="00926FBD">
        <w:rPr>
          <w:rStyle w:val="tlid-translation"/>
          <w:sz w:val="20"/>
          <w:szCs w:val="20"/>
        </w:rPr>
        <w:t xml:space="preserve">, </w:t>
      </w:r>
      <w:r w:rsidR="004919AF">
        <w:rPr>
          <w:rStyle w:val="tlid-translation"/>
          <w:sz w:val="20"/>
          <w:szCs w:val="20"/>
        </w:rPr>
        <w:t>et</w:t>
      </w:r>
      <w:r w:rsidR="004919AF" w:rsidRPr="00E25951">
        <w:rPr>
          <w:rStyle w:val="tlid-translation"/>
          <w:sz w:val="20"/>
          <w:szCs w:val="20"/>
        </w:rPr>
        <w:t xml:space="preserve"> </w:t>
      </w:r>
      <w:r w:rsidRPr="00E25951">
        <w:rPr>
          <w:rStyle w:val="tlid-translation"/>
          <w:sz w:val="20"/>
          <w:szCs w:val="20"/>
        </w:rPr>
        <w:t>à la mise en place d’un nouveau contrat de crédits senior</w:t>
      </w:r>
      <w:r>
        <w:rPr>
          <w:rStyle w:val="tlid-translation"/>
          <w:sz w:val="20"/>
          <w:szCs w:val="20"/>
        </w:rPr>
        <w:t xml:space="preserve"> </w:t>
      </w:r>
      <w:r w:rsidRPr="00E25951">
        <w:rPr>
          <w:rStyle w:val="tlid-translation"/>
          <w:sz w:val="20"/>
          <w:szCs w:val="20"/>
        </w:rPr>
        <w:t>d’un montant total en principal de 920 millions d’euros (la « Nouvelle Dette »), conclu en remplacement du Contrat de Crédits antérieurs. La Nouvelle Dette intègre un nouvel emprunt à terme de 500 millions d’euros et la mise en place d’une nouvelle facilité de crédit renouvelable (RCF) pour une capacité maximale de 420 millions d’euros</w:t>
      </w:r>
      <w:r>
        <w:rPr>
          <w:rStyle w:val="tlid-translation"/>
          <w:sz w:val="20"/>
          <w:szCs w:val="20"/>
        </w:rPr>
        <w:t xml:space="preserve">. </w:t>
      </w:r>
    </w:p>
    <w:p w14:paraId="3C9018DC" w14:textId="37E292F8" w:rsidR="00B34F61" w:rsidRPr="00E25951" w:rsidRDefault="00B450EE" w:rsidP="00B34F61">
      <w:pPr>
        <w:jc w:val="both"/>
        <w:rPr>
          <w:rStyle w:val="tlid-translation"/>
          <w:sz w:val="20"/>
          <w:szCs w:val="20"/>
        </w:rPr>
      </w:pPr>
      <w:r>
        <w:rPr>
          <w:rStyle w:val="tlid-translation"/>
          <w:sz w:val="20"/>
          <w:szCs w:val="20"/>
        </w:rPr>
        <w:t>Au 28 février 2022</w:t>
      </w:r>
      <w:r w:rsidR="00B34F61" w:rsidRPr="00F436D6">
        <w:rPr>
          <w:rStyle w:val="tlid-translation"/>
          <w:sz w:val="20"/>
          <w:szCs w:val="20"/>
        </w:rPr>
        <w:t xml:space="preserve">, la marge appliquée </w:t>
      </w:r>
      <w:r w:rsidR="00FE3A00">
        <w:rPr>
          <w:rStyle w:val="tlid-translation"/>
          <w:sz w:val="20"/>
          <w:szCs w:val="20"/>
        </w:rPr>
        <w:t xml:space="preserve">est </w:t>
      </w:r>
      <w:r w:rsidR="00B34F61" w:rsidRPr="00FE3A00">
        <w:rPr>
          <w:rStyle w:val="tlid-translation"/>
          <w:sz w:val="20"/>
          <w:szCs w:val="20"/>
        </w:rPr>
        <w:t>de 1,10% pour l’emprunt à</w:t>
      </w:r>
      <w:r w:rsidR="00B34F61" w:rsidRPr="00455B7A">
        <w:rPr>
          <w:rStyle w:val="tlid-translation"/>
          <w:sz w:val="20"/>
          <w:szCs w:val="20"/>
        </w:rPr>
        <w:t xml:space="preserve"> terme</w:t>
      </w:r>
      <w:r w:rsidR="00765780">
        <w:rPr>
          <w:rStyle w:val="tlid-translation"/>
          <w:sz w:val="20"/>
          <w:szCs w:val="20"/>
        </w:rPr>
        <w:t>.</w:t>
      </w:r>
    </w:p>
    <w:p w14:paraId="7091D76D" w14:textId="77777777" w:rsidR="006718DA" w:rsidRDefault="006718DA" w:rsidP="00F84B4C">
      <w:pPr>
        <w:jc w:val="both"/>
        <w:rPr>
          <w:rFonts w:cstheme="minorHAnsi"/>
          <w:b/>
          <w:bCs/>
          <w:sz w:val="20"/>
          <w:szCs w:val="20"/>
        </w:rPr>
      </w:pPr>
    </w:p>
    <w:p w14:paraId="79F25AF6" w14:textId="3D6BD758" w:rsidR="009E6952" w:rsidRPr="006A0C19" w:rsidRDefault="006718DA" w:rsidP="0041512C">
      <w:pPr>
        <w:pStyle w:val="Titre2"/>
        <w:numPr>
          <w:ilvl w:val="1"/>
          <w:numId w:val="16"/>
        </w:numPr>
        <w:spacing w:before="0"/>
        <w:ind w:left="567" w:hanging="567"/>
        <w:rPr>
          <w:rFonts w:ascii="Calibri" w:hAnsi="Calibri"/>
          <w:color w:val="auto"/>
          <w:sz w:val="28"/>
          <w:szCs w:val="28"/>
        </w:rPr>
      </w:pPr>
      <w:bookmarkStart w:id="3255" w:name="_Toc74917190"/>
      <w:bookmarkStart w:id="3256" w:name="_Toc74917191"/>
      <w:bookmarkStart w:id="3257" w:name="_Toc74917192"/>
      <w:bookmarkStart w:id="3258" w:name="_Toc74917193"/>
      <w:bookmarkStart w:id="3259" w:name="_Toc74917194"/>
      <w:bookmarkStart w:id="3260" w:name="_Toc74917195"/>
      <w:bookmarkStart w:id="3261" w:name="_Toc74917196"/>
      <w:bookmarkStart w:id="3262" w:name="_Toc67059155"/>
      <w:bookmarkStart w:id="3263" w:name="_Toc100603622"/>
      <w:bookmarkStart w:id="3264" w:name="_Toc100605229"/>
      <w:bookmarkStart w:id="3265" w:name="_Toc100684215"/>
      <w:bookmarkStart w:id="3266" w:name="_Toc100689241"/>
      <w:bookmarkStart w:id="3267" w:name="_Toc100689290"/>
      <w:bookmarkEnd w:id="3255"/>
      <w:bookmarkEnd w:id="3256"/>
      <w:bookmarkEnd w:id="3257"/>
      <w:bookmarkEnd w:id="3258"/>
      <w:bookmarkEnd w:id="3259"/>
      <w:bookmarkEnd w:id="3260"/>
      <w:bookmarkEnd w:id="3261"/>
      <w:bookmarkEnd w:id="3262"/>
      <w:r>
        <w:rPr>
          <w:rFonts w:ascii="Calibri" w:hAnsi="Calibri"/>
          <w:color w:val="auto"/>
          <w:sz w:val="28"/>
          <w:szCs w:val="28"/>
        </w:rPr>
        <w:t>Instruments financiers et gestion du risque</w:t>
      </w:r>
      <w:bookmarkEnd w:id="3263"/>
      <w:bookmarkEnd w:id="3264"/>
      <w:bookmarkEnd w:id="3265"/>
      <w:bookmarkEnd w:id="3266"/>
      <w:bookmarkEnd w:id="3267"/>
      <w:r w:rsidR="00FA6DAD">
        <w:rPr>
          <w:rFonts w:ascii="Calibri" w:hAnsi="Calibri"/>
          <w:color w:val="auto"/>
          <w:sz w:val="28"/>
          <w:szCs w:val="28"/>
        </w:rPr>
        <w:t xml:space="preserve"> </w:t>
      </w:r>
    </w:p>
    <w:p w14:paraId="619895A3" w14:textId="7F7345DD" w:rsidR="00E4569F" w:rsidRDefault="00E4569F" w:rsidP="009E6952">
      <w:pPr>
        <w:rPr>
          <w:rFonts w:cs="Calibri"/>
          <w:sz w:val="20"/>
          <w:szCs w:val="20"/>
        </w:rPr>
      </w:pPr>
    </w:p>
    <w:p w14:paraId="78D80AD0" w14:textId="1CEA0A13" w:rsidR="006718DA" w:rsidRPr="007B2AAC" w:rsidRDefault="006718DA" w:rsidP="006718DA">
      <w:pPr>
        <w:jc w:val="both"/>
        <w:rPr>
          <w:rFonts w:cstheme="minorHAnsi"/>
          <w:b/>
          <w:bCs/>
        </w:rPr>
      </w:pPr>
      <w:r w:rsidRPr="007B2AAC">
        <w:rPr>
          <w:rFonts w:cstheme="minorHAnsi"/>
          <w:b/>
          <w:bCs/>
        </w:rPr>
        <w:t>Classement des instruments financiers</w:t>
      </w:r>
    </w:p>
    <w:p w14:paraId="35B17B3D" w14:textId="165B6150" w:rsidR="009E6952" w:rsidRDefault="00297EC9" w:rsidP="00597E0A">
      <w:pPr>
        <w:rPr>
          <w:sz w:val="20"/>
          <w:szCs w:val="20"/>
        </w:rPr>
      </w:pPr>
      <w:r w:rsidRPr="00D714BE">
        <w:rPr>
          <w:sz w:val="20"/>
          <w:szCs w:val="20"/>
        </w:rPr>
        <w:t xml:space="preserve">Les actifs et passifs financiers sont classés comme suit : </w:t>
      </w:r>
    </w:p>
    <w:p w14:paraId="4AB0E5F8" w14:textId="6C35775D" w:rsidR="006718DA" w:rsidRPr="00D714BE" w:rsidRDefault="000431F2" w:rsidP="00597E0A">
      <w:pPr>
        <w:rPr>
          <w:rFonts w:cs="Calibri"/>
          <w:sz w:val="20"/>
          <w:szCs w:val="20"/>
        </w:rPr>
      </w:pPr>
      <w:r w:rsidRPr="000431F2">
        <w:rPr>
          <w:noProof/>
        </w:rPr>
        <w:drawing>
          <wp:inline distT="0" distB="0" distL="0" distR="0" wp14:anchorId="2CA74D80" wp14:editId="57A12364">
            <wp:extent cx="5940425" cy="3002915"/>
            <wp:effectExtent l="0" t="0" r="3175"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0425" cy="3002915"/>
                    </a:xfrm>
                    <a:prstGeom prst="rect">
                      <a:avLst/>
                    </a:prstGeom>
                    <a:noFill/>
                    <a:ln>
                      <a:noFill/>
                    </a:ln>
                  </pic:spPr>
                </pic:pic>
              </a:graphicData>
            </a:graphic>
          </wp:inline>
        </w:drawing>
      </w:r>
    </w:p>
    <w:p w14:paraId="1F995CDB" w14:textId="1BEABC8A" w:rsidR="00BC26BA" w:rsidRDefault="00BC26BA" w:rsidP="00F84B4C">
      <w:pPr>
        <w:rPr>
          <w:sz w:val="20"/>
          <w:szCs w:val="20"/>
        </w:rPr>
      </w:pPr>
    </w:p>
    <w:p w14:paraId="799BB6FA" w14:textId="77777777" w:rsidR="00C33C94" w:rsidRDefault="00C33C94">
      <w:pPr>
        <w:spacing w:after="0" w:line="240" w:lineRule="auto"/>
        <w:rPr>
          <w:sz w:val="20"/>
          <w:szCs w:val="20"/>
        </w:rPr>
      </w:pPr>
      <w:r>
        <w:rPr>
          <w:sz w:val="20"/>
          <w:szCs w:val="20"/>
        </w:rPr>
        <w:br w:type="page"/>
      </w:r>
    </w:p>
    <w:p w14:paraId="6912E833" w14:textId="39046B78" w:rsidR="0072188D" w:rsidRPr="00224422" w:rsidRDefault="0072188D" w:rsidP="0072188D">
      <w:pPr>
        <w:jc w:val="both"/>
        <w:rPr>
          <w:sz w:val="20"/>
          <w:szCs w:val="20"/>
        </w:rPr>
      </w:pPr>
      <w:r w:rsidRPr="00224422">
        <w:rPr>
          <w:sz w:val="20"/>
          <w:szCs w:val="20"/>
        </w:rPr>
        <w:lastRenderedPageBreak/>
        <w:t xml:space="preserve">Note 1 </w:t>
      </w:r>
      <w:r w:rsidR="00532CFA" w:rsidRPr="00224422">
        <w:rPr>
          <w:sz w:val="20"/>
          <w:szCs w:val="20"/>
        </w:rPr>
        <w:t xml:space="preserve">- </w:t>
      </w:r>
      <w:r w:rsidRPr="00224422">
        <w:rPr>
          <w:sz w:val="20"/>
          <w:szCs w:val="20"/>
        </w:rPr>
        <w:t>La valeur nette comptable des actifs et passifs financiers courants non dérivés est jugée correspondre à une approximation de leur juste valeur.</w:t>
      </w:r>
    </w:p>
    <w:p w14:paraId="1562DE89" w14:textId="1CE893F5" w:rsidR="0072188D" w:rsidRPr="00224422" w:rsidRDefault="0072188D" w:rsidP="0072188D">
      <w:pPr>
        <w:jc w:val="both"/>
        <w:rPr>
          <w:sz w:val="20"/>
          <w:szCs w:val="20"/>
        </w:rPr>
      </w:pPr>
      <w:r w:rsidRPr="00224422">
        <w:rPr>
          <w:sz w:val="20"/>
          <w:szCs w:val="20"/>
        </w:rPr>
        <w:t>Note 2</w:t>
      </w:r>
      <w:r w:rsidR="00532CFA" w:rsidRPr="00224422">
        <w:rPr>
          <w:sz w:val="20"/>
          <w:szCs w:val="20"/>
        </w:rPr>
        <w:t xml:space="preserve"> -</w:t>
      </w:r>
      <w:r w:rsidRPr="00224422">
        <w:rPr>
          <w:sz w:val="20"/>
          <w:szCs w:val="20"/>
        </w:rPr>
        <w:t xml:space="preserve"> </w:t>
      </w:r>
      <w:r w:rsidR="000B6249" w:rsidRPr="00224422">
        <w:rPr>
          <w:sz w:val="20"/>
          <w:szCs w:val="20"/>
        </w:rPr>
        <w:t>La différence entre la valeur nette comptable et la juste valeur des prêts et cautionnement en actifs financiers non courants et des dépôts de garantie en passifs financiers non courants est jugée non significative.</w:t>
      </w:r>
    </w:p>
    <w:p w14:paraId="0CFFDC14" w14:textId="3594AEF4" w:rsidR="0072188D" w:rsidRPr="00224422" w:rsidRDefault="0072188D" w:rsidP="0072188D">
      <w:pPr>
        <w:jc w:val="both"/>
        <w:rPr>
          <w:sz w:val="20"/>
          <w:szCs w:val="20"/>
        </w:rPr>
      </w:pPr>
      <w:r w:rsidRPr="00224422">
        <w:rPr>
          <w:sz w:val="20"/>
          <w:szCs w:val="20"/>
        </w:rPr>
        <w:t xml:space="preserve">Note 3 </w:t>
      </w:r>
      <w:r w:rsidR="00532CFA" w:rsidRPr="00224422">
        <w:rPr>
          <w:sz w:val="20"/>
          <w:szCs w:val="20"/>
        </w:rPr>
        <w:t xml:space="preserve">- </w:t>
      </w:r>
      <w:r w:rsidRPr="00224422">
        <w:rPr>
          <w:sz w:val="20"/>
          <w:szCs w:val="20"/>
        </w:rPr>
        <w:t>La juste valeur des titres de participation non consolidés est non significative.</w:t>
      </w:r>
    </w:p>
    <w:p w14:paraId="4EAAA87B" w14:textId="1330A911" w:rsidR="0072188D" w:rsidRPr="00224422" w:rsidRDefault="0072188D" w:rsidP="0072188D">
      <w:pPr>
        <w:jc w:val="both"/>
        <w:rPr>
          <w:sz w:val="20"/>
          <w:szCs w:val="20"/>
        </w:rPr>
      </w:pPr>
      <w:r w:rsidRPr="00224422">
        <w:rPr>
          <w:sz w:val="20"/>
          <w:szCs w:val="20"/>
        </w:rPr>
        <w:t xml:space="preserve">Note 4 - Comme autorisé par les normes IFRS, la juste valeur de la dette </w:t>
      </w:r>
      <w:r w:rsidR="004E148A" w:rsidRPr="00224422">
        <w:rPr>
          <w:sz w:val="20"/>
          <w:szCs w:val="20"/>
        </w:rPr>
        <w:t>locative</w:t>
      </w:r>
      <w:r w:rsidRPr="00224422">
        <w:rPr>
          <w:sz w:val="20"/>
          <w:szCs w:val="20"/>
        </w:rPr>
        <w:t xml:space="preserve"> et son niveau dans la hiérarchie de la juste valeur n’est pas fournie.</w:t>
      </w:r>
    </w:p>
    <w:p w14:paraId="040E5FE3" w14:textId="5AEE949D" w:rsidR="0072188D" w:rsidRPr="00224422" w:rsidRDefault="0072188D" w:rsidP="0072188D">
      <w:pPr>
        <w:jc w:val="both"/>
        <w:rPr>
          <w:sz w:val="20"/>
          <w:szCs w:val="20"/>
        </w:rPr>
      </w:pPr>
      <w:r w:rsidRPr="00224422">
        <w:rPr>
          <w:sz w:val="20"/>
          <w:szCs w:val="20"/>
        </w:rPr>
        <w:t>Note 5 - La juste valeur des emprunts et dettes financières a été estimée selon la méthode des flux de trésorerie futurs actualisés à un taux de marché.</w:t>
      </w:r>
    </w:p>
    <w:p w14:paraId="5AA0C2DC" w14:textId="2B487607" w:rsidR="00BC4D4E" w:rsidRPr="0099106A" w:rsidRDefault="0072188D" w:rsidP="00A57D1B">
      <w:pPr>
        <w:jc w:val="both"/>
        <w:rPr>
          <w:rFonts w:cs="Calibri"/>
          <w:sz w:val="20"/>
          <w:szCs w:val="20"/>
        </w:rPr>
      </w:pPr>
      <w:r w:rsidRPr="00224422">
        <w:rPr>
          <w:sz w:val="20"/>
          <w:szCs w:val="20"/>
        </w:rPr>
        <w:t xml:space="preserve">Note 6 </w:t>
      </w:r>
      <w:r w:rsidR="00532CFA" w:rsidRPr="00224422">
        <w:rPr>
          <w:sz w:val="20"/>
          <w:szCs w:val="20"/>
        </w:rPr>
        <w:t>-</w:t>
      </w:r>
      <w:r w:rsidRPr="00224422">
        <w:rPr>
          <w:sz w:val="20"/>
          <w:szCs w:val="20"/>
        </w:rPr>
        <w:t xml:space="preserve"> </w:t>
      </w:r>
      <w:r w:rsidR="000B6249" w:rsidRPr="00224422">
        <w:rPr>
          <w:sz w:val="20"/>
          <w:szCs w:val="20"/>
        </w:rPr>
        <w:t>Les instruments dérivés sont évalués à leur juste valeur au bilan. La juste valeur est basée sur des données de marché et sur des modèles d'évaluation couramment utilisés</w:t>
      </w:r>
      <w:r w:rsidR="00242E81" w:rsidRPr="00224422">
        <w:rPr>
          <w:sz w:val="20"/>
          <w:szCs w:val="20"/>
        </w:rPr>
        <w:t>. Elle</w:t>
      </w:r>
      <w:r w:rsidR="000B6249" w:rsidRPr="00224422">
        <w:rPr>
          <w:sz w:val="20"/>
          <w:szCs w:val="20"/>
        </w:rPr>
        <w:t xml:space="preserve"> peut être confirmée dans le cas d'instruments complexes par référence à des valeurs cotées par des établissements financiers indépendants.</w:t>
      </w:r>
      <w:r w:rsidR="008265CB">
        <w:rPr>
          <w:sz w:val="20"/>
          <w:szCs w:val="20"/>
        </w:rPr>
        <w:t xml:space="preserve"> </w:t>
      </w:r>
      <w:r w:rsidR="008265CB" w:rsidRPr="008265CB">
        <w:rPr>
          <w:sz w:val="20"/>
          <w:szCs w:val="20"/>
        </w:rPr>
        <w:t>Les variations de juste valeur de ces instruments sont enregistrées au compte de résultat.</w:t>
      </w:r>
    </w:p>
    <w:p w14:paraId="1C7EE183" w14:textId="77777777" w:rsidR="002F416F" w:rsidRDefault="002F416F" w:rsidP="00635476">
      <w:pPr>
        <w:jc w:val="both"/>
        <w:rPr>
          <w:b/>
          <w:bCs/>
          <w:sz w:val="20"/>
          <w:szCs w:val="20"/>
        </w:rPr>
      </w:pPr>
      <w:bookmarkStart w:id="3268" w:name="_Toc64029086"/>
      <w:bookmarkStart w:id="3269" w:name="_Toc64029199"/>
      <w:bookmarkStart w:id="3270" w:name="_Toc64032696"/>
      <w:bookmarkStart w:id="3271" w:name="_Toc64045889"/>
      <w:bookmarkStart w:id="3272" w:name="_Toc64046231"/>
      <w:bookmarkStart w:id="3273" w:name="_Toc64046343"/>
      <w:bookmarkStart w:id="3274" w:name="_Toc64075144"/>
      <w:bookmarkStart w:id="3275" w:name="_Toc64029087"/>
      <w:bookmarkStart w:id="3276" w:name="_Toc64029200"/>
      <w:bookmarkStart w:id="3277" w:name="_Toc64032697"/>
      <w:bookmarkStart w:id="3278" w:name="_Toc64045890"/>
      <w:bookmarkStart w:id="3279" w:name="_Toc64046232"/>
      <w:bookmarkStart w:id="3280" w:name="_Toc64046344"/>
      <w:bookmarkStart w:id="3281" w:name="_Toc64075145"/>
      <w:bookmarkStart w:id="3282" w:name="_Toc64029088"/>
      <w:bookmarkStart w:id="3283" w:name="_Toc64029201"/>
      <w:bookmarkStart w:id="3284" w:name="_Toc64032698"/>
      <w:bookmarkStart w:id="3285" w:name="_Toc64045891"/>
      <w:bookmarkStart w:id="3286" w:name="_Toc64046233"/>
      <w:bookmarkStart w:id="3287" w:name="_Toc64046345"/>
      <w:bookmarkStart w:id="3288" w:name="_Toc64075146"/>
      <w:bookmarkStart w:id="3289" w:name="_Toc64029089"/>
      <w:bookmarkStart w:id="3290" w:name="_Toc64029202"/>
      <w:bookmarkStart w:id="3291" w:name="_Toc64032699"/>
      <w:bookmarkStart w:id="3292" w:name="_Toc64045892"/>
      <w:bookmarkStart w:id="3293" w:name="_Toc64046234"/>
      <w:bookmarkStart w:id="3294" w:name="_Toc64046346"/>
      <w:bookmarkStart w:id="3295" w:name="_Toc64075147"/>
      <w:bookmarkStart w:id="3296" w:name="_Toc64029090"/>
      <w:bookmarkStart w:id="3297" w:name="_Toc64029203"/>
      <w:bookmarkStart w:id="3298" w:name="_Toc64032700"/>
      <w:bookmarkStart w:id="3299" w:name="_Toc64045893"/>
      <w:bookmarkStart w:id="3300" w:name="_Toc64046235"/>
      <w:bookmarkStart w:id="3301" w:name="_Toc64046347"/>
      <w:bookmarkStart w:id="3302" w:name="_Toc64075148"/>
      <w:bookmarkStart w:id="3303" w:name="_Toc65500812"/>
      <w:bookmarkStart w:id="3304" w:name="_Toc65501350"/>
      <w:bookmarkStart w:id="3305" w:name="_Toc65501513"/>
      <w:bookmarkStart w:id="3306" w:name="_Toc65501982"/>
      <w:bookmarkStart w:id="3307" w:name="_Toc65543630"/>
      <w:bookmarkStart w:id="3308" w:name="_Toc65543807"/>
      <w:bookmarkStart w:id="3309" w:name="_Toc65543984"/>
      <w:bookmarkStart w:id="3310" w:name="_Toc6288859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p>
    <w:p w14:paraId="4BE33C0B" w14:textId="7AE41ECF" w:rsidR="00FA6713" w:rsidRPr="007B2AAC" w:rsidRDefault="00FA6713" w:rsidP="00635476">
      <w:pPr>
        <w:jc w:val="both"/>
        <w:rPr>
          <w:b/>
          <w:bCs/>
        </w:rPr>
      </w:pPr>
      <w:r w:rsidRPr="007B2AAC">
        <w:rPr>
          <w:b/>
          <w:bCs/>
        </w:rPr>
        <w:t>Gestion du risque de change</w:t>
      </w:r>
      <w:bookmarkEnd w:id="3310"/>
    </w:p>
    <w:p w14:paraId="4A8D280D" w14:textId="4814F27E" w:rsidR="003A5B84" w:rsidRPr="003A5B84" w:rsidRDefault="003A5B84" w:rsidP="003A5B84">
      <w:pPr>
        <w:jc w:val="both"/>
        <w:rPr>
          <w:sz w:val="20"/>
          <w:szCs w:val="20"/>
        </w:rPr>
      </w:pPr>
      <w:r w:rsidRPr="003A5B84">
        <w:rPr>
          <w:sz w:val="20"/>
          <w:szCs w:val="20"/>
        </w:rPr>
        <w:t>Le Groupe atténue l’exposition au risque de change, notamment le Dollar américain, la Livre Sterling, le Zloty polonais, et le Dollar de Singapour, en utilisant des contrats de change à terme et swaps avec des caractéristiques similaires à celles d</w:t>
      </w:r>
      <w:r w:rsidRPr="003A5B84">
        <w:rPr>
          <w:rFonts w:hint="eastAsia"/>
          <w:sz w:val="20"/>
          <w:szCs w:val="20"/>
        </w:rPr>
        <w:t>é</w:t>
      </w:r>
      <w:r w:rsidRPr="003A5B84">
        <w:rPr>
          <w:sz w:val="20"/>
          <w:szCs w:val="20"/>
        </w:rPr>
        <w:t xml:space="preserve">crites dans les Notes annexes aux </w:t>
      </w:r>
      <w:r w:rsidRPr="003A5B84">
        <w:rPr>
          <w:rFonts w:hint="eastAsia"/>
          <w:sz w:val="20"/>
          <w:szCs w:val="20"/>
        </w:rPr>
        <w:t>é</w:t>
      </w:r>
      <w:r w:rsidRPr="003A5B84">
        <w:rPr>
          <w:sz w:val="20"/>
          <w:szCs w:val="20"/>
        </w:rPr>
        <w:t>tats financiers consolid</w:t>
      </w:r>
      <w:r w:rsidRPr="003A5B84">
        <w:rPr>
          <w:rFonts w:hint="eastAsia"/>
          <w:sz w:val="20"/>
          <w:szCs w:val="20"/>
        </w:rPr>
        <w:t>é</w:t>
      </w:r>
      <w:r w:rsidRPr="003A5B84">
        <w:rPr>
          <w:sz w:val="20"/>
          <w:szCs w:val="20"/>
        </w:rPr>
        <w:t xml:space="preserve">s </w:t>
      </w:r>
      <w:r w:rsidRPr="003A5B84">
        <w:rPr>
          <w:rFonts w:hint="eastAsia"/>
          <w:sz w:val="20"/>
          <w:szCs w:val="20"/>
        </w:rPr>
        <w:t>à</w:t>
      </w:r>
      <w:r w:rsidRPr="003A5B84">
        <w:rPr>
          <w:sz w:val="20"/>
          <w:szCs w:val="20"/>
        </w:rPr>
        <w:t xml:space="preserve"> fin août 202</w:t>
      </w:r>
      <w:r>
        <w:rPr>
          <w:sz w:val="20"/>
          <w:szCs w:val="20"/>
        </w:rPr>
        <w:t>1</w:t>
      </w:r>
      <w:r w:rsidRPr="003A5B84">
        <w:rPr>
          <w:sz w:val="20"/>
          <w:szCs w:val="20"/>
        </w:rPr>
        <w:t xml:space="preserve">. </w:t>
      </w:r>
    </w:p>
    <w:p w14:paraId="1D8E234E" w14:textId="550DD0A7" w:rsidR="00FA6DAD" w:rsidRPr="00977F18" w:rsidRDefault="00FA6DAD" w:rsidP="00B279CA">
      <w:pPr>
        <w:jc w:val="both"/>
        <w:rPr>
          <w:sz w:val="20"/>
          <w:szCs w:val="20"/>
          <w:highlight w:val="yellow"/>
        </w:rPr>
      </w:pPr>
    </w:p>
    <w:p w14:paraId="4B1EA2C7" w14:textId="77777777" w:rsidR="00FA6DAD" w:rsidRPr="007B2AAC" w:rsidRDefault="00FA6DAD" w:rsidP="00FA6DAD">
      <w:pPr>
        <w:jc w:val="both"/>
        <w:rPr>
          <w:b/>
          <w:bCs/>
        </w:rPr>
      </w:pPr>
      <w:r w:rsidRPr="007B2AAC">
        <w:rPr>
          <w:b/>
          <w:bCs/>
        </w:rPr>
        <w:t>Ecarts de conversion</w:t>
      </w:r>
    </w:p>
    <w:p w14:paraId="11B76D9F" w14:textId="60FFD95D" w:rsidR="00B0019A" w:rsidRDefault="00B0019A" w:rsidP="00FA6DAD">
      <w:pPr>
        <w:jc w:val="both"/>
        <w:rPr>
          <w:sz w:val="20"/>
          <w:szCs w:val="20"/>
        </w:rPr>
      </w:pPr>
      <w:r w:rsidRPr="00B0019A">
        <w:rPr>
          <w:sz w:val="20"/>
          <w:szCs w:val="20"/>
        </w:rPr>
        <w:t xml:space="preserve">La variation des écarts de conversion constatée dans les autres éléments du résultat net global correspond à un gain latent de change de </w:t>
      </w:r>
      <w:r w:rsidR="00DB6302">
        <w:rPr>
          <w:sz w:val="20"/>
          <w:szCs w:val="20"/>
        </w:rPr>
        <w:t>5</w:t>
      </w:r>
      <w:r w:rsidR="00416767">
        <w:rPr>
          <w:sz w:val="20"/>
          <w:szCs w:val="20"/>
        </w:rPr>
        <w:t>,</w:t>
      </w:r>
      <w:r w:rsidR="00DB6302">
        <w:rPr>
          <w:sz w:val="20"/>
          <w:szCs w:val="20"/>
        </w:rPr>
        <w:t>5</w:t>
      </w:r>
      <w:r w:rsidRPr="00B0019A">
        <w:rPr>
          <w:sz w:val="20"/>
          <w:szCs w:val="20"/>
        </w:rPr>
        <w:t xml:space="preserve"> millions d’euros pour la période close au 28 février 2022 (gain latent de </w:t>
      </w:r>
      <w:r w:rsidR="00DB6302">
        <w:rPr>
          <w:sz w:val="20"/>
          <w:szCs w:val="20"/>
        </w:rPr>
        <w:t>1</w:t>
      </w:r>
      <w:r w:rsidRPr="00B0019A">
        <w:rPr>
          <w:sz w:val="20"/>
          <w:szCs w:val="20"/>
        </w:rPr>
        <w:t>,</w:t>
      </w:r>
      <w:r w:rsidR="00DB6302">
        <w:rPr>
          <w:sz w:val="20"/>
          <w:szCs w:val="20"/>
        </w:rPr>
        <w:t>8</w:t>
      </w:r>
      <w:r w:rsidRPr="00B0019A">
        <w:rPr>
          <w:sz w:val="20"/>
          <w:szCs w:val="20"/>
        </w:rPr>
        <w:t xml:space="preserve"> millions d’euros pour la période close au 28 février 2021) reflétant l’appréciation du dollar canadien et du dollar américain</w:t>
      </w:r>
      <w:r w:rsidR="002F416F">
        <w:rPr>
          <w:sz w:val="20"/>
          <w:szCs w:val="20"/>
        </w:rPr>
        <w:t xml:space="preserve"> </w:t>
      </w:r>
      <w:r w:rsidR="002F416F" w:rsidRPr="002F416F">
        <w:rPr>
          <w:sz w:val="20"/>
          <w:szCs w:val="20"/>
        </w:rPr>
        <w:t>lors de la conversion en Euros du bilan des filiales canadiennes et américaines libellé en devise locale, pour leur consolidation dans OVH Groupe S.A</w:t>
      </w:r>
      <w:r w:rsidRPr="00B0019A">
        <w:rPr>
          <w:sz w:val="20"/>
          <w:szCs w:val="20"/>
        </w:rPr>
        <w:t>.</w:t>
      </w:r>
    </w:p>
    <w:p w14:paraId="6BF88470" w14:textId="77777777" w:rsidR="00FA6DAD" w:rsidRDefault="00FA6DAD" w:rsidP="00FA6DAD">
      <w:pPr>
        <w:jc w:val="both"/>
        <w:rPr>
          <w:sz w:val="20"/>
          <w:szCs w:val="20"/>
        </w:rPr>
      </w:pPr>
    </w:p>
    <w:p w14:paraId="40320D8F" w14:textId="0596F6BD" w:rsidR="00466319" w:rsidRDefault="00064267" w:rsidP="0041512C">
      <w:pPr>
        <w:pStyle w:val="Titre2"/>
        <w:numPr>
          <w:ilvl w:val="1"/>
          <w:numId w:val="16"/>
        </w:numPr>
        <w:spacing w:before="0"/>
        <w:ind w:left="567" w:hanging="567"/>
        <w:rPr>
          <w:rFonts w:ascii="Calibri" w:hAnsi="Calibri"/>
          <w:color w:val="auto"/>
          <w:sz w:val="28"/>
          <w:szCs w:val="28"/>
        </w:rPr>
      </w:pPr>
      <w:bookmarkStart w:id="3311" w:name="_Toc69850096"/>
      <w:bookmarkStart w:id="3312" w:name="_Toc69850581"/>
      <w:bookmarkStart w:id="3313" w:name="_Toc70362039"/>
      <w:bookmarkStart w:id="3314" w:name="_Toc71267479"/>
      <w:bookmarkStart w:id="3315" w:name="_Toc72331276"/>
      <w:bookmarkStart w:id="3316" w:name="_Toc72332644"/>
      <w:bookmarkStart w:id="3317" w:name="_Toc65500831"/>
      <w:bookmarkStart w:id="3318" w:name="_Toc65501369"/>
      <w:bookmarkStart w:id="3319" w:name="_Toc65501532"/>
      <w:bookmarkStart w:id="3320" w:name="_Toc65502001"/>
      <w:bookmarkStart w:id="3321" w:name="_Toc65543649"/>
      <w:bookmarkStart w:id="3322" w:name="_Toc65543826"/>
      <w:bookmarkStart w:id="3323" w:name="_Toc65544003"/>
      <w:bookmarkStart w:id="3324" w:name="_Toc62888600"/>
      <w:bookmarkStart w:id="3325" w:name="_Toc74917200"/>
      <w:bookmarkStart w:id="3326" w:name="_Toc100603623"/>
      <w:bookmarkStart w:id="3327" w:name="_Toc100605230"/>
      <w:bookmarkStart w:id="3328" w:name="_Toc100684216"/>
      <w:bookmarkStart w:id="3329" w:name="_Toc100689242"/>
      <w:bookmarkStart w:id="3330" w:name="_Toc100689291"/>
      <w:bookmarkEnd w:id="3311"/>
      <w:bookmarkEnd w:id="3312"/>
      <w:bookmarkEnd w:id="3313"/>
      <w:bookmarkEnd w:id="3314"/>
      <w:bookmarkEnd w:id="3315"/>
      <w:bookmarkEnd w:id="3316"/>
      <w:bookmarkEnd w:id="3317"/>
      <w:bookmarkEnd w:id="3318"/>
      <w:bookmarkEnd w:id="3319"/>
      <w:bookmarkEnd w:id="3320"/>
      <w:bookmarkEnd w:id="3321"/>
      <w:bookmarkEnd w:id="3322"/>
      <w:bookmarkEnd w:id="3323"/>
      <w:r w:rsidRPr="006A0C19">
        <w:rPr>
          <w:rFonts w:ascii="Calibri" w:hAnsi="Calibri"/>
          <w:color w:val="auto"/>
          <w:sz w:val="28"/>
          <w:szCs w:val="28"/>
        </w:rPr>
        <w:t>Provisions</w:t>
      </w:r>
      <w:bookmarkEnd w:id="3324"/>
      <w:r w:rsidRPr="006A0C19">
        <w:rPr>
          <w:rFonts w:ascii="Calibri" w:hAnsi="Calibri"/>
          <w:color w:val="auto"/>
          <w:sz w:val="28"/>
          <w:szCs w:val="28"/>
        </w:rPr>
        <w:t xml:space="preserve"> </w:t>
      </w:r>
      <w:r w:rsidR="00BE1F55" w:rsidRPr="006A0C19">
        <w:rPr>
          <w:rFonts w:ascii="Calibri" w:hAnsi="Calibri"/>
          <w:color w:val="auto"/>
          <w:sz w:val="28"/>
          <w:szCs w:val="28"/>
        </w:rPr>
        <w:t>et passifs éventuels</w:t>
      </w:r>
      <w:bookmarkEnd w:id="3325"/>
      <w:bookmarkEnd w:id="3326"/>
      <w:bookmarkEnd w:id="3327"/>
      <w:bookmarkEnd w:id="3328"/>
      <w:bookmarkEnd w:id="3329"/>
      <w:bookmarkEnd w:id="3330"/>
    </w:p>
    <w:p w14:paraId="0B845CF2" w14:textId="5F9B5DB9" w:rsidR="00B63488" w:rsidRDefault="00B63488" w:rsidP="00B63488"/>
    <w:p w14:paraId="66675C7E" w14:textId="7A4621E5" w:rsidR="00B60AC3" w:rsidRPr="007B2AAC" w:rsidRDefault="00B60AC3" w:rsidP="00B63488">
      <w:pPr>
        <w:rPr>
          <w:sz w:val="20"/>
          <w:szCs w:val="20"/>
        </w:rPr>
      </w:pPr>
      <w:r w:rsidRPr="007B2AAC">
        <w:rPr>
          <w:sz w:val="20"/>
          <w:szCs w:val="20"/>
        </w:rPr>
        <w:t>Les provisions et passifs éventuels sont présentés comme suit :</w:t>
      </w:r>
    </w:p>
    <w:p w14:paraId="7DDC3887" w14:textId="258803A5" w:rsidR="00064267" w:rsidRDefault="006C080B" w:rsidP="0087377B">
      <w:pPr>
        <w:spacing w:after="0"/>
        <w:rPr>
          <w:rFonts w:cs="Calibri"/>
          <w:sz w:val="20"/>
          <w:szCs w:val="20"/>
        </w:rPr>
      </w:pPr>
      <w:r w:rsidRPr="006C080B">
        <w:rPr>
          <w:noProof/>
        </w:rPr>
        <w:drawing>
          <wp:inline distT="0" distB="0" distL="0" distR="0" wp14:anchorId="0B167B97" wp14:editId="6E8CFEDE">
            <wp:extent cx="4508205" cy="1354397"/>
            <wp:effectExtent l="0" t="0" r="698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54688" cy="1368362"/>
                    </a:xfrm>
                    <a:prstGeom prst="rect">
                      <a:avLst/>
                    </a:prstGeom>
                    <a:noFill/>
                    <a:ln>
                      <a:noFill/>
                    </a:ln>
                  </pic:spPr>
                </pic:pic>
              </a:graphicData>
            </a:graphic>
          </wp:inline>
        </w:drawing>
      </w:r>
    </w:p>
    <w:p w14:paraId="26785EE8" w14:textId="628D44B9" w:rsidR="00C534D2" w:rsidRDefault="00C534D2" w:rsidP="00B63488">
      <w:pPr>
        <w:rPr>
          <w:rFonts w:cs="Calibri"/>
          <w:sz w:val="20"/>
          <w:szCs w:val="20"/>
        </w:rPr>
      </w:pPr>
    </w:p>
    <w:p w14:paraId="2DD63977" w14:textId="77777777" w:rsidR="00C3483B" w:rsidRDefault="00C3483B">
      <w:pPr>
        <w:spacing w:after="0" w:line="240" w:lineRule="auto"/>
        <w:rPr>
          <w:rFonts w:asciiTheme="minorHAnsi" w:hAnsiTheme="minorHAnsi" w:cstheme="minorHAnsi"/>
          <w:b/>
          <w:bCs/>
        </w:rPr>
      </w:pPr>
      <w:bookmarkStart w:id="3331" w:name="_Toc64029110"/>
      <w:bookmarkStart w:id="3332" w:name="_Toc64029223"/>
      <w:bookmarkStart w:id="3333" w:name="_Toc64032720"/>
      <w:bookmarkStart w:id="3334" w:name="_Toc64045913"/>
      <w:bookmarkStart w:id="3335" w:name="_Toc64046255"/>
      <w:bookmarkStart w:id="3336" w:name="_Toc64046367"/>
      <w:bookmarkStart w:id="3337" w:name="_Toc64075168"/>
      <w:bookmarkStart w:id="3338" w:name="_Toc64029111"/>
      <w:bookmarkStart w:id="3339" w:name="_Toc64029224"/>
      <w:bookmarkStart w:id="3340" w:name="_Toc64032721"/>
      <w:bookmarkStart w:id="3341" w:name="_Toc64045914"/>
      <w:bookmarkStart w:id="3342" w:name="_Toc64046256"/>
      <w:bookmarkStart w:id="3343" w:name="_Toc64046368"/>
      <w:bookmarkStart w:id="3344" w:name="_Toc64075169"/>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r>
        <w:rPr>
          <w:rFonts w:asciiTheme="minorHAnsi" w:hAnsiTheme="minorHAnsi" w:cstheme="minorHAnsi"/>
          <w:b/>
          <w:bCs/>
        </w:rPr>
        <w:br w:type="page"/>
      </w:r>
    </w:p>
    <w:p w14:paraId="79619305" w14:textId="3E145A3A" w:rsidR="00775799" w:rsidRPr="00BB3AB1" w:rsidRDefault="00147B34" w:rsidP="007249F3">
      <w:pPr>
        <w:spacing w:after="240"/>
        <w:rPr>
          <w:rFonts w:asciiTheme="minorHAnsi" w:hAnsiTheme="minorHAnsi" w:cstheme="minorHAnsi"/>
          <w:b/>
          <w:bCs/>
        </w:rPr>
      </w:pPr>
      <w:r w:rsidRPr="00BB3AB1">
        <w:rPr>
          <w:rFonts w:asciiTheme="minorHAnsi" w:hAnsiTheme="minorHAnsi" w:cstheme="minorHAnsi"/>
          <w:b/>
          <w:bCs/>
        </w:rPr>
        <w:lastRenderedPageBreak/>
        <w:t>Provisions pour litiges et réclamations</w:t>
      </w:r>
    </w:p>
    <w:p w14:paraId="0CE06AEB" w14:textId="107165ED" w:rsidR="003955EC" w:rsidRDefault="008608D8" w:rsidP="005576BA">
      <w:pPr>
        <w:spacing w:after="240" w:line="240" w:lineRule="auto"/>
        <w:jc w:val="both"/>
        <w:rPr>
          <w:sz w:val="20"/>
          <w:szCs w:val="20"/>
        </w:rPr>
      </w:pPr>
      <w:r w:rsidRPr="00BB3AB1">
        <w:rPr>
          <w:sz w:val="20"/>
        </w:rPr>
        <w:t>À la suite de</w:t>
      </w:r>
      <w:r w:rsidR="00884CE1" w:rsidRPr="00BB3AB1">
        <w:rPr>
          <w:sz w:val="20"/>
        </w:rPr>
        <w:t xml:space="preserve"> l’incendie sur le site de Strasbourg</w:t>
      </w:r>
      <w:r w:rsidRPr="00BB3AB1">
        <w:rPr>
          <w:sz w:val="20"/>
        </w:rPr>
        <w:t xml:space="preserve">, </w:t>
      </w:r>
      <w:r w:rsidRPr="00BB3AB1">
        <w:rPr>
          <w:sz w:val="20"/>
          <w:szCs w:val="20"/>
        </w:rPr>
        <w:t>une provision</w:t>
      </w:r>
      <w:r w:rsidR="00BC387D">
        <w:rPr>
          <w:sz w:val="20"/>
          <w:szCs w:val="20"/>
        </w:rPr>
        <w:t>,</w:t>
      </w:r>
      <w:r w:rsidRPr="00BB3AB1">
        <w:rPr>
          <w:sz w:val="20"/>
          <w:szCs w:val="20"/>
        </w:rPr>
        <w:t xml:space="preserve"> destinée à couvrir l’ensemble des effets du sinistre au titre de frais d’expertise, de frais de procédure et au titre des actions en responsabilité </w:t>
      </w:r>
      <w:r w:rsidR="00CA56B4" w:rsidRPr="00BB3AB1">
        <w:rPr>
          <w:sz w:val="20"/>
          <w:szCs w:val="20"/>
        </w:rPr>
        <w:t>a</w:t>
      </w:r>
      <w:r w:rsidRPr="00BB3AB1">
        <w:rPr>
          <w:sz w:val="20"/>
          <w:szCs w:val="20"/>
        </w:rPr>
        <w:t xml:space="preserve"> été constaté</w:t>
      </w:r>
      <w:r w:rsidR="00F71F55" w:rsidRPr="00BB3AB1">
        <w:rPr>
          <w:sz w:val="20"/>
          <w:szCs w:val="20"/>
        </w:rPr>
        <w:t>e</w:t>
      </w:r>
      <w:r w:rsidR="00A243C3" w:rsidRPr="00BB3AB1">
        <w:rPr>
          <w:sz w:val="20"/>
          <w:szCs w:val="20"/>
        </w:rPr>
        <w:t>.</w:t>
      </w:r>
      <w:r w:rsidR="00A243C3">
        <w:rPr>
          <w:sz w:val="20"/>
          <w:szCs w:val="20"/>
        </w:rPr>
        <w:t xml:space="preserve"> </w:t>
      </w:r>
      <w:r w:rsidR="00CE48CC">
        <w:rPr>
          <w:sz w:val="20"/>
          <w:szCs w:val="20"/>
        </w:rPr>
        <w:br/>
      </w:r>
      <w:r w:rsidR="00BC387D">
        <w:rPr>
          <w:sz w:val="20"/>
          <w:szCs w:val="20"/>
        </w:rPr>
        <w:t xml:space="preserve">Au 28 février 2022, cette provision s’élève à </w:t>
      </w:r>
      <w:r w:rsidR="001449F7">
        <w:rPr>
          <w:sz w:val="20"/>
          <w:szCs w:val="20"/>
        </w:rPr>
        <w:t xml:space="preserve">26,4 </w:t>
      </w:r>
      <w:r w:rsidR="00BC387D">
        <w:rPr>
          <w:sz w:val="20"/>
          <w:szCs w:val="20"/>
        </w:rPr>
        <w:t>millions d’euros.</w:t>
      </w:r>
      <w:bookmarkStart w:id="3345" w:name="_Toc62888603"/>
      <w:bookmarkStart w:id="3346" w:name="_Toc74917202"/>
      <w:r w:rsidR="0016136A" w:rsidRPr="0016136A">
        <w:t xml:space="preserve"> </w:t>
      </w:r>
      <w:r w:rsidR="0016136A" w:rsidRPr="0016136A">
        <w:rPr>
          <w:sz w:val="20"/>
          <w:szCs w:val="20"/>
        </w:rPr>
        <w:t>Aucun fait nouveau n’est venu remettre en cause à ce jour les hypothèses de calcul de cette provision.</w:t>
      </w:r>
    </w:p>
    <w:p w14:paraId="6E1F60D0" w14:textId="55E12E2C" w:rsidR="00144264" w:rsidRDefault="00144264" w:rsidP="005576BA">
      <w:pPr>
        <w:spacing w:after="240" w:line="240" w:lineRule="auto"/>
        <w:jc w:val="both"/>
        <w:rPr>
          <w:rFonts w:eastAsia="DengXian Light" w:cs="Times New Roman"/>
          <w:sz w:val="28"/>
          <w:szCs w:val="28"/>
        </w:rPr>
      </w:pPr>
    </w:p>
    <w:p w14:paraId="587A2AC6" w14:textId="77777777" w:rsidR="006C2641" w:rsidRPr="006A0C19" w:rsidRDefault="006C2641" w:rsidP="0041512C">
      <w:pPr>
        <w:pStyle w:val="Titre2"/>
        <w:numPr>
          <w:ilvl w:val="1"/>
          <w:numId w:val="16"/>
        </w:numPr>
        <w:spacing w:before="0"/>
        <w:ind w:left="567" w:hanging="567"/>
        <w:rPr>
          <w:rFonts w:ascii="Calibri" w:hAnsi="Calibri"/>
          <w:color w:val="auto"/>
          <w:sz w:val="28"/>
          <w:szCs w:val="28"/>
        </w:rPr>
      </w:pPr>
      <w:bookmarkStart w:id="3347" w:name="_Toc100603624"/>
      <w:bookmarkStart w:id="3348" w:name="_Toc100605231"/>
      <w:bookmarkStart w:id="3349" w:name="_Toc100684217"/>
      <w:bookmarkStart w:id="3350" w:name="_Toc100689243"/>
      <w:bookmarkStart w:id="3351" w:name="_Toc100689292"/>
      <w:r w:rsidRPr="006A0C19">
        <w:rPr>
          <w:rFonts w:ascii="Calibri" w:hAnsi="Calibri"/>
          <w:color w:val="auto"/>
          <w:sz w:val="28"/>
          <w:szCs w:val="28"/>
        </w:rPr>
        <w:t>Autres passifs courants</w:t>
      </w:r>
      <w:r w:rsidR="00567CA3" w:rsidRPr="006A0C19">
        <w:rPr>
          <w:rFonts w:ascii="Calibri" w:hAnsi="Calibri"/>
          <w:color w:val="auto"/>
          <w:sz w:val="28"/>
          <w:szCs w:val="28"/>
        </w:rPr>
        <w:t xml:space="preserve"> et non courants</w:t>
      </w:r>
      <w:bookmarkEnd w:id="3345"/>
      <w:bookmarkEnd w:id="3346"/>
      <w:bookmarkEnd w:id="3347"/>
      <w:bookmarkEnd w:id="3348"/>
      <w:bookmarkEnd w:id="3349"/>
      <w:bookmarkEnd w:id="3350"/>
      <w:bookmarkEnd w:id="3351"/>
    </w:p>
    <w:p w14:paraId="4F6C2D12" w14:textId="6237F291" w:rsidR="00602922" w:rsidRDefault="00602922" w:rsidP="00602922"/>
    <w:p w14:paraId="4C679921" w14:textId="63F26B6E" w:rsidR="00C2761E" w:rsidRPr="007B2AAC" w:rsidRDefault="00C2761E" w:rsidP="00C2761E">
      <w:pPr>
        <w:rPr>
          <w:sz w:val="20"/>
          <w:szCs w:val="20"/>
        </w:rPr>
      </w:pPr>
      <w:r w:rsidRPr="007B2AAC">
        <w:rPr>
          <w:sz w:val="20"/>
          <w:szCs w:val="20"/>
        </w:rPr>
        <w:t>Les autres passifs courants et non courants se décomposent comme suit :</w:t>
      </w:r>
    </w:p>
    <w:p w14:paraId="12306D70" w14:textId="13DCE49D" w:rsidR="00FA6DAD" w:rsidRDefault="00DF5B15" w:rsidP="00AD14C2">
      <w:r w:rsidRPr="00DF5B15" w:rsidDel="00DF5B15">
        <w:t xml:space="preserve"> </w:t>
      </w:r>
      <w:bookmarkStart w:id="3352" w:name="_Toc62888604"/>
      <w:bookmarkStart w:id="3353" w:name="_Ref65357103"/>
      <w:bookmarkStart w:id="3354" w:name="_Ref66146471"/>
      <w:bookmarkStart w:id="3355" w:name="_Ref69674669"/>
      <w:bookmarkStart w:id="3356" w:name="_Ref69804491"/>
      <w:bookmarkStart w:id="3357" w:name="_Ref69846535"/>
      <w:bookmarkStart w:id="3358" w:name="_Toc74917203"/>
      <w:r w:rsidR="00A07DDD" w:rsidRPr="00A07DDD">
        <w:rPr>
          <w:noProof/>
        </w:rPr>
        <w:drawing>
          <wp:inline distT="0" distB="0" distL="0" distR="0" wp14:anchorId="7FF746FD" wp14:editId="2D4B825E">
            <wp:extent cx="4890770" cy="2296795"/>
            <wp:effectExtent l="0" t="0" r="5080" b="825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90770" cy="2296795"/>
                    </a:xfrm>
                    <a:prstGeom prst="rect">
                      <a:avLst/>
                    </a:prstGeom>
                    <a:noFill/>
                    <a:ln>
                      <a:noFill/>
                    </a:ln>
                  </pic:spPr>
                </pic:pic>
              </a:graphicData>
            </a:graphic>
          </wp:inline>
        </w:drawing>
      </w:r>
    </w:p>
    <w:p w14:paraId="1D608BF3" w14:textId="77777777" w:rsidR="00AD14C2" w:rsidRDefault="00AD14C2" w:rsidP="00AD14C2">
      <w:pPr>
        <w:rPr>
          <w:sz w:val="28"/>
          <w:szCs w:val="28"/>
        </w:rPr>
      </w:pPr>
    </w:p>
    <w:p w14:paraId="7A52573B" w14:textId="0FDAAE91" w:rsidR="00645FA6" w:rsidRPr="00D27926" w:rsidRDefault="00645FA6" w:rsidP="0041512C">
      <w:pPr>
        <w:pStyle w:val="Titre2"/>
        <w:numPr>
          <w:ilvl w:val="1"/>
          <w:numId w:val="16"/>
        </w:numPr>
        <w:spacing w:before="0"/>
        <w:ind w:left="567" w:hanging="567"/>
        <w:rPr>
          <w:rFonts w:ascii="Calibri" w:hAnsi="Calibri"/>
          <w:color w:val="auto"/>
          <w:sz w:val="28"/>
          <w:szCs w:val="28"/>
        </w:rPr>
      </w:pPr>
      <w:bookmarkStart w:id="3359" w:name="_Toc62888605"/>
      <w:bookmarkStart w:id="3360" w:name="_Ref64045608"/>
      <w:bookmarkStart w:id="3361" w:name="_Ref64045964"/>
      <w:bookmarkStart w:id="3362" w:name="_Ref64046084"/>
      <w:bookmarkStart w:id="3363" w:name="_Ref65503432"/>
      <w:bookmarkStart w:id="3364" w:name="_Ref65503557"/>
      <w:bookmarkStart w:id="3365" w:name="_Ref65505399"/>
      <w:bookmarkStart w:id="3366" w:name="_Ref65506378"/>
      <w:bookmarkStart w:id="3367" w:name="_Ref65506413"/>
      <w:bookmarkStart w:id="3368" w:name="_Ref65506429"/>
      <w:bookmarkStart w:id="3369" w:name="_Ref69468094"/>
      <w:bookmarkStart w:id="3370" w:name="_Ref69674673"/>
      <w:bookmarkStart w:id="3371" w:name="_Ref69674675"/>
      <w:bookmarkStart w:id="3372" w:name="_Ref69674676"/>
      <w:bookmarkStart w:id="3373" w:name="_Ref69674677"/>
      <w:bookmarkStart w:id="3374" w:name="_Ref69752732"/>
      <w:bookmarkStart w:id="3375" w:name="_Toc74917204"/>
      <w:bookmarkStart w:id="3376" w:name="_Toc100603625"/>
      <w:bookmarkStart w:id="3377" w:name="_Toc100605232"/>
      <w:bookmarkStart w:id="3378" w:name="_Toc100684218"/>
      <w:bookmarkStart w:id="3379" w:name="_Toc100689244"/>
      <w:bookmarkStart w:id="3380" w:name="_Toc100689293"/>
      <w:bookmarkEnd w:id="3352"/>
      <w:bookmarkEnd w:id="3353"/>
      <w:bookmarkEnd w:id="3354"/>
      <w:bookmarkEnd w:id="3355"/>
      <w:bookmarkEnd w:id="3356"/>
      <w:bookmarkEnd w:id="3357"/>
      <w:bookmarkEnd w:id="3358"/>
      <w:r w:rsidRPr="00D27926">
        <w:rPr>
          <w:rFonts w:ascii="Calibri" w:hAnsi="Calibri"/>
          <w:color w:val="auto"/>
          <w:sz w:val="28"/>
          <w:szCs w:val="28"/>
        </w:rPr>
        <w:t>Paiements en actions</w:t>
      </w:r>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p>
    <w:p w14:paraId="43E974A9" w14:textId="77777777" w:rsidR="00645FA6" w:rsidRPr="00D27926" w:rsidRDefault="00645FA6" w:rsidP="00D01A82"/>
    <w:p w14:paraId="54146135" w14:textId="0BF9C092" w:rsidR="00645FA6" w:rsidRDefault="00CF7FA1" w:rsidP="00C51119">
      <w:pPr>
        <w:rPr>
          <w:rFonts w:cs="Calibri"/>
          <w:b/>
          <w:bCs/>
          <w:u w:val="single"/>
        </w:rPr>
      </w:pPr>
      <w:r w:rsidRPr="00CF7FA1">
        <w:rPr>
          <w:noProof/>
        </w:rPr>
        <w:drawing>
          <wp:inline distT="0" distB="0" distL="0" distR="0" wp14:anchorId="7C6ED282" wp14:editId="72539EAE">
            <wp:extent cx="4827181" cy="890616"/>
            <wp:effectExtent l="0" t="0" r="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64588" cy="897518"/>
                    </a:xfrm>
                    <a:prstGeom prst="rect">
                      <a:avLst/>
                    </a:prstGeom>
                    <a:noFill/>
                    <a:ln>
                      <a:noFill/>
                    </a:ln>
                  </pic:spPr>
                </pic:pic>
              </a:graphicData>
            </a:graphic>
          </wp:inline>
        </w:drawing>
      </w:r>
    </w:p>
    <w:p w14:paraId="750AF3D2" w14:textId="77777777" w:rsidR="00813B76" w:rsidRDefault="002D6BE4" w:rsidP="00813B76">
      <w:pPr>
        <w:spacing w:before="120" w:after="0" w:line="240" w:lineRule="auto"/>
        <w:jc w:val="both"/>
        <w:rPr>
          <w:sz w:val="20"/>
          <w:szCs w:val="20"/>
        </w:rPr>
      </w:pPr>
      <w:r w:rsidRPr="00045EF9">
        <w:rPr>
          <w:sz w:val="20"/>
          <w:szCs w:val="20"/>
        </w:rPr>
        <w:t xml:space="preserve">Les charges de personnel au titre des </w:t>
      </w:r>
      <w:r>
        <w:rPr>
          <w:sz w:val="20"/>
          <w:szCs w:val="20"/>
        </w:rPr>
        <w:t xml:space="preserve">plans de rémunération réglés en instruments de capitaux propres </w:t>
      </w:r>
      <w:r w:rsidRPr="00045EF9">
        <w:rPr>
          <w:sz w:val="20"/>
          <w:szCs w:val="20"/>
        </w:rPr>
        <w:t xml:space="preserve">sont </w:t>
      </w:r>
      <w:r>
        <w:rPr>
          <w:sz w:val="20"/>
          <w:szCs w:val="20"/>
        </w:rPr>
        <w:t xml:space="preserve">en </w:t>
      </w:r>
      <w:r w:rsidRPr="00045EF9">
        <w:rPr>
          <w:sz w:val="20"/>
          <w:szCs w:val="20"/>
        </w:rPr>
        <w:t xml:space="preserve">augmentation par rapport </w:t>
      </w:r>
      <w:r>
        <w:rPr>
          <w:sz w:val="20"/>
          <w:szCs w:val="20"/>
        </w:rPr>
        <w:t>à la période close au 28 février 202</w:t>
      </w:r>
      <w:r w:rsidR="00813B76">
        <w:rPr>
          <w:sz w:val="20"/>
          <w:szCs w:val="20"/>
        </w:rPr>
        <w:t xml:space="preserve">1. </w:t>
      </w:r>
    </w:p>
    <w:p w14:paraId="5B67BE7C" w14:textId="33C78E14" w:rsidR="00813B76" w:rsidRDefault="00813B76" w:rsidP="00813B76">
      <w:pPr>
        <w:spacing w:before="120" w:after="0" w:line="240" w:lineRule="auto"/>
        <w:jc w:val="both"/>
        <w:rPr>
          <w:sz w:val="20"/>
          <w:szCs w:val="20"/>
        </w:rPr>
      </w:pPr>
      <w:r>
        <w:rPr>
          <w:sz w:val="20"/>
          <w:szCs w:val="20"/>
        </w:rPr>
        <w:t xml:space="preserve">Concernant l’octroi d’actions gratuites, l’augmentation de la charge (4,9 millions d’euros pour la période close au 28 février 2022, contre 2,0 millions d’euros pour la période close au 28 février 2021) reflète </w:t>
      </w:r>
      <w:r w:rsidR="002D6BE4" w:rsidRPr="000B008C">
        <w:rPr>
          <w:sz w:val="20"/>
          <w:szCs w:val="20"/>
        </w:rPr>
        <w:t>l’accélération de la condition de service</w:t>
      </w:r>
      <w:r>
        <w:rPr>
          <w:sz w:val="20"/>
          <w:szCs w:val="20"/>
        </w:rPr>
        <w:t xml:space="preserve"> </w:t>
      </w:r>
      <w:r w:rsidR="00AB29F5">
        <w:rPr>
          <w:sz w:val="20"/>
          <w:szCs w:val="20"/>
        </w:rPr>
        <w:t xml:space="preserve">sur un an </w:t>
      </w:r>
      <w:r>
        <w:rPr>
          <w:sz w:val="20"/>
          <w:szCs w:val="20"/>
        </w:rPr>
        <w:t>et</w:t>
      </w:r>
      <w:r w:rsidR="002D6BE4" w:rsidRPr="000B008C">
        <w:rPr>
          <w:sz w:val="20"/>
          <w:szCs w:val="20"/>
        </w:rPr>
        <w:t xml:space="preserve"> </w:t>
      </w:r>
      <w:r>
        <w:rPr>
          <w:sz w:val="20"/>
          <w:szCs w:val="20"/>
        </w:rPr>
        <w:t>le</w:t>
      </w:r>
      <w:r w:rsidR="002D6BE4" w:rsidRPr="000B008C">
        <w:rPr>
          <w:sz w:val="20"/>
          <w:szCs w:val="20"/>
        </w:rPr>
        <w:t xml:space="preserve"> changement d’estimation du nombre probable d’instruments effectivement acquis</w:t>
      </w:r>
      <w:r w:rsidR="00AB29F5">
        <w:rPr>
          <w:sz w:val="20"/>
          <w:szCs w:val="20"/>
        </w:rPr>
        <w:t xml:space="preserve"> au 31 août 2021</w:t>
      </w:r>
      <w:r w:rsidR="002D6BE4" w:rsidRPr="000B008C">
        <w:rPr>
          <w:sz w:val="20"/>
          <w:szCs w:val="20"/>
        </w:rPr>
        <w:t xml:space="preserve"> pour prendre en compte la probabilité de réalisation de l’opération d’introduction en bourse </w:t>
      </w:r>
      <w:r w:rsidR="00AB29F5">
        <w:rPr>
          <w:sz w:val="20"/>
          <w:szCs w:val="20"/>
        </w:rPr>
        <w:t>à cette date</w:t>
      </w:r>
      <w:r>
        <w:rPr>
          <w:sz w:val="20"/>
          <w:szCs w:val="20"/>
        </w:rPr>
        <w:t xml:space="preserve">. </w:t>
      </w:r>
    </w:p>
    <w:p w14:paraId="34D29ED7" w14:textId="1554172A" w:rsidR="001B679E" w:rsidRPr="002D6BE4" w:rsidRDefault="00813B76" w:rsidP="00813B76">
      <w:pPr>
        <w:spacing w:before="120" w:after="0" w:line="240" w:lineRule="auto"/>
        <w:jc w:val="both"/>
        <w:rPr>
          <w:sz w:val="20"/>
          <w:szCs w:val="20"/>
          <w:highlight w:val="yellow"/>
        </w:rPr>
      </w:pPr>
      <w:r>
        <w:rPr>
          <w:sz w:val="20"/>
          <w:szCs w:val="20"/>
        </w:rPr>
        <w:t>Par ailleurs, l’avantage octroyé aux salariés dans le cadre de l</w:t>
      </w:r>
      <w:proofErr w:type="gramStart"/>
      <w:r>
        <w:rPr>
          <w:sz w:val="20"/>
          <w:szCs w:val="20"/>
        </w:rPr>
        <w:t>’</w:t>
      </w:r>
      <w:r w:rsidR="00D53C5A" w:rsidRPr="00D53C5A">
        <w:rPr>
          <w:sz w:val="20"/>
          <w:szCs w:val="20"/>
        </w:rPr>
        <w:t>«</w:t>
      </w:r>
      <w:proofErr w:type="gramEnd"/>
      <w:r w:rsidR="00D53C5A" w:rsidRPr="00D53C5A">
        <w:rPr>
          <w:sz w:val="20"/>
          <w:szCs w:val="20"/>
        </w:rPr>
        <w:t xml:space="preserve"> </w:t>
      </w:r>
      <w:proofErr w:type="spellStart"/>
      <w:r w:rsidR="00D53C5A" w:rsidRPr="00D53C5A">
        <w:rPr>
          <w:sz w:val="20"/>
          <w:szCs w:val="20"/>
        </w:rPr>
        <w:t>Employee</w:t>
      </w:r>
      <w:proofErr w:type="spellEnd"/>
      <w:r w:rsidR="00D53C5A" w:rsidRPr="00D53C5A">
        <w:rPr>
          <w:sz w:val="20"/>
          <w:szCs w:val="20"/>
        </w:rPr>
        <w:t xml:space="preserve"> </w:t>
      </w:r>
      <w:proofErr w:type="spellStart"/>
      <w:r w:rsidR="00D53C5A" w:rsidRPr="00D53C5A">
        <w:rPr>
          <w:sz w:val="20"/>
          <w:szCs w:val="20"/>
        </w:rPr>
        <w:t>Shareplan</w:t>
      </w:r>
      <w:proofErr w:type="spellEnd"/>
      <w:r w:rsidR="00D53C5A" w:rsidRPr="00D53C5A">
        <w:rPr>
          <w:sz w:val="20"/>
          <w:szCs w:val="20"/>
        </w:rPr>
        <w:t xml:space="preserve"> 2021 »</w:t>
      </w:r>
      <w:r>
        <w:rPr>
          <w:sz w:val="20"/>
          <w:szCs w:val="20"/>
        </w:rPr>
        <w:t>, reflétant l’</w:t>
      </w:r>
      <w:r w:rsidR="00D53C5A" w:rsidRPr="00D53C5A">
        <w:rPr>
          <w:sz w:val="20"/>
          <w:szCs w:val="20"/>
        </w:rPr>
        <w:t xml:space="preserve">abondement pris en charge par la Société </w:t>
      </w:r>
      <w:r>
        <w:rPr>
          <w:sz w:val="20"/>
          <w:szCs w:val="20"/>
        </w:rPr>
        <w:t>ainsi que</w:t>
      </w:r>
      <w:r w:rsidR="00D53C5A" w:rsidRPr="00D53C5A">
        <w:rPr>
          <w:sz w:val="20"/>
          <w:szCs w:val="20"/>
        </w:rPr>
        <w:t xml:space="preserve"> </w:t>
      </w:r>
      <w:r>
        <w:rPr>
          <w:sz w:val="20"/>
          <w:szCs w:val="20"/>
        </w:rPr>
        <w:t>la</w:t>
      </w:r>
      <w:r w:rsidR="00D53C5A" w:rsidRPr="00D53C5A">
        <w:rPr>
          <w:sz w:val="20"/>
          <w:szCs w:val="20"/>
        </w:rPr>
        <w:t xml:space="preserve"> décote de 30% accordée sur le prix des actions</w:t>
      </w:r>
      <w:r>
        <w:rPr>
          <w:sz w:val="20"/>
          <w:szCs w:val="20"/>
        </w:rPr>
        <w:t xml:space="preserve">, se traduit par une charge de </w:t>
      </w:r>
      <w:r w:rsidR="00B667E0">
        <w:rPr>
          <w:sz w:val="20"/>
          <w:szCs w:val="20"/>
        </w:rPr>
        <w:t>14</w:t>
      </w:r>
      <w:r>
        <w:rPr>
          <w:sz w:val="20"/>
          <w:szCs w:val="20"/>
        </w:rPr>
        <w:t>,</w:t>
      </w:r>
      <w:r w:rsidR="00B667E0">
        <w:rPr>
          <w:sz w:val="20"/>
          <w:szCs w:val="20"/>
        </w:rPr>
        <w:t xml:space="preserve">9 </w:t>
      </w:r>
      <w:r>
        <w:rPr>
          <w:sz w:val="20"/>
          <w:szCs w:val="20"/>
        </w:rPr>
        <w:t>millions d’euros au 28 février 2022.</w:t>
      </w:r>
    </w:p>
    <w:p w14:paraId="576BDC11" w14:textId="77777777" w:rsidR="001B679E" w:rsidRDefault="001B679E" w:rsidP="00CB595C">
      <w:pPr>
        <w:jc w:val="both"/>
        <w:rPr>
          <w:b/>
          <w:bCs/>
          <w:u w:val="single"/>
        </w:rPr>
      </w:pPr>
      <w:bookmarkStart w:id="3381" w:name="_Hlk84448090"/>
    </w:p>
    <w:p w14:paraId="2C325DD9" w14:textId="77777777" w:rsidR="00C3483B" w:rsidRDefault="00C3483B">
      <w:pPr>
        <w:spacing w:after="0" w:line="240" w:lineRule="auto"/>
        <w:rPr>
          <w:b/>
          <w:bCs/>
          <w:u w:val="single"/>
        </w:rPr>
      </w:pPr>
      <w:r>
        <w:rPr>
          <w:b/>
          <w:bCs/>
          <w:u w:val="single"/>
        </w:rPr>
        <w:br w:type="page"/>
      </w:r>
    </w:p>
    <w:p w14:paraId="0BC07821" w14:textId="0E674E45" w:rsidR="00CB595C" w:rsidRPr="00D27926" w:rsidRDefault="00CB595C" w:rsidP="00CB595C">
      <w:pPr>
        <w:jc w:val="both"/>
        <w:rPr>
          <w:rFonts w:cstheme="minorHAnsi"/>
          <w:b/>
          <w:bCs/>
          <w:u w:val="single"/>
        </w:rPr>
      </w:pPr>
      <w:r w:rsidRPr="00D27926">
        <w:rPr>
          <w:b/>
          <w:bCs/>
          <w:u w:val="single"/>
        </w:rPr>
        <w:lastRenderedPageBreak/>
        <w:t>Actions gratuites (AGA)</w:t>
      </w:r>
    </w:p>
    <w:p w14:paraId="68D01A81" w14:textId="15048858" w:rsidR="00CB595C" w:rsidRPr="001843C4" w:rsidRDefault="00CB595C" w:rsidP="00CB595C">
      <w:pPr>
        <w:pStyle w:val="Corpsdetexte"/>
        <w:spacing w:after="0" w:line="240" w:lineRule="auto"/>
        <w:jc w:val="both"/>
        <w:rPr>
          <w:rFonts w:cstheme="minorHAnsi"/>
          <w:highlight w:val="yellow"/>
        </w:rPr>
      </w:pPr>
      <w:bookmarkStart w:id="3382" w:name="_Hlk47625216"/>
      <w:r w:rsidRPr="00D27926">
        <w:rPr>
          <w:sz w:val="20"/>
          <w:szCs w:val="20"/>
        </w:rPr>
        <w:t>L’assemblée générale du 10 octobre 2017 a autorisé l’attribution d’un maximum de 4 590 562 actions ordinaires gratuites</w:t>
      </w:r>
      <w:r w:rsidR="00196B11" w:rsidRPr="00D27926">
        <w:rPr>
          <w:sz w:val="20"/>
          <w:szCs w:val="20"/>
        </w:rPr>
        <w:t xml:space="preserve"> avec une condition de service</w:t>
      </w:r>
      <w:r w:rsidR="007B7D21" w:rsidRPr="00D27926">
        <w:rPr>
          <w:sz w:val="20"/>
          <w:szCs w:val="20"/>
        </w:rPr>
        <w:t>s</w:t>
      </w:r>
      <w:r w:rsidR="00196B11" w:rsidRPr="00D27926">
        <w:rPr>
          <w:sz w:val="20"/>
          <w:szCs w:val="20"/>
        </w:rPr>
        <w:t xml:space="preserve"> </w:t>
      </w:r>
      <w:r w:rsidR="00A453E5" w:rsidRPr="00D27926">
        <w:rPr>
          <w:sz w:val="20"/>
          <w:szCs w:val="20"/>
        </w:rPr>
        <w:t>d’</w:t>
      </w:r>
      <w:r w:rsidR="00196B11" w:rsidRPr="00D27926">
        <w:rPr>
          <w:sz w:val="20"/>
          <w:szCs w:val="20"/>
        </w:rPr>
        <w:t>une période de 4 ans</w:t>
      </w:r>
      <w:r w:rsidRPr="00D27926">
        <w:rPr>
          <w:sz w:val="20"/>
          <w:szCs w:val="20"/>
        </w:rPr>
        <w:t>. L’identité des bénéficiaires et la date d’attribution sont déterminées par le Président.</w:t>
      </w:r>
      <w:r w:rsidR="00196B11" w:rsidRPr="00D27926">
        <w:rPr>
          <w:sz w:val="20"/>
          <w:szCs w:val="20"/>
        </w:rPr>
        <w:t xml:space="preserve"> </w:t>
      </w:r>
    </w:p>
    <w:bookmarkEnd w:id="3382"/>
    <w:p w14:paraId="1295BF47" w14:textId="1723908E" w:rsidR="00CB595C" w:rsidRPr="0069001D" w:rsidRDefault="00CB595C" w:rsidP="005B62C1">
      <w:pPr>
        <w:spacing w:after="0" w:line="240" w:lineRule="auto"/>
        <w:rPr>
          <w:rFonts w:cstheme="minorHAnsi"/>
          <w:b/>
          <w:bCs/>
        </w:rPr>
      </w:pPr>
      <w:r w:rsidRPr="0069001D">
        <w:rPr>
          <w:b/>
          <w:bCs/>
        </w:rPr>
        <w:t>Synthèse des actions gratuites (AGA)</w:t>
      </w:r>
    </w:p>
    <w:p w14:paraId="027112E6" w14:textId="341C923B" w:rsidR="00CB595C" w:rsidRPr="002D6BE4" w:rsidRDefault="002D6BE4" w:rsidP="007B19CD">
      <w:pPr>
        <w:rPr>
          <w:sz w:val="16"/>
          <w:szCs w:val="16"/>
          <w:highlight w:val="yellow"/>
        </w:rPr>
      </w:pPr>
      <w:r w:rsidRPr="002D6BE4">
        <w:rPr>
          <w:noProof/>
        </w:rPr>
        <w:drawing>
          <wp:inline distT="0" distB="0" distL="0" distR="0" wp14:anchorId="0C96A9AD" wp14:editId="7B2ABCAA">
            <wp:extent cx="5940425" cy="1197610"/>
            <wp:effectExtent l="0" t="0" r="317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0425" cy="1197610"/>
                    </a:xfrm>
                    <a:prstGeom prst="rect">
                      <a:avLst/>
                    </a:prstGeom>
                    <a:noFill/>
                    <a:ln>
                      <a:noFill/>
                    </a:ln>
                  </pic:spPr>
                </pic:pic>
              </a:graphicData>
            </a:graphic>
          </wp:inline>
        </w:drawing>
      </w:r>
    </w:p>
    <w:p w14:paraId="2C83FE60" w14:textId="56095456" w:rsidR="00810169" w:rsidRPr="00D27926" w:rsidRDefault="00810169">
      <w:pPr>
        <w:jc w:val="both"/>
        <w:rPr>
          <w:sz w:val="20"/>
          <w:szCs w:val="20"/>
        </w:rPr>
      </w:pPr>
      <w:r w:rsidRPr="00D27926">
        <w:rPr>
          <w:sz w:val="20"/>
          <w:szCs w:val="20"/>
        </w:rPr>
        <w:t xml:space="preserve">Une charge de </w:t>
      </w:r>
      <w:r w:rsidR="002D6BE4">
        <w:rPr>
          <w:sz w:val="20"/>
          <w:szCs w:val="20"/>
        </w:rPr>
        <w:t>4,9</w:t>
      </w:r>
      <w:r w:rsidR="007B7D21" w:rsidRPr="00D27926">
        <w:rPr>
          <w:sz w:val="20"/>
          <w:szCs w:val="20"/>
        </w:rPr>
        <w:t xml:space="preserve"> million</w:t>
      </w:r>
      <w:r w:rsidR="00D27926" w:rsidRPr="00D27926">
        <w:rPr>
          <w:sz w:val="20"/>
          <w:szCs w:val="20"/>
        </w:rPr>
        <w:t>s</w:t>
      </w:r>
      <w:r w:rsidR="000959A7" w:rsidRPr="00D27926">
        <w:rPr>
          <w:sz w:val="20"/>
          <w:szCs w:val="20"/>
        </w:rPr>
        <w:t xml:space="preserve"> </w:t>
      </w:r>
      <w:r w:rsidRPr="00D27926">
        <w:rPr>
          <w:sz w:val="20"/>
          <w:szCs w:val="20"/>
        </w:rPr>
        <w:t xml:space="preserve">d’euros au titre de la juste valeur des actions gratuites a été comptabilisée en charges de personnel dans le compte de résultat de </w:t>
      </w:r>
      <w:r w:rsidR="001B679E">
        <w:rPr>
          <w:sz w:val="20"/>
          <w:szCs w:val="20"/>
        </w:rPr>
        <w:t>la période close</w:t>
      </w:r>
      <w:r w:rsidRPr="00D27926">
        <w:rPr>
          <w:sz w:val="20"/>
          <w:szCs w:val="20"/>
        </w:rPr>
        <w:t xml:space="preserve"> au </w:t>
      </w:r>
      <w:r w:rsidR="002D6BE4">
        <w:rPr>
          <w:sz w:val="20"/>
          <w:szCs w:val="20"/>
        </w:rPr>
        <w:t>28 février 2022</w:t>
      </w:r>
      <w:r w:rsidR="00D27926" w:rsidRPr="00D27926">
        <w:rPr>
          <w:sz w:val="20"/>
          <w:szCs w:val="20"/>
        </w:rPr>
        <w:t xml:space="preserve"> (u</w:t>
      </w:r>
      <w:r w:rsidRPr="00D27926">
        <w:rPr>
          <w:sz w:val="20"/>
          <w:szCs w:val="20"/>
        </w:rPr>
        <w:t xml:space="preserve">ne charge de </w:t>
      </w:r>
      <w:r w:rsidR="002D6BE4">
        <w:rPr>
          <w:sz w:val="20"/>
          <w:szCs w:val="20"/>
        </w:rPr>
        <w:t>2</w:t>
      </w:r>
      <w:r w:rsidR="007B7D21" w:rsidRPr="00D27926">
        <w:rPr>
          <w:sz w:val="20"/>
          <w:szCs w:val="20"/>
        </w:rPr>
        <w:t>,</w:t>
      </w:r>
      <w:r w:rsidR="002D6BE4">
        <w:rPr>
          <w:sz w:val="20"/>
          <w:szCs w:val="20"/>
        </w:rPr>
        <w:t>0</w:t>
      </w:r>
      <w:r w:rsidR="007B7D21" w:rsidRPr="00D27926">
        <w:rPr>
          <w:sz w:val="20"/>
          <w:szCs w:val="20"/>
        </w:rPr>
        <w:t xml:space="preserve"> millions</w:t>
      </w:r>
      <w:r w:rsidRPr="00D27926">
        <w:rPr>
          <w:sz w:val="20"/>
          <w:szCs w:val="20"/>
        </w:rPr>
        <w:t xml:space="preserve"> d’euros </w:t>
      </w:r>
      <w:r w:rsidR="00C32BBC" w:rsidRPr="00D27926">
        <w:rPr>
          <w:sz w:val="20"/>
          <w:szCs w:val="20"/>
        </w:rPr>
        <w:t>a</w:t>
      </w:r>
      <w:r w:rsidR="00AA5A26" w:rsidRPr="00D27926">
        <w:rPr>
          <w:sz w:val="20"/>
          <w:szCs w:val="20"/>
        </w:rPr>
        <w:t xml:space="preserve"> </w:t>
      </w:r>
      <w:r w:rsidRPr="00D27926">
        <w:rPr>
          <w:sz w:val="20"/>
          <w:szCs w:val="20"/>
        </w:rPr>
        <w:t xml:space="preserve">été comptabilisée </w:t>
      </w:r>
      <w:r w:rsidR="00D27926" w:rsidRPr="00D27926">
        <w:rPr>
          <w:sz w:val="20"/>
          <w:szCs w:val="20"/>
        </w:rPr>
        <w:t xml:space="preserve">sur </w:t>
      </w:r>
      <w:r w:rsidR="001B679E">
        <w:rPr>
          <w:sz w:val="20"/>
          <w:szCs w:val="20"/>
        </w:rPr>
        <w:t>la période</w:t>
      </w:r>
      <w:r w:rsidRPr="00D27926">
        <w:rPr>
          <w:sz w:val="20"/>
          <w:szCs w:val="20"/>
        </w:rPr>
        <w:t xml:space="preserve"> clos</w:t>
      </w:r>
      <w:r w:rsidR="001B679E">
        <w:rPr>
          <w:sz w:val="20"/>
          <w:szCs w:val="20"/>
        </w:rPr>
        <w:t>e</w:t>
      </w:r>
      <w:r w:rsidRPr="00D27926">
        <w:rPr>
          <w:sz w:val="20"/>
          <w:szCs w:val="20"/>
        </w:rPr>
        <w:t xml:space="preserve"> au </w:t>
      </w:r>
      <w:r w:rsidR="002D6BE4">
        <w:rPr>
          <w:sz w:val="20"/>
          <w:szCs w:val="20"/>
        </w:rPr>
        <w:t>28 février 202</w:t>
      </w:r>
      <w:r w:rsidR="00014A2B">
        <w:rPr>
          <w:sz w:val="20"/>
          <w:szCs w:val="20"/>
        </w:rPr>
        <w:t>1</w:t>
      </w:r>
      <w:r w:rsidR="00D27926" w:rsidRPr="00D27926">
        <w:rPr>
          <w:sz w:val="20"/>
          <w:szCs w:val="20"/>
        </w:rPr>
        <w:t>)</w:t>
      </w:r>
      <w:r w:rsidRPr="00D27926">
        <w:rPr>
          <w:sz w:val="20"/>
          <w:szCs w:val="20"/>
        </w:rPr>
        <w:t>.</w:t>
      </w:r>
    </w:p>
    <w:p w14:paraId="20FFC2DA" w14:textId="77777777" w:rsidR="00C72563" w:rsidRPr="00A436F4" w:rsidRDefault="00C72563" w:rsidP="00A436F4">
      <w:pPr>
        <w:rPr>
          <w:rFonts w:asciiTheme="minorHAnsi" w:eastAsiaTheme="minorEastAsia" w:hAnsiTheme="minorHAnsi" w:cstheme="minorHAnsi"/>
          <w:b/>
          <w:bCs/>
          <w:u w:val="single"/>
        </w:rPr>
      </w:pPr>
      <w:bookmarkStart w:id="3383" w:name="_Hlk47625411"/>
    </w:p>
    <w:p w14:paraId="32E379E5" w14:textId="546A611E" w:rsidR="00064267" w:rsidRPr="00C07ED8" w:rsidRDefault="00EC6721" w:rsidP="0041512C">
      <w:pPr>
        <w:pStyle w:val="Titre1"/>
        <w:numPr>
          <w:ilvl w:val="0"/>
          <w:numId w:val="11"/>
        </w:numPr>
        <w:spacing w:before="240" w:after="0"/>
        <w:ind w:left="142" w:right="-74" w:hanging="142"/>
        <w:rPr>
          <w:rFonts w:asciiTheme="minorHAnsi" w:hAnsiTheme="minorHAnsi" w:cstheme="minorHAnsi"/>
          <w:color w:val="000E9A"/>
          <w:sz w:val="28"/>
          <w:szCs w:val="28"/>
        </w:rPr>
      </w:pPr>
      <w:bookmarkStart w:id="3384" w:name="_Toc67047760"/>
      <w:bookmarkStart w:id="3385" w:name="_Toc67059171"/>
      <w:bookmarkStart w:id="3386" w:name="_Toc67047765"/>
      <w:bookmarkStart w:id="3387" w:name="_Toc67059176"/>
      <w:bookmarkStart w:id="3388" w:name="_Toc67047795"/>
      <w:bookmarkStart w:id="3389" w:name="_Toc67059206"/>
      <w:bookmarkStart w:id="3390" w:name="_Toc65500839"/>
      <w:bookmarkStart w:id="3391" w:name="_Toc65501377"/>
      <w:bookmarkStart w:id="3392" w:name="_Toc65501540"/>
      <w:bookmarkStart w:id="3393" w:name="_Toc65502009"/>
      <w:bookmarkStart w:id="3394" w:name="_Toc65543657"/>
      <w:bookmarkStart w:id="3395" w:name="_Toc65543834"/>
      <w:bookmarkStart w:id="3396" w:name="_Toc65544011"/>
      <w:bookmarkStart w:id="3397" w:name="_Toc65500840"/>
      <w:bookmarkStart w:id="3398" w:name="_Toc65501378"/>
      <w:bookmarkStart w:id="3399" w:name="_Toc65501541"/>
      <w:bookmarkStart w:id="3400" w:name="_Toc65502010"/>
      <w:bookmarkStart w:id="3401" w:name="_Toc65543658"/>
      <w:bookmarkStart w:id="3402" w:name="_Toc65543835"/>
      <w:bookmarkStart w:id="3403" w:name="_Toc65544012"/>
      <w:bookmarkStart w:id="3404" w:name="_Toc64075179"/>
      <w:bookmarkStart w:id="3405" w:name="_Toc62888606"/>
      <w:bookmarkStart w:id="3406" w:name="_Toc74917205"/>
      <w:bookmarkStart w:id="3407" w:name="_Toc100603626"/>
      <w:bookmarkStart w:id="3408" w:name="_Toc100605233"/>
      <w:bookmarkStart w:id="3409" w:name="_Toc100684219"/>
      <w:bookmarkStart w:id="3410" w:name="_Toc100689245"/>
      <w:bookmarkStart w:id="3411" w:name="_Toc100689294"/>
      <w:bookmarkEnd w:id="3381"/>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r w:rsidRPr="00C07ED8">
        <w:rPr>
          <w:rFonts w:asciiTheme="minorHAnsi" w:hAnsiTheme="minorHAnsi" w:cstheme="minorHAnsi"/>
          <w:color w:val="000E9A"/>
          <w:sz w:val="28"/>
          <w:szCs w:val="28"/>
        </w:rPr>
        <w:t>Autres informations</w:t>
      </w:r>
      <w:bookmarkEnd w:id="3405"/>
      <w:bookmarkEnd w:id="3406"/>
      <w:bookmarkEnd w:id="3407"/>
      <w:bookmarkEnd w:id="3408"/>
      <w:bookmarkEnd w:id="3409"/>
      <w:bookmarkEnd w:id="3410"/>
      <w:bookmarkEnd w:id="3411"/>
    </w:p>
    <w:p w14:paraId="5BC81D1B" w14:textId="77777777" w:rsidR="00A05A54" w:rsidRPr="008812FB" w:rsidRDefault="00A05A54" w:rsidP="00A05A54"/>
    <w:p w14:paraId="66D9796B" w14:textId="47392A91" w:rsidR="00C64765" w:rsidRPr="004F1B0A" w:rsidRDefault="004F1B0A" w:rsidP="004F1B0A">
      <w:pPr>
        <w:ind w:left="851" w:hanging="851"/>
        <w:rPr>
          <w:sz w:val="28"/>
          <w:szCs w:val="28"/>
        </w:rPr>
      </w:pPr>
      <w:bookmarkStart w:id="3412" w:name="_Toc62888607"/>
      <w:bookmarkStart w:id="3413" w:name="_Toc74917206"/>
      <w:r w:rsidRPr="004F1B0A">
        <w:rPr>
          <w:sz w:val="28"/>
          <w:szCs w:val="28"/>
        </w:rPr>
        <w:t xml:space="preserve">5.1 </w:t>
      </w:r>
      <w:r w:rsidR="00064267" w:rsidRPr="004F1B0A">
        <w:rPr>
          <w:sz w:val="28"/>
          <w:szCs w:val="28"/>
        </w:rPr>
        <w:t>Engagements hors bilan</w:t>
      </w:r>
      <w:bookmarkEnd w:id="3412"/>
      <w:bookmarkEnd w:id="3413"/>
    </w:p>
    <w:p w14:paraId="4013E3D9" w14:textId="394E0EAF" w:rsidR="00064267" w:rsidRDefault="00064267" w:rsidP="00B63488">
      <w:pPr>
        <w:spacing w:after="240"/>
        <w:rPr>
          <w:rFonts w:asciiTheme="minorHAnsi" w:hAnsiTheme="minorHAnsi" w:cstheme="minorHAnsi"/>
          <w:b/>
          <w:bCs/>
        </w:rPr>
      </w:pPr>
      <w:bookmarkStart w:id="3414" w:name="_Toc62888608"/>
      <w:bookmarkStart w:id="3415" w:name="_Hlk69767197"/>
      <w:r w:rsidRPr="00B63488">
        <w:rPr>
          <w:rFonts w:asciiTheme="minorHAnsi" w:hAnsiTheme="minorHAnsi" w:cstheme="minorHAnsi"/>
          <w:b/>
          <w:bCs/>
        </w:rPr>
        <w:t xml:space="preserve">Garanties </w:t>
      </w:r>
      <w:bookmarkEnd w:id="3414"/>
    </w:p>
    <w:p w14:paraId="02962D8A" w14:textId="2902AB1B" w:rsidR="005826A4" w:rsidRPr="007B2AAC" w:rsidRDefault="005826A4" w:rsidP="007B2AAC">
      <w:pPr>
        <w:jc w:val="both"/>
        <w:rPr>
          <w:sz w:val="20"/>
          <w:szCs w:val="20"/>
        </w:rPr>
      </w:pPr>
      <w:r w:rsidRPr="007B2AAC">
        <w:rPr>
          <w:sz w:val="20"/>
          <w:szCs w:val="20"/>
        </w:rPr>
        <w:t xml:space="preserve">La Nouvelle Convention de Crédits ne fait pas l’objet d’une garantie donnée par la société. </w:t>
      </w:r>
      <w:r w:rsidR="00CE48CC" w:rsidRPr="007B2AAC">
        <w:rPr>
          <w:sz w:val="20"/>
          <w:szCs w:val="20"/>
        </w:rPr>
        <w:t xml:space="preserve"> </w:t>
      </w:r>
    </w:p>
    <w:p w14:paraId="51F91D08" w14:textId="77777777" w:rsidR="00331B7A" w:rsidRPr="00331B7A" w:rsidRDefault="00331B7A" w:rsidP="00331B7A">
      <w:pPr>
        <w:autoSpaceDE w:val="0"/>
        <w:autoSpaceDN w:val="0"/>
        <w:adjustRightInd w:val="0"/>
        <w:spacing w:after="0" w:line="240" w:lineRule="auto"/>
        <w:jc w:val="both"/>
        <w:rPr>
          <w:rFonts w:cs="Calibri"/>
          <w:sz w:val="20"/>
          <w:szCs w:val="20"/>
          <w:highlight w:val="yellow"/>
        </w:rPr>
      </w:pPr>
      <w:bookmarkStart w:id="3416" w:name="_Toc67059242"/>
      <w:bookmarkStart w:id="3417" w:name="_Toc67059243"/>
      <w:bookmarkStart w:id="3418" w:name="_Toc67059244"/>
      <w:bookmarkStart w:id="3419" w:name="_Toc64075184"/>
      <w:bookmarkStart w:id="3420" w:name="_Toc70362050"/>
      <w:bookmarkStart w:id="3421" w:name="_Toc71267490"/>
      <w:bookmarkStart w:id="3422" w:name="_Toc72331287"/>
      <w:bookmarkStart w:id="3423" w:name="_Toc72332655"/>
      <w:bookmarkStart w:id="3424" w:name="_Toc69772492"/>
      <w:bookmarkStart w:id="3425" w:name="_Toc69847115"/>
      <w:bookmarkStart w:id="3426" w:name="_Toc69850107"/>
      <w:bookmarkStart w:id="3427" w:name="_Toc69850592"/>
      <w:bookmarkStart w:id="3428" w:name="_Toc70362051"/>
      <w:bookmarkStart w:id="3429" w:name="_Toc71267491"/>
      <w:bookmarkStart w:id="3430" w:name="_Toc72331288"/>
      <w:bookmarkStart w:id="3431" w:name="_Toc72332656"/>
      <w:bookmarkStart w:id="3432" w:name="_Toc67059247"/>
      <w:bookmarkStart w:id="3433" w:name="_Hlk47625679"/>
      <w:bookmarkStart w:id="3434" w:name="_Toc74917208"/>
      <w:bookmarkStart w:id="3435" w:name="_Hlk74565797"/>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p>
    <w:p w14:paraId="3DD860E1" w14:textId="6939B32B" w:rsidR="00064267" w:rsidRPr="006A0C19" w:rsidRDefault="004F1B0A" w:rsidP="004F1B0A">
      <w:pPr>
        <w:ind w:left="851" w:hanging="851"/>
        <w:rPr>
          <w:sz w:val="28"/>
          <w:szCs w:val="28"/>
        </w:rPr>
      </w:pPr>
      <w:r>
        <w:rPr>
          <w:sz w:val="28"/>
          <w:szCs w:val="28"/>
        </w:rPr>
        <w:t>5.</w:t>
      </w:r>
      <w:r w:rsidR="00144264">
        <w:rPr>
          <w:sz w:val="28"/>
          <w:szCs w:val="28"/>
        </w:rPr>
        <w:t>2</w:t>
      </w:r>
      <w:r>
        <w:rPr>
          <w:sz w:val="28"/>
          <w:szCs w:val="28"/>
        </w:rPr>
        <w:t xml:space="preserve"> </w:t>
      </w:r>
      <w:r w:rsidR="00196B11" w:rsidRPr="006A0C19">
        <w:rPr>
          <w:sz w:val="28"/>
          <w:szCs w:val="28"/>
        </w:rPr>
        <w:t>Transactions avec</w:t>
      </w:r>
      <w:r w:rsidR="005A4F3A">
        <w:rPr>
          <w:sz w:val="28"/>
          <w:szCs w:val="28"/>
        </w:rPr>
        <w:t xml:space="preserve"> les entreprises associées et autres </w:t>
      </w:r>
      <w:r w:rsidR="00196B11" w:rsidRPr="006A0C19">
        <w:rPr>
          <w:sz w:val="28"/>
          <w:szCs w:val="28"/>
        </w:rPr>
        <w:t>parties liées</w:t>
      </w:r>
      <w:bookmarkEnd w:id="3434"/>
    </w:p>
    <w:p w14:paraId="66D07DE3" w14:textId="0E99780A" w:rsidR="005A4F3A" w:rsidRDefault="003C17C7" w:rsidP="008E401C">
      <w:pPr>
        <w:pStyle w:val="Corpsdetexte"/>
        <w:jc w:val="both"/>
        <w:rPr>
          <w:sz w:val="20"/>
          <w:szCs w:val="20"/>
        </w:rPr>
      </w:pPr>
      <w:r w:rsidRPr="003C17C7">
        <w:rPr>
          <w:noProof/>
        </w:rPr>
        <w:drawing>
          <wp:inline distT="0" distB="0" distL="0" distR="0" wp14:anchorId="2156F3E8" wp14:editId="40468D14">
            <wp:extent cx="4997302" cy="137926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11360" cy="1383146"/>
                    </a:xfrm>
                    <a:prstGeom prst="rect">
                      <a:avLst/>
                    </a:prstGeom>
                    <a:noFill/>
                    <a:ln>
                      <a:noFill/>
                    </a:ln>
                  </pic:spPr>
                </pic:pic>
              </a:graphicData>
            </a:graphic>
          </wp:inline>
        </w:drawing>
      </w:r>
    </w:p>
    <w:p w14:paraId="79ED7465" w14:textId="50AED3E6" w:rsidR="00445561" w:rsidRPr="00B264D1" w:rsidRDefault="001F1DF9" w:rsidP="00445561">
      <w:pPr>
        <w:pStyle w:val="Titre1"/>
        <w:ind w:hanging="142"/>
        <w:rPr>
          <w:rFonts w:asciiTheme="minorHAnsi" w:hAnsiTheme="minorHAnsi" w:cstheme="minorHAnsi"/>
          <w:b/>
          <w:bCs/>
          <w:color w:val="000E9C"/>
          <w:sz w:val="32"/>
          <w:szCs w:val="32"/>
        </w:rPr>
      </w:pPr>
      <w:r>
        <w:rPr>
          <w:sz w:val="20"/>
          <w:szCs w:val="20"/>
        </w:rPr>
        <w:br w:type="page"/>
      </w:r>
      <w:bookmarkStart w:id="3436" w:name="_Toc100684302"/>
      <w:bookmarkStart w:id="3437" w:name="_Toc100689246"/>
      <w:bookmarkStart w:id="3438" w:name="_Toc100689295"/>
      <w:r w:rsidR="00445561">
        <w:rPr>
          <w:rFonts w:asciiTheme="minorHAnsi" w:hAnsiTheme="minorHAnsi" w:cstheme="minorHAnsi"/>
          <w:b/>
          <w:bCs/>
          <w:color w:val="000E9C"/>
          <w:sz w:val="32"/>
          <w:szCs w:val="32"/>
        </w:rPr>
        <w:lastRenderedPageBreak/>
        <w:t>Rapport des commissaires aux comptes</w:t>
      </w:r>
      <w:bookmarkEnd w:id="3436"/>
      <w:bookmarkEnd w:id="3437"/>
      <w:bookmarkEnd w:id="3438"/>
    </w:p>
    <w:p w14:paraId="4E7CA586" w14:textId="0685D819" w:rsidR="001F1DF9" w:rsidRPr="00B264D1" w:rsidRDefault="001F1DF9" w:rsidP="001F1DF9">
      <w:pPr>
        <w:spacing w:after="0" w:line="240" w:lineRule="auto"/>
        <w:rPr>
          <w:rFonts w:asciiTheme="minorHAnsi" w:hAnsiTheme="minorHAnsi" w:cstheme="minorHAnsi"/>
          <w:color w:val="000E9A"/>
          <w:sz w:val="32"/>
          <w:szCs w:val="32"/>
        </w:rPr>
      </w:pPr>
    </w:p>
    <w:p w14:paraId="69FA522E" w14:textId="77777777" w:rsidR="00083CB0" w:rsidRDefault="00083CB0">
      <w:pPr>
        <w:spacing w:after="0" w:line="240" w:lineRule="auto"/>
        <w:rPr>
          <w:rFonts w:asciiTheme="minorHAnsi" w:hAnsiTheme="minorHAnsi" w:cstheme="minorHAnsi"/>
          <w:b/>
          <w:bCs/>
          <w:color w:val="000E9C"/>
          <w:sz w:val="32"/>
          <w:szCs w:val="32"/>
        </w:rPr>
      </w:pPr>
      <w:r>
        <w:rPr>
          <w:noProof/>
        </w:rPr>
        <w:drawing>
          <wp:inline distT="0" distB="0" distL="0" distR="0" wp14:anchorId="3FB193ED" wp14:editId="1D3703EC">
            <wp:extent cx="6245860" cy="8165320"/>
            <wp:effectExtent l="0" t="0" r="2540" b="762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260122" cy="8183965"/>
                    </a:xfrm>
                    <a:prstGeom prst="rect">
                      <a:avLst/>
                    </a:prstGeom>
                  </pic:spPr>
                </pic:pic>
              </a:graphicData>
            </a:graphic>
          </wp:inline>
        </w:drawing>
      </w:r>
    </w:p>
    <w:p w14:paraId="51D1D537" w14:textId="22EFA63C" w:rsidR="00445561" w:rsidRDefault="00083CB0">
      <w:pPr>
        <w:spacing w:after="0" w:line="240" w:lineRule="auto"/>
        <w:rPr>
          <w:rFonts w:asciiTheme="minorHAnsi" w:hAnsiTheme="minorHAnsi" w:cstheme="minorHAnsi"/>
          <w:b/>
          <w:bCs/>
          <w:color w:val="000E9C"/>
          <w:sz w:val="32"/>
          <w:szCs w:val="32"/>
        </w:rPr>
      </w:pPr>
      <w:r>
        <w:rPr>
          <w:noProof/>
        </w:rPr>
        <w:lastRenderedPageBreak/>
        <w:drawing>
          <wp:anchor distT="0" distB="0" distL="114300" distR="114300" simplePos="0" relativeHeight="251659270" behindDoc="1" locked="0" layoutInCell="1" allowOverlap="1" wp14:anchorId="4581A9B7" wp14:editId="72C5A248">
            <wp:simplePos x="0" y="0"/>
            <wp:positionH relativeFrom="column">
              <wp:posOffset>-256540</wp:posOffset>
            </wp:positionH>
            <wp:positionV relativeFrom="paragraph">
              <wp:posOffset>1905</wp:posOffset>
            </wp:positionV>
            <wp:extent cx="6412865" cy="8656955"/>
            <wp:effectExtent l="0" t="0" r="6985" b="0"/>
            <wp:wrapTight wrapText="bothSides">
              <wp:wrapPolygon edited="0">
                <wp:start x="0" y="0"/>
                <wp:lineTo x="0" y="21532"/>
                <wp:lineTo x="21559" y="21532"/>
                <wp:lineTo x="21559" y="0"/>
                <wp:lineTo x="0"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6412865" cy="8656955"/>
                    </a:xfrm>
                    <a:prstGeom prst="rect">
                      <a:avLst/>
                    </a:prstGeom>
                  </pic:spPr>
                </pic:pic>
              </a:graphicData>
            </a:graphic>
            <wp14:sizeRelH relativeFrom="margin">
              <wp14:pctWidth>0</wp14:pctWidth>
            </wp14:sizeRelH>
            <wp14:sizeRelV relativeFrom="margin">
              <wp14:pctHeight>0</wp14:pctHeight>
            </wp14:sizeRelV>
          </wp:anchor>
        </w:drawing>
      </w:r>
      <w:r w:rsidR="00445561">
        <w:rPr>
          <w:rFonts w:asciiTheme="minorHAnsi" w:hAnsiTheme="minorHAnsi" w:cstheme="minorHAnsi"/>
          <w:b/>
          <w:bCs/>
          <w:color w:val="000E9C"/>
          <w:sz w:val="32"/>
          <w:szCs w:val="32"/>
        </w:rPr>
        <w:br w:type="page"/>
      </w:r>
    </w:p>
    <w:p w14:paraId="5EC922F0" w14:textId="1C2BBD91" w:rsidR="00083CB0" w:rsidRDefault="00083CB0">
      <w:pPr>
        <w:spacing w:after="0" w:line="240" w:lineRule="auto"/>
        <w:rPr>
          <w:rFonts w:asciiTheme="minorHAnsi" w:eastAsia="DengXian Light" w:hAnsiTheme="minorHAnsi" w:cstheme="minorHAnsi"/>
          <w:b/>
          <w:bCs/>
          <w:color w:val="000E9C"/>
          <w:sz w:val="32"/>
          <w:szCs w:val="32"/>
        </w:rPr>
      </w:pPr>
      <w:r>
        <w:rPr>
          <w:noProof/>
        </w:rPr>
        <w:lastRenderedPageBreak/>
        <w:drawing>
          <wp:inline distT="0" distB="0" distL="0" distR="0" wp14:anchorId="55141786" wp14:editId="752D90D4">
            <wp:extent cx="5902036" cy="8651366"/>
            <wp:effectExtent l="0" t="0" r="381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11773" cy="8665638"/>
                    </a:xfrm>
                    <a:prstGeom prst="rect">
                      <a:avLst/>
                    </a:prstGeom>
                  </pic:spPr>
                </pic:pic>
              </a:graphicData>
            </a:graphic>
          </wp:inline>
        </w:drawing>
      </w:r>
    </w:p>
    <w:p w14:paraId="1EE6F7B9" w14:textId="6517818C" w:rsidR="001F1DF9" w:rsidRPr="00B264D1" w:rsidRDefault="001F1DF9" w:rsidP="001F1DF9">
      <w:pPr>
        <w:pStyle w:val="Titre1"/>
        <w:ind w:hanging="142"/>
        <w:rPr>
          <w:rFonts w:asciiTheme="minorHAnsi" w:hAnsiTheme="minorHAnsi" w:cstheme="minorHAnsi"/>
          <w:b/>
          <w:bCs/>
          <w:color w:val="000E9C"/>
          <w:sz w:val="32"/>
          <w:szCs w:val="32"/>
        </w:rPr>
      </w:pPr>
      <w:bookmarkStart w:id="3439" w:name="_Toc100684303"/>
      <w:bookmarkStart w:id="3440" w:name="_Toc100689247"/>
      <w:bookmarkStart w:id="3441" w:name="_Toc100689296"/>
      <w:r w:rsidRPr="00B264D1">
        <w:rPr>
          <w:rFonts w:asciiTheme="minorHAnsi" w:hAnsiTheme="minorHAnsi" w:cstheme="minorHAnsi"/>
          <w:b/>
          <w:bCs/>
          <w:color w:val="000E9C"/>
          <w:sz w:val="32"/>
          <w:szCs w:val="32"/>
        </w:rPr>
        <w:lastRenderedPageBreak/>
        <w:t>Attestation du responsable du rapport financier semestriel</w:t>
      </w:r>
      <w:bookmarkEnd w:id="3439"/>
      <w:bookmarkEnd w:id="3440"/>
      <w:bookmarkEnd w:id="3441"/>
    </w:p>
    <w:p w14:paraId="1DBA3938" w14:textId="77777777" w:rsidR="001F1DF9" w:rsidRDefault="001F1DF9" w:rsidP="001F1DF9">
      <w:pPr>
        <w:rPr>
          <w:rFonts w:asciiTheme="minorHAnsi" w:hAnsiTheme="minorHAnsi" w:cstheme="minorHAnsi"/>
        </w:rPr>
      </w:pPr>
    </w:p>
    <w:p w14:paraId="0C31D7FD" w14:textId="30D093BD" w:rsidR="001F1DF9" w:rsidRPr="00BA4356" w:rsidRDefault="001F1DF9" w:rsidP="001F1DF9">
      <w:pPr>
        <w:jc w:val="both"/>
        <w:rPr>
          <w:rFonts w:asciiTheme="minorHAnsi" w:hAnsiTheme="minorHAnsi" w:cstheme="minorHAnsi"/>
          <w:sz w:val="20"/>
          <w:szCs w:val="20"/>
        </w:rPr>
      </w:pPr>
      <w:r w:rsidRPr="00BA4356">
        <w:rPr>
          <w:rFonts w:asciiTheme="minorHAnsi" w:hAnsiTheme="minorHAnsi" w:cstheme="minorHAnsi"/>
          <w:sz w:val="20"/>
          <w:szCs w:val="20"/>
        </w:rPr>
        <w:t>« J’atteste, à ma connaissance, que les comptes résumés pour le semestre écoulé sont établis conformément aux normes comptables applicables et donnent une image fidèle du patrimoine, de la situation financière et du résultat de la Société et de l’ensemble des entreprises comprises dans la consolidation, et que le Rapport semestriel d’activité, présente un tableau fidèle des évènements importants survenus pendant les six premiers mois de l’exercice, de leur incidence sur les comptes, des principales transactions entre parties liées et qu’il décrit les principaux risques et les principales incertitudes pour les six mois restants de l’exercice. »</w:t>
      </w:r>
    </w:p>
    <w:p w14:paraId="6F37B2B0" w14:textId="77777777" w:rsidR="001F1DF9" w:rsidRPr="00BA4356" w:rsidRDefault="001F1DF9" w:rsidP="001F1DF9">
      <w:pPr>
        <w:jc w:val="both"/>
        <w:rPr>
          <w:rFonts w:asciiTheme="minorHAnsi" w:hAnsiTheme="minorHAnsi" w:cstheme="minorHAnsi"/>
          <w:sz w:val="20"/>
          <w:szCs w:val="20"/>
        </w:rPr>
      </w:pPr>
    </w:p>
    <w:p w14:paraId="46CF0977" w14:textId="77777777" w:rsidR="001F1DF9" w:rsidRPr="00BA4356" w:rsidRDefault="001F1DF9" w:rsidP="001F1DF9">
      <w:pPr>
        <w:rPr>
          <w:rFonts w:asciiTheme="minorHAnsi" w:hAnsiTheme="minorHAnsi" w:cstheme="minorHAnsi"/>
          <w:sz w:val="20"/>
          <w:szCs w:val="20"/>
        </w:rPr>
      </w:pPr>
    </w:p>
    <w:p w14:paraId="0FAAFA11" w14:textId="77777777" w:rsidR="001F1DF9" w:rsidRPr="00BA4356" w:rsidRDefault="001F1DF9" w:rsidP="001F1DF9">
      <w:pPr>
        <w:rPr>
          <w:rFonts w:asciiTheme="minorHAnsi" w:hAnsiTheme="minorHAnsi" w:cstheme="minorHAnsi"/>
          <w:sz w:val="20"/>
          <w:szCs w:val="20"/>
        </w:rPr>
      </w:pPr>
      <w:r w:rsidRPr="00BA4356">
        <w:rPr>
          <w:rFonts w:asciiTheme="minorHAnsi" w:hAnsiTheme="minorHAnsi" w:cstheme="minorHAnsi"/>
          <w:sz w:val="20"/>
          <w:szCs w:val="20"/>
        </w:rPr>
        <w:t>Michel Paulin</w:t>
      </w:r>
    </w:p>
    <w:p w14:paraId="2D481DDE" w14:textId="77777777" w:rsidR="001F1DF9" w:rsidRPr="00BA4356" w:rsidRDefault="001F1DF9" w:rsidP="001F1DF9">
      <w:pPr>
        <w:rPr>
          <w:rFonts w:asciiTheme="minorHAnsi" w:hAnsiTheme="minorHAnsi" w:cstheme="minorHAnsi"/>
          <w:sz w:val="20"/>
          <w:szCs w:val="20"/>
        </w:rPr>
      </w:pPr>
      <w:r w:rsidRPr="007435A1">
        <w:rPr>
          <w:rFonts w:asciiTheme="minorHAnsi" w:hAnsiTheme="minorHAnsi" w:cstheme="minorHAnsi"/>
          <w:sz w:val="20"/>
          <w:szCs w:val="20"/>
        </w:rPr>
        <w:t>Directeur Général</w:t>
      </w:r>
    </w:p>
    <w:bookmarkEnd w:id="3435"/>
    <w:p w14:paraId="3904F698" w14:textId="2D806ADA" w:rsidR="001F1DF9" w:rsidRPr="005B62C1" w:rsidRDefault="001F1DF9" w:rsidP="005B62C1">
      <w:pPr>
        <w:spacing w:after="0" w:line="240" w:lineRule="auto"/>
        <w:rPr>
          <w:rFonts w:asciiTheme="minorHAnsi" w:hAnsiTheme="minorHAnsi" w:cstheme="minorHAnsi"/>
          <w:color w:val="000E9A"/>
          <w:sz w:val="32"/>
          <w:szCs w:val="32"/>
        </w:rPr>
      </w:pPr>
    </w:p>
    <w:sectPr w:rsidR="001F1DF9" w:rsidRPr="005B62C1" w:rsidSect="00DE0CAD">
      <w:headerReference w:type="even" r:id="rId61"/>
      <w:headerReference w:type="default" r:id="rId62"/>
      <w:headerReference w:type="first" r:id="rId63"/>
      <w:footerReference w:type="first" r:id="rId64"/>
      <w:pgSz w:w="11906" w:h="16838"/>
      <w:pgMar w:top="1418" w:right="1418" w:bottom="1560" w:left="113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3EE311" w14:textId="77777777" w:rsidR="00D1320E" w:rsidRDefault="00D1320E" w:rsidP="00A503D0">
      <w:r>
        <w:separator/>
      </w:r>
    </w:p>
  </w:endnote>
  <w:endnote w:type="continuationSeparator" w:id="0">
    <w:p w14:paraId="765EA180" w14:textId="77777777" w:rsidR="00D1320E" w:rsidRDefault="00D1320E" w:rsidP="00A503D0">
      <w:r>
        <w:continuationSeparator/>
      </w:r>
    </w:p>
  </w:endnote>
  <w:endnote w:type="continuationNotice" w:id="1">
    <w:p w14:paraId="2612C9F4" w14:textId="77777777" w:rsidR="00D1320E" w:rsidRDefault="00D1320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Univers LT Std 45 Light">
    <w:altName w:val="Calibri"/>
    <w:panose1 w:val="00000000000000000000"/>
    <w:charset w:val="00"/>
    <w:family w:val="swiss"/>
    <w:notTrueType/>
    <w:pitch w:val="variable"/>
    <w:sig w:usb0="00000003" w:usb1="4000204A" w:usb2="00000000" w:usb3="00000000" w:csb0="00000001" w:csb1="00000000"/>
  </w:font>
  <w:font w:name="VinciSans-Bold">
    <w:altName w:val="Times New Roman"/>
    <w:panose1 w:val="00000000000000000000"/>
    <w:charset w:val="00"/>
    <w:family w:val="auto"/>
    <w:notTrueType/>
    <w:pitch w:val="default"/>
    <w:sig w:usb0="00000003" w:usb1="00000000" w:usb2="00000000" w:usb3="00000000" w:csb0="00000001" w:csb1="00000000"/>
  </w:font>
  <w:font w:name="Source Sans Pro">
    <w:altName w:val="Source Sans Pro"/>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EYInterstate Light">
    <w:altName w:val="Calibri"/>
    <w:charset w:val="00"/>
    <w:family w:val="auto"/>
    <w:pitch w:val="variable"/>
    <w:sig w:usb0="00000287" w:usb1="5000206A" w:usb2="00000000" w:usb3="00000000" w:csb0="0000009F" w:csb1="00000000"/>
  </w:font>
  <w:font w:name="Univers 45 Light">
    <w:altName w:val="Calibri"/>
    <w:charset w:val="00"/>
    <w:family w:val="auto"/>
    <w:pitch w:val="variable"/>
    <w:sig w:usb0="8000002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EYInterstate">
    <w:altName w:val="Calibri"/>
    <w:charset w:val="00"/>
    <w:family w:val="auto"/>
    <w:pitch w:val="variable"/>
    <w:sig w:usb0="800002AF" w:usb1="5000204A" w:usb2="00000000" w:usb3="00000000" w:csb0="0000009F" w:csb1="00000000"/>
  </w:font>
  <w:font w:name="Verdana">
    <w:panose1 w:val="020B0604030504040204"/>
    <w:charset w:val="00"/>
    <w:family w:val="swiss"/>
    <w:pitch w:val="variable"/>
    <w:sig w:usb0="A00006FF" w:usb1="4000205B" w:usb2="00000010" w:usb3="00000000" w:csb0="0000019F" w:csb1="00000000"/>
  </w:font>
  <w:font w:name="New York">
    <w:panose1 w:val="02040503060506020304"/>
    <w:charset w:val="00"/>
    <w:family w:val="roman"/>
    <w:pitch w:val="variable"/>
    <w:sig w:usb0="00000007" w:usb1="00000000" w:usb2="00000000" w:usb3="00000000" w:csb0="00000093" w:csb1="00000000"/>
  </w:font>
  <w:font w:name="Dax-Regular">
    <w:altName w:val="Arial Narrow"/>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MS Mincho"/>
    <w:panose1 w:val="02020609040205080304"/>
    <w:charset w:val="80"/>
    <w:family w:val="modern"/>
    <w:pitch w:val="fixed"/>
    <w:sig w:usb0="E00002FF" w:usb1="6AC7FDFB" w:usb2="08000012" w:usb3="00000000" w:csb0="0002009F" w:csb1="00000000"/>
  </w:font>
  <w:font w:name="Helvetica Neue Light">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6150645"/>
      <w:docPartObj>
        <w:docPartGallery w:val="Page Numbers (Bottom of Page)"/>
        <w:docPartUnique/>
      </w:docPartObj>
    </w:sdtPr>
    <w:sdtEndPr/>
    <w:sdtContent>
      <w:sdt>
        <w:sdtPr>
          <w:id w:val="-1769616900"/>
          <w:docPartObj>
            <w:docPartGallery w:val="Page Numbers (Top of Page)"/>
            <w:docPartUnique/>
          </w:docPartObj>
        </w:sdtPr>
        <w:sdtEndPr/>
        <w:sdtContent>
          <w:p w14:paraId="62F87813" w14:textId="7DDA1156" w:rsidR="00EC0A1F" w:rsidRPr="00687EEC" w:rsidRDefault="00EC0A1F">
            <w:pPr>
              <w:pStyle w:val="Pieddepage"/>
              <w:jc w:val="right"/>
            </w:pPr>
            <w:r w:rsidRPr="009F036B">
              <w:rPr>
                <w:sz w:val="24"/>
                <w:szCs w:val="24"/>
              </w:rPr>
              <w:fldChar w:fldCharType="begin"/>
            </w:r>
            <w:r w:rsidRPr="009F036B">
              <w:instrText xml:space="preserve"> PAGE </w:instrText>
            </w:r>
            <w:r w:rsidRPr="009F036B">
              <w:rPr>
                <w:sz w:val="24"/>
                <w:szCs w:val="24"/>
              </w:rPr>
              <w:fldChar w:fldCharType="separate"/>
            </w:r>
            <w:r w:rsidRPr="009F036B">
              <w:rPr>
                <w:noProof/>
              </w:rPr>
              <w:t>2</w:t>
            </w:r>
            <w:r w:rsidRPr="009F036B">
              <w:rPr>
                <w:sz w:val="24"/>
                <w:szCs w:val="24"/>
              </w:rPr>
              <w:fldChar w:fldCharType="end"/>
            </w:r>
            <w:r w:rsidRPr="009F036B">
              <w:rPr>
                <w:sz w:val="24"/>
                <w:szCs w:val="24"/>
              </w:rPr>
              <w:t>/</w:t>
            </w:r>
            <w:r w:rsidRPr="00687EEC">
              <w:t xml:space="preserve"> </w:t>
            </w:r>
            <w:r w:rsidRPr="009F036B">
              <w:rPr>
                <w:sz w:val="24"/>
                <w:szCs w:val="24"/>
              </w:rPr>
              <w:fldChar w:fldCharType="begin"/>
            </w:r>
            <w:r w:rsidRPr="009F036B">
              <w:instrText xml:space="preserve"> NUMPAGES  </w:instrText>
            </w:r>
            <w:r w:rsidRPr="009F036B">
              <w:rPr>
                <w:sz w:val="24"/>
                <w:szCs w:val="24"/>
              </w:rPr>
              <w:fldChar w:fldCharType="separate"/>
            </w:r>
            <w:r w:rsidRPr="009F036B">
              <w:rPr>
                <w:noProof/>
              </w:rPr>
              <w:t>2</w:t>
            </w:r>
            <w:r w:rsidRPr="009F036B">
              <w:rPr>
                <w:sz w:val="24"/>
                <w:szCs w:val="24"/>
              </w:rPr>
              <w:fldChar w:fldCharType="end"/>
            </w:r>
          </w:p>
        </w:sdtContent>
      </w:sdt>
    </w:sdtContent>
  </w:sdt>
  <w:p w14:paraId="36A215E1" w14:textId="302B46DD" w:rsidR="00F17A6C" w:rsidRDefault="00F17A6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0856F" w14:textId="2543CADC" w:rsidR="00D1320E" w:rsidRPr="00077451" w:rsidRDefault="00D1320E" w:rsidP="005C7FDA">
    <w:pPr>
      <w:pStyle w:val="Pieddepage"/>
      <w:framePr w:hSpace="181" w:wrap="auto" w:vAnchor="text" w:hAnchor="text" w:xAlign="right" w:y="1"/>
      <w:jc w:val="right"/>
      <w:rPr>
        <w:sz w:val="16"/>
        <w:szCs w:val="16"/>
      </w:rPr>
    </w:pPr>
    <w:r w:rsidRPr="00077451">
      <w:rPr>
        <w:rStyle w:val="Numrodepage"/>
        <w:sz w:val="16"/>
        <w:szCs w:val="16"/>
      </w:rPr>
      <w:fldChar w:fldCharType="begin"/>
    </w:r>
    <w:r w:rsidRPr="00077451">
      <w:rPr>
        <w:rStyle w:val="Numrodepage"/>
        <w:sz w:val="16"/>
        <w:szCs w:val="16"/>
      </w:rPr>
      <w:instrText xml:space="preserve"> PAGE </w:instrText>
    </w:r>
    <w:r w:rsidRPr="00077451">
      <w:rPr>
        <w:rStyle w:val="Numrodepage"/>
        <w:sz w:val="16"/>
        <w:szCs w:val="16"/>
      </w:rPr>
      <w:fldChar w:fldCharType="separate"/>
    </w:r>
    <w:r>
      <w:rPr>
        <w:rStyle w:val="Numrodepage"/>
        <w:sz w:val="16"/>
        <w:szCs w:val="16"/>
      </w:rPr>
      <w:t>62</w:t>
    </w:r>
    <w:r w:rsidRPr="00077451">
      <w:rPr>
        <w:rStyle w:val="Numrodepage"/>
        <w:sz w:val="16"/>
        <w:szCs w:val="16"/>
      </w:rPr>
      <w:fldChar w:fldCharType="end"/>
    </w:r>
    <w:r>
      <w:rPr>
        <w:rStyle w:val="Numrodepage"/>
        <w:sz w:val="16"/>
        <w:szCs w:val="16"/>
      </w:rPr>
      <w:t>/</w:t>
    </w:r>
    <w:r w:rsidRPr="00077451">
      <w:rPr>
        <w:rStyle w:val="Numrodepage"/>
        <w:sz w:val="16"/>
        <w:szCs w:val="16"/>
      </w:rPr>
      <w:fldChar w:fldCharType="begin"/>
    </w:r>
    <w:r w:rsidRPr="00077451">
      <w:rPr>
        <w:rStyle w:val="Numrodepage"/>
        <w:sz w:val="16"/>
        <w:szCs w:val="16"/>
      </w:rPr>
      <w:instrText xml:space="preserve"> NUMPAGES </w:instrText>
    </w:r>
    <w:r w:rsidRPr="00077451">
      <w:rPr>
        <w:rStyle w:val="Numrodepage"/>
        <w:sz w:val="16"/>
        <w:szCs w:val="16"/>
      </w:rPr>
      <w:fldChar w:fldCharType="separate"/>
    </w:r>
    <w:r>
      <w:rPr>
        <w:rStyle w:val="Numrodepage"/>
        <w:sz w:val="16"/>
        <w:szCs w:val="16"/>
      </w:rPr>
      <w:t>62</w:t>
    </w:r>
    <w:r w:rsidRPr="00077451">
      <w:rPr>
        <w:rStyle w:val="Numrodepage"/>
        <w:sz w:val="16"/>
        <w:szCs w:val="16"/>
      </w:rPr>
      <w:fldChar w:fldCharType="end"/>
    </w:r>
  </w:p>
  <w:p w14:paraId="2CFBC5F9" w14:textId="77777777" w:rsidR="00D1320E" w:rsidRDefault="00D1320E">
    <w:pPr>
      <w:pStyle w:val="Pieddepage"/>
      <w:rPr>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CB6FD" w14:textId="77777777" w:rsidR="00D1320E" w:rsidRPr="00077451" w:rsidRDefault="00D1320E" w:rsidP="005C7FDA">
    <w:pPr>
      <w:pStyle w:val="Pieddepage"/>
      <w:framePr w:hSpace="181" w:wrap="auto" w:vAnchor="text" w:hAnchor="text" w:xAlign="right" w:y="1"/>
      <w:jc w:val="right"/>
      <w:rPr>
        <w:sz w:val="16"/>
        <w:szCs w:val="16"/>
      </w:rPr>
    </w:pPr>
    <w:r w:rsidRPr="00077451">
      <w:rPr>
        <w:rStyle w:val="Numrodepage"/>
        <w:sz w:val="16"/>
        <w:szCs w:val="16"/>
      </w:rPr>
      <w:fldChar w:fldCharType="begin"/>
    </w:r>
    <w:r w:rsidRPr="00077451">
      <w:rPr>
        <w:rStyle w:val="Numrodepage"/>
        <w:sz w:val="16"/>
        <w:szCs w:val="16"/>
      </w:rPr>
      <w:instrText xml:space="preserve"> PAGE </w:instrText>
    </w:r>
    <w:r w:rsidRPr="00077451">
      <w:rPr>
        <w:rStyle w:val="Numrodepage"/>
        <w:sz w:val="16"/>
        <w:szCs w:val="16"/>
      </w:rPr>
      <w:fldChar w:fldCharType="separate"/>
    </w:r>
    <w:r>
      <w:rPr>
        <w:rStyle w:val="Numrodepage"/>
        <w:sz w:val="16"/>
        <w:szCs w:val="16"/>
      </w:rPr>
      <w:t>62</w:t>
    </w:r>
    <w:r w:rsidRPr="00077451">
      <w:rPr>
        <w:rStyle w:val="Numrodepage"/>
        <w:sz w:val="16"/>
        <w:szCs w:val="16"/>
      </w:rPr>
      <w:fldChar w:fldCharType="end"/>
    </w:r>
    <w:r>
      <w:rPr>
        <w:rStyle w:val="Numrodepage"/>
        <w:sz w:val="16"/>
        <w:szCs w:val="16"/>
      </w:rPr>
      <w:t>/</w:t>
    </w:r>
    <w:r w:rsidRPr="00077451">
      <w:rPr>
        <w:rStyle w:val="Numrodepage"/>
        <w:sz w:val="16"/>
        <w:szCs w:val="16"/>
      </w:rPr>
      <w:fldChar w:fldCharType="begin"/>
    </w:r>
    <w:r w:rsidRPr="00077451">
      <w:rPr>
        <w:rStyle w:val="Numrodepage"/>
        <w:sz w:val="16"/>
        <w:szCs w:val="16"/>
      </w:rPr>
      <w:instrText xml:space="preserve"> NUMPAGES </w:instrText>
    </w:r>
    <w:r w:rsidRPr="00077451">
      <w:rPr>
        <w:rStyle w:val="Numrodepage"/>
        <w:sz w:val="16"/>
        <w:szCs w:val="16"/>
      </w:rPr>
      <w:fldChar w:fldCharType="separate"/>
    </w:r>
    <w:r>
      <w:rPr>
        <w:rStyle w:val="Numrodepage"/>
        <w:sz w:val="16"/>
        <w:szCs w:val="16"/>
      </w:rPr>
      <w:t>62</w:t>
    </w:r>
    <w:r w:rsidRPr="00077451">
      <w:rPr>
        <w:rStyle w:val="Numrodepage"/>
        <w:sz w:val="16"/>
        <w:szCs w:val="16"/>
      </w:rPr>
      <w:fldChar w:fldCharType="end"/>
    </w:r>
  </w:p>
  <w:p w14:paraId="51F4EE90" w14:textId="77777777" w:rsidR="00D1320E" w:rsidRDefault="00D1320E">
    <w:pPr>
      <w:pStyle w:val="Pieddepage"/>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479C7D" w14:textId="77777777" w:rsidR="00D1320E" w:rsidRDefault="00D1320E" w:rsidP="00A503D0">
      <w:r>
        <w:separator/>
      </w:r>
    </w:p>
  </w:footnote>
  <w:footnote w:type="continuationSeparator" w:id="0">
    <w:p w14:paraId="6118C5A9" w14:textId="77777777" w:rsidR="00D1320E" w:rsidRDefault="00D1320E" w:rsidP="00A503D0">
      <w:r>
        <w:continuationSeparator/>
      </w:r>
    </w:p>
  </w:footnote>
  <w:footnote w:type="continuationNotice" w:id="1">
    <w:p w14:paraId="27F82242" w14:textId="77777777" w:rsidR="00D1320E" w:rsidRDefault="00D1320E">
      <w:pPr>
        <w:spacing w:after="0" w:line="240" w:lineRule="auto"/>
      </w:pPr>
    </w:p>
  </w:footnote>
  <w:footnote w:id="2">
    <w:p w14:paraId="18BCCB05" w14:textId="3EB356AC" w:rsidR="00840E77" w:rsidRDefault="00840E77">
      <w:pPr>
        <w:pStyle w:val="Notedebasdepage"/>
      </w:pPr>
      <w:r>
        <w:rPr>
          <w:rStyle w:val="Appelnotedebasdep"/>
        </w:rPr>
        <w:footnoteRef/>
      </w:r>
      <w:r>
        <w:t xml:space="preserve"> </w:t>
      </w:r>
      <w:r w:rsidRPr="009F036B">
        <w:rPr>
          <w:sz w:val="20"/>
          <w:szCs w:val="20"/>
        </w:rPr>
        <w:t>Hors acquisition opportuniste d’adresses IPv4.</w:t>
      </w:r>
    </w:p>
  </w:footnote>
  <w:footnote w:id="3">
    <w:p w14:paraId="130EE200" w14:textId="3B94BC00" w:rsidR="00703637" w:rsidRDefault="00703637">
      <w:pPr>
        <w:pStyle w:val="Notedebasdepage"/>
      </w:pPr>
      <w:r>
        <w:rPr>
          <w:rStyle w:val="Appelnotedebasdep"/>
        </w:rPr>
        <w:footnoteRef/>
      </w:r>
      <w:r>
        <w:t xml:space="preserve"> </w:t>
      </w:r>
      <w:r w:rsidRPr="009F036B">
        <w:rPr>
          <w:sz w:val="20"/>
          <w:szCs w:val="20"/>
        </w:rPr>
        <w:t xml:space="preserve">Les stocks de composants destinés à être intégrés dans les serveurs que le Groupe </w:t>
      </w:r>
      <w:r w:rsidR="00E45FF6">
        <w:rPr>
          <w:sz w:val="20"/>
          <w:szCs w:val="20"/>
        </w:rPr>
        <w:t xml:space="preserve">construit </w:t>
      </w:r>
      <w:r w:rsidRPr="009F036B">
        <w:rPr>
          <w:sz w:val="20"/>
          <w:szCs w:val="20"/>
        </w:rPr>
        <w:t xml:space="preserve">sont intégrés aux immobilisations en cours, </w:t>
      </w:r>
      <w:r w:rsidR="00CB2173">
        <w:rPr>
          <w:sz w:val="20"/>
          <w:szCs w:val="20"/>
        </w:rPr>
        <w:t>conformément aux</w:t>
      </w:r>
      <w:r w:rsidRPr="009F036B">
        <w:rPr>
          <w:sz w:val="20"/>
          <w:szCs w:val="20"/>
        </w:rPr>
        <w:t xml:space="preserve"> normes IFRS.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4D542" w14:textId="77777777" w:rsidR="0041512C" w:rsidRDefault="0041512C" w:rsidP="005C7FDA">
    <w:pPr>
      <w:pStyle w:val="En-tte"/>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58ADD" w14:textId="77777777" w:rsidR="00E33F2C" w:rsidRDefault="00030280">
    <w:r>
      <w:c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73192" w14:textId="77777777" w:rsidR="00D1320E" w:rsidRDefault="00D1320E">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887F1" w14:textId="77777777" w:rsidR="00D1320E" w:rsidRDefault="00D1320E" w:rsidP="005C7FDA">
    <w:pPr>
      <w:pStyle w:val="En-tte"/>
      <w:jc w:val="both"/>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05C60" w14:textId="77777777" w:rsidR="00D1320E" w:rsidRDefault="00D1320E">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179BD" w14:textId="5619A927" w:rsidR="00D1320E" w:rsidRDefault="00D1320E">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DAE9E" w14:textId="317B2ACA" w:rsidR="00D1320E" w:rsidRDefault="00D1320E" w:rsidP="005C7FDA">
    <w:pPr>
      <w:pStyle w:val="En-tte"/>
      <w:jc w:val="both"/>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6C845" w14:textId="73A683C2" w:rsidR="00D1320E" w:rsidRDefault="00D1320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DA087D0"/>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22988C92"/>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F0D4B5E6"/>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D4545BC4"/>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AA0AEC24"/>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8"/>
    <w:multiLevelType w:val="singleLevel"/>
    <w:tmpl w:val="249AA190"/>
    <w:lvl w:ilvl="0">
      <w:start w:val="1"/>
      <w:numFmt w:val="decimal"/>
      <w:pStyle w:val="Listenumros"/>
      <w:lvlText w:val="%1."/>
      <w:lvlJc w:val="left"/>
      <w:pPr>
        <w:tabs>
          <w:tab w:val="num" w:pos="360"/>
        </w:tabs>
        <w:ind w:left="360" w:hanging="360"/>
      </w:pPr>
    </w:lvl>
  </w:abstractNum>
  <w:abstractNum w:abstractNumId="6" w15:restartNumberingAfterBreak="0">
    <w:nsid w:val="01E600E2"/>
    <w:multiLevelType w:val="hybridMultilevel"/>
    <w:tmpl w:val="171E1FEA"/>
    <w:lvl w:ilvl="0" w:tplc="28B4D16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33548CA"/>
    <w:multiLevelType w:val="hybridMultilevel"/>
    <w:tmpl w:val="4C6EA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8F3F7A"/>
    <w:multiLevelType w:val="hybridMultilevel"/>
    <w:tmpl w:val="E186576C"/>
    <w:lvl w:ilvl="0" w:tplc="22E61B48">
      <w:numFmt w:val="bullet"/>
      <w:lvlText w:val="-"/>
      <w:lvlJc w:val="left"/>
      <w:pPr>
        <w:ind w:left="1077" w:hanging="360"/>
      </w:pPr>
      <w:rPr>
        <w:rFonts w:ascii="Calibri" w:eastAsiaTheme="minorHAnsi" w:hAnsi="Calibri" w:cs="Calibri"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9" w15:restartNumberingAfterBreak="0">
    <w:nsid w:val="12DC3564"/>
    <w:multiLevelType w:val="hybridMultilevel"/>
    <w:tmpl w:val="60D67D92"/>
    <w:lvl w:ilvl="0" w:tplc="8F68FA0C">
      <w:numFmt w:val="bullet"/>
      <w:lvlText w:val="-"/>
      <w:lvlJc w:val="left"/>
      <w:pPr>
        <w:ind w:left="720" w:hanging="360"/>
      </w:pPr>
      <w:rPr>
        <w:rFonts w:ascii="Calibri" w:eastAsia="DengXian" w:hAnsi="Calibri" w:cs="Calibr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C2E4E85"/>
    <w:multiLevelType w:val="hybridMultilevel"/>
    <w:tmpl w:val="0EE0FC70"/>
    <w:lvl w:ilvl="0" w:tplc="78C8FD26">
      <w:start w:val="1"/>
      <w:numFmt w:val="bullet"/>
      <w:pStyle w:val="Bullets95ptSpreads"/>
      <w:lvlText w:val="–"/>
      <w:lvlJc w:val="left"/>
      <w:pPr>
        <w:ind w:left="502" w:hanging="360"/>
      </w:pPr>
      <w:rPr>
        <w:rFonts w:ascii="Univers LT Std 45 Light" w:hAnsi="Univers LT Std 45 Light"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0576B74"/>
    <w:multiLevelType w:val="hybridMultilevel"/>
    <w:tmpl w:val="328693D4"/>
    <w:lvl w:ilvl="0" w:tplc="08090001">
      <w:start w:val="1"/>
      <w:numFmt w:val="bullet"/>
      <w:lvlText w:val=""/>
      <w:lvlJc w:val="left"/>
      <w:pPr>
        <w:ind w:left="766" w:hanging="360"/>
      </w:pPr>
      <w:rPr>
        <w:rFonts w:ascii="Symbol" w:hAnsi="Symbol" w:hint="default"/>
      </w:rPr>
    </w:lvl>
    <w:lvl w:ilvl="1" w:tplc="08090003" w:tentative="1">
      <w:start w:val="1"/>
      <w:numFmt w:val="bullet"/>
      <w:lvlText w:val="o"/>
      <w:lvlJc w:val="left"/>
      <w:pPr>
        <w:ind w:left="1486" w:hanging="360"/>
      </w:pPr>
      <w:rPr>
        <w:rFonts w:ascii="Courier New" w:hAnsi="Courier New" w:cs="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12" w15:restartNumberingAfterBreak="0">
    <w:nsid w:val="2A413419"/>
    <w:multiLevelType w:val="multilevel"/>
    <w:tmpl w:val="A33CE05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2EA6555D"/>
    <w:multiLevelType w:val="hybridMultilevel"/>
    <w:tmpl w:val="19262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38137F"/>
    <w:multiLevelType w:val="multilevel"/>
    <w:tmpl w:val="7118342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4F56222"/>
    <w:multiLevelType w:val="multilevel"/>
    <w:tmpl w:val="DDCEC30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211"/>
        </w:tabs>
        <w:ind w:left="1211" w:hanging="360"/>
      </w:pPr>
      <w:rPr>
        <w:rFonts w:hint="default"/>
      </w:rPr>
    </w:lvl>
    <w:lvl w:ilvl="2">
      <w:start w:val="1"/>
      <w:numFmt w:val="decimal"/>
      <w:lvlText w:val="%1.%2.%3"/>
      <w:lvlJc w:val="left"/>
      <w:pPr>
        <w:tabs>
          <w:tab w:val="num" w:pos="2422"/>
        </w:tabs>
        <w:ind w:left="2422" w:hanging="720"/>
      </w:pPr>
      <w:rPr>
        <w:rFonts w:hint="default"/>
      </w:rPr>
    </w:lvl>
    <w:lvl w:ilvl="3">
      <w:start w:val="1"/>
      <w:numFmt w:val="decimal"/>
      <w:pStyle w:val="s1111"/>
      <w:lvlText w:val="%1.%2.%3.%4"/>
      <w:lvlJc w:val="left"/>
      <w:pPr>
        <w:tabs>
          <w:tab w:val="num" w:pos="3273"/>
        </w:tabs>
        <w:ind w:left="3273" w:hanging="720"/>
      </w:pPr>
      <w:rPr>
        <w:rFonts w:hint="default"/>
      </w:rPr>
    </w:lvl>
    <w:lvl w:ilvl="4">
      <w:start w:val="1"/>
      <w:numFmt w:val="decimal"/>
      <w:pStyle w:val="S11111"/>
      <w:lvlText w:val="%1.%2.%3.%4.%5"/>
      <w:lvlJc w:val="left"/>
      <w:pPr>
        <w:tabs>
          <w:tab w:val="num" w:pos="4484"/>
        </w:tabs>
        <w:ind w:left="4484" w:hanging="1080"/>
      </w:pPr>
      <w:rPr>
        <w:rFonts w:hint="default"/>
        <w:color w:val="auto"/>
      </w:rPr>
    </w:lvl>
    <w:lvl w:ilvl="5">
      <w:start w:val="1"/>
      <w:numFmt w:val="decimal"/>
      <w:lvlText w:val="%1.%2.%3.%4.%5.%6"/>
      <w:lvlJc w:val="left"/>
      <w:pPr>
        <w:tabs>
          <w:tab w:val="num" w:pos="5335"/>
        </w:tabs>
        <w:ind w:left="5335" w:hanging="1080"/>
      </w:pPr>
      <w:rPr>
        <w:rFonts w:hint="default"/>
      </w:rPr>
    </w:lvl>
    <w:lvl w:ilvl="6">
      <w:start w:val="1"/>
      <w:numFmt w:val="decimal"/>
      <w:lvlText w:val="%1.%2.%3.%4.%5.%6.%7"/>
      <w:lvlJc w:val="left"/>
      <w:pPr>
        <w:tabs>
          <w:tab w:val="num" w:pos="6546"/>
        </w:tabs>
        <w:ind w:left="6546" w:hanging="1440"/>
      </w:pPr>
      <w:rPr>
        <w:rFonts w:hint="default"/>
      </w:rPr>
    </w:lvl>
    <w:lvl w:ilvl="7">
      <w:start w:val="1"/>
      <w:numFmt w:val="decimal"/>
      <w:lvlText w:val="%1.%2.%3.%4.%5.%6.%7.%8"/>
      <w:lvlJc w:val="left"/>
      <w:pPr>
        <w:tabs>
          <w:tab w:val="num" w:pos="7397"/>
        </w:tabs>
        <w:ind w:left="7397" w:hanging="1440"/>
      </w:pPr>
      <w:rPr>
        <w:rFonts w:hint="default"/>
      </w:rPr>
    </w:lvl>
    <w:lvl w:ilvl="8">
      <w:start w:val="1"/>
      <w:numFmt w:val="decimal"/>
      <w:lvlText w:val="%1.%2.%3.%4.%5.%6.%7.%8.%9"/>
      <w:lvlJc w:val="left"/>
      <w:pPr>
        <w:tabs>
          <w:tab w:val="num" w:pos="8608"/>
        </w:tabs>
        <w:ind w:left="8608" w:hanging="1800"/>
      </w:pPr>
      <w:rPr>
        <w:rFonts w:hint="default"/>
      </w:rPr>
    </w:lvl>
  </w:abstractNum>
  <w:abstractNum w:abstractNumId="16" w15:restartNumberingAfterBreak="0">
    <w:nsid w:val="36964B15"/>
    <w:multiLevelType w:val="hybridMultilevel"/>
    <w:tmpl w:val="8B920C34"/>
    <w:lvl w:ilvl="0" w:tplc="7960D964">
      <w:start w:val="1"/>
      <w:numFmt w:val="bullet"/>
      <w:pStyle w:val="Puce"/>
      <w:lvlText w:val=""/>
      <w:lvlJc w:val="left"/>
      <w:pPr>
        <w:ind w:left="1069" w:hanging="360"/>
      </w:pPr>
      <w:rPr>
        <w:rFonts w:ascii="Symbol" w:hAnsi="Symbol" w:hint="default"/>
        <w:sz w:val="24"/>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7" w15:restartNumberingAfterBreak="0">
    <w:nsid w:val="3A0D4696"/>
    <w:multiLevelType w:val="multilevel"/>
    <w:tmpl w:val="7862B8C0"/>
    <w:styleLink w:val="StyleHirarchisationVinciSans-Bold14ptCouleurpersonnalise"/>
    <w:lvl w:ilvl="0">
      <w:start w:val="1"/>
      <w:numFmt w:val="decimal"/>
      <w:lvlText w:val="%1"/>
      <w:lvlJc w:val="left"/>
      <w:pPr>
        <w:tabs>
          <w:tab w:val="num" w:pos="360"/>
        </w:tabs>
        <w:ind w:left="360" w:hanging="360"/>
      </w:pPr>
      <w:rPr>
        <w:color w:val="2284B5"/>
      </w:rPr>
    </w:lvl>
    <w:lvl w:ilvl="1">
      <w:start w:val="1"/>
      <w:numFmt w:val="decimal"/>
      <w:lvlText w:val="%1.%2"/>
      <w:lvlJc w:val="left"/>
      <w:pPr>
        <w:tabs>
          <w:tab w:val="num" w:pos="360"/>
        </w:tabs>
        <w:ind w:left="360" w:hanging="360"/>
      </w:pPr>
      <w:rPr>
        <w:rFonts w:ascii="VinciSans-Bold" w:hAnsi="VinciSans-Bold"/>
        <w:color w:val="45C1BF"/>
        <w:sz w:val="28"/>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 w15:restartNumberingAfterBreak="0">
    <w:nsid w:val="3BE7441D"/>
    <w:multiLevelType w:val="multilevel"/>
    <w:tmpl w:val="7118342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3C5B2C92"/>
    <w:multiLevelType w:val="hybridMultilevel"/>
    <w:tmpl w:val="2AC07C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CF00CB0"/>
    <w:multiLevelType w:val="hybridMultilevel"/>
    <w:tmpl w:val="A2367320"/>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21" w15:restartNumberingAfterBreak="0">
    <w:nsid w:val="43E03E1A"/>
    <w:multiLevelType w:val="multilevel"/>
    <w:tmpl w:val="F4AC0676"/>
    <w:lvl w:ilvl="0">
      <w:start w:val="1"/>
      <w:numFmt w:val="decimal"/>
      <w:pStyle w:val="Conso1"/>
      <w:lvlText w:val="%1."/>
      <w:lvlJc w:val="left"/>
      <w:pPr>
        <w:ind w:left="851" w:hanging="851"/>
      </w:pPr>
      <w:rPr>
        <w:rFonts w:hint="default"/>
      </w:rPr>
    </w:lvl>
    <w:lvl w:ilvl="1">
      <w:start w:val="1"/>
      <w:numFmt w:val="decimal"/>
      <w:pStyle w:val="Conso2"/>
      <w:lvlText w:val="%1.%2."/>
      <w:lvlJc w:val="left"/>
      <w:pPr>
        <w:ind w:left="851" w:hanging="851"/>
      </w:pPr>
      <w:rPr>
        <w:rFonts w:hint="default"/>
      </w:rPr>
    </w:lvl>
    <w:lvl w:ilvl="2">
      <w:start w:val="1"/>
      <w:numFmt w:val="decimal"/>
      <w:pStyle w:val="Conso3"/>
      <w:lvlText w:val="%1.%2.%3."/>
      <w:lvlJc w:val="left"/>
      <w:pPr>
        <w:tabs>
          <w:tab w:val="num" w:pos="794"/>
        </w:tabs>
        <w:ind w:left="851" w:hanging="851"/>
      </w:pPr>
      <w:rPr>
        <w:rFonts w:hint="default"/>
      </w:rPr>
    </w:lvl>
    <w:lvl w:ilvl="3">
      <w:start w:val="1"/>
      <w:numFmt w:val="decimal"/>
      <w:pStyle w:val="Conso4"/>
      <w:lvlText w:val="%1.%2.%3.%4."/>
      <w:lvlJc w:val="left"/>
      <w:pPr>
        <w:tabs>
          <w:tab w:val="num" w:pos="1304"/>
        </w:tabs>
        <w:ind w:left="1304" w:hanging="1304"/>
      </w:pPr>
      <w:rPr>
        <w:rFonts w:hint="default"/>
      </w:rPr>
    </w:lvl>
    <w:lvl w:ilvl="4">
      <w:start w:val="1"/>
      <w:numFmt w:val="decimal"/>
      <w:pStyle w:val="Conso5"/>
      <w:lvlText w:val="%1.%2.%3.%4.%5."/>
      <w:lvlJc w:val="left"/>
      <w:pPr>
        <w:tabs>
          <w:tab w:val="num" w:pos="1701"/>
        </w:tabs>
        <w:ind w:left="1701" w:hanging="1701"/>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909294E"/>
    <w:multiLevelType w:val="hybridMultilevel"/>
    <w:tmpl w:val="55CE3E0E"/>
    <w:lvl w:ilvl="0" w:tplc="A5844110">
      <w:start w:val="300"/>
      <w:numFmt w:val="bullet"/>
      <w:lvlText w:val="-"/>
      <w:lvlJc w:val="left"/>
      <w:pPr>
        <w:ind w:left="720" w:hanging="360"/>
      </w:pPr>
      <w:rPr>
        <w:rFonts w:ascii="Source Sans Pro" w:eastAsiaTheme="minorHAnsi" w:hAnsi="Source Sans Pro"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1E921B3"/>
    <w:multiLevelType w:val="multilevel"/>
    <w:tmpl w:val="AA18EDFE"/>
    <w:lvl w:ilvl="0">
      <w:start w:val="1"/>
      <w:numFmt w:val="decimal"/>
      <w:lvlText w:val="%1."/>
      <w:lvlJc w:val="left"/>
      <w:pPr>
        <w:ind w:left="430" w:hanging="360"/>
      </w:pPr>
      <w:rPr>
        <w:rFonts w:hint="default"/>
      </w:rPr>
    </w:lvl>
    <w:lvl w:ilvl="1">
      <w:start w:val="1"/>
      <w:numFmt w:val="decimal"/>
      <w:isLgl/>
      <w:lvlText w:val="%1.%2."/>
      <w:lvlJc w:val="left"/>
      <w:pPr>
        <w:ind w:left="790" w:hanging="720"/>
      </w:pPr>
      <w:rPr>
        <w:rFonts w:ascii="Calibri" w:hAnsi="Calibri" w:cs="Calibri" w:hint="default"/>
        <w:b/>
        <w:bCs/>
        <w:color w:val="2F5496"/>
        <w:sz w:val="24"/>
        <w:szCs w:val="24"/>
      </w:rPr>
    </w:lvl>
    <w:lvl w:ilvl="2">
      <w:start w:val="1"/>
      <w:numFmt w:val="decimal"/>
      <w:pStyle w:val="Style1"/>
      <w:isLgl/>
      <w:lvlText w:val="%1.%2.%3."/>
      <w:lvlJc w:val="left"/>
      <w:pPr>
        <w:ind w:left="720" w:hanging="720"/>
      </w:pPr>
      <w:rPr>
        <w:rFonts w:hint="default"/>
      </w:rPr>
    </w:lvl>
    <w:lvl w:ilvl="3">
      <w:start w:val="1"/>
      <w:numFmt w:val="decimal"/>
      <w:isLgl/>
      <w:lvlText w:val="%1.%2.%3.%4."/>
      <w:lvlJc w:val="left"/>
      <w:pPr>
        <w:ind w:left="1150" w:hanging="1080"/>
      </w:pPr>
      <w:rPr>
        <w:rFonts w:hint="default"/>
      </w:rPr>
    </w:lvl>
    <w:lvl w:ilvl="4">
      <w:start w:val="1"/>
      <w:numFmt w:val="decimal"/>
      <w:isLgl/>
      <w:lvlText w:val="%1.%2.%3.%4.%5."/>
      <w:lvlJc w:val="left"/>
      <w:pPr>
        <w:ind w:left="1510" w:hanging="1440"/>
      </w:pPr>
      <w:rPr>
        <w:rFonts w:hint="default"/>
      </w:rPr>
    </w:lvl>
    <w:lvl w:ilvl="5">
      <w:start w:val="1"/>
      <w:numFmt w:val="decimal"/>
      <w:isLgl/>
      <w:lvlText w:val="%1.%2.%3.%4.%5.%6."/>
      <w:lvlJc w:val="left"/>
      <w:pPr>
        <w:ind w:left="1510" w:hanging="1440"/>
      </w:pPr>
      <w:rPr>
        <w:rFonts w:hint="default"/>
      </w:rPr>
    </w:lvl>
    <w:lvl w:ilvl="6">
      <w:start w:val="1"/>
      <w:numFmt w:val="decimal"/>
      <w:isLgl/>
      <w:lvlText w:val="%1.%2.%3.%4.%5.%6.%7."/>
      <w:lvlJc w:val="left"/>
      <w:pPr>
        <w:ind w:left="1870" w:hanging="1800"/>
      </w:pPr>
      <w:rPr>
        <w:rFonts w:hint="default"/>
      </w:rPr>
    </w:lvl>
    <w:lvl w:ilvl="7">
      <w:start w:val="1"/>
      <w:numFmt w:val="decimal"/>
      <w:isLgl/>
      <w:lvlText w:val="%1.%2.%3.%4.%5.%6.%7.%8."/>
      <w:lvlJc w:val="left"/>
      <w:pPr>
        <w:ind w:left="1870" w:hanging="1800"/>
      </w:pPr>
      <w:rPr>
        <w:rFonts w:hint="default"/>
      </w:rPr>
    </w:lvl>
    <w:lvl w:ilvl="8">
      <w:start w:val="1"/>
      <w:numFmt w:val="decimal"/>
      <w:isLgl/>
      <w:lvlText w:val="%1.%2.%3.%4.%5.%6.%7.%8.%9."/>
      <w:lvlJc w:val="left"/>
      <w:pPr>
        <w:ind w:left="2230" w:hanging="2160"/>
      </w:pPr>
      <w:rPr>
        <w:rFonts w:hint="default"/>
      </w:rPr>
    </w:lvl>
  </w:abstractNum>
  <w:abstractNum w:abstractNumId="24" w15:restartNumberingAfterBreak="0">
    <w:nsid w:val="56AA721A"/>
    <w:multiLevelType w:val="multilevel"/>
    <w:tmpl w:val="31060D44"/>
    <w:lvl w:ilvl="0">
      <w:start w:val="4"/>
      <w:numFmt w:val="decimal"/>
      <w:lvlText w:val="%1"/>
      <w:lvlJc w:val="left"/>
      <w:pPr>
        <w:ind w:left="360" w:hanging="360"/>
      </w:pPr>
      <w:rPr>
        <w:rFonts w:hint="default"/>
      </w:rPr>
    </w:lvl>
    <w:lvl w:ilvl="1">
      <w:start w:val="1"/>
      <w:numFmt w:val="decimal"/>
      <w:lvlText w:val="%1.%2"/>
      <w:lvlJc w:val="left"/>
      <w:pPr>
        <w:ind w:left="7307"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5F562087"/>
    <w:multiLevelType w:val="hybridMultilevel"/>
    <w:tmpl w:val="8688A4F0"/>
    <w:lvl w:ilvl="0" w:tplc="28B4D16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6" w15:restartNumberingAfterBreak="0">
    <w:nsid w:val="62191314"/>
    <w:multiLevelType w:val="hybridMultilevel"/>
    <w:tmpl w:val="2ECC9408"/>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89B50F6"/>
    <w:multiLevelType w:val="hybridMultilevel"/>
    <w:tmpl w:val="4B381E98"/>
    <w:lvl w:ilvl="0" w:tplc="D7DCBCE6">
      <w:numFmt w:val="bullet"/>
      <w:lvlText w:val="-"/>
      <w:lvlJc w:val="left"/>
      <w:pPr>
        <w:ind w:left="720" w:hanging="360"/>
      </w:pPr>
      <w:rPr>
        <w:rFonts w:ascii="Calibri" w:eastAsia="DengXian"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A696D9E"/>
    <w:multiLevelType w:val="hybridMultilevel"/>
    <w:tmpl w:val="C83426E8"/>
    <w:lvl w:ilvl="0" w:tplc="EDDA52C8">
      <w:start w:val="1"/>
      <w:numFmt w:val="bullet"/>
      <w:pStyle w:val="ConsoPuce"/>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15:restartNumberingAfterBreak="0">
    <w:nsid w:val="7EC36479"/>
    <w:multiLevelType w:val="multilevel"/>
    <w:tmpl w:val="617A08AC"/>
    <w:lvl w:ilvl="0">
      <w:start w:val="300"/>
      <w:numFmt w:val="bullet"/>
      <w:lvlText w:val="-"/>
      <w:lvlJc w:val="left"/>
      <w:pPr>
        <w:ind w:left="360" w:hanging="360"/>
      </w:pPr>
      <w:rPr>
        <w:rFonts w:ascii="Source Sans Pro" w:eastAsiaTheme="minorHAnsi" w:hAnsi="Source Sans Pro" w:cs="Aria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5"/>
  </w:num>
  <w:num w:numId="2">
    <w:abstractNumId w:val="5"/>
  </w:num>
  <w:num w:numId="3">
    <w:abstractNumId w:val="3"/>
  </w:num>
  <w:num w:numId="4">
    <w:abstractNumId w:val="2"/>
  </w:num>
  <w:num w:numId="5">
    <w:abstractNumId w:val="1"/>
  </w:num>
  <w:num w:numId="6">
    <w:abstractNumId w:val="0"/>
  </w:num>
  <w:num w:numId="7">
    <w:abstractNumId w:val="4"/>
  </w:num>
  <w:num w:numId="8">
    <w:abstractNumId w:val="21"/>
  </w:num>
  <w:num w:numId="9">
    <w:abstractNumId w:val="28"/>
  </w:num>
  <w:num w:numId="10">
    <w:abstractNumId w:val="10"/>
  </w:num>
  <w:num w:numId="11">
    <w:abstractNumId w:val="23"/>
  </w:num>
  <w:num w:numId="12">
    <w:abstractNumId w:val="17"/>
  </w:num>
  <w:num w:numId="13">
    <w:abstractNumId w:val="27"/>
  </w:num>
  <w:num w:numId="14">
    <w:abstractNumId w:val="16"/>
  </w:num>
  <w:num w:numId="15">
    <w:abstractNumId w:val="25"/>
  </w:num>
  <w:num w:numId="16">
    <w:abstractNumId w:val="24"/>
  </w:num>
  <w:num w:numId="17">
    <w:abstractNumId w:val="6"/>
  </w:num>
  <w:num w:numId="18">
    <w:abstractNumId w:val="26"/>
  </w:num>
  <w:num w:numId="19">
    <w:abstractNumId w:val="12"/>
  </w:num>
  <w:num w:numId="20">
    <w:abstractNumId w:val="18"/>
  </w:num>
  <w:num w:numId="21">
    <w:abstractNumId w:val="14"/>
  </w:num>
  <w:num w:numId="22">
    <w:abstractNumId w:val="9"/>
  </w:num>
  <w:num w:numId="23">
    <w:abstractNumId w:val="20"/>
  </w:num>
  <w:num w:numId="24">
    <w:abstractNumId w:val="7"/>
  </w:num>
  <w:num w:numId="25">
    <w:abstractNumId w:val="22"/>
  </w:num>
  <w:num w:numId="26">
    <w:abstractNumId w:val="29"/>
  </w:num>
  <w:num w:numId="27">
    <w:abstractNumId w:val="8"/>
  </w:num>
  <w:num w:numId="28">
    <w:abstractNumId w:val="19"/>
  </w:num>
  <w:num w:numId="29">
    <w:abstractNumId w:val="11"/>
  </w:num>
  <w:num w:numId="30">
    <w:abstractNumId w:val="13"/>
  </w:num>
  <w:num w:numId="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en-US" w:vendorID="64" w:dllVersion="6" w:nlCheck="1" w:checkStyle="1"/>
  <w:activeWritingStyle w:appName="MSWord" w:lang="fr-FR" w:vendorID="64" w:dllVersion="6" w:nlCheck="1" w:checkStyle="1"/>
  <w:activeWritingStyle w:appName="MSWord" w:lang="en-CA" w:vendorID="64" w:dllVersion="6" w:nlCheck="1" w:checkStyle="1"/>
  <w:activeWritingStyle w:appName="MSWord" w:lang="en-CA" w:vendorID="64" w:dllVersion="0" w:nlCheck="1" w:checkStyle="0"/>
  <w:activeWritingStyle w:appName="MSWord" w:lang="fr-BE" w:vendorID="64" w:dllVersion="0" w:nlCheck="1" w:checkStyle="0"/>
  <w:proofState w:spelling="clean" w:grammar="clean"/>
  <w:defaultTabStop w:val="720"/>
  <w:hyphenationZone w:val="425"/>
  <w:characterSpacingControl w:val="doNotCompress"/>
  <w:hdrShapeDefaults>
    <o:shapedefaults v:ext="edit" spidmax="2068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azMLI0MDO3NDI2MzFV0lEKTi0uzszPAykwrgUAXzZGHCwAAAA="/>
  </w:docVars>
  <w:rsids>
    <w:rsidRoot w:val="00A503D0"/>
    <w:rsid w:val="00000022"/>
    <w:rsid w:val="00000C73"/>
    <w:rsid w:val="00000CB3"/>
    <w:rsid w:val="00000E01"/>
    <w:rsid w:val="000011C4"/>
    <w:rsid w:val="000011D8"/>
    <w:rsid w:val="00001709"/>
    <w:rsid w:val="000017C6"/>
    <w:rsid w:val="00001E5C"/>
    <w:rsid w:val="00002234"/>
    <w:rsid w:val="00002956"/>
    <w:rsid w:val="00002CC1"/>
    <w:rsid w:val="00002E7C"/>
    <w:rsid w:val="000035E8"/>
    <w:rsid w:val="0000412C"/>
    <w:rsid w:val="000047F3"/>
    <w:rsid w:val="00006005"/>
    <w:rsid w:val="00006828"/>
    <w:rsid w:val="00006CB9"/>
    <w:rsid w:val="000071B6"/>
    <w:rsid w:val="000072CE"/>
    <w:rsid w:val="00007800"/>
    <w:rsid w:val="000101E1"/>
    <w:rsid w:val="00010269"/>
    <w:rsid w:val="000106DE"/>
    <w:rsid w:val="000107B5"/>
    <w:rsid w:val="00010AE6"/>
    <w:rsid w:val="00010BAD"/>
    <w:rsid w:val="00011159"/>
    <w:rsid w:val="00011633"/>
    <w:rsid w:val="00011A03"/>
    <w:rsid w:val="00011C42"/>
    <w:rsid w:val="00011D86"/>
    <w:rsid w:val="000120F4"/>
    <w:rsid w:val="00012211"/>
    <w:rsid w:val="000128A2"/>
    <w:rsid w:val="000128A5"/>
    <w:rsid w:val="0001318F"/>
    <w:rsid w:val="000132ED"/>
    <w:rsid w:val="00013ABB"/>
    <w:rsid w:val="00014A2B"/>
    <w:rsid w:val="00014C7F"/>
    <w:rsid w:val="00014EF1"/>
    <w:rsid w:val="000157B8"/>
    <w:rsid w:val="00015D46"/>
    <w:rsid w:val="00015FF1"/>
    <w:rsid w:val="00016402"/>
    <w:rsid w:val="00016787"/>
    <w:rsid w:val="00016BAF"/>
    <w:rsid w:val="00016E3D"/>
    <w:rsid w:val="00016F25"/>
    <w:rsid w:val="00017480"/>
    <w:rsid w:val="000175AF"/>
    <w:rsid w:val="000176B8"/>
    <w:rsid w:val="00017753"/>
    <w:rsid w:val="00017AA1"/>
    <w:rsid w:val="00017FC1"/>
    <w:rsid w:val="000202A0"/>
    <w:rsid w:val="00020BC2"/>
    <w:rsid w:val="00020D1D"/>
    <w:rsid w:val="000218AA"/>
    <w:rsid w:val="000220DB"/>
    <w:rsid w:val="0002245F"/>
    <w:rsid w:val="00022849"/>
    <w:rsid w:val="00022E3F"/>
    <w:rsid w:val="00023043"/>
    <w:rsid w:val="0002306F"/>
    <w:rsid w:val="0002368C"/>
    <w:rsid w:val="000236E6"/>
    <w:rsid w:val="000237AB"/>
    <w:rsid w:val="00023A1B"/>
    <w:rsid w:val="00023ADF"/>
    <w:rsid w:val="0002446A"/>
    <w:rsid w:val="000247AC"/>
    <w:rsid w:val="00024D44"/>
    <w:rsid w:val="00025161"/>
    <w:rsid w:val="00025245"/>
    <w:rsid w:val="00025A80"/>
    <w:rsid w:val="00025AC7"/>
    <w:rsid w:val="00025B5B"/>
    <w:rsid w:val="00025D9F"/>
    <w:rsid w:val="00025E2E"/>
    <w:rsid w:val="00025F63"/>
    <w:rsid w:val="0002640B"/>
    <w:rsid w:val="000268D2"/>
    <w:rsid w:val="00026D7C"/>
    <w:rsid w:val="0002756C"/>
    <w:rsid w:val="000276A0"/>
    <w:rsid w:val="0002782C"/>
    <w:rsid w:val="00027E79"/>
    <w:rsid w:val="00030280"/>
    <w:rsid w:val="00030312"/>
    <w:rsid w:val="00030793"/>
    <w:rsid w:val="00030986"/>
    <w:rsid w:val="00030FBE"/>
    <w:rsid w:val="00031574"/>
    <w:rsid w:val="0003191B"/>
    <w:rsid w:val="0003196E"/>
    <w:rsid w:val="00031B6C"/>
    <w:rsid w:val="00031C1A"/>
    <w:rsid w:val="00031F42"/>
    <w:rsid w:val="00032D4B"/>
    <w:rsid w:val="00032E21"/>
    <w:rsid w:val="00033034"/>
    <w:rsid w:val="00033097"/>
    <w:rsid w:val="00033162"/>
    <w:rsid w:val="00033551"/>
    <w:rsid w:val="0003364D"/>
    <w:rsid w:val="0003374D"/>
    <w:rsid w:val="00033766"/>
    <w:rsid w:val="0003429C"/>
    <w:rsid w:val="0003454B"/>
    <w:rsid w:val="00034815"/>
    <w:rsid w:val="000353EA"/>
    <w:rsid w:val="0003600D"/>
    <w:rsid w:val="00036576"/>
    <w:rsid w:val="00036D29"/>
    <w:rsid w:val="00036E60"/>
    <w:rsid w:val="000371D3"/>
    <w:rsid w:val="00037377"/>
    <w:rsid w:val="000375D1"/>
    <w:rsid w:val="000378BD"/>
    <w:rsid w:val="00037A94"/>
    <w:rsid w:val="00040590"/>
    <w:rsid w:val="00040B0F"/>
    <w:rsid w:val="00040F0D"/>
    <w:rsid w:val="00040F9C"/>
    <w:rsid w:val="00041056"/>
    <w:rsid w:val="00041796"/>
    <w:rsid w:val="00041C80"/>
    <w:rsid w:val="00041F67"/>
    <w:rsid w:val="0004239F"/>
    <w:rsid w:val="00042994"/>
    <w:rsid w:val="00043021"/>
    <w:rsid w:val="000431F2"/>
    <w:rsid w:val="000436F0"/>
    <w:rsid w:val="00043748"/>
    <w:rsid w:val="00043918"/>
    <w:rsid w:val="000439F8"/>
    <w:rsid w:val="00043B2E"/>
    <w:rsid w:val="00044207"/>
    <w:rsid w:val="00045117"/>
    <w:rsid w:val="00045828"/>
    <w:rsid w:val="00045A45"/>
    <w:rsid w:val="00045B8F"/>
    <w:rsid w:val="00045C1D"/>
    <w:rsid w:val="00045C48"/>
    <w:rsid w:val="00045EF9"/>
    <w:rsid w:val="0004609A"/>
    <w:rsid w:val="000461DC"/>
    <w:rsid w:val="000464C9"/>
    <w:rsid w:val="000464F6"/>
    <w:rsid w:val="00046805"/>
    <w:rsid w:val="00046B02"/>
    <w:rsid w:val="00046CA8"/>
    <w:rsid w:val="0004729F"/>
    <w:rsid w:val="00047598"/>
    <w:rsid w:val="000477A6"/>
    <w:rsid w:val="0004794B"/>
    <w:rsid w:val="00047C13"/>
    <w:rsid w:val="00050157"/>
    <w:rsid w:val="00050675"/>
    <w:rsid w:val="00050955"/>
    <w:rsid w:val="00050BBC"/>
    <w:rsid w:val="00051695"/>
    <w:rsid w:val="00051740"/>
    <w:rsid w:val="00051E91"/>
    <w:rsid w:val="000521B6"/>
    <w:rsid w:val="000525FE"/>
    <w:rsid w:val="000526C7"/>
    <w:rsid w:val="00052D9F"/>
    <w:rsid w:val="00052F68"/>
    <w:rsid w:val="00052F6A"/>
    <w:rsid w:val="0005339D"/>
    <w:rsid w:val="0005346B"/>
    <w:rsid w:val="00053986"/>
    <w:rsid w:val="00054D1F"/>
    <w:rsid w:val="00055144"/>
    <w:rsid w:val="00055150"/>
    <w:rsid w:val="00055209"/>
    <w:rsid w:val="00055566"/>
    <w:rsid w:val="00055B17"/>
    <w:rsid w:val="00056182"/>
    <w:rsid w:val="00056699"/>
    <w:rsid w:val="000568AC"/>
    <w:rsid w:val="00057566"/>
    <w:rsid w:val="00057DFD"/>
    <w:rsid w:val="00060086"/>
    <w:rsid w:val="0006015E"/>
    <w:rsid w:val="00061125"/>
    <w:rsid w:val="000611BB"/>
    <w:rsid w:val="00061968"/>
    <w:rsid w:val="00061C47"/>
    <w:rsid w:val="00062C52"/>
    <w:rsid w:val="0006394A"/>
    <w:rsid w:val="00063E15"/>
    <w:rsid w:val="00063EC3"/>
    <w:rsid w:val="00064267"/>
    <w:rsid w:val="00064270"/>
    <w:rsid w:val="000644DC"/>
    <w:rsid w:val="000650EA"/>
    <w:rsid w:val="0006514E"/>
    <w:rsid w:val="000651A4"/>
    <w:rsid w:val="000657CC"/>
    <w:rsid w:val="00065985"/>
    <w:rsid w:val="00065E71"/>
    <w:rsid w:val="00066919"/>
    <w:rsid w:val="00066EDC"/>
    <w:rsid w:val="00067129"/>
    <w:rsid w:val="00067D69"/>
    <w:rsid w:val="00070013"/>
    <w:rsid w:val="000702EA"/>
    <w:rsid w:val="0007045B"/>
    <w:rsid w:val="0007055F"/>
    <w:rsid w:val="000706D6"/>
    <w:rsid w:val="00070F30"/>
    <w:rsid w:val="00070F40"/>
    <w:rsid w:val="0007107C"/>
    <w:rsid w:val="0007107E"/>
    <w:rsid w:val="000710A1"/>
    <w:rsid w:val="0007189C"/>
    <w:rsid w:val="00072728"/>
    <w:rsid w:val="00072966"/>
    <w:rsid w:val="00072CDD"/>
    <w:rsid w:val="00072D0C"/>
    <w:rsid w:val="00072EA9"/>
    <w:rsid w:val="000730C7"/>
    <w:rsid w:val="000731E0"/>
    <w:rsid w:val="00073415"/>
    <w:rsid w:val="00074149"/>
    <w:rsid w:val="000743C7"/>
    <w:rsid w:val="0007472E"/>
    <w:rsid w:val="0007481A"/>
    <w:rsid w:val="0007499D"/>
    <w:rsid w:val="00074B81"/>
    <w:rsid w:val="00074DDE"/>
    <w:rsid w:val="00074DF6"/>
    <w:rsid w:val="00075DCF"/>
    <w:rsid w:val="00075F31"/>
    <w:rsid w:val="00075F60"/>
    <w:rsid w:val="000769C4"/>
    <w:rsid w:val="00076C8A"/>
    <w:rsid w:val="00080023"/>
    <w:rsid w:val="00080969"/>
    <w:rsid w:val="000814DC"/>
    <w:rsid w:val="00081A86"/>
    <w:rsid w:val="00081DB7"/>
    <w:rsid w:val="00081E86"/>
    <w:rsid w:val="000820E4"/>
    <w:rsid w:val="00082107"/>
    <w:rsid w:val="00082436"/>
    <w:rsid w:val="0008290B"/>
    <w:rsid w:val="00082F4E"/>
    <w:rsid w:val="00082FF8"/>
    <w:rsid w:val="00083809"/>
    <w:rsid w:val="00083CB0"/>
    <w:rsid w:val="00083DC6"/>
    <w:rsid w:val="00084848"/>
    <w:rsid w:val="00084C45"/>
    <w:rsid w:val="00085123"/>
    <w:rsid w:val="00085399"/>
    <w:rsid w:val="00085AA7"/>
    <w:rsid w:val="00085D55"/>
    <w:rsid w:val="00085FA4"/>
    <w:rsid w:val="0008642C"/>
    <w:rsid w:val="0008664E"/>
    <w:rsid w:val="00087191"/>
    <w:rsid w:val="00087836"/>
    <w:rsid w:val="00087A42"/>
    <w:rsid w:val="00087CA2"/>
    <w:rsid w:val="00087CD4"/>
    <w:rsid w:val="00087F80"/>
    <w:rsid w:val="000901EA"/>
    <w:rsid w:val="000915FB"/>
    <w:rsid w:val="000916DC"/>
    <w:rsid w:val="0009192C"/>
    <w:rsid w:val="00091965"/>
    <w:rsid w:val="00091BE6"/>
    <w:rsid w:val="00091C30"/>
    <w:rsid w:val="00092197"/>
    <w:rsid w:val="000922BF"/>
    <w:rsid w:val="0009239D"/>
    <w:rsid w:val="000932FE"/>
    <w:rsid w:val="000939EB"/>
    <w:rsid w:val="00093D4A"/>
    <w:rsid w:val="00093FB6"/>
    <w:rsid w:val="000944B3"/>
    <w:rsid w:val="00094602"/>
    <w:rsid w:val="00094EB3"/>
    <w:rsid w:val="000951F4"/>
    <w:rsid w:val="000952D9"/>
    <w:rsid w:val="00095307"/>
    <w:rsid w:val="00095996"/>
    <w:rsid w:val="000959A7"/>
    <w:rsid w:val="00095DE3"/>
    <w:rsid w:val="00097600"/>
    <w:rsid w:val="0009783F"/>
    <w:rsid w:val="000978E7"/>
    <w:rsid w:val="00097AF9"/>
    <w:rsid w:val="000A0097"/>
    <w:rsid w:val="000A086C"/>
    <w:rsid w:val="000A1011"/>
    <w:rsid w:val="000A1545"/>
    <w:rsid w:val="000A1B54"/>
    <w:rsid w:val="000A259F"/>
    <w:rsid w:val="000A2891"/>
    <w:rsid w:val="000A3E0A"/>
    <w:rsid w:val="000A51CB"/>
    <w:rsid w:val="000A55A4"/>
    <w:rsid w:val="000A5E46"/>
    <w:rsid w:val="000A6380"/>
    <w:rsid w:val="000A6445"/>
    <w:rsid w:val="000A6D4B"/>
    <w:rsid w:val="000A6F37"/>
    <w:rsid w:val="000A7118"/>
    <w:rsid w:val="000A7438"/>
    <w:rsid w:val="000A777A"/>
    <w:rsid w:val="000A794C"/>
    <w:rsid w:val="000A7B36"/>
    <w:rsid w:val="000A7B77"/>
    <w:rsid w:val="000A7D16"/>
    <w:rsid w:val="000A7ECC"/>
    <w:rsid w:val="000B0076"/>
    <w:rsid w:val="000B008C"/>
    <w:rsid w:val="000B0423"/>
    <w:rsid w:val="000B0609"/>
    <w:rsid w:val="000B07E4"/>
    <w:rsid w:val="000B0C9A"/>
    <w:rsid w:val="000B107F"/>
    <w:rsid w:val="000B10E8"/>
    <w:rsid w:val="000B173A"/>
    <w:rsid w:val="000B33FA"/>
    <w:rsid w:val="000B358C"/>
    <w:rsid w:val="000B3676"/>
    <w:rsid w:val="000B3FBC"/>
    <w:rsid w:val="000B417A"/>
    <w:rsid w:val="000B41A7"/>
    <w:rsid w:val="000B4230"/>
    <w:rsid w:val="000B4390"/>
    <w:rsid w:val="000B4858"/>
    <w:rsid w:val="000B48DF"/>
    <w:rsid w:val="000B5233"/>
    <w:rsid w:val="000B55AC"/>
    <w:rsid w:val="000B561E"/>
    <w:rsid w:val="000B5621"/>
    <w:rsid w:val="000B569F"/>
    <w:rsid w:val="000B5B6F"/>
    <w:rsid w:val="000B6249"/>
    <w:rsid w:val="000B6267"/>
    <w:rsid w:val="000B64B6"/>
    <w:rsid w:val="000B6BB2"/>
    <w:rsid w:val="000B7027"/>
    <w:rsid w:val="000B7B11"/>
    <w:rsid w:val="000C0083"/>
    <w:rsid w:val="000C00AD"/>
    <w:rsid w:val="000C028D"/>
    <w:rsid w:val="000C03B0"/>
    <w:rsid w:val="000C0435"/>
    <w:rsid w:val="000C0698"/>
    <w:rsid w:val="000C1774"/>
    <w:rsid w:val="000C17BC"/>
    <w:rsid w:val="000C189A"/>
    <w:rsid w:val="000C1BAC"/>
    <w:rsid w:val="000C1BF0"/>
    <w:rsid w:val="000C1F52"/>
    <w:rsid w:val="000C20E2"/>
    <w:rsid w:val="000C23C4"/>
    <w:rsid w:val="000C2463"/>
    <w:rsid w:val="000C2751"/>
    <w:rsid w:val="000C28AD"/>
    <w:rsid w:val="000C2D7A"/>
    <w:rsid w:val="000C322B"/>
    <w:rsid w:val="000C3AD0"/>
    <w:rsid w:val="000C3D79"/>
    <w:rsid w:val="000C3ECF"/>
    <w:rsid w:val="000C3FC2"/>
    <w:rsid w:val="000C46AE"/>
    <w:rsid w:val="000C4726"/>
    <w:rsid w:val="000C4768"/>
    <w:rsid w:val="000C4769"/>
    <w:rsid w:val="000C4980"/>
    <w:rsid w:val="000C509A"/>
    <w:rsid w:val="000C5225"/>
    <w:rsid w:val="000C53F7"/>
    <w:rsid w:val="000C546A"/>
    <w:rsid w:val="000C60F2"/>
    <w:rsid w:val="000C6535"/>
    <w:rsid w:val="000C6D2E"/>
    <w:rsid w:val="000C7503"/>
    <w:rsid w:val="000C7689"/>
    <w:rsid w:val="000C777D"/>
    <w:rsid w:val="000D068D"/>
    <w:rsid w:val="000D0BAB"/>
    <w:rsid w:val="000D10D0"/>
    <w:rsid w:val="000D1149"/>
    <w:rsid w:val="000D1E51"/>
    <w:rsid w:val="000D220A"/>
    <w:rsid w:val="000D25F9"/>
    <w:rsid w:val="000D2769"/>
    <w:rsid w:val="000D29F9"/>
    <w:rsid w:val="000D2A6A"/>
    <w:rsid w:val="000D32B1"/>
    <w:rsid w:val="000D32D9"/>
    <w:rsid w:val="000D3E0A"/>
    <w:rsid w:val="000D40E9"/>
    <w:rsid w:val="000D4451"/>
    <w:rsid w:val="000D44D3"/>
    <w:rsid w:val="000D46CA"/>
    <w:rsid w:val="000D4B96"/>
    <w:rsid w:val="000D4C6F"/>
    <w:rsid w:val="000D4E75"/>
    <w:rsid w:val="000D500E"/>
    <w:rsid w:val="000D54FF"/>
    <w:rsid w:val="000D5518"/>
    <w:rsid w:val="000D5723"/>
    <w:rsid w:val="000D6312"/>
    <w:rsid w:val="000D6567"/>
    <w:rsid w:val="000D6A14"/>
    <w:rsid w:val="000D6B71"/>
    <w:rsid w:val="000D71DE"/>
    <w:rsid w:val="000D72AF"/>
    <w:rsid w:val="000D779D"/>
    <w:rsid w:val="000D7964"/>
    <w:rsid w:val="000E01CA"/>
    <w:rsid w:val="000E0430"/>
    <w:rsid w:val="000E054E"/>
    <w:rsid w:val="000E08F7"/>
    <w:rsid w:val="000E0CF4"/>
    <w:rsid w:val="000E2228"/>
    <w:rsid w:val="000E22F2"/>
    <w:rsid w:val="000E25ED"/>
    <w:rsid w:val="000E29C3"/>
    <w:rsid w:val="000E2ED0"/>
    <w:rsid w:val="000E2F20"/>
    <w:rsid w:val="000E30E5"/>
    <w:rsid w:val="000E407F"/>
    <w:rsid w:val="000E5AAC"/>
    <w:rsid w:val="000E6463"/>
    <w:rsid w:val="000E69DF"/>
    <w:rsid w:val="000E6D12"/>
    <w:rsid w:val="000E6DA9"/>
    <w:rsid w:val="000E77D1"/>
    <w:rsid w:val="000E7928"/>
    <w:rsid w:val="000E7D35"/>
    <w:rsid w:val="000E7DD0"/>
    <w:rsid w:val="000F01A1"/>
    <w:rsid w:val="000F0800"/>
    <w:rsid w:val="000F09D6"/>
    <w:rsid w:val="000F0A97"/>
    <w:rsid w:val="000F1526"/>
    <w:rsid w:val="000F2A48"/>
    <w:rsid w:val="000F32BD"/>
    <w:rsid w:val="000F3420"/>
    <w:rsid w:val="000F3B3F"/>
    <w:rsid w:val="000F3BCC"/>
    <w:rsid w:val="000F3F83"/>
    <w:rsid w:val="000F40DF"/>
    <w:rsid w:val="000F4198"/>
    <w:rsid w:val="000F429F"/>
    <w:rsid w:val="000F442F"/>
    <w:rsid w:val="000F468B"/>
    <w:rsid w:val="000F53C0"/>
    <w:rsid w:val="000F5875"/>
    <w:rsid w:val="000F5974"/>
    <w:rsid w:val="000F6157"/>
    <w:rsid w:val="000F6507"/>
    <w:rsid w:val="000F6537"/>
    <w:rsid w:val="000F6D12"/>
    <w:rsid w:val="000F788C"/>
    <w:rsid w:val="001006EE"/>
    <w:rsid w:val="00100775"/>
    <w:rsid w:val="001007BE"/>
    <w:rsid w:val="001009EE"/>
    <w:rsid w:val="00100A4E"/>
    <w:rsid w:val="00100EFA"/>
    <w:rsid w:val="0010100B"/>
    <w:rsid w:val="00101AAF"/>
    <w:rsid w:val="00101D07"/>
    <w:rsid w:val="00101E8C"/>
    <w:rsid w:val="001024A5"/>
    <w:rsid w:val="00102EB9"/>
    <w:rsid w:val="00102F0C"/>
    <w:rsid w:val="0010312B"/>
    <w:rsid w:val="00103197"/>
    <w:rsid w:val="001036C4"/>
    <w:rsid w:val="001037D9"/>
    <w:rsid w:val="00103A0A"/>
    <w:rsid w:val="001043D6"/>
    <w:rsid w:val="001054D5"/>
    <w:rsid w:val="00105809"/>
    <w:rsid w:val="00105D10"/>
    <w:rsid w:val="00105F7D"/>
    <w:rsid w:val="001062E8"/>
    <w:rsid w:val="001064EE"/>
    <w:rsid w:val="00106647"/>
    <w:rsid w:val="001068A1"/>
    <w:rsid w:val="00107235"/>
    <w:rsid w:val="001073A8"/>
    <w:rsid w:val="00107E84"/>
    <w:rsid w:val="0011018B"/>
    <w:rsid w:val="0011034D"/>
    <w:rsid w:val="001103F3"/>
    <w:rsid w:val="0011074C"/>
    <w:rsid w:val="0011079A"/>
    <w:rsid w:val="00111003"/>
    <w:rsid w:val="00111153"/>
    <w:rsid w:val="00111682"/>
    <w:rsid w:val="00111A1E"/>
    <w:rsid w:val="00111BD5"/>
    <w:rsid w:val="00112078"/>
    <w:rsid w:val="001126E3"/>
    <w:rsid w:val="001127CC"/>
    <w:rsid w:val="001131B3"/>
    <w:rsid w:val="0011390A"/>
    <w:rsid w:val="00113D78"/>
    <w:rsid w:val="0011444F"/>
    <w:rsid w:val="00114878"/>
    <w:rsid w:val="00114884"/>
    <w:rsid w:val="00115464"/>
    <w:rsid w:val="001158D5"/>
    <w:rsid w:val="00115986"/>
    <w:rsid w:val="00115B41"/>
    <w:rsid w:val="00115B98"/>
    <w:rsid w:val="00115CB9"/>
    <w:rsid w:val="0011610A"/>
    <w:rsid w:val="00116205"/>
    <w:rsid w:val="0011630E"/>
    <w:rsid w:val="00116C6D"/>
    <w:rsid w:val="00116E89"/>
    <w:rsid w:val="001171BF"/>
    <w:rsid w:val="001173EF"/>
    <w:rsid w:val="0011785E"/>
    <w:rsid w:val="00117AD4"/>
    <w:rsid w:val="00117D39"/>
    <w:rsid w:val="00117D57"/>
    <w:rsid w:val="00120596"/>
    <w:rsid w:val="00120A95"/>
    <w:rsid w:val="001216E6"/>
    <w:rsid w:val="001219B0"/>
    <w:rsid w:val="001220A4"/>
    <w:rsid w:val="001224FB"/>
    <w:rsid w:val="001234BA"/>
    <w:rsid w:val="001234EB"/>
    <w:rsid w:val="001235AA"/>
    <w:rsid w:val="00123709"/>
    <w:rsid w:val="0012399F"/>
    <w:rsid w:val="00123A0E"/>
    <w:rsid w:val="00123F6B"/>
    <w:rsid w:val="00124B5E"/>
    <w:rsid w:val="00124C84"/>
    <w:rsid w:val="00124D7E"/>
    <w:rsid w:val="00125102"/>
    <w:rsid w:val="00125950"/>
    <w:rsid w:val="00125A36"/>
    <w:rsid w:val="00125AF7"/>
    <w:rsid w:val="00125DA1"/>
    <w:rsid w:val="001260C0"/>
    <w:rsid w:val="00126205"/>
    <w:rsid w:val="0012665D"/>
    <w:rsid w:val="00126FC8"/>
    <w:rsid w:val="00127068"/>
    <w:rsid w:val="001270C8"/>
    <w:rsid w:val="001272C8"/>
    <w:rsid w:val="00127792"/>
    <w:rsid w:val="00127C92"/>
    <w:rsid w:val="001300C5"/>
    <w:rsid w:val="001303F9"/>
    <w:rsid w:val="001304A5"/>
    <w:rsid w:val="00130D40"/>
    <w:rsid w:val="00130D7A"/>
    <w:rsid w:val="00131279"/>
    <w:rsid w:val="00131AE8"/>
    <w:rsid w:val="00131D13"/>
    <w:rsid w:val="00131D5C"/>
    <w:rsid w:val="00131EF2"/>
    <w:rsid w:val="001322CC"/>
    <w:rsid w:val="001322DB"/>
    <w:rsid w:val="00132BF4"/>
    <w:rsid w:val="00132E55"/>
    <w:rsid w:val="001332EC"/>
    <w:rsid w:val="00133406"/>
    <w:rsid w:val="001335A1"/>
    <w:rsid w:val="001337D8"/>
    <w:rsid w:val="00133D6B"/>
    <w:rsid w:val="0013421A"/>
    <w:rsid w:val="00134B3D"/>
    <w:rsid w:val="00134CF7"/>
    <w:rsid w:val="00134E57"/>
    <w:rsid w:val="00135313"/>
    <w:rsid w:val="0013557B"/>
    <w:rsid w:val="00135736"/>
    <w:rsid w:val="001358E3"/>
    <w:rsid w:val="00135AC1"/>
    <w:rsid w:val="00135BA3"/>
    <w:rsid w:val="00135D8F"/>
    <w:rsid w:val="00135E0F"/>
    <w:rsid w:val="0013635B"/>
    <w:rsid w:val="001364BC"/>
    <w:rsid w:val="00136589"/>
    <w:rsid w:val="0013674C"/>
    <w:rsid w:val="00136CF7"/>
    <w:rsid w:val="0013729C"/>
    <w:rsid w:val="00137399"/>
    <w:rsid w:val="00137B0E"/>
    <w:rsid w:val="00137C1F"/>
    <w:rsid w:val="00137C4B"/>
    <w:rsid w:val="00137FD9"/>
    <w:rsid w:val="00140523"/>
    <w:rsid w:val="00140577"/>
    <w:rsid w:val="001406CB"/>
    <w:rsid w:val="00140C43"/>
    <w:rsid w:val="001410D2"/>
    <w:rsid w:val="00141A56"/>
    <w:rsid w:val="00142058"/>
    <w:rsid w:val="00142D74"/>
    <w:rsid w:val="0014320E"/>
    <w:rsid w:val="0014357A"/>
    <w:rsid w:val="00143A5B"/>
    <w:rsid w:val="00143A90"/>
    <w:rsid w:val="00143BE9"/>
    <w:rsid w:val="00143D4B"/>
    <w:rsid w:val="00144264"/>
    <w:rsid w:val="001445DE"/>
    <w:rsid w:val="001449F7"/>
    <w:rsid w:val="0014509A"/>
    <w:rsid w:val="001451AB"/>
    <w:rsid w:val="001452B7"/>
    <w:rsid w:val="001453BA"/>
    <w:rsid w:val="001454AA"/>
    <w:rsid w:val="00145CC2"/>
    <w:rsid w:val="00145DD2"/>
    <w:rsid w:val="0014601C"/>
    <w:rsid w:val="0014611A"/>
    <w:rsid w:val="001465FB"/>
    <w:rsid w:val="00146921"/>
    <w:rsid w:val="00146B90"/>
    <w:rsid w:val="00146BEF"/>
    <w:rsid w:val="00146E7D"/>
    <w:rsid w:val="0014728E"/>
    <w:rsid w:val="00147342"/>
    <w:rsid w:val="00147839"/>
    <w:rsid w:val="00147B34"/>
    <w:rsid w:val="001508B7"/>
    <w:rsid w:val="00150D01"/>
    <w:rsid w:val="00150F48"/>
    <w:rsid w:val="00150FB9"/>
    <w:rsid w:val="001514F5"/>
    <w:rsid w:val="00151C73"/>
    <w:rsid w:val="00151E42"/>
    <w:rsid w:val="00151FE5"/>
    <w:rsid w:val="00152481"/>
    <w:rsid w:val="001528B0"/>
    <w:rsid w:val="001528C3"/>
    <w:rsid w:val="001528D5"/>
    <w:rsid w:val="00152C51"/>
    <w:rsid w:val="00152C79"/>
    <w:rsid w:val="00152EB6"/>
    <w:rsid w:val="001533F2"/>
    <w:rsid w:val="00153651"/>
    <w:rsid w:val="0015370B"/>
    <w:rsid w:val="001537CF"/>
    <w:rsid w:val="00153822"/>
    <w:rsid w:val="00153847"/>
    <w:rsid w:val="00153B4E"/>
    <w:rsid w:val="0015499B"/>
    <w:rsid w:val="00154BCF"/>
    <w:rsid w:val="00154E33"/>
    <w:rsid w:val="00154F71"/>
    <w:rsid w:val="0015538F"/>
    <w:rsid w:val="00155705"/>
    <w:rsid w:val="00155741"/>
    <w:rsid w:val="00155791"/>
    <w:rsid w:val="00155858"/>
    <w:rsid w:val="001558CD"/>
    <w:rsid w:val="00156686"/>
    <w:rsid w:val="00156A1F"/>
    <w:rsid w:val="00156D04"/>
    <w:rsid w:val="00157A05"/>
    <w:rsid w:val="0016033A"/>
    <w:rsid w:val="001603C9"/>
    <w:rsid w:val="00160B39"/>
    <w:rsid w:val="0016136A"/>
    <w:rsid w:val="0016152B"/>
    <w:rsid w:val="00161870"/>
    <w:rsid w:val="001624DE"/>
    <w:rsid w:val="001624F9"/>
    <w:rsid w:val="00162C0E"/>
    <w:rsid w:val="00162DAE"/>
    <w:rsid w:val="00163332"/>
    <w:rsid w:val="001637BC"/>
    <w:rsid w:val="00163BDE"/>
    <w:rsid w:val="00164671"/>
    <w:rsid w:val="001649E3"/>
    <w:rsid w:val="00164B9C"/>
    <w:rsid w:val="00164EB2"/>
    <w:rsid w:val="00165054"/>
    <w:rsid w:val="00165395"/>
    <w:rsid w:val="0016544F"/>
    <w:rsid w:val="001656D2"/>
    <w:rsid w:val="001660EE"/>
    <w:rsid w:val="0016621E"/>
    <w:rsid w:val="001664A1"/>
    <w:rsid w:val="001664D7"/>
    <w:rsid w:val="00166AFE"/>
    <w:rsid w:val="00166D39"/>
    <w:rsid w:val="00166D5F"/>
    <w:rsid w:val="0016743A"/>
    <w:rsid w:val="001674D2"/>
    <w:rsid w:val="00167A4D"/>
    <w:rsid w:val="00167D50"/>
    <w:rsid w:val="00167DE8"/>
    <w:rsid w:val="0017019A"/>
    <w:rsid w:val="00170446"/>
    <w:rsid w:val="00170C12"/>
    <w:rsid w:val="00170C33"/>
    <w:rsid w:val="001710B6"/>
    <w:rsid w:val="00171EA4"/>
    <w:rsid w:val="001721FD"/>
    <w:rsid w:val="001722B6"/>
    <w:rsid w:val="00172548"/>
    <w:rsid w:val="0017325A"/>
    <w:rsid w:val="0017358C"/>
    <w:rsid w:val="001736DA"/>
    <w:rsid w:val="00173742"/>
    <w:rsid w:val="00173869"/>
    <w:rsid w:val="0017386E"/>
    <w:rsid w:val="00173A64"/>
    <w:rsid w:val="00173A6E"/>
    <w:rsid w:val="00173A9F"/>
    <w:rsid w:val="00173E1C"/>
    <w:rsid w:val="00174A5E"/>
    <w:rsid w:val="00174AC7"/>
    <w:rsid w:val="00174AE4"/>
    <w:rsid w:val="00174B9F"/>
    <w:rsid w:val="00174E0F"/>
    <w:rsid w:val="00174E3E"/>
    <w:rsid w:val="0017591C"/>
    <w:rsid w:val="00175B29"/>
    <w:rsid w:val="00176039"/>
    <w:rsid w:val="00176482"/>
    <w:rsid w:val="00176861"/>
    <w:rsid w:val="00176C09"/>
    <w:rsid w:val="001779D8"/>
    <w:rsid w:val="001779DD"/>
    <w:rsid w:val="00177D56"/>
    <w:rsid w:val="001800EE"/>
    <w:rsid w:val="00180407"/>
    <w:rsid w:val="001807C9"/>
    <w:rsid w:val="00180B1A"/>
    <w:rsid w:val="00180DDC"/>
    <w:rsid w:val="0018191D"/>
    <w:rsid w:val="00181B05"/>
    <w:rsid w:val="00181EEE"/>
    <w:rsid w:val="001821BA"/>
    <w:rsid w:val="0018244C"/>
    <w:rsid w:val="00182551"/>
    <w:rsid w:val="00182785"/>
    <w:rsid w:val="00182C5C"/>
    <w:rsid w:val="001835B4"/>
    <w:rsid w:val="001838E0"/>
    <w:rsid w:val="00183C88"/>
    <w:rsid w:val="00184083"/>
    <w:rsid w:val="00184096"/>
    <w:rsid w:val="001841DC"/>
    <w:rsid w:val="001843C4"/>
    <w:rsid w:val="001844C0"/>
    <w:rsid w:val="0018463B"/>
    <w:rsid w:val="00184BAC"/>
    <w:rsid w:val="00185190"/>
    <w:rsid w:val="00185280"/>
    <w:rsid w:val="0018547B"/>
    <w:rsid w:val="001854C2"/>
    <w:rsid w:val="0018608A"/>
    <w:rsid w:val="001865F7"/>
    <w:rsid w:val="0018683F"/>
    <w:rsid w:val="00186E73"/>
    <w:rsid w:val="00187268"/>
    <w:rsid w:val="001875DC"/>
    <w:rsid w:val="00187862"/>
    <w:rsid w:val="00187F9D"/>
    <w:rsid w:val="00190136"/>
    <w:rsid w:val="001903C9"/>
    <w:rsid w:val="0019042E"/>
    <w:rsid w:val="0019098E"/>
    <w:rsid w:val="00190ABB"/>
    <w:rsid w:val="00190BB8"/>
    <w:rsid w:val="0019123E"/>
    <w:rsid w:val="001912F1"/>
    <w:rsid w:val="00191A8E"/>
    <w:rsid w:val="0019200C"/>
    <w:rsid w:val="00192310"/>
    <w:rsid w:val="00192636"/>
    <w:rsid w:val="0019287A"/>
    <w:rsid w:val="00192B88"/>
    <w:rsid w:val="00192BCF"/>
    <w:rsid w:val="001933F2"/>
    <w:rsid w:val="001938B4"/>
    <w:rsid w:val="00193B33"/>
    <w:rsid w:val="00193CE8"/>
    <w:rsid w:val="00194113"/>
    <w:rsid w:val="001942E6"/>
    <w:rsid w:val="001944A5"/>
    <w:rsid w:val="001946BC"/>
    <w:rsid w:val="00194DF0"/>
    <w:rsid w:val="00195089"/>
    <w:rsid w:val="00195173"/>
    <w:rsid w:val="00195BEA"/>
    <w:rsid w:val="00196456"/>
    <w:rsid w:val="00196478"/>
    <w:rsid w:val="001966A9"/>
    <w:rsid w:val="00196B11"/>
    <w:rsid w:val="0019760D"/>
    <w:rsid w:val="00197DA7"/>
    <w:rsid w:val="001A07DE"/>
    <w:rsid w:val="001A0917"/>
    <w:rsid w:val="001A094B"/>
    <w:rsid w:val="001A10BB"/>
    <w:rsid w:val="001A1231"/>
    <w:rsid w:val="001A19DB"/>
    <w:rsid w:val="001A1AF2"/>
    <w:rsid w:val="001A1BC9"/>
    <w:rsid w:val="001A1BE5"/>
    <w:rsid w:val="001A1DEF"/>
    <w:rsid w:val="001A2B10"/>
    <w:rsid w:val="001A2D77"/>
    <w:rsid w:val="001A3092"/>
    <w:rsid w:val="001A3190"/>
    <w:rsid w:val="001A372B"/>
    <w:rsid w:val="001A3A68"/>
    <w:rsid w:val="001A3B01"/>
    <w:rsid w:val="001A3C5C"/>
    <w:rsid w:val="001A5742"/>
    <w:rsid w:val="001A57F8"/>
    <w:rsid w:val="001A5CFC"/>
    <w:rsid w:val="001A61F1"/>
    <w:rsid w:val="001A67C3"/>
    <w:rsid w:val="001A6E09"/>
    <w:rsid w:val="001A7000"/>
    <w:rsid w:val="001B015A"/>
    <w:rsid w:val="001B0471"/>
    <w:rsid w:val="001B04F9"/>
    <w:rsid w:val="001B0C7D"/>
    <w:rsid w:val="001B0D3C"/>
    <w:rsid w:val="001B0DFE"/>
    <w:rsid w:val="001B133E"/>
    <w:rsid w:val="001B13DF"/>
    <w:rsid w:val="001B1A25"/>
    <w:rsid w:val="001B1BA8"/>
    <w:rsid w:val="001B1CB9"/>
    <w:rsid w:val="001B2014"/>
    <w:rsid w:val="001B219C"/>
    <w:rsid w:val="001B2352"/>
    <w:rsid w:val="001B23DA"/>
    <w:rsid w:val="001B2989"/>
    <w:rsid w:val="001B2E4E"/>
    <w:rsid w:val="001B3E6D"/>
    <w:rsid w:val="001B3EBD"/>
    <w:rsid w:val="001B3EF8"/>
    <w:rsid w:val="001B487D"/>
    <w:rsid w:val="001B4F77"/>
    <w:rsid w:val="001B51EA"/>
    <w:rsid w:val="001B5228"/>
    <w:rsid w:val="001B557E"/>
    <w:rsid w:val="001B5BF0"/>
    <w:rsid w:val="001B5D98"/>
    <w:rsid w:val="001B6436"/>
    <w:rsid w:val="001B649A"/>
    <w:rsid w:val="001B679E"/>
    <w:rsid w:val="001B7AB6"/>
    <w:rsid w:val="001B7B2E"/>
    <w:rsid w:val="001B7F39"/>
    <w:rsid w:val="001C0283"/>
    <w:rsid w:val="001C061F"/>
    <w:rsid w:val="001C09C6"/>
    <w:rsid w:val="001C0E2B"/>
    <w:rsid w:val="001C10EF"/>
    <w:rsid w:val="001C12E1"/>
    <w:rsid w:val="001C15E9"/>
    <w:rsid w:val="001C1925"/>
    <w:rsid w:val="001C1C01"/>
    <w:rsid w:val="001C1C2E"/>
    <w:rsid w:val="001C2233"/>
    <w:rsid w:val="001C26FC"/>
    <w:rsid w:val="001C30F8"/>
    <w:rsid w:val="001C3C80"/>
    <w:rsid w:val="001C4459"/>
    <w:rsid w:val="001C4542"/>
    <w:rsid w:val="001C45A3"/>
    <w:rsid w:val="001C4AF6"/>
    <w:rsid w:val="001C52F9"/>
    <w:rsid w:val="001C56AE"/>
    <w:rsid w:val="001C5838"/>
    <w:rsid w:val="001C5AE7"/>
    <w:rsid w:val="001C5E33"/>
    <w:rsid w:val="001C5EBC"/>
    <w:rsid w:val="001C6303"/>
    <w:rsid w:val="001C631E"/>
    <w:rsid w:val="001C6810"/>
    <w:rsid w:val="001C6A6B"/>
    <w:rsid w:val="001C6B3E"/>
    <w:rsid w:val="001C6B7F"/>
    <w:rsid w:val="001C6ED7"/>
    <w:rsid w:val="001C71FA"/>
    <w:rsid w:val="001C72CC"/>
    <w:rsid w:val="001C73CC"/>
    <w:rsid w:val="001C7583"/>
    <w:rsid w:val="001C7734"/>
    <w:rsid w:val="001C7E18"/>
    <w:rsid w:val="001D017D"/>
    <w:rsid w:val="001D0975"/>
    <w:rsid w:val="001D0AB0"/>
    <w:rsid w:val="001D0E68"/>
    <w:rsid w:val="001D1E71"/>
    <w:rsid w:val="001D2293"/>
    <w:rsid w:val="001D23EF"/>
    <w:rsid w:val="001D2727"/>
    <w:rsid w:val="001D298E"/>
    <w:rsid w:val="001D2E31"/>
    <w:rsid w:val="001D3105"/>
    <w:rsid w:val="001D31F2"/>
    <w:rsid w:val="001D35EF"/>
    <w:rsid w:val="001D37F2"/>
    <w:rsid w:val="001D3957"/>
    <w:rsid w:val="001D3B9D"/>
    <w:rsid w:val="001D405A"/>
    <w:rsid w:val="001D4426"/>
    <w:rsid w:val="001D498B"/>
    <w:rsid w:val="001D4A16"/>
    <w:rsid w:val="001D4EBE"/>
    <w:rsid w:val="001D522D"/>
    <w:rsid w:val="001D5C2D"/>
    <w:rsid w:val="001D6050"/>
    <w:rsid w:val="001D6231"/>
    <w:rsid w:val="001D6235"/>
    <w:rsid w:val="001D6824"/>
    <w:rsid w:val="001D6E08"/>
    <w:rsid w:val="001D7597"/>
    <w:rsid w:val="001D79F3"/>
    <w:rsid w:val="001E04F4"/>
    <w:rsid w:val="001E0560"/>
    <w:rsid w:val="001E0AA4"/>
    <w:rsid w:val="001E0CE2"/>
    <w:rsid w:val="001E1668"/>
    <w:rsid w:val="001E1766"/>
    <w:rsid w:val="001E193F"/>
    <w:rsid w:val="001E1A71"/>
    <w:rsid w:val="001E22C3"/>
    <w:rsid w:val="001E280A"/>
    <w:rsid w:val="001E3907"/>
    <w:rsid w:val="001E3C89"/>
    <w:rsid w:val="001E3E6E"/>
    <w:rsid w:val="001E41C6"/>
    <w:rsid w:val="001E4DC1"/>
    <w:rsid w:val="001E5974"/>
    <w:rsid w:val="001E5994"/>
    <w:rsid w:val="001E5F44"/>
    <w:rsid w:val="001E641F"/>
    <w:rsid w:val="001E6DF0"/>
    <w:rsid w:val="001E711F"/>
    <w:rsid w:val="001E712B"/>
    <w:rsid w:val="001E7150"/>
    <w:rsid w:val="001E793F"/>
    <w:rsid w:val="001E7B72"/>
    <w:rsid w:val="001E7D03"/>
    <w:rsid w:val="001F01E2"/>
    <w:rsid w:val="001F02A4"/>
    <w:rsid w:val="001F04AE"/>
    <w:rsid w:val="001F05EF"/>
    <w:rsid w:val="001F0658"/>
    <w:rsid w:val="001F07C1"/>
    <w:rsid w:val="001F0843"/>
    <w:rsid w:val="001F0DB1"/>
    <w:rsid w:val="001F1014"/>
    <w:rsid w:val="001F1904"/>
    <w:rsid w:val="001F1DF9"/>
    <w:rsid w:val="001F25DB"/>
    <w:rsid w:val="001F379B"/>
    <w:rsid w:val="001F37D4"/>
    <w:rsid w:val="001F434F"/>
    <w:rsid w:val="001F444B"/>
    <w:rsid w:val="001F4574"/>
    <w:rsid w:val="001F4D94"/>
    <w:rsid w:val="001F517C"/>
    <w:rsid w:val="001F5BFA"/>
    <w:rsid w:val="001F5F27"/>
    <w:rsid w:val="001F5FD6"/>
    <w:rsid w:val="001F63B5"/>
    <w:rsid w:val="001F656E"/>
    <w:rsid w:val="001F7B2E"/>
    <w:rsid w:val="00200487"/>
    <w:rsid w:val="002004BA"/>
    <w:rsid w:val="00200CA1"/>
    <w:rsid w:val="00200D40"/>
    <w:rsid w:val="00201346"/>
    <w:rsid w:val="002015B6"/>
    <w:rsid w:val="00201896"/>
    <w:rsid w:val="002024CD"/>
    <w:rsid w:val="00202A90"/>
    <w:rsid w:val="00202ED2"/>
    <w:rsid w:val="002030B0"/>
    <w:rsid w:val="0020325C"/>
    <w:rsid w:val="00203279"/>
    <w:rsid w:val="00203588"/>
    <w:rsid w:val="002044C7"/>
    <w:rsid w:val="0020496A"/>
    <w:rsid w:val="00204AA8"/>
    <w:rsid w:val="002055FF"/>
    <w:rsid w:val="002056C9"/>
    <w:rsid w:val="002056FC"/>
    <w:rsid w:val="0020595E"/>
    <w:rsid w:val="00205B39"/>
    <w:rsid w:val="00205BE7"/>
    <w:rsid w:val="00205C33"/>
    <w:rsid w:val="00206870"/>
    <w:rsid w:val="002069C5"/>
    <w:rsid w:val="00206E71"/>
    <w:rsid w:val="0020790B"/>
    <w:rsid w:val="00207D81"/>
    <w:rsid w:val="00207F6B"/>
    <w:rsid w:val="002101FF"/>
    <w:rsid w:val="00210A2D"/>
    <w:rsid w:val="00210EFE"/>
    <w:rsid w:val="00210FD3"/>
    <w:rsid w:val="00211173"/>
    <w:rsid w:val="0021137C"/>
    <w:rsid w:val="00211409"/>
    <w:rsid w:val="00211443"/>
    <w:rsid w:val="00212305"/>
    <w:rsid w:val="00212388"/>
    <w:rsid w:val="0021255F"/>
    <w:rsid w:val="002125E5"/>
    <w:rsid w:val="00212A17"/>
    <w:rsid w:val="00212B98"/>
    <w:rsid w:val="00213634"/>
    <w:rsid w:val="00213650"/>
    <w:rsid w:val="00213F7A"/>
    <w:rsid w:val="00213F9E"/>
    <w:rsid w:val="00214C09"/>
    <w:rsid w:val="00214D3A"/>
    <w:rsid w:val="002152CB"/>
    <w:rsid w:val="00215834"/>
    <w:rsid w:val="0021586C"/>
    <w:rsid w:val="00215B61"/>
    <w:rsid w:val="002168EE"/>
    <w:rsid w:val="00216A16"/>
    <w:rsid w:val="00216C0A"/>
    <w:rsid w:val="00216D0D"/>
    <w:rsid w:val="00216E92"/>
    <w:rsid w:val="00217028"/>
    <w:rsid w:val="00217BF2"/>
    <w:rsid w:val="0022014B"/>
    <w:rsid w:val="002202AB"/>
    <w:rsid w:val="002204FB"/>
    <w:rsid w:val="00220501"/>
    <w:rsid w:val="00220FD2"/>
    <w:rsid w:val="002214D6"/>
    <w:rsid w:val="002215EA"/>
    <w:rsid w:val="00221ABF"/>
    <w:rsid w:val="0022219A"/>
    <w:rsid w:val="002223A0"/>
    <w:rsid w:val="0022247A"/>
    <w:rsid w:val="00222642"/>
    <w:rsid w:val="002227A8"/>
    <w:rsid w:val="00222B57"/>
    <w:rsid w:val="00222C74"/>
    <w:rsid w:val="00223302"/>
    <w:rsid w:val="002234C5"/>
    <w:rsid w:val="0022358E"/>
    <w:rsid w:val="002239D2"/>
    <w:rsid w:val="00223AEC"/>
    <w:rsid w:val="00223B61"/>
    <w:rsid w:val="00223DE9"/>
    <w:rsid w:val="002242B0"/>
    <w:rsid w:val="00224422"/>
    <w:rsid w:val="00224520"/>
    <w:rsid w:val="0022484B"/>
    <w:rsid w:val="00224930"/>
    <w:rsid w:val="00224BFB"/>
    <w:rsid w:val="00224C37"/>
    <w:rsid w:val="0022578C"/>
    <w:rsid w:val="00226AD9"/>
    <w:rsid w:val="00227691"/>
    <w:rsid w:val="002279E3"/>
    <w:rsid w:val="00227DB0"/>
    <w:rsid w:val="00230B67"/>
    <w:rsid w:val="00230EEE"/>
    <w:rsid w:val="00230F05"/>
    <w:rsid w:val="0023149E"/>
    <w:rsid w:val="002315CF"/>
    <w:rsid w:val="002316A1"/>
    <w:rsid w:val="00231820"/>
    <w:rsid w:val="00231FC6"/>
    <w:rsid w:val="0023221C"/>
    <w:rsid w:val="00232297"/>
    <w:rsid w:val="00232BBE"/>
    <w:rsid w:val="00232E5E"/>
    <w:rsid w:val="0023334C"/>
    <w:rsid w:val="002334A8"/>
    <w:rsid w:val="0023368E"/>
    <w:rsid w:val="00233C79"/>
    <w:rsid w:val="00235DC2"/>
    <w:rsid w:val="002360E7"/>
    <w:rsid w:val="002362F8"/>
    <w:rsid w:val="00236474"/>
    <w:rsid w:val="00236550"/>
    <w:rsid w:val="00236EA0"/>
    <w:rsid w:val="0023734C"/>
    <w:rsid w:val="002401D3"/>
    <w:rsid w:val="0024042E"/>
    <w:rsid w:val="00240737"/>
    <w:rsid w:val="00240D7F"/>
    <w:rsid w:val="00241658"/>
    <w:rsid w:val="00241C98"/>
    <w:rsid w:val="00241CED"/>
    <w:rsid w:val="00241E60"/>
    <w:rsid w:val="00242227"/>
    <w:rsid w:val="0024223C"/>
    <w:rsid w:val="00242484"/>
    <w:rsid w:val="0024269F"/>
    <w:rsid w:val="00242A0D"/>
    <w:rsid w:val="00242E81"/>
    <w:rsid w:val="0024307B"/>
    <w:rsid w:val="002435D7"/>
    <w:rsid w:val="002436EF"/>
    <w:rsid w:val="00243887"/>
    <w:rsid w:val="00243A61"/>
    <w:rsid w:val="00243D1B"/>
    <w:rsid w:val="00243E64"/>
    <w:rsid w:val="00243ECE"/>
    <w:rsid w:val="00243FC8"/>
    <w:rsid w:val="002446BD"/>
    <w:rsid w:val="00244849"/>
    <w:rsid w:val="002450C6"/>
    <w:rsid w:val="0024512A"/>
    <w:rsid w:val="00245174"/>
    <w:rsid w:val="00245703"/>
    <w:rsid w:val="0024594B"/>
    <w:rsid w:val="00245ABD"/>
    <w:rsid w:val="00245F40"/>
    <w:rsid w:val="00246011"/>
    <w:rsid w:val="00246A8B"/>
    <w:rsid w:val="00247339"/>
    <w:rsid w:val="00247686"/>
    <w:rsid w:val="0024769E"/>
    <w:rsid w:val="00247DE2"/>
    <w:rsid w:val="00247FC2"/>
    <w:rsid w:val="002501D2"/>
    <w:rsid w:val="00250581"/>
    <w:rsid w:val="00250B17"/>
    <w:rsid w:val="00250CD2"/>
    <w:rsid w:val="00251374"/>
    <w:rsid w:val="00251424"/>
    <w:rsid w:val="0025155E"/>
    <w:rsid w:val="002515A5"/>
    <w:rsid w:val="0025167B"/>
    <w:rsid w:val="0025174C"/>
    <w:rsid w:val="00251C49"/>
    <w:rsid w:val="00251FE2"/>
    <w:rsid w:val="0025272D"/>
    <w:rsid w:val="00252A11"/>
    <w:rsid w:val="00252D19"/>
    <w:rsid w:val="002533DC"/>
    <w:rsid w:val="002535C7"/>
    <w:rsid w:val="002539A3"/>
    <w:rsid w:val="00253C96"/>
    <w:rsid w:val="00253F53"/>
    <w:rsid w:val="0025533A"/>
    <w:rsid w:val="0025552F"/>
    <w:rsid w:val="002557A5"/>
    <w:rsid w:val="00255C07"/>
    <w:rsid w:val="002560CD"/>
    <w:rsid w:val="002561E7"/>
    <w:rsid w:val="00256A4B"/>
    <w:rsid w:val="00256FB5"/>
    <w:rsid w:val="0025747E"/>
    <w:rsid w:val="0026005D"/>
    <w:rsid w:val="00260285"/>
    <w:rsid w:val="002610AF"/>
    <w:rsid w:val="0026129F"/>
    <w:rsid w:val="00261440"/>
    <w:rsid w:val="0026189B"/>
    <w:rsid w:val="00262377"/>
    <w:rsid w:val="002624C1"/>
    <w:rsid w:val="00262AC4"/>
    <w:rsid w:val="00262C5D"/>
    <w:rsid w:val="00262D84"/>
    <w:rsid w:val="00262DC1"/>
    <w:rsid w:val="0026388E"/>
    <w:rsid w:val="00263B06"/>
    <w:rsid w:val="00263DE2"/>
    <w:rsid w:val="002642F5"/>
    <w:rsid w:val="00265265"/>
    <w:rsid w:val="002654C8"/>
    <w:rsid w:val="00265A3A"/>
    <w:rsid w:val="00265E1E"/>
    <w:rsid w:val="00266097"/>
    <w:rsid w:val="00266BF7"/>
    <w:rsid w:val="00266CB8"/>
    <w:rsid w:val="00267087"/>
    <w:rsid w:val="0026709F"/>
    <w:rsid w:val="00267808"/>
    <w:rsid w:val="0026785D"/>
    <w:rsid w:val="002701A8"/>
    <w:rsid w:val="00270B1F"/>
    <w:rsid w:val="00271094"/>
    <w:rsid w:val="00271595"/>
    <w:rsid w:val="00271EC6"/>
    <w:rsid w:val="002720C1"/>
    <w:rsid w:val="00272256"/>
    <w:rsid w:val="002724F2"/>
    <w:rsid w:val="00272B61"/>
    <w:rsid w:val="00273A2A"/>
    <w:rsid w:val="00273C44"/>
    <w:rsid w:val="002740D9"/>
    <w:rsid w:val="002744ED"/>
    <w:rsid w:val="00274A24"/>
    <w:rsid w:val="00274C6D"/>
    <w:rsid w:val="00275557"/>
    <w:rsid w:val="0027596D"/>
    <w:rsid w:val="002764F9"/>
    <w:rsid w:val="002766EA"/>
    <w:rsid w:val="00276992"/>
    <w:rsid w:val="00276B84"/>
    <w:rsid w:val="00276C46"/>
    <w:rsid w:val="00276C60"/>
    <w:rsid w:val="00276FBB"/>
    <w:rsid w:val="002770D4"/>
    <w:rsid w:val="0027732E"/>
    <w:rsid w:val="00280123"/>
    <w:rsid w:val="002807ED"/>
    <w:rsid w:val="00280BAB"/>
    <w:rsid w:val="00280EF8"/>
    <w:rsid w:val="00281216"/>
    <w:rsid w:val="002814D6"/>
    <w:rsid w:val="0028162A"/>
    <w:rsid w:val="00281D39"/>
    <w:rsid w:val="00282974"/>
    <w:rsid w:val="00282C37"/>
    <w:rsid w:val="00282F1F"/>
    <w:rsid w:val="0028359C"/>
    <w:rsid w:val="00283EF6"/>
    <w:rsid w:val="00283F1E"/>
    <w:rsid w:val="00284104"/>
    <w:rsid w:val="00284346"/>
    <w:rsid w:val="0028445F"/>
    <w:rsid w:val="002852A1"/>
    <w:rsid w:val="0028545B"/>
    <w:rsid w:val="002855C7"/>
    <w:rsid w:val="00285BEA"/>
    <w:rsid w:val="00285F55"/>
    <w:rsid w:val="002863C3"/>
    <w:rsid w:val="0028699F"/>
    <w:rsid w:val="00286A6A"/>
    <w:rsid w:val="00286CE0"/>
    <w:rsid w:val="00286EBD"/>
    <w:rsid w:val="002874C4"/>
    <w:rsid w:val="00287ED8"/>
    <w:rsid w:val="00290BBB"/>
    <w:rsid w:val="00291575"/>
    <w:rsid w:val="00291697"/>
    <w:rsid w:val="002916C0"/>
    <w:rsid w:val="00291A9E"/>
    <w:rsid w:val="00292132"/>
    <w:rsid w:val="0029214F"/>
    <w:rsid w:val="0029231A"/>
    <w:rsid w:val="00293342"/>
    <w:rsid w:val="002933DE"/>
    <w:rsid w:val="00293B10"/>
    <w:rsid w:val="00294172"/>
    <w:rsid w:val="002943C2"/>
    <w:rsid w:val="00294A46"/>
    <w:rsid w:val="00294BA7"/>
    <w:rsid w:val="002950F6"/>
    <w:rsid w:val="0029557A"/>
    <w:rsid w:val="00295717"/>
    <w:rsid w:val="00295B37"/>
    <w:rsid w:val="00295DD0"/>
    <w:rsid w:val="00296751"/>
    <w:rsid w:val="00296BC0"/>
    <w:rsid w:val="00296D4F"/>
    <w:rsid w:val="00296EF1"/>
    <w:rsid w:val="00296F5F"/>
    <w:rsid w:val="0029731A"/>
    <w:rsid w:val="002973F0"/>
    <w:rsid w:val="00297498"/>
    <w:rsid w:val="00297EC9"/>
    <w:rsid w:val="002A06E8"/>
    <w:rsid w:val="002A0DEC"/>
    <w:rsid w:val="002A15AA"/>
    <w:rsid w:val="002A1682"/>
    <w:rsid w:val="002A1810"/>
    <w:rsid w:val="002A190D"/>
    <w:rsid w:val="002A190E"/>
    <w:rsid w:val="002A259A"/>
    <w:rsid w:val="002A266C"/>
    <w:rsid w:val="002A26C6"/>
    <w:rsid w:val="002A275A"/>
    <w:rsid w:val="002A31B2"/>
    <w:rsid w:val="002A31BA"/>
    <w:rsid w:val="002A3644"/>
    <w:rsid w:val="002A380A"/>
    <w:rsid w:val="002A399B"/>
    <w:rsid w:val="002A44FA"/>
    <w:rsid w:val="002A4C82"/>
    <w:rsid w:val="002A4DE8"/>
    <w:rsid w:val="002A4EA6"/>
    <w:rsid w:val="002A4F9E"/>
    <w:rsid w:val="002A55CE"/>
    <w:rsid w:val="002A5877"/>
    <w:rsid w:val="002A5B74"/>
    <w:rsid w:val="002A636A"/>
    <w:rsid w:val="002A6374"/>
    <w:rsid w:val="002A6580"/>
    <w:rsid w:val="002A66E6"/>
    <w:rsid w:val="002A6A62"/>
    <w:rsid w:val="002A6DBF"/>
    <w:rsid w:val="002A7903"/>
    <w:rsid w:val="002A7DE3"/>
    <w:rsid w:val="002B0099"/>
    <w:rsid w:val="002B0AC6"/>
    <w:rsid w:val="002B0E2C"/>
    <w:rsid w:val="002B0F99"/>
    <w:rsid w:val="002B1350"/>
    <w:rsid w:val="002B179F"/>
    <w:rsid w:val="002B19CA"/>
    <w:rsid w:val="002B2006"/>
    <w:rsid w:val="002B241D"/>
    <w:rsid w:val="002B2669"/>
    <w:rsid w:val="002B2CF0"/>
    <w:rsid w:val="002B30F1"/>
    <w:rsid w:val="002B314F"/>
    <w:rsid w:val="002B31D5"/>
    <w:rsid w:val="002B3691"/>
    <w:rsid w:val="002B4351"/>
    <w:rsid w:val="002B54AC"/>
    <w:rsid w:val="002B57B1"/>
    <w:rsid w:val="002B58DC"/>
    <w:rsid w:val="002B5DF4"/>
    <w:rsid w:val="002B6073"/>
    <w:rsid w:val="002B64E6"/>
    <w:rsid w:val="002B687D"/>
    <w:rsid w:val="002B6AFE"/>
    <w:rsid w:val="002B6BF2"/>
    <w:rsid w:val="002B6FF5"/>
    <w:rsid w:val="002C0C8E"/>
    <w:rsid w:val="002C0D71"/>
    <w:rsid w:val="002C185F"/>
    <w:rsid w:val="002C288A"/>
    <w:rsid w:val="002C2D8B"/>
    <w:rsid w:val="002C2E8D"/>
    <w:rsid w:val="002C2EF0"/>
    <w:rsid w:val="002C30E5"/>
    <w:rsid w:val="002C32D6"/>
    <w:rsid w:val="002C341E"/>
    <w:rsid w:val="002C34CE"/>
    <w:rsid w:val="002C3622"/>
    <w:rsid w:val="002C3D89"/>
    <w:rsid w:val="002C411E"/>
    <w:rsid w:val="002C43D2"/>
    <w:rsid w:val="002C4D1B"/>
    <w:rsid w:val="002C52EF"/>
    <w:rsid w:val="002C563A"/>
    <w:rsid w:val="002C56E0"/>
    <w:rsid w:val="002C5A3C"/>
    <w:rsid w:val="002C5C77"/>
    <w:rsid w:val="002C5F29"/>
    <w:rsid w:val="002C5F84"/>
    <w:rsid w:val="002C61F2"/>
    <w:rsid w:val="002C660E"/>
    <w:rsid w:val="002C6707"/>
    <w:rsid w:val="002C6815"/>
    <w:rsid w:val="002C692A"/>
    <w:rsid w:val="002C6E43"/>
    <w:rsid w:val="002C6F4F"/>
    <w:rsid w:val="002C6FB7"/>
    <w:rsid w:val="002C7201"/>
    <w:rsid w:val="002C79F1"/>
    <w:rsid w:val="002C7B74"/>
    <w:rsid w:val="002D048A"/>
    <w:rsid w:val="002D14AC"/>
    <w:rsid w:val="002D15CF"/>
    <w:rsid w:val="002D16B9"/>
    <w:rsid w:val="002D1F17"/>
    <w:rsid w:val="002D2870"/>
    <w:rsid w:val="002D35FE"/>
    <w:rsid w:val="002D36E8"/>
    <w:rsid w:val="002D40A6"/>
    <w:rsid w:val="002D42FD"/>
    <w:rsid w:val="002D4630"/>
    <w:rsid w:val="002D49CA"/>
    <w:rsid w:val="002D49FD"/>
    <w:rsid w:val="002D4E1F"/>
    <w:rsid w:val="002D4FF1"/>
    <w:rsid w:val="002D5786"/>
    <w:rsid w:val="002D61E6"/>
    <w:rsid w:val="002D6314"/>
    <w:rsid w:val="002D66AC"/>
    <w:rsid w:val="002D684B"/>
    <w:rsid w:val="002D6BE4"/>
    <w:rsid w:val="002D6C87"/>
    <w:rsid w:val="002D72E3"/>
    <w:rsid w:val="002D76FB"/>
    <w:rsid w:val="002D770A"/>
    <w:rsid w:val="002D7847"/>
    <w:rsid w:val="002D7937"/>
    <w:rsid w:val="002D7EC3"/>
    <w:rsid w:val="002E0343"/>
    <w:rsid w:val="002E0370"/>
    <w:rsid w:val="002E07F2"/>
    <w:rsid w:val="002E0A78"/>
    <w:rsid w:val="002E0F6D"/>
    <w:rsid w:val="002E173B"/>
    <w:rsid w:val="002E1903"/>
    <w:rsid w:val="002E19C0"/>
    <w:rsid w:val="002E1A9D"/>
    <w:rsid w:val="002E1E24"/>
    <w:rsid w:val="002E26A2"/>
    <w:rsid w:val="002E2A82"/>
    <w:rsid w:val="002E376A"/>
    <w:rsid w:val="002E3A68"/>
    <w:rsid w:val="002E41EF"/>
    <w:rsid w:val="002E426E"/>
    <w:rsid w:val="002E4348"/>
    <w:rsid w:val="002E4C18"/>
    <w:rsid w:val="002E4C24"/>
    <w:rsid w:val="002E4D16"/>
    <w:rsid w:val="002E4EA8"/>
    <w:rsid w:val="002E4FBE"/>
    <w:rsid w:val="002E4FCE"/>
    <w:rsid w:val="002E514D"/>
    <w:rsid w:val="002E5843"/>
    <w:rsid w:val="002E58E4"/>
    <w:rsid w:val="002E5C2E"/>
    <w:rsid w:val="002E6C4E"/>
    <w:rsid w:val="002E6C78"/>
    <w:rsid w:val="002E6CDA"/>
    <w:rsid w:val="002E71C1"/>
    <w:rsid w:val="002E7322"/>
    <w:rsid w:val="002E7D65"/>
    <w:rsid w:val="002E7E63"/>
    <w:rsid w:val="002F041F"/>
    <w:rsid w:val="002F0784"/>
    <w:rsid w:val="002F0797"/>
    <w:rsid w:val="002F12A7"/>
    <w:rsid w:val="002F12F4"/>
    <w:rsid w:val="002F162D"/>
    <w:rsid w:val="002F17D8"/>
    <w:rsid w:val="002F1AD5"/>
    <w:rsid w:val="002F1ED8"/>
    <w:rsid w:val="002F206F"/>
    <w:rsid w:val="002F21AE"/>
    <w:rsid w:val="002F2552"/>
    <w:rsid w:val="002F2BB8"/>
    <w:rsid w:val="002F2D0B"/>
    <w:rsid w:val="002F2EB0"/>
    <w:rsid w:val="002F2F0A"/>
    <w:rsid w:val="002F33D3"/>
    <w:rsid w:val="002F33E3"/>
    <w:rsid w:val="002F35AE"/>
    <w:rsid w:val="002F36FD"/>
    <w:rsid w:val="002F3F99"/>
    <w:rsid w:val="002F40AE"/>
    <w:rsid w:val="002F416F"/>
    <w:rsid w:val="002F437B"/>
    <w:rsid w:val="002F44C8"/>
    <w:rsid w:val="002F46E1"/>
    <w:rsid w:val="002F4B13"/>
    <w:rsid w:val="002F4D1B"/>
    <w:rsid w:val="002F576F"/>
    <w:rsid w:val="002F5B92"/>
    <w:rsid w:val="002F6A59"/>
    <w:rsid w:val="002F6A6A"/>
    <w:rsid w:val="002F6CDC"/>
    <w:rsid w:val="002F6F56"/>
    <w:rsid w:val="002F7892"/>
    <w:rsid w:val="002F7FAE"/>
    <w:rsid w:val="003000F7"/>
    <w:rsid w:val="0030038B"/>
    <w:rsid w:val="0030043A"/>
    <w:rsid w:val="003007DC"/>
    <w:rsid w:val="00300A73"/>
    <w:rsid w:val="00300DA7"/>
    <w:rsid w:val="00301041"/>
    <w:rsid w:val="003012D2"/>
    <w:rsid w:val="003019CE"/>
    <w:rsid w:val="00302081"/>
    <w:rsid w:val="00302250"/>
    <w:rsid w:val="00302952"/>
    <w:rsid w:val="0030327A"/>
    <w:rsid w:val="00303791"/>
    <w:rsid w:val="00303CB7"/>
    <w:rsid w:val="00304300"/>
    <w:rsid w:val="00304758"/>
    <w:rsid w:val="00304A71"/>
    <w:rsid w:val="00304AF4"/>
    <w:rsid w:val="00304E9E"/>
    <w:rsid w:val="003050D6"/>
    <w:rsid w:val="00305122"/>
    <w:rsid w:val="00305AD2"/>
    <w:rsid w:val="00306971"/>
    <w:rsid w:val="00306D9E"/>
    <w:rsid w:val="003074D1"/>
    <w:rsid w:val="003076B7"/>
    <w:rsid w:val="00307740"/>
    <w:rsid w:val="00310733"/>
    <w:rsid w:val="00310E72"/>
    <w:rsid w:val="0031100B"/>
    <w:rsid w:val="003113B8"/>
    <w:rsid w:val="003117FB"/>
    <w:rsid w:val="00311FEA"/>
    <w:rsid w:val="0031219E"/>
    <w:rsid w:val="00312447"/>
    <w:rsid w:val="00312A94"/>
    <w:rsid w:val="00312D2B"/>
    <w:rsid w:val="00312D90"/>
    <w:rsid w:val="00313256"/>
    <w:rsid w:val="00313307"/>
    <w:rsid w:val="00313F67"/>
    <w:rsid w:val="00314261"/>
    <w:rsid w:val="003143A2"/>
    <w:rsid w:val="00314764"/>
    <w:rsid w:val="003147D7"/>
    <w:rsid w:val="00314963"/>
    <w:rsid w:val="00314C9F"/>
    <w:rsid w:val="00315016"/>
    <w:rsid w:val="00315350"/>
    <w:rsid w:val="003158E3"/>
    <w:rsid w:val="00315998"/>
    <w:rsid w:val="00315ACE"/>
    <w:rsid w:val="003160EC"/>
    <w:rsid w:val="00316382"/>
    <w:rsid w:val="003165F7"/>
    <w:rsid w:val="00316718"/>
    <w:rsid w:val="0031673A"/>
    <w:rsid w:val="00316AF9"/>
    <w:rsid w:val="00316C54"/>
    <w:rsid w:val="00316E1E"/>
    <w:rsid w:val="00316E3A"/>
    <w:rsid w:val="00316F3B"/>
    <w:rsid w:val="00317039"/>
    <w:rsid w:val="0031766C"/>
    <w:rsid w:val="00317748"/>
    <w:rsid w:val="00317CD1"/>
    <w:rsid w:val="00320217"/>
    <w:rsid w:val="00320950"/>
    <w:rsid w:val="003210B7"/>
    <w:rsid w:val="00321E80"/>
    <w:rsid w:val="003221F7"/>
    <w:rsid w:val="00322412"/>
    <w:rsid w:val="003225C0"/>
    <w:rsid w:val="0032268E"/>
    <w:rsid w:val="00322D20"/>
    <w:rsid w:val="00322EBA"/>
    <w:rsid w:val="0032309D"/>
    <w:rsid w:val="00323342"/>
    <w:rsid w:val="00323559"/>
    <w:rsid w:val="003238DF"/>
    <w:rsid w:val="003241DB"/>
    <w:rsid w:val="0032425B"/>
    <w:rsid w:val="00324735"/>
    <w:rsid w:val="00324A0A"/>
    <w:rsid w:val="00324DF0"/>
    <w:rsid w:val="00325370"/>
    <w:rsid w:val="00325575"/>
    <w:rsid w:val="003256DB"/>
    <w:rsid w:val="00325FA1"/>
    <w:rsid w:val="0032619C"/>
    <w:rsid w:val="00326381"/>
    <w:rsid w:val="00326566"/>
    <w:rsid w:val="00326A6C"/>
    <w:rsid w:val="00326CDF"/>
    <w:rsid w:val="003272DE"/>
    <w:rsid w:val="0032756C"/>
    <w:rsid w:val="003278DE"/>
    <w:rsid w:val="00327D19"/>
    <w:rsid w:val="0033038A"/>
    <w:rsid w:val="003307D9"/>
    <w:rsid w:val="00330D52"/>
    <w:rsid w:val="00331B7A"/>
    <w:rsid w:val="00331ED6"/>
    <w:rsid w:val="003321EC"/>
    <w:rsid w:val="0033269D"/>
    <w:rsid w:val="00332742"/>
    <w:rsid w:val="00332756"/>
    <w:rsid w:val="00332809"/>
    <w:rsid w:val="00332812"/>
    <w:rsid w:val="00333110"/>
    <w:rsid w:val="003332BF"/>
    <w:rsid w:val="00333328"/>
    <w:rsid w:val="00333527"/>
    <w:rsid w:val="0033379E"/>
    <w:rsid w:val="003338C4"/>
    <w:rsid w:val="00333F5C"/>
    <w:rsid w:val="0033438C"/>
    <w:rsid w:val="003344EA"/>
    <w:rsid w:val="003344F5"/>
    <w:rsid w:val="00335156"/>
    <w:rsid w:val="0033531A"/>
    <w:rsid w:val="00335713"/>
    <w:rsid w:val="00335BE1"/>
    <w:rsid w:val="003361F2"/>
    <w:rsid w:val="00336896"/>
    <w:rsid w:val="003368A9"/>
    <w:rsid w:val="00336BA7"/>
    <w:rsid w:val="00336C8E"/>
    <w:rsid w:val="003375E8"/>
    <w:rsid w:val="003375F4"/>
    <w:rsid w:val="00337634"/>
    <w:rsid w:val="003377B0"/>
    <w:rsid w:val="003379A4"/>
    <w:rsid w:val="00337A1F"/>
    <w:rsid w:val="0034056A"/>
    <w:rsid w:val="0034059E"/>
    <w:rsid w:val="003407CB"/>
    <w:rsid w:val="003407DA"/>
    <w:rsid w:val="00340D17"/>
    <w:rsid w:val="00340DA0"/>
    <w:rsid w:val="00341C3A"/>
    <w:rsid w:val="003427DB"/>
    <w:rsid w:val="00342E2D"/>
    <w:rsid w:val="00343710"/>
    <w:rsid w:val="003438B2"/>
    <w:rsid w:val="00344410"/>
    <w:rsid w:val="00344491"/>
    <w:rsid w:val="00344580"/>
    <w:rsid w:val="00345353"/>
    <w:rsid w:val="0034538E"/>
    <w:rsid w:val="00345821"/>
    <w:rsid w:val="00345860"/>
    <w:rsid w:val="0034596D"/>
    <w:rsid w:val="00345AFB"/>
    <w:rsid w:val="00345E3B"/>
    <w:rsid w:val="00346312"/>
    <w:rsid w:val="003468E4"/>
    <w:rsid w:val="00346B5D"/>
    <w:rsid w:val="003478C1"/>
    <w:rsid w:val="00347F23"/>
    <w:rsid w:val="00347F2C"/>
    <w:rsid w:val="00350039"/>
    <w:rsid w:val="0035109E"/>
    <w:rsid w:val="00351381"/>
    <w:rsid w:val="00351A9D"/>
    <w:rsid w:val="003524D6"/>
    <w:rsid w:val="0035259A"/>
    <w:rsid w:val="003529BD"/>
    <w:rsid w:val="0035355A"/>
    <w:rsid w:val="003535D4"/>
    <w:rsid w:val="00353664"/>
    <w:rsid w:val="0035374D"/>
    <w:rsid w:val="0035386A"/>
    <w:rsid w:val="00353A4B"/>
    <w:rsid w:val="00353F69"/>
    <w:rsid w:val="00354659"/>
    <w:rsid w:val="00354E32"/>
    <w:rsid w:val="00354F91"/>
    <w:rsid w:val="00355A9F"/>
    <w:rsid w:val="00355BC2"/>
    <w:rsid w:val="00355DCC"/>
    <w:rsid w:val="00356081"/>
    <w:rsid w:val="003566DB"/>
    <w:rsid w:val="00356971"/>
    <w:rsid w:val="00356CE8"/>
    <w:rsid w:val="00356F02"/>
    <w:rsid w:val="003576FA"/>
    <w:rsid w:val="00357E72"/>
    <w:rsid w:val="003600D3"/>
    <w:rsid w:val="003608D5"/>
    <w:rsid w:val="00360AAE"/>
    <w:rsid w:val="00360E0C"/>
    <w:rsid w:val="0036121A"/>
    <w:rsid w:val="0036158C"/>
    <w:rsid w:val="003618B8"/>
    <w:rsid w:val="00361BA5"/>
    <w:rsid w:val="00361BF6"/>
    <w:rsid w:val="003641F8"/>
    <w:rsid w:val="00364377"/>
    <w:rsid w:val="00364984"/>
    <w:rsid w:val="00364C5F"/>
    <w:rsid w:val="00364EFC"/>
    <w:rsid w:val="0036539A"/>
    <w:rsid w:val="003654CF"/>
    <w:rsid w:val="003658F2"/>
    <w:rsid w:val="00365E5D"/>
    <w:rsid w:val="00365F4F"/>
    <w:rsid w:val="0036633F"/>
    <w:rsid w:val="003663B7"/>
    <w:rsid w:val="003663DF"/>
    <w:rsid w:val="003665AB"/>
    <w:rsid w:val="003665F5"/>
    <w:rsid w:val="0036682D"/>
    <w:rsid w:val="00366DEE"/>
    <w:rsid w:val="0036787B"/>
    <w:rsid w:val="00367936"/>
    <w:rsid w:val="00367979"/>
    <w:rsid w:val="00367A45"/>
    <w:rsid w:val="0037017A"/>
    <w:rsid w:val="00370933"/>
    <w:rsid w:val="00370E01"/>
    <w:rsid w:val="00372493"/>
    <w:rsid w:val="00372B68"/>
    <w:rsid w:val="00372F72"/>
    <w:rsid w:val="00372FBC"/>
    <w:rsid w:val="0037339B"/>
    <w:rsid w:val="00373B78"/>
    <w:rsid w:val="00373D24"/>
    <w:rsid w:val="00373E59"/>
    <w:rsid w:val="00374156"/>
    <w:rsid w:val="00374715"/>
    <w:rsid w:val="00374AB4"/>
    <w:rsid w:val="00374DC3"/>
    <w:rsid w:val="003753E9"/>
    <w:rsid w:val="0037548F"/>
    <w:rsid w:val="00375CCC"/>
    <w:rsid w:val="00376458"/>
    <w:rsid w:val="0037645F"/>
    <w:rsid w:val="0037652C"/>
    <w:rsid w:val="0037715D"/>
    <w:rsid w:val="003771F2"/>
    <w:rsid w:val="00377695"/>
    <w:rsid w:val="00377B83"/>
    <w:rsid w:val="00377DA9"/>
    <w:rsid w:val="003800A3"/>
    <w:rsid w:val="0038038C"/>
    <w:rsid w:val="00380538"/>
    <w:rsid w:val="0038074B"/>
    <w:rsid w:val="003812C3"/>
    <w:rsid w:val="00381386"/>
    <w:rsid w:val="00381411"/>
    <w:rsid w:val="00381983"/>
    <w:rsid w:val="00381C56"/>
    <w:rsid w:val="00381DE2"/>
    <w:rsid w:val="00381FC4"/>
    <w:rsid w:val="003820A8"/>
    <w:rsid w:val="00382161"/>
    <w:rsid w:val="00382396"/>
    <w:rsid w:val="00382D5E"/>
    <w:rsid w:val="00382F59"/>
    <w:rsid w:val="00382F84"/>
    <w:rsid w:val="00383025"/>
    <w:rsid w:val="003830BB"/>
    <w:rsid w:val="0038378D"/>
    <w:rsid w:val="00384033"/>
    <w:rsid w:val="003844EF"/>
    <w:rsid w:val="00384756"/>
    <w:rsid w:val="00384C1F"/>
    <w:rsid w:val="00384F85"/>
    <w:rsid w:val="003850E4"/>
    <w:rsid w:val="0038511F"/>
    <w:rsid w:val="0038588B"/>
    <w:rsid w:val="00385AC0"/>
    <w:rsid w:val="00385AE7"/>
    <w:rsid w:val="00385B6A"/>
    <w:rsid w:val="00385BEA"/>
    <w:rsid w:val="00385D98"/>
    <w:rsid w:val="00385E1B"/>
    <w:rsid w:val="0038602F"/>
    <w:rsid w:val="0038685B"/>
    <w:rsid w:val="003868CB"/>
    <w:rsid w:val="00386B0B"/>
    <w:rsid w:val="0038783F"/>
    <w:rsid w:val="00387B07"/>
    <w:rsid w:val="00387DB4"/>
    <w:rsid w:val="003902B8"/>
    <w:rsid w:val="00390352"/>
    <w:rsid w:val="003903BE"/>
    <w:rsid w:val="0039088C"/>
    <w:rsid w:val="00390F2B"/>
    <w:rsid w:val="00390FD3"/>
    <w:rsid w:val="003912E0"/>
    <w:rsid w:val="003914AD"/>
    <w:rsid w:val="00391A3E"/>
    <w:rsid w:val="00391DE5"/>
    <w:rsid w:val="00392508"/>
    <w:rsid w:val="0039261C"/>
    <w:rsid w:val="003926B6"/>
    <w:rsid w:val="00392816"/>
    <w:rsid w:val="00393352"/>
    <w:rsid w:val="003935A8"/>
    <w:rsid w:val="003936D8"/>
    <w:rsid w:val="003939D6"/>
    <w:rsid w:val="00393A33"/>
    <w:rsid w:val="00393A43"/>
    <w:rsid w:val="00393DB0"/>
    <w:rsid w:val="00394136"/>
    <w:rsid w:val="00394301"/>
    <w:rsid w:val="00394542"/>
    <w:rsid w:val="00394FFE"/>
    <w:rsid w:val="003955EC"/>
    <w:rsid w:val="003958AD"/>
    <w:rsid w:val="00396A10"/>
    <w:rsid w:val="00396AFF"/>
    <w:rsid w:val="00397507"/>
    <w:rsid w:val="0039773C"/>
    <w:rsid w:val="00397784"/>
    <w:rsid w:val="00397796"/>
    <w:rsid w:val="00397FFC"/>
    <w:rsid w:val="003A00D5"/>
    <w:rsid w:val="003A00F3"/>
    <w:rsid w:val="003A0603"/>
    <w:rsid w:val="003A08F4"/>
    <w:rsid w:val="003A0A05"/>
    <w:rsid w:val="003A0CE6"/>
    <w:rsid w:val="003A0E78"/>
    <w:rsid w:val="003A1A8F"/>
    <w:rsid w:val="003A1D06"/>
    <w:rsid w:val="003A2125"/>
    <w:rsid w:val="003A27A7"/>
    <w:rsid w:val="003A28EB"/>
    <w:rsid w:val="003A2AFA"/>
    <w:rsid w:val="003A2BA6"/>
    <w:rsid w:val="003A2E99"/>
    <w:rsid w:val="003A2EE8"/>
    <w:rsid w:val="003A31AB"/>
    <w:rsid w:val="003A385C"/>
    <w:rsid w:val="003A3C2A"/>
    <w:rsid w:val="003A43EE"/>
    <w:rsid w:val="003A46FB"/>
    <w:rsid w:val="003A4DFD"/>
    <w:rsid w:val="003A4E04"/>
    <w:rsid w:val="003A502E"/>
    <w:rsid w:val="003A53AE"/>
    <w:rsid w:val="003A5B84"/>
    <w:rsid w:val="003A5BD9"/>
    <w:rsid w:val="003A5F65"/>
    <w:rsid w:val="003A5F6D"/>
    <w:rsid w:val="003A639A"/>
    <w:rsid w:val="003A663B"/>
    <w:rsid w:val="003A6DA2"/>
    <w:rsid w:val="003A6E4A"/>
    <w:rsid w:val="003A7626"/>
    <w:rsid w:val="003A7769"/>
    <w:rsid w:val="003A7AA1"/>
    <w:rsid w:val="003A7D9C"/>
    <w:rsid w:val="003B0217"/>
    <w:rsid w:val="003B089D"/>
    <w:rsid w:val="003B0BDF"/>
    <w:rsid w:val="003B1082"/>
    <w:rsid w:val="003B1244"/>
    <w:rsid w:val="003B129F"/>
    <w:rsid w:val="003B136D"/>
    <w:rsid w:val="003B1A87"/>
    <w:rsid w:val="003B1E5D"/>
    <w:rsid w:val="003B227F"/>
    <w:rsid w:val="003B245A"/>
    <w:rsid w:val="003B2715"/>
    <w:rsid w:val="003B2EB8"/>
    <w:rsid w:val="003B3780"/>
    <w:rsid w:val="003B3883"/>
    <w:rsid w:val="003B38E9"/>
    <w:rsid w:val="003B3A74"/>
    <w:rsid w:val="003B3B0E"/>
    <w:rsid w:val="003B3BBE"/>
    <w:rsid w:val="003B4A74"/>
    <w:rsid w:val="003B4F8E"/>
    <w:rsid w:val="003B523C"/>
    <w:rsid w:val="003B54D8"/>
    <w:rsid w:val="003B586D"/>
    <w:rsid w:val="003B5E06"/>
    <w:rsid w:val="003B5FB6"/>
    <w:rsid w:val="003B6366"/>
    <w:rsid w:val="003B6518"/>
    <w:rsid w:val="003B6769"/>
    <w:rsid w:val="003B68D3"/>
    <w:rsid w:val="003B6A56"/>
    <w:rsid w:val="003B6C06"/>
    <w:rsid w:val="003B7005"/>
    <w:rsid w:val="003B732C"/>
    <w:rsid w:val="003B73DF"/>
    <w:rsid w:val="003B7400"/>
    <w:rsid w:val="003B7421"/>
    <w:rsid w:val="003B7E5C"/>
    <w:rsid w:val="003C004E"/>
    <w:rsid w:val="003C01E5"/>
    <w:rsid w:val="003C0835"/>
    <w:rsid w:val="003C1637"/>
    <w:rsid w:val="003C17C7"/>
    <w:rsid w:val="003C1A3D"/>
    <w:rsid w:val="003C1AA3"/>
    <w:rsid w:val="003C208E"/>
    <w:rsid w:val="003C20E8"/>
    <w:rsid w:val="003C2119"/>
    <w:rsid w:val="003C312C"/>
    <w:rsid w:val="003C33D9"/>
    <w:rsid w:val="003C3982"/>
    <w:rsid w:val="003C4741"/>
    <w:rsid w:val="003C4861"/>
    <w:rsid w:val="003C4B7B"/>
    <w:rsid w:val="003C4D78"/>
    <w:rsid w:val="003C4DD1"/>
    <w:rsid w:val="003C4EA7"/>
    <w:rsid w:val="003C4FE7"/>
    <w:rsid w:val="003C549B"/>
    <w:rsid w:val="003C54C9"/>
    <w:rsid w:val="003C5795"/>
    <w:rsid w:val="003C5CFD"/>
    <w:rsid w:val="003C6230"/>
    <w:rsid w:val="003C65F1"/>
    <w:rsid w:val="003C66B8"/>
    <w:rsid w:val="003C66D6"/>
    <w:rsid w:val="003C67A2"/>
    <w:rsid w:val="003C67C9"/>
    <w:rsid w:val="003C689D"/>
    <w:rsid w:val="003C6D2E"/>
    <w:rsid w:val="003C6F61"/>
    <w:rsid w:val="003C74C3"/>
    <w:rsid w:val="003C776F"/>
    <w:rsid w:val="003C7930"/>
    <w:rsid w:val="003C7D58"/>
    <w:rsid w:val="003C7E48"/>
    <w:rsid w:val="003C7EBB"/>
    <w:rsid w:val="003D0033"/>
    <w:rsid w:val="003D02EC"/>
    <w:rsid w:val="003D05CF"/>
    <w:rsid w:val="003D167F"/>
    <w:rsid w:val="003D1C40"/>
    <w:rsid w:val="003D1DB6"/>
    <w:rsid w:val="003D1DEE"/>
    <w:rsid w:val="003D2399"/>
    <w:rsid w:val="003D2A44"/>
    <w:rsid w:val="003D2FE0"/>
    <w:rsid w:val="003D30CC"/>
    <w:rsid w:val="003D33C1"/>
    <w:rsid w:val="003D351F"/>
    <w:rsid w:val="003D3AA5"/>
    <w:rsid w:val="003D450A"/>
    <w:rsid w:val="003D4ECE"/>
    <w:rsid w:val="003D4F52"/>
    <w:rsid w:val="003D51BF"/>
    <w:rsid w:val="003D57B5"/>
    <w:rsid w:val="003D582C"/>
    <w:rsid w:val="003D5B90"/>
    <w:rsid w:val="003D5D4F"/>
    <w:rsid w:val="003D5EBD"/>
    <w:rsid w:val="003D60B3"/>
    <w:rsid w:val="003D658F"/>
    <w:rsid w:val="003D683F"/>
    <w:rsid w:val="003D7EFF"/>
    <w:rsid w:val="003E0233"/>
    <w:rsid w:val="003E1284"/>
    <w:rsid w:val="003E1DBC"/>
    <w:rsid w:val="003E1E3B"/>
    <w:rsid w:val="003E2A70"/>
    <w:rsid w:val="003E3293"/>
    <w:rsid w:val="003E36D1"/>
    <w:rsid w:val="003E36DC"/>
    <w:rsid w:val="003E3B49"/>
    <w:rsid w:val="003E3FF5"/>
    <w:rsid w:val="003E43EE"/>
    <w:rsid w:val="003E47D7"/>
    <w:rsid w:val="003E4929"/>
    <w:rsid w:val="003E4B9A"/>
    <w:rsid w:val="003E512F"/>
    <w:rsid w:val="003E5441"/>
    <w:rsid w:val="003E56B7"/>
    <w:rsid w:val="003E5F6C"/>
    <w:rsid w:val="003E6473"/>
    <w:rsid w:val="003E7030"/>
    <w:rsid w:val="003E79D8"/>
    <w:rsid w:val="003E7D17"/>
    <w:rsid w:val="003E7D53"/>
    <w:rsid w:val="003F017A"/>
    <w:rsid w:val="003F0722"/>
    <w:rsid w:val="003F0942"/>
    <w:rsid w:val="003F131D"/>
    <w:rsid w:val="003F1DDD"/>
    <w:rsid w:val="003F25D0"/>
    <w:rsid w:val="003F2AB7"/>
    <w:rsid w:val="003F2B05"/>
    <w:rsid w:val="003F2B9B"/>
    <w:rsid w:val="003F34DC"/>
    <w:rsid w:val="003F38B0"/>
    <w:rsid w:val="003F39F6"/>
    <w:rsid w:val="003F3D9C"/>
    <w:rsid w:val="003F3DC5"/>
    <w:rsid w:val="003F3E7C"/>
    <w:rsid w:val="003F3EC3"/>
    <w:rsid w:val="003F4BE2"/>
    <w:rsid w:val="003F4CE9"/>
    <w:rsid w:val="003F55D2"/>
    <w:rsid w:val="003F589D"/>
    <w:rsid w:val="003F59F3"/>
    <w:rsid w:val="003F5CE5"/>
    <w:rsid w:val="003F608D"/>
    <w:rsid w:val="003F60A3"/>
    <w:rsid w:val="003F69BF"/>
    <w:rsid w:val="003F6C33"/>
    <w:rsid w:val="003F71F4"/>
    <w:rsid w:val="003F7734"/>
    <w:rsid w:val="003F7D4F"/>
    <w:rsid w:val="003F7F14"/>
    <w:rsid w:val="00400277"/>
    <w:rsid w:val="0040049D"/>
    <w:rsid w:val="004004B7"/>
    <w:rsid w:val="00400643"/>
    <w:rsid w:val="00400671"/>
    <w:rsid w:val="00400D73"/>
    <w:rsid w:val="00401167"/>
    <w:rsid w:val="00401451"/>
    <w:rsid w:val="004017CB"/>
    <w:rsid w:val="00401D66"/>
    <w:rsid w:val="00402162"/>
    <w:rsid w:val="00402198"/>
    <w:rsid w:val="004027F5"/>
    <w:rsid w:val="00402B0C"/>
    <w:rsid w:val="004034D3"/>
    <w:rsid w:val="0040367D"/>
    <w:rsid w:val="00403765"/>
    <w:rsid w:val="004037A3"/>
    <w:rsid w:val="004037C5"/>
    <w:rsid w:val="00404105"/>
    <w:rsid w:val="00404C9B"/>
    <w:rsid w:val="00404FE3"/>
    <w:rsid w:val="00405129"/>
    <w:rsid w:val="00405A8E"/>
    <w:rsid w:val="0040615A"/>
    <w:rsid w:val="00406606"/>
    <w:rsid w:val="004066AA"/>
    <w:rsid w:val="00406AFA"/>
    <w:rsid w:val="00406B9E"/>
    <w:rsid w:val="00406F89"/>
    <w:rsid w:val="0040794C"/>
    <w:rsid w:val="00410194"/>
    <w:rsid w:val="00410B45"/>
    <w:rsid w:val="00410FBF"/>
    <w:rsid w:val="00411335"/>
    <w:rsid w:val="00411362"/>
    <w:rsid w:val="00411A83"/>
    <w:rsid w:val="00411D58"/>
    <w:rsid w:val="004126AF"/>
    <w:rsid w:val="00412762"/>
    <w:rsid w:val="0041279D"/>
    <w:rsid w:val="00412893"/>
    <w:rsid w:val="00412A22"/>
    <w:rsid w:val="00412AFA"/>
    <w:rsid w:val="00413033"/>
    <w:rsid w:val="004136DB"/>
    <w:rsid w:val="00413BC0"/>
    <w:rsid w:val="00413BC4"/>
    <w:rsid w:val="00413FB0"/>
    <w:rsid w:val="00414A79"/>
    <w:rsid w:val="00414BFB"/>
    <w:rsid w:val="00414DC5"/>
    <w:rsid w:val="00414EB9"/>
    <w:rsid w:val="00414F47"/>
    <w:rsid w:val="004150D0"/>
    <w:rsid w:val="0041512C"/>
    <w:rsid w:val="004152D8"/>
    <w:rsid w:val="00415326"/>
    <w:rsid w:val="004156B0"/>
    <w:rsid w:val="00415C00"/>
    <w:rsid w:val="00415D50"/>
    <w:rsid w:val="00415D65"/>
    <w:rsid w:val="00416303"/>
    <w:rsid w:val="00416385"/>
    <w:rsid w:val="00416500"/>
    <w:rsid w:val="004165C2"/>
    <w:rsid w:val="00416767"/>
    <w:rsid w:val="004167E5"/>
    <w:rsid w:val="00416C66"/>
    <w:rsid w:val="00416E90"/>
    <w:rsid w:val="00416F37"/>
    <w:rsid w:val="00416F42"/>
    <w:rsid w:val="0041710A"/>
    <w:rsid w:val="004175C7"/>
    <w:rsid w:val="0041766E"/>
    <w:rsid w:val="00417C6E"/>
    <w:rsid w:val="00417C7E"/>
    <w:rsid w:val="00420407"/>
    <w:rsid w:val="00420D5A"/>
    <w:rsid w:val="00420EE1"/>
    <w:rsid w:val="00420F5A"/>
    <w:rsid w:val="00420F7F"/>
    <w:rsid w:val="0042124F"/>
    <w:rsid w:val="0042144E"/>
    <w:rsid w:val="00421D5C"/>
    <w:rsid w:val="00422876"/>
    <w:rsid w:val="004228B7"/>
    <w:rsid w:val="00422913"/>
    <w:rsid w:val="00422D38"/>
    <w:rsid w:val="0042329B"/>
    <w:rsid w:val="00423505"/>
    <w:rsid w:val="0042356A"/>
    <w:rsid w:val="004235D9"/>
    <w:rsid w:val="004235DC"/>
    <w:rsid w:val="004236D6"/>
    <w:rsid w:val="00423A5B"/>
    <w:rsid w:val="00424217"/>
    <w:rsid w:val="00424313"/>
    <w:rsid w:val="0042437B"/>
    <w:rsid w:val="00425212"/>
    <w:rsid w:val="004257AB"/>
    <w:rsid w:val="00425948"/>
    <w:rsid w:val="00425B7C"/>
    <w:rsid w:val="00425BA2"/>
    <w:rsid w:val="00425FD2"/>
    <w:rsid w:val="00426A80"/>
    <w:rsid w:val="00426DAF"/>
    <w:rsid w:val="00426DB5"/>
    <w:rsid w:val="0042717B"/>
    <w:rsid w:val="004273DF"/>
    <w:rsid w:val="004274E3"/>
    <w:rsid w:val="004279B5"/>
    <w:rsid w:val="00427A75"/>
    <w:rsid w:val="00427BD4"/>
    <w:rsid w:val="00427CFE"/>
    <w:rsid w:val="00430A03"/>
    <w:rsid w:val="00430A2A"/>
    <w:rsid w:val="00430F38"/>
    <w:rsid w:val="00431066"/>
    <w:rsid w:val="00431175"/>
    <w:rsid w:val="004311D2"/>
    <w:rsid w:val="00432BC3"/>
    <w:rsid w:val="00432DF2"/>
    <w:rsid w:val="00432E80"/>
    <w:rsid w:val="00433029"/>
    <w:rsid w:val="004330D7"/>
    <w:rsid w:val="0043338D"/>
    <w:rsid w:val="0043379E"/>
    <w:rsid w:val="00433B89"/>
    <w:rsid w:val="00433F8A"/>
    <w:rsid w:val="00434C60"/>
    <w:rsid w:val="00434F90"/>
    <w:rsid w:val="00435464"/>
    <w:rsid w:val="00435635"/>
    <w:rsid w:val="0043577C"/>
    <w:rsid w:val="0043593E"/>
    <w:rsid w:val="00435D7A"/>
    <w:rsid w:val="00435ECD"/>
    <w:rsid w:val="00435ED4"/>
    <w:rsid w:val="00436055"/>
    <w:rsid w:val="00436127"/>
    <w:rsid w:val="00436182"/>
    <w:rsid w:val="00436610"/>
    <w:rsid w:val="004367D8"/>
    <w:rsid w:val="004368AB"/>
    <w:rsid w:val="004371C7"/>
    <w:rsid w:val="00437274"/>
    <w:rsid w:val="00437288"/>
    <w:rsid w:val="0043728F"/>
    <w:rsid w:val="00437684"/>
    <w:rsid w:val="004379A9"/>
    <w:rsid w:val="00437C46"/>
    <w:rsid w:val="00437F0E"/>
    <w:rsid w:val="00437F77"/>
    <w:rsid w:val="0044091D"/>
    <w:rsid w:val="00440BFB"/>
    <w:rsid w:val="00441691"/>
    <w:rsid w:val="00441A22"/>
    <w:rsid w:val="00442468"/>
    <w:rsid w:val="004426D1"/>
    <w:rsid w:val="00442A74"/>
    <w:rsid w:val="00442A9B"/>
    <w:rsid w:val="00443E64"/>
    <w:rsid w:val="00444676"/>
    <w:rsid w:val="004446AC"/>
    <w:rsid w:val="00444917"/>
    <w:rsid w:val="00444ADB"/>
    <w:rsid w:val="00444E9E"/>
    <w:rsid w:val="00444EA7"/>
    <w:rsid w:val="00444F3F"/>
    <w:rsid w:val="00445561"/>
    <w:rsid w:val="00445593"/>
    <w:rsid w:val="004455A0"/>
    <w:rsid w:val="00446E87"/>
    <w:rsid w:val="004475A4"/>
    <w:rsid w:val="00447854"/>
    <w:rsid w:val="00447873"/>
    <w:rsid w:val="00447B33"/>
    <w:rsid w:val="00450246"/>
    <w:rsid w:val="0045069D"/>
    <w:rsid w:val="00450EB9"/>
    <w:rsid w:val="00451876"/>
    <w:rsid w:val="00451AB6"/>
    <w:rsid w:val="00451AE0"/>
    <w:rsid w:val="00451C70"/>
    <w:rsid w:val="00452189"/>
    <w:rsid w:val="00452519"/>
    <w:rsid w:val="0045268C"/>
    <w:rsid w:val="004528A4"/>
    <w:rsid w:val="00452BBF"/>
    <w:rsid w:val="00452C38"/>
    <w:rsid w:val="00452DE6"/>
    <w:rsid w:val="00452F43"/>
    <w:rsid w:val="004533CB"/>
    <w:rsid w:val="00453484"/>
    <w:rsid w:val="004534C7"/>
    <w:rsid w:val="00453E5C"/>
    <w:rsid w:val="004545E0"/>
    <w:rsid w:val="00454D72"/>
    <w:rsid w:val="00454E5C"/>
    <w:rsid w:val="00454EC1"/>
    <w:rsid w:val="0045522F"/>
    <w:rsid w:val="004553CA"/>
    <w:rsid w:val="00455554"/>
    <w:rsid w:val="00455665"/>
    <w:rsid w:val="00455783"/>
    <w:rsid w:val="00455B2D"/>
    <w:rsid w:val="00455B7A"/>
    <w:rsid w:val="00455C7B"/>
    <w:rsid w:val="00455CB5"/>
    <w:rsid w:val="00455DD4"/>
    <w:rsid w:val="00456E05"/>
    <w:rsid w:val="00456FE7"/>
    <w:rsid w:val="00457070"/>
    <w:rsid w:val="00457A24"/>
    <w:rsid w:val="00457AFC"/>
    <w:rsid w:val="00457FBE"/>
    <w:rsid w:val="00460161"/>
    <w:rsid w:val="0046043B"/>
    <w:rsid w:val="00460CCA"/>
    <w:rsid w:val="00460CF3"/>
    <w:rsid w:val="00460E29"/>
    <w:rsid w:val="00460FA3"/>
    <w:rsid w:val="00461078"/>
    <w:rsid w:val="0046128E"/>
    <w:rsid w:val="004615BA"/>
    <w:rsid w:val="004615F7"/>
    <w:rsid w:val="00461EE6"/>
    <w:rsid w:val="00462220"/>
    <w:rsid w:val="004627EC"/>
    <w:rsid w:val="00462B96"/>
    <w:rsid w:val="00462E75"/>
    <w:rsid w:val="00462FE7"/>
    <w:rsid w:val="0046379D"/>
    <w:rsid w:val="00463B86"/>
    <w:rsid w:val="00464136"/>
    <w:rsid w:val="00464F90"/>
    <w:rsid w:val="00464F9C"/>
    <w:rsid w:val="00465811"/>
    <w:rsid w:val="00465852"/>
    <w:rsid w:val="00466319"/>
    <w:rsid w:val="004665DA"/>
    <w:rsid w:val="00467173"/>
    <w:rsid w:val="00467183"/>
    <w:rsid w:val="004676B8"/>
    <w:rsid w:val="0046799C"/>
    <w:rsid w:val="00467AA3"/>
    <w:rsid w:val="00467CBD"/>
    <w:rsid w:val="00467E73"/>
    <w:rsid w:val="00470AFD"/>
    <w:rsid w:val="00470D77"/>
    <w:rsid w:val="00470E05"/>
    <w:rsid w:val="004712F5"/>
    <w:rsid w:val="004714FD"/>
    <w:rsid w:val="004716C9"/>
    <w:rsid w:val="00471BF4"/>
    <w:rsid w:val="00471CAB"/>
    <w:rsid w:val="00471EAF"/>
    <w:rsid w:val="004724EA"/>
    <w:rsid w:val="0047255E"/>
    <w:rsid w:val="004725C5"/>
    <w:rsid w:val="0047277C"/>
    <w:rsid w:val="004729AB"/>
    <w:rsid w:val="00473232"/>
    <w:rsid w:val="00473597"/>
    <w:rsid w:val="00473BB6"/>
    <w:rsid w:val="0047403A"/>
    <w:rsid w:val="00474313"/>
    <w:rsid w:val="0047448F"/>
    <w:rsid w:val="00474E29"/>
    <w:rsid w:val="004756A2"/>
    <w:rsid w:val="00475E82"/>
    <w:rsid w:val="004761B1"/>
    <w:rsid w:val="0047683D"/>
    <w:rsid w:val="00476904"/>
    <w:rsid w:val="00476CAE"/>
    <w:rsid w:val="004771F3"/>
    <w:rsid w:val="00477884"/>
    <w:rsid w:val="00480356"/>
    <w:rsid w:val="00480CBF"/>
    <w:rsid w:val="00480F1B"/>
    <w:rsid w:val="0048177D"/>
    <w:rsid w:val="00482129"/>
    <w:rsid w:val="00482A0A"/>
    <w:rsid w:val="0048302D"/>
    <w:rsid w:val="0048309A"/>
    <w:rsid w:val="00483180"/>
    <w:rsid w:val="00483928"/>
    <w:rsid w:val="00483CB5"/>
    <w:rsid w:val="00483FA3"/>
    <w:rsid w:val="00484013"/>
    <w:rsid w:val="004840DB"/>
    <w:rsid w:val="0048429B"/>
    <w:rsid w:val="00484319"/>
    <w:rsid w:val="0048434B"/>
    <w:rsid w:val="00484704"/>
    <w:rsid w:val="00484E77"/>
    <w:rsid w:val="00484FC7"/>
    <w:rsid w:val="00485330"/>
    <w:rsid w:val="00485529"/>
    <w:rsid w:val="00485C6B"/>
    <w:rsid w:val="00486094"/>
    <w:rsid w:val="004860E6"/>
    <w:rsid w:val="00486173"/>
    <w:rsid w:val="00486364"/>
    <w:rsid w:val="00486568"/>
    <w:rsid w:val="00486869"/>
    <w:rsid w:val="004868F4"/>
    <w:rsid w:val="0048697E"/>
    <w:rsid w:val="00486B23"/>
    <w:rsid w:val="00486F0C"/>
    <w:rsid w:val="0048757A"/>
    <w:rsid w:val="00487AB8"/>
    <w:rsid w:val="004906D4"/>
    <w:rsid w:val="0049106D"/>
    <w:rsid w:val="00491766"/>
    <w:rsid w:val="004919AF"/>
    <w:rsid w:val="00491B2C"/>
    <w:rsid w:val="00491CC9"/>
    <w:rsid w:val="00491D6B"/>
    <w:rsid w:val="00491EC5"/>
    <w:rsid w:val="0049245D"/>
    <w:rsid w:val="00492771"/>
    <w:rsid w:val="0049296B"/>
    <w:rsid w:val="0049314A"/>
    <w:rsid w:val="0049361C"/>
    <w:rsid w:val="00493DD7"/>
    <w:rsid w:val="00493DFC"/>
    <w:rsid w:val="00494649"/>
    <w:rsid w:val="0049497F"/>
    <w:rsid w:val="00494A15"/>
    <w:rsid w:val="00494C1E"/>
    <w:rsid w:val="004951A1"/>
    <w:rsid w:val="0049539A"/>
    <w:rsid w:val="0049540C"/>
    <w:rsid w:val="00495AB5"/>
    <w:rsid w:val="00496269"/>
    <w:rsid w:val="00496B5C"/>
    <w:rsid w:val="00496F39"/>
    <w:rsid w:val="004973BA"/>
    <w:rsid w:val="004A017F"/>
    <w:rsid w:val="004A056F"/>
    <w:rsid w:val="004A0A82"/>
    <w:rsid w:val="004A0C23"/>
    <w:rsid w:val="004A0D49"/>
    <w:rsid w:val="004A115A"/>
    <w:rsid w:val="004A153F"/>
    <w:rsid w:val="004A19CB"/>
    <w:rsid w:val="004A1B3F"/>
    <w:rsid w:val="004A1BE5"/>
    <w:rsid w:val="004A276E"/>
    <w:rsid w:val="004A39DC"/>
    <w:rsid w:val="004A3A04"/>
    <w:rsid w:val="004A3C80"/>
    <w:rsid w:val="004A3E7F"/>
    <w:rsid w:val="004A3F72"/>
    <w:rsid w:val="004A4055"/>
    <w:rsid w:val="004A438C"/>
    <w:rsid w:val="004A474E"/>
    <w:rsid w:val="004A4795"/>
    <w:rsid w:val="004A488B"/>
    <w:rsid w:val="004A4E5D"/>
    <w:rsid w:val="004A4F42"/>
    <w:rsid w:val="004A506D"/>
    <w:rsid w:val="004A5177"/>
    <w:rsid w:val="004A5327"/>
    <w:rsid w:val="004A53F0"/>
    <w:rsid w:val="004A5711"/>
    <w:rsid w:val="004A5B9E"/>
    <w:rsid w:val="004A5D0E"/>
    <w:rsid w:val="004A5D17"/>
    <w:rsid w:val="004A6001"/>
    <w:rsid w:val="004A6315"/>
    <w:rsid w:val="004A688F"/>
    <w:rsid w:val="004A6A24"/>
    <w:rsid w:val="004A6D65"/>
    <w:rsid w:val="004A7604"/>
    <w:rsid w:val="004B088F"/>
    <w:rsid w:val="004B0A43"/>
    <w:rsid w:val="004B0AE3"/>
    <w:rsid w:val="004B0CA8"/>
    <w:rsid w:val="004B0E58"/>
    <w:rsid w:val="004B1107"/>
    <w:rsid w:val="004B181A"/>
    <w:rsid w:val="004B1973"/>
    <w:rsid w:val="004B1A41"/>
    <w:rsid w:val="004B1D04"/>
    <w:rsid w:val="004B20F8"/>
    <w:rsid w:val="004B2519"/>
    <w:rsid w:val="004B28A3"/>
    <w:rsid w:val="004B29D9"/>
    <w:rsid w:val="004B2B86"/>
    <w:rsid w:val="004B2BDF"/>
    <w:rsid w:val="004B310E"/>
    <w:rsid w:val="004B31C9"/>
    <w:rsid w:val="004B352B"/>
    <w:rsid w:val="004B3767"/>
    <w:rsid w:val="004B38F0"/>
    <w:rsid w:val="004B3960"/>
    <w:rsid w:val="004B3987"/>
    <w:rsid w:val="004B3A63"/>
    <w:rsid w:val="004B3BEC"/>
    <w:rsid w:val="004B4041"/>
    <w:rsid w:val="004B428D"/>
    <w:rsid w:val="004B4D87"/>
    <w:rsid w:val="004B50C1"/>
    <w:rsid w:val="004B5289"/>
    <w:rsid w:val="004B5B87"/>
    <w:rsid w:val="004B678E"/>
    <w:rsid w:val="004B695E"/>
    <w:rsid w:val="004B6CD5"/>
    <w:rsid w:val="004B71E4"/>
    <w:rsid w:val="004B76CA"/>
    <w:rsid w:val="004C1004"/>
    <w:rsid w:val="004C1703"/>
    <w:rsid w:val="004C1722"/>
    <w:rsid w:val="004C17DD"/>
    <w:rsid w:val="004C3602"/>
    <w:rsid w:val="004C3AB2"/>
    <w:rsid w:val="004C3E57"/>
    <w:rsid w:val="004C4080"/>
    <w:rsid w:val="004C43A8"/>
    <w:rsid w:val="004C5BB2"/>
    <w:rsid w:val="004C6039"/>
    <w:rsid w:val="004C6180"/>
    <w:rsid w:val="004C6C41"/>
    <w:rsid w:val="004C7366"/>
    <w:rsid w:val="004C7798"/>
    <w:rsid w:val="004C786B"/>
    <w:rsid w:val="004C7909"/>
    <w:rsid w:val="004C7A52"/>
    <w:rsid w:val="004D013D"/>
    <w:rsid w:val="004D052A"/>
    <w:rsid w:val="004D05C0"/>
    <w:rsid w:val="004D08B9"/>
    <w:rsid w:val="004D146B"/>
    <w:rsid w:val="004D1E43"/>
    <w:rsid w:val="004D235A"/>
    <w:rsid w:val="004D24B8"/>
    <w:rsid w:val="004D24C8"/>
    <w:rsid w:val="004D2761"/>
    <w:rsid w:val="004D27F6"/>
    <w:rsid w:val="004D2D38"/>
    <w:rsid w:val="004D359B"/>
    <w:rsid w:val="004D3614"/>
    <w:rsid w:val="004D3679"/>
    <w:rsid w:val="004D3D12"/>
    <w:rsid w:val="004D3D15"/>
    <w:rsid w:val="004D47D6"/>
    <w:rsid w:val="004D4BD8"/>
    <w:rsid w:val="004D4E64"/>
    <w:rsid w:val="004D6069"/>
    <w:rsid w:val="004D646B"/>
    <w:rsid w:val="004D6C1B"/>
    <w:rsid w:val="004D6D02"/>
    <w:rsid w:val="004D78EA"/>
    <w:rsid w:val="004D7E15"/>
    <w:rsid w:val="004E0155"/>
    <w:rsid w:val="004E0C83"/>
    <w:rsid w:val="004E0D4F"/>
    <w:rsid w:val="004E12DB"/>
    <w:rsid w:val="004E148A"/>
    <w:rsid w:val="004E1F3F"/>
    <w:rsid w:val="004E29E0"/>
    <w:rsid w:val="004E2C5E"/>
    <w:rsid w:val="004E2EB4"/>
    <w:rsid w:val="004E3624"/>
    <w:rsid w:val="004E374A"/>
    <w:rsid w:val="004E3F00"/>
    <w:rsid w:val="004E3FA7"/>
    <w:rsid w:val="004E5A7A"/>
    <w:rsid w:val="004E65DE"/>
    <w:rsid w:val="004E6669"/>
    <w:rsid w:val="004E66C8"/>
    <w:rsid w:val="004E6773"/>
    <w:rsid w:val="004E6EBD"/>
    <w:rsid w:val="004E73CF"/>
    <w:rsid w:val="004E769C"/>
    <w:rsid w:val="004E7A0F"/>
    <w:rsid w:val="004F0212"/>
    <w:rsid w:val="004F030A"/>
    <w:rsid w:val="004F1389"/>
    <w:rsid w:val="004F1B0A"/>
    <w:rsid w:val="004F1BE8"/>
    <w:rsid w:val="004F2227"/>
    <w:rsid w:val="004F237D"/>
    <w:rsid w:val="004F240C"/>
    <w:rsid w:val="004F2666"/>
    <w:rsid w:val="004F27D3"/>
    <w:rsid w:val="004F2997"/>
    <w:rsid w:val="004F2FB4"/>
    <w:rsid w:val="004F34CC"/>
    <w:rsid w:val="004F3505"/>
    <w:rsid w:val="004F35E1"/>
    <w:rsid w:val="004F38D3"/>
    <w:rsid w:val="004F3B19"/>
    <w:rsid w:val="004F3C01"/>
    <w:rsid w:val="004F439D"/>
    <w:rsid w:val="004F46ED"/>
    <w:rsid w:val="004F486D"/>
    <w:rsid w:val="004F48E1"/>
    <w:rsid w:val="004F4F09"/>
    <w:rsid w:val="004F4F40"/>
    <w:rsid w:val="004F50A2"/>
    <w:rsid w:val="004F547B"/>
    <w:rsid w:val="004F5578"/>
    <w:rsid w:val="004F58D3"/>
    <w:rsid w:val="004F59D3"/>
    <w:rsid w:val="004F5CF6"/>
    <w:rsid w:val="004F653C"/>
    <w:rsid w:val="004F686A"/>
    <w:rsid w:val="004F7084"/>
    <w:rsid w:val="004F7113"/>
    <w:rsid w:val="004F7E86"/>
    <w:rsid w:val="00500342"/>
    <w:rsid w:val="0050072E"/>
    <w:rsid w:val="00500EA5"/>
    <w:rsid w:val="005013F9"/>
    <w:rsid w:val="0050147F"/>
    <w:rsid w:val="005015B0"/>
    <w:rsid w:val="00501664"/>
    <w:rsid w:val="005023EF"/>
    <w:rsid w:val="0050259F"/>
    <w:rsid w:val="00502C12"/>
    <w:rsid w:val="0050349F"/>
    <w:rsid w:val="00503625"/>
    <w:rsid w:val="00503D9F"/>
    <w:rsid w:val="00503E3E"/>
    <w:rsid w:val="00503F90"/>
    <w:rsid w:val="00504054"/>
    <w:rsid w:val="0050465B"/>
    <w:rsid w:val="0050494F"/>
    <w:rsid w:val="00505192"/>
    <w:rsid w:val="00505242"/>
    <w:rsid w:val="00505457"/>
    <w:rsid w:val="005055BA"/>
    <w:rsid w:val="005055C3"/>
    <w:rsid w:val="00505B86"/>
    <w:rsid w:val="00505E69"/>
    <w:rsid w:val="005060D8"/>
    <w:rsid w:val="00506888"/>
    <w:rsid w:val="0050709F"/>
    <w:rsid w:val="00507396"/>
    <w:rsid w:val="005100BD"/>
    <w:rsid w:val="00510615"/>
    <w:rsid w:val="005106E8"/>
    <w:rsid w:val="00510817"/>
    <w:rsid w:val="005108D6"/>
    <w:rsid w:val="00510C32"/>
    <w:rsid w:val="00510D5E"/>
    <w:rsid w:val="00510F62"/>
    <w:rsid w:val="0051117F"/>
    <w:rsid w:val="00511365"/>
    <w:rsid w:val="00511436"/>
    <w:rsid w:val="00511793"/>
    <w:rsid w:val="00511B66"/>
    <w:rsid w:val="00511E59"/>
    <w:rsid w:val="005121F5"/>
    <w:rsid w:val="00512478"/>
    <w:rsid w:val="00512670"/>
    <w:rsid w:val="005126DF"/>
    <w:rsid w:val="005127F7"/>
    <w:rsid w:val="00512EDA"/>
    <w:rsid w:val="00513956"/>
    <w:rsid w:val="00513A7C"/>
    <w:rsid w:val="00513C4B"/>
    <w:rsid w:val="00514110"/>
    <w:rsid w:val="00514222"/>
    <w:rsid w:val="00514D4B"/>
    <w:rsid w:val="00514D75"/>
    <w:rsid w:val="00515137"/>
    <w:rsid w:val="0051549B"/>
    <w:rsid w:val="00515758"/>
    <w:rsid w:val="00515B9E"/>
    <w:rsid w:val="00515BE1"/>
    <w:rsid w:val="00515E3C"/>
    <w:rsid w:val="00515FD9"/>
    <w:rsid w:val="00516143"/>
    <w:rsid w:val="00516345"/>
    <w:rsid w:val="00516995"/>
    <w:rsid w:val="00517087"/>
    <w:rsid w:val="00517175"/>
    <w:rsid w:val="005176C9"/>
    <w:rsid w:val="00517707"/>
    <w:rsid w:val="00517E96"/>
    <w:rsid w:val="00520167"/>
    <w:rsid w:val="00520569"/>
    <w:rsid w:val="00520C0F"/>
    <w:rsid w:val="00520F89"/>
    <w:rsid w:val="00521CF9"/>
    <w:rsid w:val="00522277"/>
    <w:rsid w:val="00522281"/>
    <w:rsid w:val="00522288"/>
    <w:rsid w:val="00522649"/>
    <w:rsid w:val="005228AD"/>
    <w:rsid w:val="00523067"/>
    <w:rsid w:val="005230D0"/>
    <w:rsid w:val="005231D5"/>
    <w:rsid w:val="00523373"/>
    <w:rsid w:val="005236C9"/>
    <w:rsid w:val="00523FB0"/>
    <w:rsid w:val="00524151"/>
    <w:rsid w:val="00524421"/>
    <w:rsid w:val="0052454F"/>
    <w:rsid w:val="00524660"/>
    <w:rsid w:val="00524701"/>
    <w:rsid w:val="0052496C"/>
    <w:rsid w:val="00524C91"/>
    <w:rsid w:val="005250A4"/>
    <w:rsid w:val="00525280"/>
    <w:rsid w:val="005253A3"/>
    <w:rsid w:val="005253F2"/>
    <w:rsid w:val="00525BE3"/>
    <w:rsid w:val="00525F83"/>
    <w:rsid w:val="00526167"/>
    <w:rsid w:val="00526183"/>
    <w:rsid w:val="005262DA"/>
    <w:rsid w:val="0052681C"/>
    <w:rsid w:val="00527095"/>
    <w:rsid w:val="00531336"/>
    <w:rsid w:val="00531815"/>
    <w:rsid w:val="00532A84"/>
    <w:rsid w:val="00532BBD"/>
    <w:rsid w:val="00532CFA"/>
    <w:rsid w:val="00532EE0"/>
    <w:rsid w:val="0053354C"/>
    <w:rsid w:val="00533589"/>
    <w:rsid w:val="00533EB1"/>
    <w:rsid w:val="00534199"/>
    <w:rsid w:val="0053450D"/>
    <w:rsid w:val="00535545"/>
    <w:rsid w:val="005362A4"/>
    <w:rsid w:val="00537011"/>
    <w:rsid w:val="00537126"/>
    <w:rsid w:val="00537690"/>
    <w:rsid w:val="00537FA1"/>
    <w:rsid w:val="0054025A"/>
    <w:rsid w:val="005406A4"/>
    <w:rsid w:val="00540936"/>
    <w:rsid w:val="00540957"/>
    <w:rsid w:val="00540E4D"/>
    <w:rsid w:val="0054110C"/>
    <w:rsid w:val="00541241"/>
    <w:rsid w:val="005415F8"/>
    <w:rsid w:val="00541B9E"/>
    <w:rsid w:val="005423A9"/>
    <w:rsid w:val="00542ADF"/>
    <w:rsid w:val="00542D09"/>
    <w:rsid w:val="00543284"/>
    <w:rsid w:val="00543816"/>
    <w:rsid w:val="00543AA3"/>
    <w:rsid w:val="0054446C"/>
    <w:rsid w:val="0054463D"/>
    <w:rsid w:val="0054503C"/>
    <w:rsid w:val="005453AD"/>
    <w:rsid w:val="0054572B"/>
    <w:rsid w:val="00545B56"/>
    <w:rsid w:val="00545CAB"/>
    <w:rsid w:val="00545D3D"/>
    <w:rsid w:val="00545D9F"/>
    <w:rsid w:val="00545EC8"/>
    <w:rsid w:val="00545F52"/>
    <w:rsid w:val="00546905"/>
    <w:rsid w:val="00546A92"/>
    <w:rsid w:val="00546CAB"/>
    <w:rsid w:val="0054714E"/>
    <w:rsid w:val="00547CB8"/>
    <w:rsid w:val="0055064A"/>
    <w:rsid w:val="00550A03"/>
    <w:rsid w:val="0055151B"/>
    <w:rsid w:val="00551B37"/>
    <w:rsid w:val="005521C8"/>
    <w:rsid w:val="00552282"/>
    <w:rsid w:val="005526CA"/>
    <w:rsid w:val="0055426C"/>
    <w:rsid w:val="005546A2"/>
    <w:rsid w:val="00554A67"/>
    <w:rsid w:val="00554B3A"/>
    <w:rsid w:val="00554ED0"/>
    <w:rsid w:val="00555575"/>
    <w:rsid w:val="00555979"/>
    <w:rsid w:val="00555F89"/>
    <w:rsid w:val="00556173"/>
    <w:rsid w:val="00556335"/>
    <w:rsid w:val="0055660D"/>
    <w:rsid w:val="005568DE"/>
    <w:rsid w:val="00556B75"/>
    <w:rsid w:val="00556DDC"/>
    <w:rsid w:val="005572AC"/>
    <w:rsid w:val="005576BA"/>
    <w:rsid w:val="00557816"/>
    <w:rsid w:val="00557BD0"/>
    <w:rsid w:val="00557D13"/>
    <w:rsid w:val="0056032A"/>
    <w:rsid w:val="005604BF"/>
    <w:rsid w:val="0056052D"/>
    <w:rsid w:val="00560659"/>
    <w:rsid w:val="00560838"/>
    <w:rsid w:val="00560BBF"/>
    <w:rsid w:val="00561192"/>
    <w:rsid w:val="00561311"/>
    <w:rsid w:val="005617AB"/>
    <w:rsid w:val="005617E9"/>
    <w:rsid w:val="00561C42"/>
    <w:rsid w:val="00561CB6"/>
    <w:rsid w:val="0056242B"/>
    <w:rsid w:val="005624ED"/>
    <w:rsid w:val="00562687"/>
    <w:rsid w:val="00562A05"/>
    <w:rsid w:val="00562FDF"/>
    <w:rsid w:val="00563216"/>
    <w:rsid w:val="005634C1"/>
    <w:rsid w:val="0056365D"/>
    <w:rsid w:val="0056367A"/>
    <w:rsid w:val="005638BD"/>
    <w:rsid w:val="00564681"/>
    <w:rsid w:val="005647CE"/>
    <w:rsid w:val="00564840"/>
    <w:rsid w:val="00564C28"/>
    <w:rsid w:val="00565935"/>
    <w:rsid w:val="0056607D"/>
    <w:rsid w:val="0056621B"/>
    <w:rsid w:val="00566487"/>
    <w:rsid w:val="00567289"/>
    <w:rsid w:val="005676F5"/>
    <w:rsid w:val="005676F9"/>
    <w:rsid w:val="00567B0B"/>
    <w:rsid w:val="00567CA3"/>
    <w:rsid w:val="00570AD2"/>
    <w:rsid w:val="00570F5F"/>
    <w:rsid w:val="0057104C"/>
    <w:rsid w:val="00571130"/>
    <w:rsid w:val="005714FC"/>
    <w:rsid w:val="00571597"/>
    <w:rsid w:val="00571D8C"/>
    <w:rsid w:val="00571E2D"/>
    <w:rsid w:val="005723F8"/>
    <w:rsid w:val="005725AD"/>
    <w:rsid w:val="00572863"/>
    <w:rsid w:val="00572931"/>
    <w:rsid w:val="00572A19"/>
    <w:rsid w:val="00572C15"/>
    <w:rsid w:val="005739DD"/>
    <w:rsid w:val="00573CF2"/>
    <w:rsid w:val="00573FD7"/>
    <w:rsid w:val="00574022"/>
    <w:rsid w:val="005740DA"/>
    <w:rsid w:val="005743AA"/>
    <w:rsid w:val="005744AF"/>
    <w:rsid w:val="00574F04"/>
    <w:rsid w:val="00575023"/>
    <w:rsid w:val="00575867"/>
    <w:rsid w:val="00575B11"/>
    <w:rsid w:val="00575BC1"/>
    <w:rsid w:val="00575CD7"/>
    <w:rsid w:val="00575EEA"/>
    <w:rsid w:val="0057663E"/>
    <w:rsid w:val="00576E84"/>
    <w:rsid w:val="005772BD"/>
    <w:rsid w:val="0057766B"/>
    <w:rsid w:val="00577C07"/>
    <w:rsid w:val="00577EB9"/>
    <w:rsid w:val="00577F1F"/>
    <w:rsid w:val="00581C11"/>
    <w:rsid w:val="00581CA0"/>
    <w:rsid w:val="00581EA4"/>
    <w:rsid w:val="00582605"/>
    <w:rsid w:val="0058267F"/>
    <w:rsid w:val="005826A4"/>
    <w:rsid w:val="005829BD"/>
    <w:rsid w:val="00582F0F"/>
    <w:rsid w:val="0058318C"/>
    <w:rsid w:val="00583621"/>
    <w:rsid w:val="005841FD"/>
    <w:rsid w:val="0058498D"/>
    <w:rsid w:val="00584F39"/>
    <w:rsid w:val="0058505A"/>
    <w:rsid w:val="0058569E"/>
    <w:rsid w:val="00586392"/>
    <w:rsid w:val="0058685A"/>
    <w:rsid w:val="00586E6A"/>
    <w:rsid w:val="005874BF"/>
    <w:rsid w:val="0058765F"/>
    <w:rsid w:val="005877B7"/>
    <w:rsid w:val="005901E4"/>
    <w:rsid w:val="005902F4"/>
    <w:rsid w:val="00590301"/>
    <w:rsid w:val="005903C7"/>
    <w:rsid w:val="00590C56"/>
    <w:rsid w:val="00590ECF"/>
    <w:rsid w:val="00590F6A"/>
    <w:rsid w:val="00590F74"/>
    <w:rsid w:val="00591411"/>
    <w:rsid w:val="00591AA5"/>
    <w:rsid w:val="00591BDE"/>
    <w:rsid w:val="00591C64"/>
    <w:rsid w:val="0059230A"/>
    <w:rsid w:val="005924FE"/>
    <w:rsid w:val="005928FD"/>
    <w:rsid w:val="00592C7E"/>
    <w:rsid w:val="00592D32"/>
    <w:rsid w:val="005932C1"/>
    <w:rsid w:val="005936E5"/>
    <w:rsid w:val="005938AA"/>
    <w:rsid w:val="00593A37"/>
    <w:rsid w:val="00593BEE"/>
    <w:rsid w:val="00593E90"/>
    <w:rsid w:val="00593F5D"/>
    <w:rsid w:val="00594339"/>
    <w:rsid w:val="0059453D"/>
    <w:rsid w:val="00594560"/>
    <w:rsid w:val="005945E3"/>
    <w:rsid w:val="0059476C"/>
    <w:rsid w:val="00594C28"/>
    <w:rsid w:val="00594E3E"/>
    <w:rsid w:val="00595091"/>
    <w:rsid w:val="00595472"/>
    <w:rsid w:val="005954FC"/>
    <w:rsid w:val="00595EF9"/>
    <w:rsid w:val="0059685B"/>
    <w:rsid w:val="00596984"/>
    <w:rsid w:val="005969D9"/>
    <w:rsid w:val="00597A2F"/>
    <w:rsid w:val="00597D5E"/>
    <w:rsid w:val="00597E0A"/>
    <w:rsid w:val="00597E31"/>
    <w:rsid w:val="005A0274"/>
    <w:rsid w:val="005A0696"/>
    <w:rsid w:val="005A0787"/>
    <w:rsid w:val="005A089C"/>
    <w:rsid w:val="005A0ABC"/>
    <w:rsid w:val="005A0BBA"/>
    <w:rsid w:val="005A0E37"/>
    <w:rsid w:val="005A1162"/>
    <w:rsid w:val="005A191B"/>
    <w:rsid w:val="005A192C"/>
    <w:rsid w:val="005A1993"/>
    <w:rsid w:val="005A2088"/>
    <w:rsid w:val="005A2443"/>
    <w:rsid w:val="005A285E"/>
    <w:rsid w:val="005A28DE"/>
    <w:rsid w:val="005A2A97"/>
    <w:rsid w:val="005A2B00"/>
    <w:rsid w:val="005A2D44"/>
    <w:rsid w:val="005A2F03"/>
    <w:rsid w:val="005A30EF"/>
    <w:rsid w:val="005A3478"/>
    <w:rsid w:val="005A4172"/>
    <w:rsid w:val="005A4399"/>
    <w:rsid w:val="005A44BF"/>
    <w:rsid w:val="005A4901"/>
    <w:rsid w:val="005A4AC5"/>
    <w:rsid w:val="005A4F05"/>
    <w:rsid w:val="005A4F3A"/>
    <w:rsid w:val="005A4F3B"/>
    <w:rsid w:val="005A56C8"/>
    <w:rsid w:val="005A5D32"/>
    <w:rsid w:val="005A659E"/>
    <w:rsid w:val="005A6777"/>
    <w:rsid w:val="005A6AA8"/>
    <w:rsid w:val="005A6B1C"/>
    <w:rsid w:val="005A6F39"/>
    <w:rsid w:val="005A713F"/>
    <w:rsid w:val="005A7E3A"/>
    <w:rsid w:val="005B0306"/>
    <w:rsid w:val="005B04F1"/>
    <w:rsid w:val="005B0920"/>
    <w:rsid w:val="005B0BC0"/>
    <w:rsid w:val="005B0C2A"/>
    <w:rsid w:val="005B0F72"/>
    <w:rsid w:val="005B10AF"/>
    <w:rsid w:val="005B146B"/>
    <w:rsid w:val="005B148E"/>
    <w:rsid w:val="005B14C9"/>
    <w:rsid w:val="005B15ED"/>
    <w:rsid w:val="005B1685"/>
    <w:rsid w:val="005B1B9A"/>
    <w:rsid w:val="005B231F"/>
    <w:rsid w:val="005B254C"/>
    <w:rsid w:val="005B29C0"/>
    <w:rsid w:val="005B2B8B"/>
    <w:rsid w:val="005B2EF2"/>
    <w:rsid w:val="005B3166"/>
    <w:rsid w:val="005B3264"/>
    <w:rsid w:val="005B3688"/>
    <w:rsid w:val="005B36B2"/>
    <w:rsid w:val="005B3AB4"/>
    <w:rsid w:val="005B3CCF"/>
    <w:rsid w:val="005B3F7A"/>
    <w:rsid w:val="005B40A6"/>
    <w:rsid w:val="005B47B1"/>
    <w:rsid w:val="005B47C4"/>
    <w:rsid w:val="005B50EF"/>
    <w:rsid w:val="005B52A6"/>
    <w:rsid w:val="005B5452"/>
    <w:rsid w:val="005B60BC"/>
    <w:rsid w:val="005B62C1"/>
    <w:rsid w:val="005B6494"/>
    <w:rsid w:val="005B6547"/>
    <w:rsid w:val="005B6FF3"/>
    <w:rsid w:val="005B7436"/>
    <w:rsid w:val="005B7B6D"/>
    <w:rsid w:val="005B7D87"/>
    <w:rsid w:val="005C0086"/>
    <w:rsid w:val="005C00B4"/>
    <w:rsid w:val="005C0178"/>
    <w:rsid w:val="005C03E5"/>
    <w:rsid w:val="005C08A3"/>
    <w:rsid w:val="005C127D"/>
    <w:rsid w:val="005C194D"/>
    <w:rsid w:val="005C1CFA"/>
    <w:rsid w:val="005C1E48"/>
    <w:rsid w:val="005C2AA8"/>
    <w:rsid w:val="005C2F1D"/>
    <w:rsid w:val="005C3269"/>
    <w:rsid w:val="005C32EF"/>
    <w:rsid w:val="005C387C"/>
    <w:rsid w:val="005C3A3D"/>
    <w:rsid w:val="005C3A81"/>
    <w:rsid w:val="005C3BCB"/>
    <w:rsid w:val="005C3F38"/>
    <w:rsid w:val="005C4172"/>
    <w:rsid w:val="005C41BC"/>
    <w:rsid w:val="005C41F9"/>
    <w:rsid w:val="005C426A"/>
    <w:rsid w:val="005C46E3"/>
    <w:rsid w:val="005C52FD"/>
    <w:rsid w:val="005C5529"/>
    <w:rsid w:val="005C59F8"/>
    <w:rsid w:val="005C68A0"/>
    <w:rsid w:val="005C6CBE"/>
    <w:rsid w:val="005C7140"/>
    <w:rsid w:val="005C73AC"/>
    <w:rsid w:val="005C7CF0"/>
    <w:rsid w:val="005C7FDA"/>
    <w:rsid w:val="005D0068"/>
    <w:rsid w:val="005D07AE"/>
    <w:rsid w:val="005D0945"/>
    <w:rsid w:val="005D0E32"/>
    <w:rsid w:val="005D0F8F"/>
    <w:rsid w:val="005D1329"/>
    <w:rsid w:val="005D144A"/>
    <w:rsid w:val="005D18B7"/>
    <w:rsid w:val="005D1B8D"/>
    <w:rsid w:val="005D1BD0"/>
    <w:rsid w:val="005D1DAC"/>
    <w:rsid w:val="005D1FE3"/>
    <w:rsid w:val="005D22B7"/>
    <w:rsid w:val="005D251C"/>
    <w:rsid w:val="005D2882"/>
    <w:rsid w:val="005D2A76"/>
    <w:rsid w:val="005D2F67"/>
    <w:rsid w:val="005D3196"/>
    <w:rsid w:val="005D3824"/>
    <w:rsid w:val="005D3C3A"/>
    <w:rsid w:val="005D4637"/>
    <w:rsid w:val="005D4735"/>
    <w:rsid w:val="005D4986"/>
    <w:rsid w:val="005D533E"/>
    <w:rsid w:val="005D53A8"/>
    <w:rsid w:val="005D542C"/>
    <w:rsid w:val="005D582E"/>
    <w:rsid w:val="005D586A"/>
    <w:rsid w:val="005D5A16"/>
    <w:rsid w:val="005D6731"/>
    <w:rsid w:val="005D6AB9"/>
    <w:rsid w:val="005D6ACD"/>
    <w:rsid w:val="005D6D2C"/>
    <w:rsid w:val="005D6DED"/>
    <w:rsid w:val="005D7080"/>
    <w:rsid w:val="005D7165"/>
    <w:rsid w:val="005D71C0"/>
    <w:rsid w:val="005D7254"/>
    <w:rsid w:val="005D7518"/>
    <w:rsid w:val="005D78C2"/>
    <w:rsid w:val="005D7BB8"/>
    <w:rsid w:val="005D7D7F"/>
    <w:rsid w:val="005E041F"/>
    <w:rsid w:val="005E0432"/>
    <w:rsid w:val="005E06EE"/>
    <w:rsid w:val="005E0BBD"/>
    <w:rsid w:val="005E1403"/>
    <w:rsid w:val="005E15C2"/>
    <w:rsid w:val="005E16F6"/>
    <w:rsid w:val="005E1B0F"/>
    <w:rsid w:val="005E1BDE"/>
    <w:rsid w:val="005E1E83"/>
    <w:rsid w:val="005E1ECE"/>
    <w:rsid w:val="005E217A"/>
    <w:rsid w:val="005E2DA1"/>
    <w:rsid w:val="005E3089"/>
    <w:rsid w:val="005E4869"/>
    <w:rsid w:val="005E4F8C"/>
    <w:rsid w:val="005E5090"/>
    <w:rsid w:val="005E5B2D"/>
    <w:rsid w:val="005E5DC2"/>
    <w:rsid w:val="005E621C"/>
    <w:rsid w:val="005E62C7"/>
    <w:rsid w:val="005E69D9"/>
    <w:rsid w:val="005E7357"/>
    <w:rsid w:val="005E74C4"/>
    <w:rsid w:val="005E7D3A"/>
    <w:rsid w:val="005F0059"/>
    <w:rsid w:val="005F01E2"/>
    <w:rsid w:val="005F0365"/>
    <w:rsid w:val="005F043F"/>
    <w:rsid w:val="005F053B"/>
    <w:rsid w:val="005F0663"/>
    <w:rsid w:val="005F0853"/>
    <w:rsid w:val="005F08A5"/>
    <w:rsid w:val="005F0A41"/>
    <w:rsid w:val="005F1225"/>
    <w:rsid w:val="005F14E1"/>
    <w:rsid w:val="005F1925"/>
    <w:rsid w:val="005F1C78"/>
    <w:rsid w:val="005F1CA3"/>
    <w:rsid w:val="005F1D96"/>
    <w:rsid w:val="005F1FD2"/>
    <w:rsid w:val="005F2679"/>
    <w:rsid w:val="005F2694"/>
    <w:rsid w:val="005F2831"/>
    <w:rsid w:val="005F2885"/>
    <w:rsid w:val="005F2C9C"/>
    <w:rsid w:val="005F2F8C"/>
    <w:rsid w:val="005F3594"/>
    <w:rsid w:val="005F368C"/>
    <w:rsid w:val="005F378C"/>
    <w:rsid w:val="005F3A5A"/>
    <w:rsid w:val="005F3E37"/>
    <w:rsid w:val="005F46DE"/>
    <w:rsid w:val="005F4FE7"/>
    <w:rsid w:val="005F5311"/>
    <w:rsid w:val="005F5508"/>
    <w:rsid w:val="005F556C"/>
    <w:rsid w:val="005F58B3"/>
    <w:rsid w:val="005F5E1D"/>
    <w:rsid w:val="005F6B49"/>
    <w:rsid w:val="005F730C"/>
    <w:rsid w:val="005F7546"/>
    <w:rsid w:val="005F77B6"/>
    <w:rsid w:val="005F782A"/>
    <w:rsid w:val="005F7BD3"/>
    <w:rsid w:val="00600691"/>
    <w:rsid w:val="00600719"/>
    <w:rsid w:val="0060076B"/>
    <w:rsid w:val="00600990"/>
    <w:rsid w:val="00600FA6"/>
    <w:rsid w:val="006010AA"/>
    <w:rsid w:val="0060113A"/>
    <w:rsid w:val="00601443"/>
    <w:rsid w:val="006017D8"/>
    <w:rsid w:val="00601990"/>
    <w:rsid w:val="0060259F"/>
    <w:rsid w:val="00602922"/>
    <w:rsid w:val="00602B4A"/>
    <w:rsid w:val="00602BA8"/>
    <w:rsid w:val="00603030"/>
    <w:rsid w:val="006030A7"/>
    <w:rsid w:val="00603104"/>
    <w:rsid w:val="0060333A"/>
    <w:rsid w:val="006033B2"/>
    <w:rsid w:val="006039FA"/>
    <w:rsid w:val="00603D31"/>
    <w:rsid w:val="00604427"/>
    <w:rsid w:val="00604629"/>
    <w:rsid w:val="00604745"/>
    <w:rsid w:val="00604D40"/>
    <w:rsid w:val="00604FCE"/>
    <w:rsid w:val="0060502D"/>
    <w:rsid w:val="0060605F"/>
    <w:rsid w:val="006063AE"/>
    <w:rsid w:val="006064C6"/>
    <w:rsid w:val="00606586"/>
    <w:rsid w:val="00606CB8"/>
    <w:rsid w:val="00606D16"/>
    <w:rsid w:val="00607076"/>
    <w:rsid w:val="0060712E"/>
    <w:rsid w:val="006071A5"/>
    <w:rsid w:val="0060732A"/>
    <w:rsid w:val="00607951"/>
    <w:rsid w:val="0061007E"/>
    <w:rsid w:val="00610659"/>
    <w:rsid w:val="006107B8"/>
    <w:rsid w:val="00611052"/>
    <w:rsid w:val="006112C6"/>
    <w:rsid w:val="0061145E"/>
    <w:rsid w:val="00611773"/>
    <w:rsid w:val="00611A44"/>
    <w:rsid w:val="00611D86"/>
    <w:rsid w:val="00611DDA"/>
    <w:rsid w:val="00612508"/>
    <w:rsid w:val="00612BE4"/>
    <w:rsid w:val="006135F6"/>
    <w:rsid w:val="00613980"/>
    <w:rsid w:val="00613BB7"/>
    <w:rsid w:val="006140A5"/>
    <w:rsid w:val="006141AE"/>
    <w:rsid w:val="0061425D"/>
    <w:rsid w:val="006143A4"/>
    <w:rsid w:val="0061447C"/>
    <w:rsid w:val="00614C88"/>
    <w:rsid w:val="00614E9C"/>
    <w:rsid w:val="00614F41"/>
    <w:rsid w:val="0061507F"/>
    <w:rsid w:val="00616135"/>
    <w:rsid w:val="006161FA"/>
    <w:rsid w:val="0061639D"/>
    <w:rsid w:val="00616624"/>
    <w:rsid w:val="00616F33"/>
    <w:rsid w:val="00617116"/>
    <w:rsid w:val="006172EC"/>
    <w:rsid w:val="00617460"/>
    <w:rsid w:val="00617777"/>
    <w:rsid w:val="00617B9A"/>
    <w:rsid w:val="00617C0B"/>
    <w:rsid w:val="00620498"/>
    <w:rsid w:val="006204F8"/>
    <w:rsid w:val="00620758"/>
    <w:rsid w:val="00620AD9"/>
    <w:rsid w:val="00620E78"/>
    <w:rsid w:val="006215EF"/>
    <w:rsid w:val="0062173E"/>
    <w:rsid w:val="006217C4"/>
    <w:rsid w:val="00621CE8"/>
    <w:rsid w:val="0062207F"/>
    <w:rsid w:val="006226F9"/>
    <w:rsid w:val="0062276F"/>
    <w:rsid w:val="00622882"/>
    <w:rsid w:val="0062289E"/>
    <w:rsid w:val="00623D54"/>
    <w:rsid w:val="00623FB3"/>
    <w:rsid w:val="0062558D"/>
    <w:rsid w:val="00625E95"/>
    <w:rsid w:val="00625FAF"/>
    <w:rsid w:val="0062627A"/>
    <w:rsid w:val="0062632F"/>
    <w:rsid w:val="006263E0"/>
    <w:rsid w:val="00626A2F"/>
    <w:rsid w:val="006278C3"/>
    <w:rsid w:val="00627E4C"/>
    <w:rsid w:val="0063013B"/>
    <w:rsid w:val="00630213"/>
    <w:rsid w:val="006307CE"/>
    <w:rsid w:val="006314B1"/>
    <w:rsid w:val="00631B0B"/>
    <w:rsid w:val="00631C66"/>
    <w:rsid w:val="00631FAA"/>
    <w:rsid w:val="0063210D"/>
    <w:rsid w:val="0063230B"/>
    <w:rsid w:val="00634A27"/>
    <w:rsid w:val="00634EDB"/>
    <w:rsid w:val="00634F63"/>
    <w:rsid w:val="00635399"/>
    <w:rsid w:val="00635476"/>
    <w:rsid w:val="00635BA9"/>
    <w:rsid w:val="00635C24"/>
    <w:rsid w:val="00635CC5"/>
    <w:rsid w:val="00635D16"/>
    <w:rsid w:val="00635DD3"/>
    <w:rsid w:val="00636279"/>
    <w:rsid w:val="006367CC"/>
    <w:rsid w:val="00636858"/>
    <w:rsid w:val="00637417"/>
    <w:rsid w:val="006376F9"/>
    <w:rsid w:val="006378DE"/>
    <w:rsid w:val="00637E37"/>
    <w:rsid w:val="00637EBD"/>
    <w:rsid w:val="00637EFE"/>
    <w:rsid w:val="006400EE"/>
    <w:rsid w:val="00640480"/>
    <w:rsid w:val="00640DB4"/>
    <w:rsid w:val="006424E1"/>
    <w:rsid w:val="0064254B"/>
    <w:rsid w:val="00642CC4"/>
    <w:rsid w:val="00643593"/>
    <w:rsid w:val="00643B88"/>
    <w:rsid w:val="00643E6B"/>
    <w:rsid w:val="0064408C"/>
    <w:rsid w:val="006442FF"/>
    <w:rsid w:val="00644571"/>
    <w:rsid w:val="0064496E"/>
    <w:rsid w:val="00645016"/>
    <w:rsid w:val="00645313"/>
    <w:rsid w:val="00645920"/>
    <w:rsid w:val="00645FA6"/>
    <w:rsid w:val="00646199"/>
    <w:rsid w:val="006468BA"/>
    <w:rsid w:val="00646A63"/>
    <w:rsid w:val="00646AFD"/>
    <w:rsid w:val="00646CF2"/>
    <w:rsid w:val="00646EEA"/>
    <w:rsid w:val="006470AF"/>
    <w:rsid w:val="0064775F"/>
    <w:rsid w:val="00647C2D"/>
    <w:rsid w:val="0065010F"/>
    <w:rsid w:val="006503CB"/>
    <w:rsid w:val="00650AED"/>
    <w:rsid w:val="00650C6C"/>
    <w:rsid w:val="00650CBC"/>
    <w:rsid w:val="00650EB1"/>
    <w:rsid w:val="00650F2C"/>
    <w:rsid w:val="00651405"/>
    <w:rsid w:val="00652295"/>
    <w:rsid w:val="00652318"/>
    <w:rsid w:val="006535D7"/>
    <w:rsid w:val="00653A31"/>
    <w:rsid w:val="00653CA3"/>
    <w:rsid w:val="00653F56"/>
    <w:rsid w:val="006543B7"/>
    <w:rsid w:val="00654434"/>
    <w:rsid w:val="00654743"/>
    <w:rsid w:val="006548E6"/>
    <w:rsid w:val="00654E71"/>
    <w:rsid w:val="006555FD"/>
    <w:rsid w:val="0065601F"/>
    <w:rsid w:val="006560AA"/>
    <w:rsid w:val="006561FF"/>
    <w:rsid w:val="00656321"/>
    <w:rsid w:val="00656A13"/>
    <w:rsid w:val="00656F1A"/>
    <w:rsid w:val="006570D1"/>
    <w:rsid w:val="006574B8"/>
    <w:rsid w:val="0065757B"/>
    <w:rsid w:val="00657630"/>
    <w:rsid w:val="00657EF7"/>
    <w:rsid w:val="00660C41"/>
    <w:rsid w:val="00660EEE"/>
    <w:rsid w:val="006610D6"/>
    <w:rsid w:val="006615B9"/>
    <w:rsid w:val="00661715"/>
    <w:rsid w:val="0066181D"/>
    <w:rsid w:val="00661B50"/>
    <w:rsid w:val="00661BB1"/>
    <w:rsid w:val="00661E01"/>
    <w:rsid w:val="006626A5"/>
    <w:rsid w:val="0066278C"/>
    <w:rsid w:val="00662A1E"/>
    <w:rsid w:val="00662B95"/>
    <w:rsid w:val="00662C8B"/>
    <w:rsid w:val="00662DE2"/>
    <w:rsid w:val="00662FAC"/>
    <w:rsid w:val="00663D5E"/>
    <w:rsid w:val="00664875"/>
    <w:rsid w:val="00664CEE"/>
    <w:rsid w:val="00665069"/>
    <w:rsid w:val="00665B67"/>
    <w:rsid w:val="00665C2B"/>
    <w:rsid w:val="00665F6B"/>
    <w:rsid w:val="00666395"/>
    <w:rsid w:val="006668F1"/>
    <w:rsid w:val="00667389"/>
    <w:rsid w:val="00667719"/>
    <w:rsid w:val="00667F00"/>
    <w:rsid w:val="006701AA"/>
    <w:rsid w:val="006701E5"/>
    <w:rsid w:val="0067021C"/>
    <w:rsid w:val="00670264"/>
    <w:rsid w:val="00670344"/>
    <w:rsid w:val="00670361"/>
    <w:rsid w:val="00670CEA"/>
    <w:rsid w:val="0067102D"/>
    <w:rsid w:val="00671304"/>
    <w:rsid w:val="00671534"/>
    <w:rsid w:val="006718DA"/>
    <w:rsid w:val="006719A5"/>
    <w:rsid w:val="00671A9F"/>
    <w:rsid w:val="00672931"/>
    <w:rsid w:val="00672987"/>
    <w:rsid w:val="00672F32"/>
    <w:rsid w:val="00672F92"/>
    <w:rsid w:val="006730AE"/>
    <w:rsid w:val="00673803"/>
    <w:rsid w:val="00673810"/>
    <w:rsid w:val="00673FBA"/>
    <w:rsid w:val="00674333"/>
    <w:rsid w:val="006747CE"/>
    <w:rsid w:val="00674E9C"/>
    <w:rsid w:val="006750ED"/>
    <w:rsid w:val="00675669"/>
    <w:rsid w:val="00675E21"/>
    <w:rsid w:val="00675E2F"/>
    <w:rsid w:val="0067638D"/>
    <w:rsid w:val="0067664E"/>
    <w:rsid w:val="0067692B"/>
    <w:rsid w:val="00677657"/>
    <w:rsid w:val="006779DA"/>
    <w:rsid w:val="00677F5E"/>
    <w:rsid w:val="006800E2"/>
    <w:rsid w:val="00680104"/>
    <w:rsid w:val="00680272"/>
    <w:rsid w:val="006808C6"/>
    <w:rsid w:val="00680A40"/>
    <w:rsid w:val="00680CFD"/>
    <w:rsid w:val="00680D5C"/>
    <w:rsid w:val="00680E04"/>
    <w:rsid w:val="00680E09"/>
    <w:rsid w:val="0068177F"/>
    <w:rsid w:val="00681959"/>
    <w:rsid w:val="00681F34"/>
    <w:rsid w:val="0068209F"/>
    <w:rsid w:val="006828A5"/>
    <w:rsid w:val="00682BA3"/>
    <w:rsid w:val="00682F8D"/>
    <w:rsid w:val="00683594"/>
    <w:rsid w:val="006836DA"/>
    <w:rsid w:val="006839B1"/>
    <w:rsid w:val="00683A49"/>
    <w:rsid w:val="00683DC8"/>
    <w:rsid w:val="006840C8"/>
    <w:rsid w:val="00684551"/>
    <w:rsid w:val="00685064"/>
    <w:rsid w:val="006855E8"/>
    <w:rsid w:val="006856B8"/>
    <w:rsid w:val="00685ACB"/>
    <w:rsid w:val="00685DF2"/>
    <w:rsid w:val="00686029"/>
    <w:rsid w:val="00686113"/>
    <w:rsid w:val="006873C4"/>
    <w:rsid w:val="0068753D"/>
    <w:rsid w:val="006875A3"/>
    <w:rsid w:val="006877A0"/>
    <w:rsid w:val="00687EEC"/>
    <w:rsid w:val="0069001D"/>
    <w:rsid w:val="006900A7"/>
    <w:rsid w:val="006904DC"/>
    <w:rsid w:val="00690751"/>
    <w:rsid w:val="00690E10"/>
    <w:rsid w:val="00691634"/>
    <w:rsid w:val="006919CF"/>
    <w:rsid w:val="00691BD5"/>
    <w:rsid w:val="006922FD"/>
    <w:rsid w:val="00692881"/>
    <w:rsid w:val="006929BC"/>
    <w:rsid w:val="00692EB2"/>
    <w:rsid w:val="00693006"/>
    <w:rsid w:val="00693EB2"/>
    <w:rsid w:val="00694025"/>
    <w:rsid w:val="00694154"/>
    <w:rsid w:val="00694367"/>
    <w:rsid w:val="0069442B"/>
    <w:rsid w:val="0069451F"/>
    <w:rsid w:val="00694749"/>
    <w:rsid w:val="00694DE8"/>
    <w:rsid w:val="00695C96"/>
    <w:rsid w:val="00695F10"/>
    <w:rsid w:val="00696095"/>
    <w:rsid w:val="00696230"/>
    <w:rsid w:val="00696749"/>
    <w:rsid w:val="00696C3B"/>
    <w:rsid w:val="00696C5F"/>
    <w:rsid w:val="0069755E"/>
    <w:rsid w:val="00697DA6"/>
    <w:rsid w:val="006A02A9"/>
    <w:rsid w:val="006A0C19"/>
    <w:rsid w:val="006A1031"/>
    <w:rsid w:val="006A143C"/>
    <w:rsid w:val="006A1A06"/>
    <w:rsid w:val="006A1D15"/>
    <w:rsid w:val="006A1DE9"/>
    <w:rsid w:val="006A1E3D"/>
    <w:rsid w:val="006A26EC"/>
    <w:rsid w:val="006A2CA6"/>
    <w:rsid w:val="006A2F2C"/>
    <w:rsid w:val="006A30F6"/>
    <w:rsid w:val="006A3340"/>
    <w:rsid w:val="006A3678"/>
    <w:rsid w:val="006A3F25"/>
    <w:rsid w:val="006A40D3"/>
    <w:rsid w:val="006A4FCE"/>
    <w:rsid w:val="006A545E"/>
    <w:rsid w:val="006A559E"/>
    <w:rsid w:val="006A5674"/>
    <w:rsid w:val="006A5AA0"/>
    <w:rsid w:val="006A5D21"/>
    <w:rsid w:val="006A70D7"/>
    <w:rsid w:val="006A746C"/>
    <w:rsid w:val="006A747F"/>
    <w:rsid w:val="006A75F5"/>
    <w:rsid w:val="006A76E8"/>
    <w:rsid w:val="006A79DB"/>
    <w:rsid w:val="006A79F6"/>
    <w:rsid w:val="006A7AB2"/>
    <w:rsid w:val="006A7B10"/>
    <w:rsid w:val="006A7CF9"/>
    <w:rsid w:val="006A7D92"/>
    <w:rsid w:val="006A7F88"/>
    <w:rsid w:val="006B002F"/>
    <w:rsid w:val="006B00C1"/>
    <w:rsid w:val="006B093F"/>
    <w:rsid w:val="006B096F"/>
    <w:rsid w:val="006B0B29"/>
    <w:rsid w:val="006B0D5A"/>
    <w:rsid w:val="006B12A6"/>
    <w:rsid w:val="006B168B"/>
    <w:rsid w:val="006B1A3D"/>
    <w:rsid w:val="006B223E"/>
    <w:rsid w:val="006B2310"/>
    <w:rsid w:val="006B244C"/>
    <w:rsid w:val="006B2462"/>
    <w:rsid w:val="006B2C1C"/>
    <w:rsid w:val="006B2D3B"/>
    <w:rsid w:val="006B33FE"/>
    <w:rsid w:val="006B3657"/>
    <w:rsid w:val="006B37F3"/>
    <w:rsid w:val="006B3B84"/>
    <w:rsid w:val="006B3BAF"/>
    <w:rsid w:val="006B43AB"/>
    <w:rsid w:val="006B4582"/>
    <w:rsid w:val="006B4B22"/>
    <w:rsid w:val="006B4DB4"/>
    <w:rsid w:val="006B4EB7"/>
    <w:rsid w:val="006B516E"/>
    <w:rsid w:val="006B5341"/>
    <w:rsid w:val="006B5B70"/>
    <w:rsid w:val="006B5BF2"/>
    <w:rsid w:val="006B5CB7"/>
    <w:rsid w:val="006B5E1D"/>
    <w:rsid w:val="006B60BD"/>
    <w:rsid w:val="006B61AC"/>
    <w:rsid w:val="006B639F"/>
    <w:rsid w:val="006B63F1"/>
    <w:rsid w:val="006B650B"/>
    <w:rsid w:val="006B6546"/>
    <w:rsid w:val="006B6CCA"/>
    <w:rsid w:val="006B6D5C"/>
    <w:rsid w:val="006B78E4"/>
    <w:rsid w:val="006C080B"/>
    <w:rsid w:val="006C10A6"/>
    <w:rsid w:val="006C156F"/>
    <w:rsid w:val="006C182C"/>
    <w:rsid w:val="006C2048"/>
    <w:rsid w:val="006C2641"/>
    <w:rsid w:val="006C296B"/>
    <w:rsid w:val="006C2BDF"/>
    <w:rsid w:val="006C2CD6"/>
    <w:rsid w:val="006C3180"/>
    <w:rsid w:val="006C3197"/>
    <w:rsid w:val="006C387E"/>
    <w:rsid w:val="006C39BF"/>
    <w:rsid w:val="006C3C45"/>
    <w:rsid w:val="006C4036"/>
    <w:rsid w:val="006C4814"/>
    <w:rsid w:val="006C4A7A"/>
    <w:rsid w:val="006C5CC6"/>
    <w:rsid w:val="006C5DE7"/>
    <w:rsid w:val="006C5E54"/>
    <w:rsid w:val="006C62A2"/>
    <w:rsid w:val="006C63C9"/>
    <w:rsid w:val="006C6412"/>
    <w:rsid w:val="006C6F5D"/>
    <w:rsid w:val="006C7658"/>
    <w:rsid w:val="006C7AB8"/>
    <w:rsid w:val="006C7B8A"/>
    <w:rsid w:val="006C7E86"/>
    <w:rsid w:val="006D055F"/>
    <w:rsid w:val="006D088D"/>
    <w:rsid w:val="006D17CD"/>
    <w:rsid w:val="006D1AAB"/>
    <w:rsid w:val="006D1BF1"/>
    <w:rsid w:val="006D2418"/>
    <w:rsid w:val="006D26D1"/>
    <w:rsid w:val="006D4614"/>
    <w:rsid w:val="006D4781"/>
    <w:rsid w:val="006D4D47"/>
    <w:rsid w:val="006D4FC8"/>
    <w:rsid w:val="006D5692"/>
    <w:rsid w:val="006D58E2"/>
    <w:rsid w:val="006D5EB7"/>
    <w:rsid w:val="006D6062"/>
    <w:rsid w:val="006D66AC"/>
    <w:rsid w:val="006D6791"/>
    <w:rsid w:val="006D6EEC"/>
    <w:rsid w:val="006D71B8"/>
    <w:rsid w:val="006D77A6"/>
    <w:rsid w:val="006D7D48"/>
    <w:rsid w:val="006E0074"/>
    <w:rsid w:val="006E0656"/>
    <w:rsid w:val="006E0695"/>
    <w:rsid w:val="006E1190"/>
    <w:rsid w:val="006E1831"/>
    <w:rsid w:val="006E1CBE"/>
    <w:rsid w:val="006E1D5B"/>
    <w:rsid w:val="006E1FBA"/>
    <w:rsid w:val="006E213C"/>
    <w:rsid w:val="006E27F9"/>
    <w:rsid w:val="006E2E62"/>
    <w:rsid w:val="006E3BEE"/>
    <w:rsid w:val="006E3D83"/>
    <w:rsid w:val="006E52EE"/>
    <w:rsid w:val="006E55D1"/>
    <w:rsid w:val="006E5A22"/>
    <w:rsid w:val="006E618D"/>
    <w:rsid w:val="006E6315"/>
    <w:rsid w:val="006E667C"/>
    <w:rsid w:val="006E66CF"/>
    <w:rsid w:val="006E6B5F"/>
    <w:rsid w:val="006E6BDE"/>
    <w:rsid w:val="006E6CBC"/>
    <w:rsid w:val="006E6EEA"/>
    <w:rsid w:val="006E71D2"/>
    <w:rsid w:val="006E771D"/>
    <w:rsid w:val="006E77EE"/>
    <w:rsid w:val="006E785D"/>
    <w:rsid w:val="006F042B"/>
    <w:rsid w:val="006F0B8C"/>
    <w:rsid w:val="006F0BC5"/>
    <w:rsid w:val="006F0F23"/>
    <w:rsid w:val="006F1350"/>
    <w:rsid w:val="006F151C"/>
    <w:rsid w:val="006F17EC"/>
    <w:rsid w:val="006F194A"/>
    <w:rsid w:val="006F20BB"/>
    <w:rsid w:val="006F22BC"/>
    <w:rsid w:val="006F2407"/>
    <w:rsid w:val="006F27A2"/>
    <w:rsid w:val="006F2C9F"/>
    <w:rsid w:val="006F3333"/>
    <w:rsid w:val="006F346A"/>
    <w:rsid w:val="006F3B1D"/>
    <w:rsid w:val="006F3E25"/>
    <w:rsid w:val="006F3F85"/>
    <w:rsid w:val="006F4626"/>
    <w:rsid w:val="006F49A4"/>
    <w:rsid w:val="006F50D1"/>
    <w:rsid w:val="006F51FB"/>
    <w:rsid w:val="006F5235"/>
    <w:rsid w:val="006F549B"/>
    <w:rsid w:val="006F565D"/>
    <w:rsid w:val="006F6642"/>
    <w:rsid w:val="006F69F7"/>
    <w:rsid w:val="006F6A9E"/>
    <w:rsid w:val="006F6FB6"/>
    <w:rsid w:val="006F7112"/>
    <w:rsid w:val="006F7169"/>
    <w:rsid w:val="006F7C0F"/>
    <w:rsid w:val="006F7ED6"/>
    <w:rsid w:val="006F7F67"/>
    <w:rsid w:val="007000D9"/>
    <w:rsid w:val="00700A0F"/>
    <w:rsid w:val="00700F00"/>
    <w:rsid w:val="00700F28"/>
    <w:rsid w:val="00700FD3"/>
    <w:rsid w:val="00701580"/>
    <w:rsid w:val="007017F4"/>
    <w:rsid w:val="007018D2"/>
    <w:rsid w:val="007019A2"/>
    <w:rsid w:val="00701E87"/>
    <w:rsid w:val="00702121"/>
    <w:rsid w:val="0070286B"/>
    <w:rsid w:val="00702940"/>
    <w:rsid w:val="007035F2"/>
    <w:rsid w:val="00703637"/>
    <w:rsid w:val="00703A0C"/>
    <w:rsid w:val="00703A1C"/>
    <w:rsid w:val="00703B0B"/>
    <w:rsid w:val="00703BB7"/>
    <w:rsid w:val="00704429"/>
    <w:rsid w:val="0070503A"/>
    <w:rsid w:val="007050FF"/>
    <w:rsid w:val="00705114"/>
    <w:rsid w:val="00705665"/>
    <w:rsid w:val="00705A32"/>
    <w:rsid w:val="00705BD7"/>
    <w:rsid w:val="00705E2B"/>
    <w:rsid w:val="007065D1"/>
    <w:rsid w:val="007066F2"/>
    <w:rsid w:val="007067DB"/>
    <w:rsid w:val="007069CE"/>
    <w:rsid w:val="00707632"/>
    <w:rsid w:val="00707710"/>
    <w:rsid w:val="007078F1"/>
    <w:rsid w:val="00707C9E"/>
    <w:rsid w:val="007103C5"/>
    <w:rsid w:val="00710459"/>
    <w:rsid w:val="007109A2"/>
    <w:rsid w:val="00710D59"/>
    <w:rsid w:val="00711336"/>
    <w:rsid w:val="0071170E"/>
    <w:rsid w:val="00712716"/>
    <w:rsid w:val="0071370C"/>
    <w:rsid w:val="00713DA1"/>
    <w:rsid w:val="00713DAF"/>
    <w:rsid w:val="00713F6E"/>
    <w:rsid w:val="007140FD"/>
    <w:rsid w:val="00714774"/>
    <w:rsid w:val="00714A4F"/>
    <w:rsid w:val="00714DFE"/>
    <w:rsid w:val="00714EBF"/>
    <w:rsid w:val="00715117"/>
    <w:rsid w:val="00715EAD"/>
    <w:rsid w:val="007164EE"/>
    <w:rsid w:val="0071685B"/>
    <w:rsid w:val="00717054"/>
    <w:rsid w:val="00717299"/>
    <w:rsid w:val="007178BA"/>
    <w:rsid w:val="007179A8"/>
    <w:rsid w:val="00717F17"/>
    <w:rsid w:val="007204D5"/>
    <w:rsid w:val="0072107A"/>
    <w:rsid w:val="007213D1"/>
    <w:rsid w:val="00721703"/>
    <w:rsid w:val="00721869"/>
    <w:rsid w:val="0072188D"/>
    <w:rsid w:val="00721C93"/>
    <w:rsid w:val="00721CAA"/>
    <w:rsid w:val="00722394"/>
    <w:rsid w:val="00722B1B"/>
    <w:rsid w:val="00723894"/>
    <w:rsid w:val="00723C8C"/>
    <w:rsid w:val="00723F77"/>
    <w:rsid w:val="00723FD8"/>
    <w:rsid w:val="007244DD"/>
    <w:rsid w:val="00724667"/>
    <w:rsid w:val="007249F3"/>
    <w:rsid w:val="00724B63"/>
    <w:rsid w:val="00724D11"/>
    <w:rsid w:val="00724FD6"/>
    <w:rsid w:val="00725177"/>
    <w:rsid w:val="00725481"/>
    <w:rsid w:val="007256AD"/>
    <w:rsid w:val="00725716"/>
    <w:rsid w:val="00725741"/>
    <w:rsid w:val="007259AC"/>
    <w:rsid w:val="00726110"/>
    <w:rsid w:val="007263BA"/>
    <w:rsid w:val="00726699"/>
    <w:rsid w:val="00726A07"/>
    <w:rsid w:val="00726E84"/>
    <w:rsid w:val="00727038"/>
    <w:rsid w:val="00730E1E"/>
    <w:rsid w:val="0073131E"/>
    <w:rsid w:val="00731717"/>
    <w:rsid w:val="007317DE"/>
    <w:rsid w:val="00731D04"/>
    <w:rsid w:val="007322AE"/>
    <w:rsid w:val="0073245A"/>
    <w:rsid w:val="00732A45"/>
    <w:rsid w:val="00732CD2"/>
    <w:rsid w:val="00732F20"/>
    <w:rsid w:val="007330F6"/>
    <w:rsid w:val="007331CB"/>
    <w:rsid w:val="007332D2"/>
    <w:rsid w:val="00733744"/>
    <w:rsid w:val="0073498D"/>
    <w:rsid w:val="00734B0C"/>
    <w:rsid w:val="00734BBA"/>
    <w:rsid w:val="00734D77"/>
    <w:rsid w:val="0073537D"/>
    <w:rsid w:val="00735608"/>
    <w:rsid w:val="0073601D"/>
    <w:rsid w:val="0073611F"/>
    <w:rsid w:val="007365B8"/>
    <w:rsid w:val="0073670D"/>
    <w:rsid w:val="0073680E"/>
    <w:rsid w:val="0073748B"/>
    <w:rsid w:val="007379C2"/>
    <w:rsid w:val="00737CC6"/>
    <w:rsid w:val="00737F3F"/>
    <w:rsid w:val="0074033B"/>
    <w:rsid w:val="007404F2"/>
    <w:rsid w:val="007405D5"/>
    <w:rsid w:val="00740711"/>
    <w:rsid w:val="0074073E"/>
    <w:rsid w:val="00740BC0"/>
    <w:rsid w:val="00740F3B"/>
    <w:rsid w:val="00741379"/>
    <w:rsid w:val="0074158D"/>
    <w:rsid w:val="00741BE6"/>
    <w:rsid w:val="00741FD8"/>
    <w:rsid w:val="007431D0"/>
    <w:rsid w:val="00743468"/>
    <w:rsid w:val="00743E4F"/>
    <w:rsid w:val="00744306"/>
    <w:rsid w:val="007443EA"/>
    <w:rsid w:val="007458C0"/>
    <w:rsid w:val="007458CE"/>
    <w:rsid w:val="00746641"/>
    <w:rsid w:val="00746672"/>
    <w:rsid w:val="00746D19"/>
    <w:rsid w:val="00746E6A"/>
    <w:rsid w:val="00750305"/>
    <w:rsid w:val="00750353"/>
    <w:rsid w:val="00750849"/>
    <w:rsid w:val="00750B30"/>
    <w:rsid w:val="0075109B"/>
    <w:rsid w:val="0075201E"/>
    <w:rsid w:val="007521E2"/>
    <w:rsid w:val="007524E5"/>
    <w:rsid w:val="007533D5"/>
    <w:rsid w:val="0075376D"/>
    <w:rsid w:val="007538C8"/>
    <w:rsid w:val="00753D02"/>
    <w:rsid w:val="00753DCC"/>
    <w:rsid w:val="00753FD0"/>
    <w:rsid w:val="00754063"/>
    <w:rsid w:val="00754A59"/>
    <w:rsid w:val="00754C37"/>
    <w:rsid w:val="00754F98"/>
    <w:rsid w:val="0075525E"/>
    <w:rsid w:val="0075526F"/>
    <w:rsid w:val="00755309"/>
    <w:rsid w:val="00755471"/>
    <w:rsid w:val="00755EC9"/>
    <w:rsid w:val="00755F81"/>
    <w:rsid w:val="00756234"/>
    <w:rsid w:val="007563F3"/>
    <w:rsid w:val="00756F78"/>
    <w:rsid w:val="0075704E"/>
    <w:rsid w:val="0075743F"/>
    <w:rsid w:val="0075763D"/>
    <w:rsid w:val="00757B0B"/>
    <w:rsid w:val="007615FE"/>
    <w:rsid w:val="007617B0"/>
    <w:rsid w:val="00761822"/>
    <w:rsid w:val="0076195C"/>
    <w:rsid w:val="00761AAB"/>
    <w:rsid w:val="00761E71"/>
    <w:rsid w:val="00761ED8"/>
    <w:rsid w:val="007629AA"/>
    <w:rsid w:val="00762ACD"/>
    <w:rsid w:val="00762BDE"/>
    <w:rsid w:val="00762DAA"/>
    <w:rsid w:val="00762E50"/>
    <w:rsid w:val="00762EB8"/>
    <w:rsid w:val="00763057"/>
    <w:rsid w:val="007636AC"/>
    <w:rsid w:val="00763B63"/>
    <w:rsid w:val="00763D14"/>
    <w:rsid w:val="00763DD2"/>
    <w:rsid w:val="00764334"/>
    <w:rsid w:val="00764338"/>
    <w:rsid w:val="007643D6"/>
    <w:rsid w:val="007645B7"/>
    <w:rsid w:val="00764A15"/>
    <w:rsid w:val="00764BEC"/>
    <w:rsid w:val="00765279"/>
    <w:rsid w:val="00765780"/>
    <w:rsid w:val="00765FAA"/>
    <w:rsid w:val="007666D2"/>
    <w:rsid w:val="00766766"/>
    <w:rsid w:val="0076694E"/>
    <w:rsid w:val="00766B3F"/>
    <w:rsid w:val="00766C5D"/>
    <w:rsid w:val="00767767"/>
    <w:rsid w:val="00767DA9"/>
    <w:rsid w:val="00767DD2"/>
    <w:rsid w:val="00767EE9"/>
    <w:rsid w:val="00770136"/>
    <w:rsid w:val="007703C9"/>
    <w:rsid w:val="00770415"/>
    <w:rsid w:val="007704BE"/>
    <w:rsid w:val="0077053A"/>
    <w:rsid w:val="00770AAA"/>
    <w:rsid w:val="00770DFD"/>
    <w:rsid w:val="00770E46"/>
    <w:rsid w:val="00770E56"/>
    <w:rsid w:val="007711BC"/>
    <w:rsid w:val="0077130E"/>
    <w:rsid w:val="007728BF"/>
    <w:rsid w:val="007732CC"/>
    <w:rsid w:val="00773743"/>
    <w:rsid w:val="0077379E"/>
    <w:rsid w:val="0077388D"/>
    <w:rsid w:val="00773CC2"/>
    <w:rsid w:val="00774052"/>
    <w:rsid w:val="00774172"/>
    <w:rsid w:val="00774216"/>
    <w:rsid w:val="00774D3F"/>
    <w:rsid w:val="00774D5B"/>
    <w:rsid w:val="00774DCE"/>
    <w:rsid w:val="00774DED"/>
    <w:rsid w:val="0077507A"/>
    <w:rsid w:val="007751A3"/>
    <w:rsid w:val="007753D0"/>
    <w:rsid w:val="00775799"/>
    <w:rsid w:val="00775932"/>
    <w:rsid w:val="00775CE4"/>
    <w:rsid w:val="00776520"/>
    <w:rsid w:val="00776F08"/>
    <w:rsid w:val="007772D7"/>
    <w:rsid w:val="00777645"/>
    <w:rsid w:val="00777A3C"/>
    <w:rsid w:val="00777EAB"/>
    <w:rsid w:val="007802C2"/>
    <w:rsid w:val="00780C25"/>
    <w:rsid w:val="00780D3B"/>
    <w:rsid w:val="0078186B"/>
    <w:rsid w:val="0078194A"/>
    <w:rsid w:val="00781AC3"/>
    <w:rsid w:val="00782574"/>
    <w:rsid w:val="00782736"/>
    <w:rsid w:val="00782E34"/>
    <w:rsid w:val="007833D9"/>
    <w:rsid w:val="0078354A"/>
    <w:rsid w:val="00783A7F"/>
    <w:rsid w:val="00783C6B"/>
    <w:rsid w:val="0078421D"/>
    <w:rsid w:val="00784BBE"/>
    <w:rsid w:val="00784BE7"/>
    <w:rsid w:val="00784EDC"/>
    <w:rsid w:val="00785093"/>
    <w:rsid w:val="00785229"/>
    <w:rsid w:val="0078590D"/>
    <w:rsid w:val="0078617A"/>
    <w:rsid w:val="00786A44"/>
    <w:rsid w:val="00786A72"/>
    <w:rsid w:val="00786BD0"/>
    <w:rsid w:val="00786BE6"/>
    <w:rsid w:val="00786C49"/>
    <w:rsid w:val="00786CC7"/>
    <w:rsid w:val="00786CE8"/>
    <w:rsid w:val="00786D42"/>
    <w:rsid w:val="00787059"/>
    <w:rsid w:val="007876E9"/>
    <w:rsid w:val="00787A93"/>
    <w:rsid w:val="00787B56"/>
    <w:rsid w:val="00787FA0"/>
    <w:rsid w:val="00790525"/>
    <w:rsid w:val="007906D6"/>
    <w:rsid w:val="00790C68"/>
    <w:rsid w:val="00790E17"/>
    <w:rsid w:val="00790E71"/>
    <w:rsid w:val="007913CD"/>
    <w:rsid w:val="00791B24"/>
    <w:rsid w:val="00791F61"/>
    <w:rsid w:val="007923A4"/>
    <w:rsid w:val="0079297F"/>
    <w:rsid w:val="007929B8"/>
    <w:rsid w:val="00792A44"/>
    <w:rsid w:val="00792DD5"/>
    <w:rsid w:val="00793491"/>
    <w:rsid w:val="007936FA"/>
    <w:rsid w:val="00793D9E"/>
    <w:rsid w:val="00794C77"/>
    <w:rsid w:val="0079531D"/>
    <w:rsid w:val="00795684"/>
    <w:rsid w:val="00796002"/>
    <w:rsid w:val="0079659D"/>
    <w:rsid w:val="00796997"/>
    <w:rsid w:val="0079710B"/>
    <w:rsid w:val="007973CF"/>
    <w:rsid w:val="0079743F"/>
    <w:rsid w:val="0079747E"/>
    <w:rsid w:val="0079757F"/>
    <w:rsid w:val="007A0A27"/>
    <w:rsid w:val="007A0BA1"/>
    <w:rsid w:val="007A1023"/>
    <w:rsid w:val="007A1490"/>
    <w:rsid w:val="007A1637"/>
    <w:rsid w:val="007A17EA"/>
    <w:rsid w:val="007A1BBB"/>
    <w:rsid w:val="007A1E4F"/>
    <w:rsid w:val="007A1FDD"/>
    <w:rsid w:val="007A2482"/>
    <w:rsid w:val="007A277D"/>
    <w:rsid w:val="007A28C9"/>
    <w:rsid w:val="007A2AB2"/>
    <w:rsid w:val="007A32E4"/>
    <w:rsid w:val="007A353F"/>
    <w:rsid w:val="007A37A5"/>
    <w:rsid w:val="007A3813"/>
    <w:rsid w:val="007A3B8F"/>
    <w:rsid w:val="007A3C29"/>
    <w:rsid w:val="007A3C61"/>
    <w:rsid w:val="007A3FBB"/>
    <w:rsid w:val="007A4055"/>
    <w:rsid w:val="007A467C"/>
    <w:rsid w:val="007A4892"/>
    <w:rsid w:val="007A4C11"/>
    <w:rsid w:val="007A5129"/>
    <w:rsid w:val="007A57AD"/>
    <w:rsid w:val="007A5E85"/>
    <w:rsid w:val="007A601B"/>
    <w:rsid w:val="007A62F2"/>
    <w:rsid w:val="007A63F4"/>
    <w:rsid w:val="007A6DF9"/>
    <w:rsid w:val="007A6E79"/>
    <w:rsid w:val="007A79BA"/>
    <w:rsid w:val="007A7BCE"/>
    <w:rsid w:val="007B0746"/>
    <w:rsid w:val="007B0B37"/>
    <w:rsid w:val="007B0C04"/>
    <w:rsid w:val="007B0CEF"/>
    <w:rsid w:val="007B0F5C"/>
    <w:rsid w:val="007B131B"/>
    <w:rsid w:val="007B144A"/>
    <w:rsid w:val="007B16CF"/>
    <w:rsid w:val="007B17A8"/>
    <w:rsid w:val="007B1934"/>
    <w:rsid w:val="007B19CD"/>
    <w:rsid w:val="007B2AAC"/>
    <w:rsid w:val="007B2EC3"/>
    <w:rsid w:val="007B2FA9"/>
    <w:rsid w:val="007B3428"/>
    <w:rsid w:val="007B3AF4"/>
    <w:rsid w:val="007B47DF"/>
    <w:rsid w:val="007B4A6E"/>
    <w:rsid w:val="007B4ACB"/>
    <w:rsid w:val="007B520B"/>
    <w:rsid w:val="007B575A"/>
    <w:rsid w:val="007B591B"/>
    <w:rsid w:val="007B61B6"/>
    <w:rsid w:val="007B6829"/>
    <w:rsid w:val="007B7159"/>
    <w:rsid w:val="007B7213"/>
    <w:rsid w:val="007B7D21"/>
    <w:rsid w:val="007B7ED8"/>
    <w:rsid w:val="007C007D"/>
    <w:rsid w:val="007C0097"/>
    <w:rsid w:val="007C01F5"/>
    <w:rsid w:val="007C04C2"/>
    <w:rsid w:val="007C0E7C"/>
    <w:rsid w:val="007C1183"/>
    <w:rsid w:val="007C13CF"/>
    <w:rsid w:val="007C149B"/>
    <w:rsid w:val="007C1585"/>
    <w:rsid w:val="007C1CF7"/>
    <w:rsid w:val="007C253F"/>
    <w:rsid w:val="007C2544"/>
    <w:rsid w:val="007C2825"/>
    <w:rsid w:val="007C29CE"/>
    <w:rsid w:val="007C307E"/>
    <w:rsid w:val="007C3767"/>
    <w:rsid w:val="007C3AFD"/>
    <w:rsid w:val="007C3B06"/>
    <w:rsid w:val="007C3CC2"/>
    <w:rsid w:val="007C3EE3"/>
    <w:rsid w:val="007C4241"/>
    <w:rsid w:val="007C4DF5"/>
    <w:rsid w:val="007C4EA2"/>
    <w:rsid w:val="007C529C"/>
    <w:rsid w:val="007C5911"/>
    <w:rsid w:val="007C5CD9"/>
    <w:rsid w:val="007C643F"/>
    <w:rsid w:val="007C660C"/>
    <w:rsid w:val="007C6DCC"/>
    <w:rsid w:val="007C72A8"/>
    <w:rsid w:val="007C7FC2"/>
    <w:rsid w:val="007D06A7"/>
    <w:rsid w:val="007D0BDF"/>
    <w:rsid w:val="007D0DE3"/>
    <w:rsid w:val="007D0E0B"/>
    <w:rsid w:val="007D1062"/>
    <w:rsid w:val="007D1443"/>
    <w:rsid w:val="007D1CB1"/>
    <w:rsid w:val="007D2BB6"/>
    <w:rsid w:val="007D314E"/>
    <w:rsid w:val="007D3250"/>
    <w:rsid w:val="007D3474"/>
    <w:rsid w:val="007D3A2B"/>
    <w:rsid w:val="007D3D40"/>
    <w:rsid w:val="007D4156"/>
    <w:rsid w:val="007D4284"/>
    <w:rsid w:val="007D4CFB"/>
    <w:rsid w:val="007D4FB7"/>
    <w:rsid w:val="007D4FDD"/>
    <w:rsid w:val="007D5164"/>
    <w:rsid w:val="007D57A8"/>
    <w:rsid w:val="007D5B22"/>
    <w:rsid w:val="007D5F56"/>
    <w:rsid w:val="007D6149"/>
    <w:rsid w:val="007D6C20"/>
    <w:rsid w:val="007D70B9"/>
    <w:rsid w:val="007D726C"/>
    <w:rsid w:val="007D7737"/>
    <w:rsid w:val="007D7A1A"/>
    <w:rsid w:val="007D7B8C"/>
    <w:rsid w:val="007D7F68"/>
    <w:rsid w:val="007E0098"/>
    <w:rsid w:val="007E045C"/>
    <w:rsid w:val="007E0731"/>
    <w:rsid w:val="007E08CA"/>
    <w:rsid w:val="007E0AB3"/>
    <w:rsid w:val="007E12D6"/>
    <w:rsid w:val="007E1963"/>
    <w:rsid w:val="007E1C1D"/>
    <w:rsid w:val="007E285C"/>
    <w:rsid w:val="007E32EF"/>
    <w:rsid w:val="007E3359"/>
    <w:rsid w:val="007E3F22"/>
    <w:rsid w:val="007E4257"/>
    <w:rsid w:val="007E428D"/>
    <w:rsid w:val="007E440D"/>
    <w:rsid w:val="007E493B"/>
    <w:rsid w:val="007E4A95"/>
    <w:rsid w:val="007E6188"/>
    <w:rsid w:val="007E69D5"/>
    <w:rsid w:val="007E6ABB"/>
    <w:rsid w:val="007E734A"/>
    <w:rsid w:val="007E799D"/>
    <w:rsid w:val="007E7A43"/>
    <w:rsid w:val="007E7C77"/>
    <w:rsid w:val="007E7F4A"/>
    <w:rsid w:val="007F00B0"/>
    <w:rsid w:val="007F01F7"/>
    <w:rsid w:val="007F0A40"/>
    <w:rsid w:val="007F0BD6"/>
    <w:rsid w:val="007F0E99"/>
    <w:rsid w:val="007F1060"/>
    <w:rsid w:val="007F1B9E"/>
    <w:rsid w:val="007F2C02"/>
    <w:rsid w:val="007F2DC5"/>
    <w:rsid w:val="007F363A"/>
    <w:rsid w:val="007F36DC"/>
    <w:rsid w:val="007F3EF0"/>
    <w:rsid w:val="007F416E"/>
    <w:rsid w:val="007F4792"/>
    <w:rsid w:val="007F4797"/>
    <w:rsid w:val="007F4BAF"/>
    <w:rsid w:val="007F4C77"/>
    <w:rsid w:val="007F4D3B"/>
    <w:rsid w:val="007F4F63"/>
    <w:rsid w:val="007F515B"/>
    <w:rsid w:val="007F5170"/>
    <w:rsid w:val="007F52AC"/>
    <w:rsid w:val="007F5BAD"/>
    <w:rsid w:val="007F5C6A"/>
    <w:rsid w:val="007F5E08"/>
    <w:rsid w:val="007F60EC"/>
    <w:rsid w:val="007F6774"/>
    <w:rsid w:val="007F713D"/>
    <w:rsid w:val="007F71E8"/>
    <w:rsid w:val="007F7344"/>
    <w:rsid w:val="007F7AB8"/>
    <w:rsid w:val="007F7BC7"/>
    <w:rsid w:val="00800028"/>
    <w:rsid w:val="008000F5"/>
    <w:rsid w:val="00800475"/>
    <w:rsid w:val="00800B86"/>
    <w:rsid w:val="00800DB1"/>
    <w:rsid w:val="00801A12"/>
    <w:rsid w:val="00801AD1"/>
    <w:rsid w:val="00801B32"/>
    <w:rsid w:val="00801B40"/>
    <w:rsid w:val="00801B6A"/>
    <w:rsid w:val="00801DF2"/>
    <w:rsid w:val="00801EA6"/>
    <w:rsid w:val="00802151"/>
    <w:rsid w:val="0080239C"/>
    <w:rsid w:val="008026CE"/>
    <w:rsid w:val="00802AA6"/>
    <w:rsid w:val="00802D47"/>
    <w:rsid w:val="00802FA0"/>
    <w:rsid w:val="00803088"/>
    <w:rsid w:val="00803277"/>
    <w:rsid w:val="008038CA"/>
    <w:rsid w:val="00803BCB"/>
    <w:rsid w:val="008045B3"/>
    <w:rsid w:val="00804CBC"/>
    <w:rsid w:val="008053B5"/>
    <w:rsid w:val="008054B0"/>
    <w:rsid w:val="00806281"/>
    <w:rsid w:val="008068F3"/>
    <w:rsid w:val="00806CB0"/>
    <w:rsid w:val="008071D3"/>
    <w:rsid w:val="00807521"/>
    <w:rsid w:val="00807E1D"/>
    <w:rsid w:val="00807EE2"/>
    <w:rsid w:val="0081008B"/>
    <w:rsid w:val="00810169"/>
    <w:rsid w:val="00810325"/>
    <w:rsid w:val="008103D0"/>
    <w:rsid w:val="008106FC"/>
    <w:rsid w:val="00810927"/>
    <w:rsid w:val="00810CF3"/>
    <w:rsid w:val="00810D5E"/>
    <w:rsid w:val="00810F26"/>
    <w:rsid w:val="0081102D"/>
    <w:rsid w:val="008112B1"/>
    <w:rsid w:val="00811518"/>
    <w:rsid w:val="00811894"/>
    <w:rsid w:val="00811F42"/>
    <w:rsid w:val="00811FAA"/>
    <w:rsid w:val="00811FFA"/>
    <w:rsid w:val="00812021"/>
    <w:rsid w:val="008123D3"/>
    <w:rsid w:val="00812692"/>
    <w:rsid w:val="00812E63"/>
    <w:rsid w:val="00813050"/>
    <w:rsid w:val="00813192"/>
    <w:rsid w:val="0081353B"/>
    <w:rsid w:val="00813AAF"/>
    <w:rsid w:val="00813AE1"/>
    <w:rsid w:val="00813B76"/>
    <w:rsid w:val="00813E22"/>
    <w:rsid w:val="00815106"/>
    <w:rsid w:val="0081536C"/>
    <w:rsid w:val="00815F2C"/>
    <w:rsid w:val="00816078"/>
    <w:rsid w:val="008163B3"/>
    <w:rsid w:val="00816CCF"/>
    <w:rsid w:val="00816CD6"/>
    <w:rsid w:val="008173F8"/>
    <w:rsid w:val="0081780D"/>
    <w:rsid w:val="00820815"/>
    <w:rsid w:val="00820C4E"/>
    <w:rsid w:val="00820EB7"/>
    <w:rsid w:val="008212C5"/>
    <w:rsid w:val="00821499"/>
    <w:rsid w:val="00821578"/>
    <w:rsid w:val="00821AAB"/>
    <w:rsid w:val="00822037"/>
    <w:rsid w:val="008223EE"/>
    <w:rsid w:val="00822BC3"/>
    <w:rsid w:val="00822F1C"/>
    <w:rsid w:val="00823FAB"/>
    <w:rsid w:val="00824382"/>
    <w:rsid w:val="0082438C"/>
    <w:rsid w:val="0082444E"/>
    <w:rsid w:val="0082498C"/>
    <w:rsid w:val="00824B77"/>
    <w:rsid w:val="00824CD5"/>
    <w:rsid w:val="008256FB"/>
    <w:rsid w:val="008257AC"/>
    <w:rsid w:val="0082596D"/>
    <w:rsid w:val="00825F00"/>
    <w:rsid w:val="00825FDE"/>
    <w:rsid w:val="008265CB"/>
    <w:rsid w:val="00826C43"/>
    <w:rsid w:val="0082795D"/>
    <w:rsid w:val="00827A50"/>
    <w:rsid w:val="00827E5A"/>
    <w:rsid w:val="00827EC0"/>
    <w:rsid w:val="00830716"/>
    <w:rsid w:val="00830F48"/>
    <w:rsid w:val="00831336"/>
    <w:rsid w:val="0083196D"/>
    <w:rsid w:val="00831A96"/>
    <w:rsid w:val="00832F1E"/>
    <w:rsid w:val="00833418"/>
    <w:rsid w:val="008334F5"/>
    <w:rsid w:val="008335E0"/>
    <w:rsid w:val="0083438E"/>
    <w:rsid w:val="00834698"/>
    <w:rsid w:val="008349F8"/>
    <w:rsid w:val="00834B15"/>
    <w:rsid w:val="00834DF9"/>
    <w:rsid w:val="0083517B"/>
    <w:rsid w:val="0083531F"/>
    <w:rsid w:val="008357B3"/>
    <w:rsid w:val="0083630C"/>
    <w:rsid w:val="0083667B"/>
    <w:rsid w:val="00836CF4"/>
    <w:rsid w:val="008373C7"/>
    <w:rsid w:val="008379A9"/>
    <w:rsid w:val="008401C8"/>
    <w:rsid w:val="00840249"/>
    <w:rsid w:val="008403C5"/>
    <w:rsid w:val="008403DD"/>
    <w:rsid w:val="00840725"/>
    <w:rsid w:val="008407A5"/>
    <w:rsid w:val="00840E5C"/>
    <w:rsid w:val="00840E77"/>
    <w:rsid w:val="008416C6"/>
    <w:rsid w:val="00841AC2"/>
    <w:rsid w:val="00841EAB"/>
    <w:rsid w:val="008422A6"/>
    <w:rsid w:val="0084233B"/>
    <w:rsid w:val="00842609"/>
    <w:rsid w:val="008428E1"/>
    <w:rsid w:val="00842BFE"/>
    <w:rsid w:val="00842CA7"/>
    <w:rsid w:val="008431BB"/>
    <w:rsid w:val="00843767"/>
    <w:rsid w:val="0084396E"/>
    <w:rsid w:val="00843E9A"/>
    <w:rsid w:val="008442ED"/>
    <w:rsid w:val="00844305"/>
    <w:rsid w:val="00844666"/>
    <w:rsid w:val="0084466D"/>
    <w:rsid w:val="00845309"/>
    <w:rsid w:val="008454A3"/>
    <w:rsid w:val="008457EE"/>
    <w:rsid w:val="00845AC0"/>
    <w:rsid w:val="00845D33"/>
    <w:rsid w:val="00846933"/>
    <w:rsid w:val="00846E92"/>
    <w:rsid w:val="008471F7"/>
    <w:rsid w:val="00847902"/>
    <w:rsid w:val="0084792C"/>
    <w:rsid w:val="00847C1A"/>
    <w:rsid w:val="00850358"/>
    <w:rsid w:val="008504F2"/>
    <w:rsid w:val="00850ABD"/>
    <w:rsid w:val="00850ADE"/>
    <w:rsid w:val="00850B10"/>
    <w:rsid w:val="0085111B"/>
    <w:rsid w:val="008513EE"/>
    <w:rsid w:val="00851757"/>
    <w:rsid w:val="00851E88"/>
    <w:rsid w:val="00851F6E"/>
    <w:rsid w:val="0085230A"/>
    <w:rsid w:val="0085233C"/>
    <w:rsid w:val="0085270D"/>
    <w:rsid w:val="00852D6E"/>
    <w:rsid w:val="00852E59"/>
    <w:rsid w:val="008530ED"/>
    <w:rsid w:val="008535C1"/>
    <w:rsid w:val="008538C1"/>
    <w:rsid w:val="00853B63"/>
    <w:rsid w:val="00853C29"/>
    <w:rsid w:val="00853E2F"/>
    <w:rsid w:val="00853F67"/>
    <w:rsid w:val="00853F6E"/>
    <w:rsid w:val="00854310"/>
    <w:rsid w:val="00854372"/>
    <w:rsid w:val="00854A6B"/>
    <w:rsid w:val="00854C60"/>
    <w:rsid w:val="00854D10"/>
    <w:rsid w:val="00854DFB"/>
    <w:rsid w:val="00854E83"/>
    <w:rsid w:val="00854F7C"/>
    <w:rsid w:val="00855104"/>
    <w:rsid w:val="00855722"/>
    <w:rsid w:val="008558FB"/>
    <w:rsid w:val="00855924"/>
    <w:rsid w:val="00855F19"/>
    <w:rsid w:val="008563B2"/>
    <w:rsid w:val="008563F7"/>
    <w:rsid w:val="00856985"/>
    <w:rsid w:val="00856C52"/>
    <w:rsid w:val="008570D5"/>
    <w:rsid w:val="00857959"/>
    <w:rsid w:val="008579FA"/>
    <w:rsid w:val="008600AC"/>
    <w:rsid w:val="008601C2"/>
    <w:rsid w:val="008608D8"/>
    <w:rsid w:val="00860998"/>
    <w:rsid w:val="00860A7E"/>
    <w:rsid w:val="00860EC7"/>
    <w:rsid w:val="00860FCE"/>
    <w:rsid w:val="00861244"/>
    <w:rsid w:val="008617DF"/>
    <w:rsid w:val="00861914"/>
    <w:rsid w:val="00861D6F"/>
    <w:rsid w:val="00861FD1"/>
    <w:rsid w:val="00862433"/>
    <w:rsid w:val="00862614"/>
    <w:rsid w:val="00862FEA"/>
    <w:rsid w:val="00863DAE"/>
    <w:rsid w:val="00864175"/>
    <w:rsid w:val="008642DD"/>
    <w:rsid w:val="00864499"/>
    <w:rsid w:val="0086475D"/>
    <w:rsid w:val="00864B4A"/>
    <w:rsid w:val="00864E95"/>
    <w:rsid w:val="008656D2"/>
    <w:rsid w:val="00865A10"/>
    <w:rsid w:val="00865BAE"/>
    <w:rsid w:val="0086602F"/>
    <w:rsid w:val="0086643B"/>
    <w:rsid w:val="0086675F"/>
    <w:rsid w:val="00866792"/>
    <w:rsid w:val="008668B3"/>
    <w:rsid w:val="00866BBE"/>
    <w:rsid w:val="00866C8B"/>
    <w:rsid w:val="00866CDA"/>
    <w:rsid w:val="00867309"/>
    <w:rsid w:val="00867503"/>
    <w:rsid w:val="00867B85"/>
    <w:rsid w:val="00867C44"/>
    <w:rsid w:val="0087019B"/>
    <w:rsid w:val="00870539"/>
    <w:rsid w:val="00870626"/>
    <w:rsid w:val="00870BF2"/>
    <w:rsid w:val="0087148B"/>
    <w:rsid w:val="008718F3"/>
    <w:rsid w:val="00871BA9"/>
    <w:rsid w:val="00871D8A"/>
    <w:rsid w:val="00871F23"/>
    <w:rsid w:val="0087244B"/>
    <w:rsid w:val="00872464"/>
    <w:rsid w:val="008729A2"/>
    <w:rsid w:val="00872FF9"/>
    <w:rsid w:val="008731B9"/>
    <w:rsid w:val="008734BC"/>
    <w:rsid w:val="00873770"/>
    <w:rsid w:val="0087377B"/>
    <w:rsid w:val="008738FD"/>
    <w:rsid w:val="00873C5F"/>
    <w:rsid w:val="00873CDE"/>
    <w:rsid w:val="00873F22"/>
    <w:rsid w:val="00874AE3"/>
    <w:rsid w:val="00874AF3"/>
    <w:rsid w:val="00874BB0"/>
    <w:rsid w:val="008750B5"/>
    <w:rsid w:val="00875111"/>
    <w:rsid w:val="00876D78"/>
    <w:rsid w:val="00876FFF"/>
    <w:rsid w:val="00877710"/>
    <w:rsid w:val="008778BE"/>
    <w:rsid w:val="00877CF6"/>
    <w:rsid w:val="00880075"/>
    <w:rsid w:val="00880189"/>
    <w:rsid w:val="00880791"/>
    <w:rsid w:val="00880D73"/>
    <w:rsid w:val="00881050"/>
    <w:rsid w:val="008812FB"/>
    <w:rsid w:val="008813D8"/>
    <w:rsid w:val="00881694"/>
    <w:rsid w:val="0088184C"/>
    <w:rsid w:val="008818F8"/>
    <w:rsid w:val="008819B5"/>
    <w:rsid w:val="00881F68"/>
    <w:rsid w:val="008834B1"/>
    <w:rsid w:val="008839E5"/>
    <w:rsid w:val="00883B89"/>
    <w:rsid w:val="00883CE0"/>
    <w:rsid w:val="00883D36"/>
    <w:rsid w:val="00883F19"/>
    <w:rsid w:val="00884477"/>
    <w:rsid w:val="0088473C"/>
    <w:rsid w:val="00884A0C"/>
    <w:rsid w:val="00884CE1"/>
    <w:rsid w:val="0088513F"/>
    <w:rsid w:val="008851A9"/>
    <w:rsid w:val="008851EA"/>
    <w:rsid w:val="00885740"/>
    <w:rsid w:val="0088574E"/>
    <w:rsid w:val="008857F9"/>
    <w:rsid w:val="00885859"/>
    <w:rsid w:val="008859DB"/>
    <w:rsid w:val="00885F81"/>
    <w:rsid w:val="0088606B"/>
    <w:rsid w:val="008864D3"/>
    <w:rsid w:val="00886537"/>
    <w:rsid w:val="00886657"/>
    <w:rsid w:val="00886917"/>
    <w:rsid w:val="00886B22"/>
    <w:rsid w:val="00886B51"/>
    <w:rsid w:val="00886B59"/>
    <w:rsid w:val="00886E98"/>
    <w:rsid w:val="008879F2"/>
    <w:rsid w:val="00887D24"/>
    <w:rsid w:val="00887E85"/>
    <w:rsid w:val="008900C7"/>
    <w:rsid w:val="008909D2"/>
    <w:rsid w:val="00891C10"/>
    <w:rsid w:val="00892207"/>
    <w:rsid w:val="00892418"/>
    <w:rsid w:val="00893476"/>
    <w:rsid w:val="00893758"/>
    <w:rsid w:val="0089391C"/>
    <w:rsid w:val="00893E6B"/>
    <w:rsid w:val="00894326"/>
    <w:rsid w:val="008943D7"/>
    <w:rsid w:val="008947DF"/>
    <w:rsid w:val="00894874"/>
    <w:rsid w:val="0089492E"/>
    <w:rsid w:val="00894EE5"/>
    <w:rsid w:val="00895901"/>
    <w:rsid w:val="00895A91"/>
    <w:rsid w:val="00895D0D"/>
    <w:rsid w:val="00895F87"/>
    <w:rsid w:val="008966F6"/>
    <w:rsid w:val="00896A67"/>
    <w:rsid w:val="00897662"/>
    <w:rsid w:val="008978FE"/>
    <w:rsid w:val="00897A18"/>
    <w:rsid w:val="008A00C8"/>
    <w:rsid w:val="008A0114"/>
    <w:rsid w:val="008A01BE"/>
    <w:rsid w:val="008A0882"/>
    <w:rsid w:val="008A08B4"/>
    <w:rsid w:val="008A08C4"/>
    <w:rsid w:val="008A0D2B"/>
    <w:rsid w:val="008A120D"/>
    <w:rsid w:val="008A125B"/>
    <w:rsid w:val="008A1634"/>
    <w:rsid w:val="008A1A75"/>
    <w:rsid w:val="008A1CD5"/>
    <w:rsid w:val="008A1E55"/>
    <w:rsid w:val="008A211E"/>
    <w:rsid w:val="008A2189"/>
    <w:rsid w:val="008A2EDC"/>
    <w:rsid w:val="008A3332"/>
    <w:rsid w:val="008A39EC"/>
    <w:rsid w:val="008A3A16"/>
    <w:rsid w:val="008A3DAB"/>
    <w:rsid w:val="008A40FE"/>
    <w:rsid w:val="008A4327"/>
    <w:rsid w:val="008A44D4"/>
    <w:rsid w:val="008A4909"/>
    <w:rsid w:val="008A4EE3"/>
    <w:rsid w:val="008A52B9"/>
    <w:rsid w:val="008A5449"/>
    <w:rsid w:val="008A5638"/>
    <w:rsid w:val="008A577D"/>
    <w:rsid w:val="008A58CC"/>
    <w:rsid w:val="008A5E89"/>
    <w:rsid w:val="008A5EB5"/>
    <w:rsid w:val="008A5FA3"/>
    <w:rsid w:val="008A6100"/>
    <w:rsid w:val="008A6779"/>
    <w:rsid w:val="008A6966"/>
    <w:rsid w:val="008A6F94"/>
    <w:rsid w:val="008A71CF"/>
    <w:rsid w:val="008A7325"/>
    <w:rsid w:val="008A746A"/>
    <w:rsid w:val="008A7557"/>
    <w:rsid w:val="008A77DB"/>
    <w:rsid w:val="008B00F4"/>
    <w:rsid w:val="008B011B"/>
    <w:rsid w:val="008B09D6"/>
    <w:rsid w:val="008B0A0E"/>
    <w:rsid w:val="008B1D7D"/>
    <w:rsid w:val="008B1F76"/>
    <w:rsid w:val="008B2623"/>
    <w:rsid w:val="008B2650"/>
    <w:rsid w:val="008B3394"/>
    <w:rsid w:val="008B34BB"/>
    <w:rsid w:val="008B37EC"/>
    <w:rsid w:val="008B38AA"/>
    <w:rsid w:val="008B43CD"/>
    <w:rsid w:val="008B44B3"/>
    <w:rsid w:val="008B503D"/>
    <w:rsid w:val="008B51E4"/>
    <w:rsid w:val="008B56E8"/>
    <w:rsid w:val="008B58BF"/>
    <w:rsid w:val="008B5C38"/>
    <w:rsid w:val="008B5FD9"/>
    <w:rsid w:val="008B60E0"/>
    <w:rsid w:val="008B6443"/>
    <w:rsid w:val="008B6A87"/>
    <w:rsid w:val="008B6A98"/>
    <w:rsid w:val="008B7796"/>
    <w:rsid w:val="008C017F"/>
    <w:rsid w:val="008C024F"/>
    <w:rsid w:val="008C0570"/>
    <w:rsid w:val="008C05BD"/>
    <w:rsid w:val="008C09D3"/>
    <w:rsid w:val="008C0C6E"/>
    <w:rsid w:val="008C0C9E"/>
    <w:rsid w:val="008C0D9A"/>
    <w:rsid w:val="008C1132"/>
    <w:rsid w:val="008C161F"/>
    <w:rsid w:val="008C178D"/>
    <w:rsid w:val="008C196B"/>
    <w:rsid w:val="008C202B"/>
    <w:rsid w:val="008C2103"/>
    <w:rsid w:val="008C221F"/>
    <w:rsid w:val="008C249B"/>
    <w:rsid w:val="008C2952"/>
    <w:rsid w:val="008C3368"/>
    <w:rsid w:val="008C37E7"/>
    <w:rsid w:val="008C3EF1"/>
    <w:rsid w:val="008C421A"/>
    <w:rsid w:val="008C4C8D"/>
    <w:rsid w:val="008C4EB6"/>
    <w:rsid w:val="008C5236"/>
    <w:rsid w:val="008C58E6"/>
    <w:rsid w:val="008C5A31"/>
    <w:rsid w:val="008C5A94"/>
    <w:rsid w:val="008C6235"/>
    <w:rsid w:val="008C6592"/>
    <w:rsid w:val="008C6BB4"/>
    <w:rsid w:val="008C6E97"/>
    <w:rsid w:val="008C737D"/>
    <w:rsid w:val="008C7886"/>
    <w:rsid w:val="008C7978"/>
    <w:rsid w:val="008C7FB0"/>
    <w:rsid w:val="008D0ED3"/>
    <w:rsid w:val="008D1C10"/>
    <w:rsid w:val="008D1DC3"/>
    <w:rsid w:val="008D2361"/>
    <w:rsid w:val="008D2405"/>
    <w:rsid w:val="008D2D5B"/>
    <w:rsid w:val="008D2E20"/>
    <w:rsid w:val="008D2E5D"/>
    <w:rsid w:val="008D331F"/>
    <w:rsid w:val="008D3777"/>
    <w:rsid w:val="008D3AEB"/>
    <w:rsid w:val="008D4069"/>
    <w:rsid w:val="008D46FC"/>
    <w:rsid w:val="008D4B57"/>
    <w:rsid w:val="008D4D13"/>
    <w:rsid w:val="008D4EF3"/>
    <w:rsid w:val="008D4F36"/>
    <w:rsid w:val="008D545E"/>
    <w:rsid w:val="008D54A3"/>
    <w:rsid w:val="008D5C4C"/>
    <w:rsid w:val="008D6EE1"/>
    <w:rsid w:val="008D73DC"/>
    <w:rsid w:val="008D776C"/>
    <w:rsid w:val="008D78B4"/>
    <w:rsid w:val="008E0189"/>
    <w:rsid w:val="008E06E7"/>
    <w:rsid w:val="008E0975"/>
    <w:rsid w:val="008E0EC5"/>
    <w:rsid w:val="008E12BC"/>
    <w:rsid w:val="008E137A"/>
    <w:rsid w:val="008E17C3"/>
    <w:rsid w:val="008E1AF6"/>
    <w:rsid w:val="008E1D64"/>
    <w:rsid w:val="008E1D69"/>
    <w:rsid w:val="008E25F2"/>
    <w:rsid w:val="008E27C4"/>
    <w:rsid w:val="008E2C78"/>
    <w:rsid w:val="008E2E01"/>
    <w:rsid w:val="008E309B"/>
    <w:rsid w:val="008E3758"/>
    <w:rsid w:val="008E3B42"/>
    <w:rsid w:val="008E3BAB"/>
    <w:rsid w:val="008E3EAA"/>
    <w:rsid w:val="008E401C"/>
    <w:rsid w:val="008E44E0"/>
    <w:rsid w:val="008E4D08"/>
    <w:rsid w:val="008E5200"/>
    <w:rsid w:val="008E522A"/>
    <w:rsid w:val="008E562D"/>
    <w:rsid w:val="008E5F76"/>
    <w:rsid w:val="008E643C"/>
    <w:rsid w:val="008E6AAE"/>
    <w:rsid w:val="008E72C0"/>
    <w:rsid w:val="008E750D"/>
    <w:rsid w:val="008E7B88"/>
    <w:rsid w:val="008E7BB0"/>
    <w:rsid w:val="008E7E14"/>
    <w:rsid w:val="008F015E"/>
    <w:rsid w:val="008F036D"/>
    <w:rsid w:val="008F0D1A"/>
    <w:rsid w:val="008F0E11"/>
    <w:rsid w:val="008F0F49"/>
    <w:rsid w:val="008F11D3"/>
    <w:rsid w:val="008F13D6"/>
    <w:rsid w:val="008F153F"/>
    <w:rsid w:val="008F1607"/>
    <w:rsid w:val="008F16F2"/>
    <w:rsid w:val="008F19B7"/>
    <w:rsid w:val="008F1A64"/>
    <w:rsid w:val="008F1DC2"/>
    <w:rsid w:val="008F201B"/>
    <w:rsid w:val="008F2E84"/>
    <w:rsid w:val="008F342D"/>
    <w:rsid w:val="008F39BF"/>
    <w:rsid w:val="008F4A37"/>
    <w:rsid w:val="008F4B79"/>
    <w:rsid w:val="008F4BC8"/>
    <w:rsid w:val="008F5007"/>
    <w:rsid w:val="008F50A3"/>
    <w:rsid w:val="008F527E"/>
    <w:rsid w:val="008F5382"/>
    <w:rsid w:val="008F57AA"/>
    <w:rsid w:val="008F57FC"/>
    <w:rsid w:val="008F57FF"/>
    <w:rsid w:val="008F5ABD"/>
    <w:rsid w:val="008F5B2D"/>
    <w:rsid w:val="008F5D92"/>
    <w:rsid w:val="008F5E91"/>
    <w:rsid w:val="008F6136"/>
    <w:rsid w:val="008F6D63"/>
    <w:rsid w:val="008F707E"/>
    <w:rsid w:val="008F7B3C"/>
    <w:rsid w:val="008F7FC3"/>
    <w:rsid w:val="00900BBC"/>
    <w:rsid w:val="00900E9C"/>
    <w:rsid w:val="00901A7A"/>
    <w:rsid w:val="00901E45"/>
    <w:rsid w:val="00902113"/>
    <w:rsid w:val="009021D2"/>
    <w:rsid w:val="00902511"/>
    <w:rsid w:val="00902906"/>
    <w:rsid w:val="00902BED"/>
    <w:rsid w:val="00902CD2"/>
    <w:rsid w:val="00902D00"/>
    <w:rsid w:val="00902DB1"/>
    <w:rsid w:val="00902E74"/>
    <w:rsid w:val="00903027"/>
    <w:rsid w:val="009030BA"/>
    <w:rsid w:val="009031A8"/>
    <w:rsid w:val="009034EE"/>
    <w:rsid w:val="009038AC"/>
    <w:rsid w:val="00903BCE"/>
    <w:rsid w:val="00903E24"/>
    <w:rsid w:val="0090407E"/>
    <w:rsid w:val="009044BB"/>
    <w:rsid w:val="00904A55"/>
    <w:rsid w:val="00904BF3"/>
    <w:rsid w:val="009055F7"/>
    <w:rsid w:val="00905878"/>
    <w:rsid w:val="00905FEB"/>
    <w:rsid w:val="009067FB"/>
    <w:rsid w:val="00906A51"/>
    <w:rsid w:val="00906A6B"/>
    <w:rsid w:val="00906C88"/>
    <w:rsid w:val="0090710B"/>
    <w:rsid w:val="009073E4"/>
    <w:rsid w:val="0090774D"/>
    <w:rsid w:val="009079A1"/>
    <w:rsid w:val="00907CE4"/>
    <w:rsid w:val="00907FA7"/>
    <w:rsid w:val="009100F1"/>
    <w:rsid w:val="00910173"/>
    <w:rsid w:val="009109E3"/>
    <w:rsid w:val="00910CA3"/>
    <w:rsid w:val="00911F95"/>
    <w:rsid w:val="00912AC7"/>
    <w:rsid w:val="009134DE"/>
    <w:rsid w:val="00913754"/>
    <w:rsid w:val="00913786"/>
    <w:rsid w:val="009142A7"/>
    <w:rsid w:val="0091437D"/>
    <w:rsid w:val="0091507A"/>
    <w:rsid w:val="009150AA"/>
    <w:rsid w:val="009153DF"/>
    <w:rsid w:val="0091560A"/>
    <w:rsid w:val="009160C1"/>
    <w:rsid w:val="0091625D"/>
    <w:rsid w:val="0091688B"/>
    <w:rsid w:val="00916ED6"/>
    <w:rsid w:val="0091701F"/>
    <w:rsid w:val="00917200"/>
    <w:rsid w:val="009172C7"/>
    <w:rsid w:val="00917313"/>
    <w:rsid w:val="0091749F"/>
    <w:rsid w:val="00917E78"/>
    <w:rsid w:val="009201B3"/>
    <w:rsid w:val="00920978"/>
    <w:rsid w:val="00920A0A"/>
    <w:rsid w:val="00920C10"/>
    <w:rsid w:val="00921144"/>
    <w:rsid w:val="009211C2"/>
    <w:rsid w:val="0092163A"/>
    <w:rsid w:val="009223CC"/>
    <w:rsid w:val="009225C2"/>
    <w:rsid w:val="0092295E"/>
    <w:rsid w:val="00922A5D"/>
    <w:rsid w:val="00923204"/>
    <w:rsid w:val="009236CB"/>
    <w:rsid w:val="009236F8"/>
    <w:rsid w:val="00923946"/>
    <w:rsid w:val="00923A24"/>
    <w:rsid w:val="00923E0C"/>
    <w:rsid w:val="0092434C"/>
    <w:rsid w:val="009245AE"/>
    <w:rsid w:val="00924621"/>
    <w:rsid w:val="00924817"/>
    <w:rsid w:val="009249C4"/>
    <w:rsid w:val="00924CA9"/>
    <w:rsid w:val="0092593A"/>
    <w:rsid w:val="0092595B"/>
    <w:rsid w:val="00926405"/>
    <w:rsid w:val="00926BD7"/>
    <w:rsid w:val="00926FBD"/>
    <w:rsid w:val="00926FD9"/>
    <w:rsid w:val="009271C7"/>
    <w:rsid w:val="00930020"/>
    <w:rsid w:val="00930161"/>
    <w:rsid w:val="009303FF"/>
    <w:rsid w:val="009305D8"/>
    <w:rsid w:val="00930C1E"/>
    <w:rsid w:val="00930D65"/>
    <w:rsid w:val="00930E50"/>
    <w:rsid w:val="00930EFD"/>
    <w:rsid w:val="0093180D"/>
    <w:rsid w:val="00932321"/>
    <w:rsid w:val="009324A7"/>
    <w:rsid w:val="009328EA"/>
    <w:rsid w:val="00932D40"/>
    <w:rsid w:val="009331FE"/>
    <w:rsid w:val="00933324"/>
    <w:rsid w:val="009337A2"/>
    <w:rsid w:val="00933B00"/>
    <w:rsid w:val="00933C15"/>
    <w:rsid w:val="00933DA4"/>
    <w:rsid w:val="009342E6"/>
    <w:rsid w:val="00934601"/>
    <w:rsid w:val="00934668"/>
    <w:rsid w:val="0093498E"/>
    <w:rsid w:val="00934C91"/>
    <w:rsid w:val="00934CB4"/>
    <w:rsid w:val="00934FB9"/>
    <w:rsid w:val="00935100"/>
    <w:rsid w:val="0093545E"/>
    <w:rsid w:val="009356EE"/>
    <w:rsid w:val="00935E2C"/>
    <w:rsid w:val="00935F34"/>
    <w:rsid w:val="00935F65"/>
    <w:rsid w:val="0093630B"/>
    <w:rsid w:val="00936C0D"/>
    <w:rsid w:val="00936D84"/>
    <w:rsid w:val="00936E8D"/>
    <w:rsid w:val="0093711E"/>
    <w:rsid w:val="0093725F"/>
    <w:rsid w:val="0093741B"/>
    <w:rsid w:val="00937751"/>
    <w:rsid w:val="00937907"/>
    <w:rsid w:val="009400F2"/>
    <w:rsid w:val="00940316"/>
    <w:rsid w:val="00940553"/>
    <w:rsid w:val="00940DF3"/>
    <w:rsid w:val="00940F68"/>
    <w:rsid w:val="00941344"/>
    <w:rsid w:val="00941438"/>
    <w:rsid w:val="0094174D"/>
    <w:rsid w:val="009417DB"/>
    <w:rsid w:val="009419DA"/>
    <w:rsid w:val="00941CBC"/>
    <w:rsid w:val="00941EB6"/>
    <w:rsid w:val="009422F4"/>
    <w:rsid w:val="0094245F"/>
    <w:rsid w:val="00942653"/>
    <w:rsid w:val="0094272F"/>
    <w:rsid w:val="00942741"/>
    <w:rsid w:val="009429D1"/>
    <w:rsid w:val="00942D78"/>
    <w:rsid w:val="00942F5C"/>
    <w:rsid w:val="0094309E"/>
    <w:rsid w:val="009433A7"/>
    <w:rsid w:val="0094388F"/>
    <w:rsid w:val="009446A8"/>
    <w:rsid w:val="00944C13"/>
    <w:rsid w:val="00944C3E"/>
    <w:rsid w:val="00945160"/>
    <w:rsid w:val="00945481"/>
    <w:rsid w:val="00945490"/>
    <w:rsid w:val="00945B53"/>
    <w:rsid w:val="00945C12"/>
    <w:rsid w:val="009463E5"/>
    <w:rsid w:val="00946567"/>
    <w:rsid w:val="009465F2"/>
    <w:rsid w:val="009465F9"/>
    <w:rsid w:val="0094672C"/>
    <w:rsid w:val="00946AA7"/>
    <w:rsid w:val="009472E7"/>
    <w:rsid w:val="009472EA"/>
    <w:rsid w:val="00947B22"/>
    <w:rsid w:val="00947C41"/>
    <w:rsid w:val="00947CAA"/>
    <w:rsid w:val="009503C8"/>
    <w:rsid w:val="00950EBF"/>
    <w:rsid w:val="0095142D"/>
    <w:rsid w:val="00952365"/>
    <w:rsid w:val="00952544"/>
    <w:rsid w:val="0095264A"/>
    <w:rsid w:val="00952B6A"/>
    <w:rsid w:val="00952DB8"/>
    <w:rsid w:val="009532AE"/>
    <w:rsid w:val="009532F6"/>
    <w:rsid w:val="009532FE"/>
    <w:rsid w:val="00953AF4"/>
    <w:rsid w:val="00953C13"/>
    <w:rsid w:val="009541E5"/>
    <w:rsid w:val="0095467B"/>
    <w:rsid w:val="009549E5"/>
    <w:rsid w:val="00954C96"/>
    <w:rsid w:val="00954E81"/>
    <w:rsid w:val="00955194"/>
    <w:rsid w:val="009552AA"/>
    <w:rsid w:val="00955356"/>
    <w:rsid w:val="0095596F"/>
    <w:rsid w:val="00955A0B"/>
    <w:rsid w:val="00955A20"/>
    <w:rsid w:val="00955DA5"/>
    <w:rsid w:val="00956181"/>
    <w:rsid w:val="009561F7"/>
    <w:rsid w:val="0095653D"/>
    <w:rsid w:val="00956AC6"/>
    <w:rsid w:val="00956C5F"/>
    <w:rsid w:val="00956E30"/>
    <w:rsid w:val="00957C2A"/>
    <w:rsid w:val="00960306"/>
    <w:rsid w:val="0096073E"/>
    <w:rsid w:val="00960BB1"/>
    <w:rsid w:val="00960F3B"/>
    <w:rsid w:val="00961362"/>
    <w:rsid w:val="00961704"/>
    <w:rsid w:val="00961AD4"/>
    <w:rsid w:val="00961EC4"/>
    <w:rsid w:val="00961EC5"/>
    <w:rsid w:val="009621FE"/>
    <w:rsid w:val="0096255A"/>
    <w:rsid w:val="009629B1"/>
    <w:rsid w:val="00962AF8"/>
    <w:rsid w:val="00962D0A"/>
    <w:rsid w:val="009636EF"/>
    <w:rsid w:val="009639BD"/>
    <w:rsid w:val="00963AA2"/>
    <w:rsid w:val="009641A8"/>
    <w:rsid w:val="00964269"/>
    <w:rsid w:val="00964805"/>
    <w:rsid w:val="0096493D"/>
    <w:rsid w:val="00964D40"/>
    <w:rsid w:val="00965196"/>
    <w:rsid w:val="009652A6"/>
    <w:rsid w:val="00965350"/>
    <w:rsid w:val="0096605B"/>
    <w:rsid w:val="00966D02"/>
    <w:rsid w:val="009671B4"/>
    <w:rsid w:val="009674EE"/>
    <w:rsid w:val="00967709"/>
    <w:rsid w:val="00967D15"/>
    <w:rsid w:val="00967E26"/>
    <w:rsid w:val="00967F52"/>
    <w:rsid w:val="00970767"/>
    <w:rsid w:val="00970B75"/>
    <w:rsid w:val="009711DD"/>
    <w:rsid w:val="009712A8"/>
    <w:rsid w:val="009712B5"/>
    <w:rsid w:val="00971984"/>
    <w:rsid w:val="00971B88"/>
    <w:rsid w:val="00971C87"/>
    <w:rsid w:val="00972033"/>
    <w:rsid w:val="009723AF"/>
    <w:rsid w:val="00972944"/>
    <w:rsid w:val="00972C6B"/>
    <w:rsid w:val="00972D9D"/>
    <w:rsid w:val="00973191"/>
    <w:rsid w:val="00973229"/>
    <w:rsid w:val="009733E8"/>
    <w:rsid w:val="0097346E"/>
    <w:rsid w:val="00973849"/>
    <w:rsid w:val="009738E2"/>
    <w:rsid w:val="00973CFA"/>
    <w:rsid w:val="00973DC0"/>
    <w:rsid w:val="00973DE5"/>
    <w:rsid w:val="009741C3"/>
    <w:rsid w:val="00974353"/>
    <w:rsid w:val="00974A63"/>
    <w:rsid w:val="0097549C"/>
    <w:rsid w:val="009758B2"/>
    <w:rsid w:val="00975B56"/>
    <w:rsid w:val="0097612F"/>
    <w:rsid w:val="0097618A"/>
    <w:rsid w:val="00976728"/>
    <w:rsid w:val="009768BE"/>
    <w:rsid w:val="00976ED6"/>
    <w:rsid w:val="00977100"/>
    <w:rsid w:val="009771A4"/>
    <w:rsid w:val="00977A76"/>
    <w:rsid w:val="00977D4A"/>
    <w:rsid w:val="00977F18"/>
    <w:rsid w:val="00980086"/>
    <w:rsid w:val="009809D6"/>
    <w:rsid w:val="00980A7F"/>
    <w:rsid w:val="00980B1F"/>
    <w:rsid w:val="00980C6B"/>
    <w:rsid w:val="00980F25"/>
    <w:rsid w:val="0098102D"/>
    <w:rsid w:val="00981122"/>
    <w:rsid w:val="009812F1"/>
    <w:rsid w:val="0098134B"/>
    <w:rsid w:val="0098190F"/>
    <w:rsid w:val="00981A1C"/>
    <w:rsid w:val="00981E2D"/>
    <w:rsid w:val="00982089"/>
    <w:rsid w:val="009826F0"/>
    <w:rsid w:val="00982833"/>
    <w:rsid w:val="00982E66"/>
    <w:rsid w:val="009836FC"/>
    <w:rsid w:val="009840A2"/>
    <w:rsid w:val="00984204"/>
    <w:rsid w:val="009849AB"/>
    <w:rsid w:val="00984E3A"/>
    <w:rsid w:val="00985036"/>
    <w:rsid w:val="0098534F"/>
    <w:rsid w:val="00985365"/>
    <w:rsid w:val="00985555"/>
    <w:rsid w:val="009855B3"/>
    <w:rsid w:val="00985801"/>
    <w:rsid w:val="00985DFF"/>
    <w:rsid w:val="0098625E"/>
    <w:rsid w:val="00986819"/>
    <w:rsid w:val="0098683A"/>
    <w:rsid w:val="00986E74"/>
    <w:rsid w:val="009870DD"/>
    <w:rsid w:val="00987522"/>
    <w:rsid w:val="009879AB"/>
    <w:rsid w:val="00990075"/>
    <w:rsid w:val="009902FC"/>
    <w:rsid w:val="0099077B"/>
    <w:rsid w:val="0099106A"/>
    <w:rsid w:val="00991110"/>
    <w:rsid w:val="00991486"/>
    <w:rsid w:val="009915BF"/>
    <w:rsid w:val="00991CF0"/>
    <w:rsid w:val="00991D13"/>
    <w:rsid w:val="00991D6C"/>
    <w:rsid w:val="009927CD"/>
    <w:rsid w:val="0099282F"/>
    <w:rsid w:val="0099321F"/>
    <w:rsid w:val="00993617"/>
    <w:rsid w:val="009938D2"/>
    <w:rsid w:val="009938EF"/>
    <w:rsid w:val="00993BAE"/>
    <w:rsid w:val="0099409D"/>
    <w:rsid w:val="009941E9"/>
    <w:rsid w:val="00994725"/>
    <w:rsid w:val="00994891"/>
    <w:rsid w:val="009948C9"/>
    <w:rsid w:val="00994A1F"/>
    <w:rsid w:val="0099552A"/>
    <w:rsid w:val="00995B62"/>
    <w:rsid w:val="00995D11"/>
    <w:rsid w:val="0099664F"/>
    <w:rsid w:val="00996DA5"/>
    <w:rsid w:val="00997577"/>
    <w:rsid w:val="009978A6"/>
    <w:rsid w:val="009A065D"/>
    <w:rsid w:val="009A1544"/>
    <w:rsid w:val="009A1654"/>
    <w:rsid w:val="009A1804"/>
    <w:rsid w:val="009A2498"/>
    <w:rsid w:val="009A2591"/>
    <w:rsid w:val="009A2789"/>
    <w:rsid w:val="009A2794"/>
    <w:rsid w:val="009A2E93"/>
    <w:rsid w:val="009A307F"/>
    <w:rsid w:val="009A30FA"/>
    <w:rsid w:val="009A336A"/>
    <w:rsid w:val="009A3887"/>
    <w:rsid w:val="009A3C14"/>
    <w:rsid w:val="009A3F89"/>
    <w:rsid w:val="009A41C9"/>
    <w:rsid w:val="009A41D2"/>
    <w:rsid w:val="009A43ED"/>
    <w:rsid w:val="009A468E"/>
    <w:rsid w:val="009A49FF"/>
    <w:rsid w:val="009A4A14"/>
    <w:rsid w:val="009A4C96"/>
    <w:rsid w:val="009A4CDE"/>
    <w:rsid w:val="009A4D51"/>
    <w:rsid w:val="009A4EC1"/>
    <w:rsid w:val="009A5257"/>
    <w:rsid w:val="009A5A52"/>
    <w:rsid w:val="009A5C0A"/>
    <w:rsid w:val="009A5F1D"/>
    <w:rsid w:val="009A680B"/>
    <w:rsid w:val="009A6B24"/>
    <w:rsid w:val="009A6B27"/>
    <w:rsid w:val="009A6C91"/>
    <w:rsid w:val="009B0208"/>
    <w:rsid w:val="009B0640"/>
    <w:rsid w:val="009B0A81"/>
    <w:rsid w:val="009B0AF5"/>
    <w:rsid w:val="009B0C6C"/>
    <w:rsid w:val="009B0DAB"/>
    <w:rsid w:val="009B18D6"/>
    <w:rsid w:val="009B1D52"/>
    <w:rsid w:val="009B1E02"/>
    <w:rsid w:val="009B2255"/>
    <w:rsid w:val="009B2532"/>
    <w:rsid w:val="009B2805"/>
    <w:rsid w:val="009B2991"/>
    <w:rsid w:val="009B2C7D"/>
    <w:rsid w:val="009B352D"/>
    <w:rsid w:val="009B3555"/>
    <w:rsid w:val="009B35E8"/>
    <w:rsid w:val="009B36D8"/>
    <w:rsid w:val="009B3EC2"/>
    <w:rsid w:val="009B40CB"/>
    <w:rsid w:val="009B4534"/>
    <w:rsid w:val="009B4CB0"/>
    <w:rsid w:val="009B518D"/>
    <w:rsid w:val="009B5897"/>
    <w:rsid w:val="009B59DD"/>
    <w:rsid w:val="009B5A4E"/>
    <w:rsid w:val="009B5AFC"/>
    <w:rsid w:val="009B5E17"/>
    <w:rsid w:val="009B6097"/>
    <w:rsid w:val="009B627B"/>
    <w:rsid w:val="009B627F"/>
    <w:rsid w:val="009B728A"/>
    <w:rsid w:val="009B74D7"/>
    <w:rsid w:val="009B77D7"/>
    <w:rsid w:val="009C0368"/>
    <w:rsid w:val="009C12D4"/>
    <w:rsid w:val="009C1372"/>
    <w:rsid w:val="009C15CC"/>
    <w:rsid w:val="009C17B6"/>
    <w:rsid w:val="009C1D5D"/>
    <w:rsid w:val="009C204B"/>
    <w:rsid w:val="009C29C5"/>
    <w:rsid w:val="009C2A7A"/>
    <w:rsid w:val="009C2E8B"/>
    <w:rsid w:val="009C371F"/>
    <w:rsid w:val="009C3720"/>
    <w:rsid w:val="009C378A"/>
    <w:rsid w:val="009C39C2"/>
    <w:rsid w:val="009C3BEB"/>
    <w:rsid w:val="009C3F56"/>
    <w:rsid w:val="009C49C7"/>
    <w:rsid w:val="009C4CB2"/>
    <w:rsid w:val="009C551E"/>
    <w:rsid w:val="009C57DF"/>
    <w:rsid w:val="009C618E"/>
    <w:rsid w:val="009C64D6"/>
    <w:rsid w:val="009C65AD"/>
    <w:rsid w:val="009C6A47"/>
    <w:rsid w:val="009C6AFB"/>
    <w:rsid w:val="009C7296"/>
    <w:rsid w:val="009C74AE"/>
    <w:rsid w:val="009C75DF"/>
    <w:rsid w:val="009C7C82"/>
    <w:rsid w:val="009C7FA9"/>
    <w:rsid w:val="009D01AC"/>
    <w:rsid w:val="009D092B"/>
    <w:rsid w:val="009D1063"/>
    <w:rsid w:val="009D1065"/>
    <w:rsid w:val="009D107C"/>
    <w:rsid w:val="009D1BC2"/>
    <w:rsid w:val="009D1DD5"/>
    <w:rsid w:val="009D286A"/>
    <w:rsid w:val="009D2CBD"/>
    <w:rsid w:val="009D3238"/>
    <w:rsid w:val="009D37D7"/>
    <w:rsid w:val="009D3E74"/>
    <w:rsid w:val="009D44AF"/>
    <w:rsid w:val="009D4B02"/>
    <w:rsid w:val="009D529F"/>
    <w:rsid w:val="009D5573"/>
    <w:rsid w:val="009D5FAA"/>
    <w:rsid w:val="009D61FA"/>
    <w:rsid w:val="009D62DB"/>
    <w:rsid w:val="009D633A"/>
    <w:rsid w:val="009D6894"/>
    <w:rsid w:val="009D6BA3"/>
    <w:rsid w:val="009D6D18"/>
    <w:rsid w:val="009D72F2"/>
    <w:rsid w:val="009D7684"/>
    <w:rsid w:val="009D76DF"/>
    <w:rsid w:val="009D7914"/>
    <w:rsid w:val="009D7B46"/>
    <w:rsid w:val="009D7EE3"/>
    <w:rsid w:val="009E02D3"/>
    <w:rsid w:val="009E06A4"/>
    <w:rsid w:val="009E078D"/>
    <w:rsid w:val="009E12B7"/>
    <w:rsid w:val="009E1F68"/>
    <w:rsid w:val="009E2579"/>
    <w:rsid w:val="009E26DD"/>
    <w:rsid w:val="009E2981"/>
    <w:rsid w:val="009E39E0"/>
    <w:rsid w:val="009E3E3D"/>
    <w:rsid w:val="009E3EF5"/>
    <w:rsid w:val="009E408D"/>
    <w:rsid w:val="009E44FD"/>
    <w:rsid w:val="009E4BB4"/>
    <w:rsid w:val="009E4D9D"/>
    <w:rsid w:val="009E5138"/>
    <w:rsid w:val="009E5598"/>
    <w:rsid w:val="009E5B8D"/>
    <w:rsid w:val="009E5C7E"/>
    <w:rsid w:val="009E5DBF"/>
    <w:rsid w:val="009E64BB"/>
    <w:rsid w:val="009E68C5"/>
    <w:rsid w:val="009E6952"/>
    <w:rsid w:val="009E74D7"/>
    <w:rsid w:val="009E7A12"/>
    <w:rsid w:val="009E7A73"/>
    <w:rsid w:val="009E7BCA"/>
    <w:rsid w:val="009E7F51"/>
    <w:rsid w:val="009F0066"/>
    <w:rsid w:val="009F02F8"/>
    <w:rsid w:val="009F036B"/>
    <w:rsid w:val="009F03A6"/>
    <w:rsid w:val="009F0538"/>
    <w:rsid w:val="009F08BD"/>
    <w:rsid w:val="009F0BB4"/>
    <w:rsid w:val="009F0DFB"/>
    <w:rsid w:val="009F2CBF"/>
    <w:rsid w:val="009F2D5F"/>
    <w:rsid w:val="009F3018"/>
    <w:rsid w:val="009F330E"/>
    <w:rsid w:val="009F3349"/>
    <w:rsid w:val="009F339E"/>
    <w:rsid w:val="009F38A4"/>
    <w:rsid w:val="009F489D"/>
    <w:rsid w:val="009F4A3A"/>
    <w:rsid w:val="009F571B"/>
    <w:rsid w:val="009F58F6"/>
    <w:rsid w:val="009F5BE5"/>
    <w:rsid w:val="009F63FF"/>
    <w:rsid w:val="009F670C"/>
    <w:rsid w:val="009F68D3"/>
    <w:rsid w:val="009F6F5F"/>
    <w:rsid w:val="009F7CF4"/>
    <w:rsid w:val="009F7D96"/>
    <w:rsid w:val="00A000FD"/>
    <w:rsid w:val="00A0063D"/>
    <w:rsid w:val="00A00996"/>
    <w:rsid w:val="00A00E11"/>
    <w:rsid w:val="00A00E51"/>
    <w:rsid w:val="00A0129C"/>
    <w:rsid w:val="00A01615"/>
    <w:rsid w:val="00A01644"/>
    <w:rsid w:val="00A01708"/>
    <w:rsid w:val="00A01762"/>
    <w:rsid w:val="00A01839"/>
    <w:rsid w:val="00A01852"/>
    <w:rsid w:val="00A018DE"/>
    <w:rsid w:val="00A01ADA"/>
    <w:rsid w:val="00A01AFD"/>
    <w:rsid w:val="00A01DD9"/>
    <w:rsid w:val="00A01E4D"/>
    <w:rsid w:val="00A0244D"/>
    <w:rsid w:val="00A02995"/>
    <w:rsid w:val="00A02EF4"/>
    <w:rsid w:val="00A0338B"/>
    <w:rsid w:val="00A03C7D"/>
    <w:rsid w:val="00A03CA3"/>
    <w:rsid w:val="00A04357"/>
    <w:rsid w:val="00A047D4"/>
    <w:rsid w:val="00A049BA"/>
    <w:rsid w:val="00A04E76"/>
    <w:rsid w:val="00A051B0"/>
    <w:rsid w:val="00A05310"/>
    <w:rsid w:val="00A0561E"/>
    <w:rsid w:val="00A05A54"/>
    <w:rsid w:val="00A05B00"/>
    <w:rsid w:val="00A06209"/>
    <w:rsid w:val="00A06735"/>
    <w:rsid w:val="00A06B15"/>
    <w:rsid w:val="00A06D1F"/>
    <w:rsid w:val="00A06D5C"/>
    <w:rsid w:val="00A07143"/>
    <w:rsid w:val="00A07436"/>
    <w:rsid w:val="00A07A0E"/>
    <w:rsid w:val="00A07D38"/>
    <w:rsid w:val="00A07DDD"/>
    <w:rsid w:val="00A1028A"/>
    <w:rsid w:val="00A1093F"/>
    <w:rsid w:val="00A10AD1"/>
    <w:rsid w:val="00A10BCC"/>
    <w:rsid w:val="00A10C93"/>
    <w:rsid w:val="00A11287"/>
    <w:rsid w:val="00A11427"/>
    <w:rsid w:val="00A117FC"/>
    <w:rsid w:val="00A11AC7"/>
    <w:rsid w:val="00A126DB"/>
    <w:rsid w:val="00A1273E"/>
    <w:rsid w:val="00A12D39"/>
    <w:rsid w:val="00A133C0"/>
    <w:rsid w:val="00A13DEA"/>
    <w:rsid w:val="00A1419F"/>
    <w:rsid w:val="00A141C2"/>
    <w:rsid w:val="00A14510"/>
    <w:rsid w:val="00A1467C"/>
    <w:rsid w:val="00A14864"/>
    <w:rsid w:val="00A14CF5"/>
    <w:rsid w:val="00A15090"/>
    <w:rsid w:val="00A15243"/>
    <w:rsid w:val="00A155F8"/>
    <w:rsid w:val="00A157F7"/>
    <w:rsid w:val="00A15BA5"/>
    <w:rsid w:val="00A15EEA"/>
    <w:rsid w:val="00A15F75"/>
    <w:rsid w:val="00A1665D"/>
    <w:rsid w:val="00A16900"/>
    <w:rsid w:val="00A16945"/>
    <w:rsid w:val="00A169A8"/>
    <w:rsid w:val="00A169B5"/>
    <w:rsid w:val="00A16B78"/>
    <w:rsid w:val="00A16EE8"/>
    <w:rsid w:val="00A16F3F"/>
    <w:rsid w:val="00A1708B"/>
    <w:rsid w:val="00A175FC"/>
    <w:rsid w:val="00A17763"/>
    <w:rsid w:val="00A17817"/>
    <w:rsid w:val="00A17875"/>
    <w:rsid w:val="00A17A05"/>
    <w:rsid w:val="00A17AD5"/>
    <w:rsid w:val="00A17EB6"/>
    <w:rsid w:val="00A17F19"/>
    <w:rsid w:val="00A20267"/>
    <w:rsid w:val="00A205C7"/>
    <w:rsid w:val="00A20A38"/>
    <w:rsid w:val="00A20AFA"/>
    <w:rsid w:val="00A20C09"/>
    <w:rsid w:val="00A20C68"/>
    <w:rsid w:val="00A216CB"/>
    <w:rsid w:val="00A21BF6"/>
    <w:rsid w:val="00A21E7F"/>
    <w:rsid w:val="00A21F9F"/>
    <w:rsid w:val="00A22267"/>
    <w:rsid w:val="00A22497"/>
    <w:rsid w:val="00A22B3E"/>
    <w:rsid w:val="00A22EA4"/>
    <w:rsid w:val="00A23548"/>
    <w:rsid w:val="00A23F3A"/>
    <w:rsid w:val="00A23F43"/>
    <w:rsid w:val="00A243C3"/>
    <w:rsid w:val="00A2458A"/>
    <w:rsid w:val="00A24632"/>
    <w:rsid w:val="00A24839"/>
    <w:rsid w:val="00A248B3"/>
    <w:rsid w:val="00A24DAA"/>
    <w:rsid w:val="00A24EC5"/>
    <w:rsid w:val="00A24F41"/>
    <w:rsid w:val="00A2528E"/>
    <w:rsid w:val="00A2542B"/>
    <w:rsid w:val="00A258ED"/>
    <w:rsid w:val="00A25BBE"/>
    <w:rsid w:val="00A25D09"/>
    <w:rsid w:val="00A26393"/>
    <w:rsid w:val="00A266AD"/>
    <w:rsid w:val="00A26EEE"/>
    <w:rsid w:val="00A27566"/>
    <w:rsid w:val="00A27965"/>
    <w:rsid w:val="00A27FA2"/>
    <w:rsid w:val="00A30394"/>
    <w:rsid w:val="00A308E8"/>
    <w:rsid w:val="00A30B4D"/>
    <w:rsid w:val="00A30E23"/>
    <w:rsid w:val="00A3164E"/>
    <w:rsid w:val="00A31783"/>
    <w:rsid w:val="00A32866"/>
    <w:rsid w:val="00A339EF"/>
    <w:rsid w:val="00A33CB2"/>
    <w:rsid w:val="00A34DE0"/>
    <w:rsid w:val="00A34E73"/>
    <w:rsid w:val="00A36223"/>
    <w:rsid w:val="00A3630A"/>
    <w:rsid w:val="00A36522"/>
    <w:rsid w:val="00A365E9"/>
    <w:rsid w:val="00A369B7"/>
    <w:rsid w:val="00A36DE8"/>
    <w:rsid w:val="00A401C5"/>
    <w:rsid w:val="00A403B4"/>
    <w:rsid w:val="00A4040E"/>
    <w:rsid w:val="00A40935"/>
    <w:rsid w:val="00A40E17"/>
    <w:rsid w:val="00A40E55"/>
    <w:rsid w:val="00A41F6E"/>
    <w:rsid w:val="00A42FB1"/>
    <w:rsid w:val="00A430B7"/>
    <w:rsid w:val="00A43140"/>
    <w:rsid w:val="00A436F4"/>
    <w:rsid w:val="00A43993"/>
    <w:rsid w:val="00A43A3A"/>
    <w:rsid w:val="00A43D52"/>
    <w:rsid w:val="00A4406B"/>
    <w:rsid w:val="00A44626"/>
    <w:rsid w:val="00A446DF"/>
    <w:rsid w:val="00A450E3"/>
    <w:rsid w:val="00A4519C"/>
    <w:rsid w:val="00A451F2"/>
    <w:rsid w:val="00A453E5"/>
    <w:rsid w:val="00A456D8"/>
    <w:rsid w:val="00A45B4D"/>
    <w:rsid w:val="00A45BC1"/>
    <w:rsid w:val="00A45CD0"/>
    <w:rsid w:val="00A45CE4"/>
    <w:rsid w:val="00A45D72"/>
    <w:rsid w:val="00A476A7"/>
    <w:rsid w:val="00A47712"/>
    <w:rsid w:val="00A47A21"/>
    <w:rsid w:val="00A503D0"/>
    <w:rsid w:val="00A50862"/>
    <w:rsid w:val="00A50D22"/>
    <w:rsid w:val="00A51269"/>
    <w:rsid w:val="00A523AB"/>
    <w:rsid w:val="00A5257C"/>
    <w:rsid w:val="00A52620"/>
    <w:rsid w:val="00A52767"/>
    <w:rsid w:val="00A52810"/>
    <w:rsid w:val="00A52DAB"/>
    <w:rsid w:val="00A52EAA"/>
    <w:rsid w:val="00A5343D"/>
    <w:rsid w:val="00A53453"/>
    <w:rsid w:val="00A53B1D"/>
    <w:rsid w:val="00A5403D"/>
    <w:rsid w:val="00A54273"/>
    <w:rsid w:val="00A544D9"/>
    <w:rsid w:val="00A544FC"/>
    <w:rsid w:val="00A54770"/>
    <w:rsid w:val="00A54EB2"/>
    <w:rsid w:val="00A54EB8"/>
    <w:rsid w:val="00A54EE6"/>
    <w:rsid w:val="00A55C51"/>
    <w:rsid w:val="00A55D48"/>
    <w:rsid w:val="00A560E8"/>
    <w:rsid w:val="00A56293"/>
    <w:rsid w:val="00A56706"/>
    <w:rsid w:val="00A56BAB"/>
    <w:rsid w:val="00A56CCE"/>
    <w:rsid w:val="00A56EBD"/>
    <w:rsid w:val="00A573F2"/>
    <w:rsid w:val="00A57749"/>
    <w:rsid w:val="00A57B79"/>
    <w:rsid w:val="00A57D1B"/>
    <w:rsid w:val="00A57FE7"/>
    <w:rsid w:val="00A606C3"/>
    <w:rsid w:val="00A60AA5"/>
    <w:rsid w:val="00A61360"/>
    <w:rsid w:val="00A613BA"/>
    <w:rsid w:val="00A61AA1"/>
    <w:rsid w:val="00A61D2F"/>
    <w:rsid w:val="00A61EE5"/>
    <w:rsid w:val="00A62ADC"/>
    <w:rsid w:val="00A62ECA"/>
    <w:rsid w:val="00A63109"/>
    <w:rsid w:val="00A63217"/>
    <w:rsid w:val="00A6346A"/>
    <w:rsid w:val="00A63529"/>
    <w:rsid w:val="00A63567"/>
    <w:rsid w:val="00A63B2F"/>
    <w:rsid w:val="00A63D78"/>
    <w:rsid w:val="00A64222"/>
    <w:rsid w:val="00A64C4D"/>
    <w:rsid w:val="00A64E54"/>
    <w:rsid w:val="00A65679"/>
    <w:rsid w:val="00A65998"/>
    <w:rsid w:val="00A65F17"/>
    <w:rsid w:val="00A66575"/>
    <w:rsid w:val="00A67467"/>
    <w:rsid w:val="00A67861"/>
    <w:rsid w:val="00A67D44"/>
    <w:rsid w:val="00A70342"/>
    <w:rsid w:val="00A708CB"/>
    <w:rsid w:val="00A70AE8"/>
    <w:rsid w:val="00A71158"/>
    <w:rsid w:val="00A7124A"/>
    <w:rsid w:val="00A721CC"/>
    <w:rsid w:val="00A7281F"/>
    <w:rsid w:val="00A72C0A"/>
    <w:rsid w:val="00A72EF6"/>
    <w:rsid w:val="00A73819"/>
    <w:rsid w:val="00A7392B"/>
    <w:rsid w:val="00A746AC"/>
    <w:rsid w:val="00A74E03"/>
    <w:rsid w:val="00A751A2"/>
    <w:rsid w:val="00A75ACE"/>
    <w:rsid w:val="00A75B74"/>
    <w:rsid w:val="00A75E18"/>
    <w:rsid w:val="00A76027"/>
    <w:rsid w:val="00A764CE"/>
    <w:rsid w:val="00A765B7"/>
    <w:rsid w:val="00A7669E"/>
    <w:rsid w:val="00A770A4"/>
    <w:rsid w:val="00A77153"/>
    <w:rsid w:val="00A77CC9"/>
    <w:rsid w:val="00A80637"/>
    <w:rsid w:val="00A80D03"/>
    <w:rsid w:val="00A80E89"/>
    <w:rsid w:val="00A80EEE"/>
    <w:rsid w:val="00A8100A"/>
    <w:rsid w:val="00A81022"/>
    <w:rsid w:val="00A8115C"/>
    <w:rsid w:val="00A81616"/>
    <w:rsid w:val="00A81A38"/>
    <w:rsid w:val="00A81ABA"/>
    <w:rsid w:val="00A81D55"/>
    <w:rsid w:val="00A8220F"/>
    <w:rsid w:val="00A82447"/>
    <w:rsid w:val="00A82475"/>
    <w:rsid w:val="00A827B4"/>
    <w:rsid w:val="00A82C10"/>
    <w:rsid w:val="00A82E1A"/>
    <w:rsid w:val="00A839A2"/>
    <w:rsid w:val="00A83E82"/>
    <w:rsid w:val="00A84335"/>
    <w:rsid w:val="00A85906"/>
    <w:rsid w:val="00A85931"/>
    <w:rsid w:val="00A85998"/>
    <w:rsid w:val="00A85E40"/>
    <w:rsid w:val="00A8653A"/>
    <w:rsid w:val="00A86819"/>
    <w:rsid w:val="00A86CB1"/>
    <w:rsid w:val="00A871C8"/>
    <w:rsid w:val="00A875A2"/>
    <w:rsid w:val="00A87748"/>
    <w:rsid w:val="00A8793B"/>
    <w:rsid w:val="00A919F1"/>
    <w:rsid w:val="00A91AC6"/>
    <w:rsid w:val="00A92119"/>
    <w:rsid w:val="00A92718"/>
    <w:rsid w:val="00A93092"/>
    <w:rsid w:val="00A931D0"/>
    <w:rsid w:val="00A93316"/>
    <w:rsid w:val="00A935ED"/>
    <w:rsid w:val="00A950A4"/>
    <w:rsid w:val="00A950DC"/>
    <w:rsid w:val="00A9564E"/>
    <w:rsid w:val="00A95676"/>
    <w:rsid w:val="00A95ADC"/>
    <w:rsid w:val="00A95FBE"/>
    <w:rsid w:val="00A96330"/>
    <w:rsid w:val="00A966A1"/>
    <w:rsid w:val="00A96FF9"/>
    <w:rsid w:val="00A97009"/>
    <w:rsid w:val="00A976D5"/>
    <w:rsid w:val="00A979DC"/>
    <w:rsid w:val="00A97CFD"/>
    <w:rsid w:val="00A97E8A"/>
    <w:rsid w:val="00A97EE3"/>
    <w:rsid w:val="00AA0490"/>
    <w:rsid w:val="00AA0ED8"/>
    <w:rsid w:val="00AA0F29"/>
    <w:rsid w:val="00AA115C"/>
    <w:rsid w:val="00AA12A1"/>
    <w:rsid w:val="00AA142D"/>
    <w:rsid w:val="00AA1B4E"/>
    <w:rsid w:val="00AA1B56"/>
    <w:rsid w:val="00AA1BB9"/>
    <w:rsid w:val="00AA1BEA"/>
    <w:rsid w:val="00AA1CA7"/>
    <w:rsid w:val="00AA2346"/>
    <w:rsid w:val="00AA238E"/>
    <w:rsid w:val="00AA2447"/>
    <w:rsid w:val="00AA251A"/>
    <w:rsid w:val="00AA255D"/>
    <w:rsid w:val="00AA2706"/>
    <w:rsid w:val="00AA2E45"/>
    <w:rsid w:val="00AA31BD"/>
    <w:rsid w:val="00AA35F8"/>
    <w:rsid w:val="00AA374F"/>
    <w:rsid w:val="00AA375E"/>
    <w:rsid w:val="00AA4316"/>
    <w:rsid w:val="00AA431C"/>
    <w:rsid w:val="00AA4374"/>
    <w:rsid w:val="00AA43DA"/>
    <w:rsid w:val="00AA47AA"/>
    <w:rsid w:val="00AA4FCC"/>
    <w:rsid w:val="00AA53EA"/>
    <w:rsid w:val="00AA543F"/>
    <w:rsid w:val="00AA5757"/>
    <w:rsid w:val="00AA57CE"/>
    <w:rsid w:val="00AA5A26"/>
    <w:rsid w:val="00AA5C30"/>
    <w:rsid w:val="00AA5F8D"/>
    <w:rsid w:val="00AA6EB3"/>
    <w:rsid w:val="00AA7082"/>
    <w:rsid w:val="00AA743C"/>
    <w:rsid w:val="00AA7603"/>
    <w:rsid w:val="00AB0117"/>
    <w:rsid w:val="00AB0428"/>
    <w:rsid w:val="00AB10A9"/>
    <w:rsid w:val="00AB19DE"/>
    <w:rsid w:val="00AB1B37"/>
    <w:rsid w:val="00AB1CAA"/>
    <w:rsid w:val="00AB1CD9"/>
    <w:rsid w:val="00AB1F0E"/>
    <w:rsid w:val="00AB2583"/>
    <w:rsid w:val="00AB26A9"/>
    <w:rsid w:val="00AB2893"/>
    <w:rsid w:val="00AB29F5"/>
    <w:rsid w:val="00AB2A5C"/>
    <w:rsid w:val="00AB314B"/>
    <w:rsid w:val="00AB31EE"/>
    <w:rsid w:val="00AB39C6"/>
    <w:rsid w:val="00AB3B5E"/>
    <w:rsid w:val="00AB4292"/>
    <w:rsid w:val="00AB4510"/>
    <w:rsid w:val="00AB45B3"/>
    <w:rsid w:val="00AB4C5E"/>
    <w:rsid w:val="00AB4CBA"/>
    <w:rsid w:val="00AB4D81"/>
    <w:rsid w:val="00AB4FEB"/>
    <w:rsid w:val="00AB5160"/>
    <w:rsid w:val="00AB553E"/>
    <w:rsid w:val="00AB57D8"/>
    <w:rsid w:val="00AB58E0"/>
    <w:rsid w:val="00AB5C9C"/>
    <w:rsid w:val="00AB5CF5"/>
    <w:rsid w:val="00AB5FC9"/>
    <w:rsid w:val="00AB60F0"/>
    <w:rsid w:val="00AB63DB"/>
    <w:rsid w:val="00AB6499"/>
    <w:rsid w:val="00AB682C"/>
    <w:rsid w:val="00AB6B00"/>
    <w:rsid w:val="00AB6E23"/>
    <w:rsid w:val="00AB7607"/>
    <w:rsid w:val="00AB7663"/>
    <w:rsid w:val="00AC0677"/>
    <w:rsid w:val="00AC0B5D"/>
    <w:rsid w:val="00AC0D1A"/>
    <w:rsid w:val="00AC0DF3"/>
    <w:rsid w:val="00AC0F1F"/>
    <w:rsid w:val="00AC1647"/>
    <w:rsid w:val="00AC1919"/>
    <w:rsid w:val="00AC19B5"/>
    <w:rsid w:val="00AC2290"/>
    <w:rsid w:val="00AC2567"/>
    <w:rsid w:val="00AC30C9"/>
    <w:rsid w:val="00AC3488"/>
    <w:rsid w:val="00AC3B90"/>
    <w:rsid w:val="00AC3FD8"/>
    <w:rsid w:val="00AC425E"/>
    <w:rsid w:val="00AC53D1"/>
    <w:rsid w:val="00AC5FAC"/>
    <w:rsid w:val="00AC5FE1"/>
    <w:rsid w:val="00AC6029"/>
    <w:rsid w:val="00AC60CE"/>
    <w:rsid w:val="00AC662C"/>
    <w:rsid w:val="00AC671F"/>
    <w:rsid w:val="00AC748A"/>
    <w:rsid w:val="00AC74AD"/>
    <w:rsid w:val="00AC75DF"/>
    <w:rsid w:val="00AC76E8"/>
    <w:rsid w:val="00AC792E"/>
    <w:rsid w:val="00AD0203"/>
    <w:rsid w:val="00AD0943"/>
    <w:rsid w:val="00AD09E5"/>
    <w:rsid w:val="00AD0AF4"/>
    <w:rsid w:val="00AD0DB8"/>
    <w:rsid w:val="00AD0E95"/>
    <w:rsid w:val="00AD14C2"/>
    <w:rsid w:val="00AD1513"/>
    <w:rsid w:val="00AD161A"/>
    <w:rsid w:val="00AD1AA4"/>
    <w:rsid w:val="00AD1C7E"/>
    <w:rsid w:val="00AD2172"/>
    <w:rsid w:val="00AD254A"/>
    <w:rsid w:val="00AD2980"/>
    <w:rsid w:val="00AD3256"/>
    <w:rsid w:val="00AD32B2"/>
    <w:rsid w:val="00AD3A1A"/>
    <w:rsid w:val="00AD3C9F"/>
    <w:rsid w:val="00AD4E77"/>
    <w:rsid w:val="00AD4F7D"/>
    <w:rsid w:val="00AD527A"/>
    <w:rsid w:val="00AD53AE"/>
    <w:rsid w:val="00AD5510"/>
    <w:rsid w:val="00AD5AFA"/>
    <w:rsid w:val="00AD5C6A"/>
    <w:rsid w:val="00AD5F63"/>
    <w:rsid w:val="00AD6377"/>
    <w:rsid w:val="00AD67F4"/>
    <w:rsid w:val="00AD6DA1"/>
    <w:rsid w:val="00AD6F90"/>
    <w:rsid w:val="00AD702A"/>
    <w:rsid w:val="00AD7622"/>
    <w:rsid w:val="00AD7F83"/>
    <w:rsid w:val="00AE0053"/>
    <w:rsid w:val="00AE03B4"/>
    <w:rsid w:val="00AE05CA"/>
    <w:rsid w:val="00AE0610"/>
    <w:rsid w:val="00AE06B1"/>
    <w:rsid w:val="00AE06EB"/>
    <w:rsid w:val="00AE0DF8"/>
    <w:rsid w:val="00AE0EFF"/>
    <w:rsid w:val="00AE16CE"/>
    <w:rsid w:val="00AE1C44"/>
    <w:rsid w:val="00AE1E1F"/>
    <w:rsid w:val="00AE27E2"/>
    <w:rsid w:val="00AE3009"/>
    <w:rsid w:val="00AE48FA"/>
    <w:rsid w:val="00AE4E33"/>
    <w:rsid w:val="00AE505C"/>
    <w:rsid w:val="00AE557B"/>
    <w:rsid w:val="00AE5793"/>
    <w:rsid w:val="00AE5911"/>
    <w:rsid w:val="00AE5A8A"/>
    <w:rsid w:val="00AE5E9E"/>
    <w:rsid w:val="00AE67C8"/>
    <w:rsid w:val="00AE67D0"/>
    <w:rsid w:val="00AE694F"/>
    <w:rsid w:val="00AE7C9F"/>
    <w:rsid w:val="00AE7D5A"/>
    <w:rsid w:val="00AF01B8"/>
    <w:rsid w:val="00AF030B"/>
    <w:rsid w:val="00AF0315"/>
    <w:rsid w:val="00AF0540"/>
    <w:rsid w:val="00AF0A74"/>
    <w:rsid w:val="00AF0B68"/>
    <w:rsid w:val="00AF0D33"/>
    <w:rsid w:val="00AF1280"/>
    <w:rsid w:val="00AF1977"/>
    <w:rsid w:val="00AF1B17"/>
    <w:rsid w:val="00AF1E2A"/>
    <w:rsid w:val="00AF1EDB"/>
    <w:rsid w:val="00AF2700"/>
    <w:rsid w:val="00AF29E4"/>
    <w:rsid w:val="00AF2BF1"/>
    <w:rsid w:val="00AF2DE8"/>
    <w:rsid w:val="00AF30E5"/>
    <w:rsid w:val="00AF3218"/>
    <w:rsid w:val="00AF3242"/>
    <w:rsid w:val="00AF4006"/>
    <w:rsid w:val="00AF45F2"/>
    <w:rsid w:val="00AF482D"/>
    <w:rsid w:val="00AF4B66"/>
    <w:rsid w:val="00AF4CC1"/>
    <w:rsid w:val="00AF4D3E"/>
    <w:rsid w:val="00AF553D"/>
    <w:rsid w:val="00AF5D68"/>
    <w:rsid w:val="00AF60BC"/>
    <w:rsid w:val="00AF6F1E"/>
    <w:rsid w:val="00AF7147"/>
    <w:rsid w:val="00AF7D1E"/>
    <w:rsid w:val="00B0019A"/>
    <w:rsid w:val="00B001DA"/>
    <w:rsid w:val="00B002EA"/>
    <w:rsid w:val="00B02A6A"/>
    <w:rsid w:val="00B0313A"/>
    <w:rsid w:val="00B037DF"/>
    <w:rsid w:val="00B03FC9"/>
    <w:rsid w:val="00B042C2"/>
    <w:rsid w:val="00B042F2"/>
    <w:rsid w:val="00B059DD"/>
    <w:rsid w:val="00B06074"/>
    <w:rsid w:val="00B061E2"/>
    <w:rsid w:val="00B067A5"/>
    <w:rsid w:val="00B0693E"/>
    <w:rsid w:val="00B06974"/>
    <w:rsid w:val="00B06A6F"/>
    <w:rsid w:val="00B06AB6"/>
    <w:rsid w:val="00B06CE0"/>
    <w:rsid w:val="00B10140"/>
    <w:rsid w:val="00B1022B"/>
    <w:rsid w:val="00B10287"/>
    <w:rsid w:val="00B10A41"/>
    <w:rsid w:val="00B10E64"/>
    <w:rsid w:val="00B11BBF"/>
    <w:rsid w:val="00B11D61"/>
    <w:rsid w:val="00B12147"/>
    <w:rsid w:val="00B121A8"/>
    <w:rsid w:val="00B12B9E"/>
    <w:rsid w:val="00B12F4A"/>
    <w:rsid w:val="00B13AD7"/>
    <w:rsid w:val="00B146A9"/>
    <w:rsid w:val="00B14C43"/>
    <w:rsid w:val="00B15344"/>
    <w:rsid w:val="00B15737"/>
    <w:rsid w:val="00B15788"/>
    <w:rsid w:val="00B158B2"/>
    <w:rsid w:val="00B158EF"/>
    <w:rsid w:val="00B16352"/>
    <w:rsid w:val="00B163F2"/>
    <w:rsid w:val="00B177F8"/>
    <w:rsid w:val="00B17A30"/>
    <w:rsid w:val="00B17C3C"/>
    <w:rsid w:val="00B17C5C"/>
    <w:rsid w:val="00B20043"/>
    <w:rsid w:val="00B202F7"/>
    <w:rsid w:val="00B2038F"/>
    <w:rsid w:val="00B203B0"/>
    <w:rsid w:val="00B20540"/>
    <w:rsid w:val="00B205F5"/>
    <w:rsid w:val="00B20C82"/>
    <w:rsid w:val="00B20EB0"/>
    <w:rsid w:val="00B213DC"/>
    <w:rsid w:val="00B218F1"/>
    <w:rsid w:val="00B219C9"/>
    <w:rsid w:val="00B21BCE"/>
    <w:rsid w:val="00B21C03"/>
    <w:rsid w:val="00B21FD1"/>
    <w:rsid w:val="00B22587"/>
    <w:rsid w:val="00B22844"/>
    <w:rsid w:val="00B22CB0"/>
    <w:rsid w:val="00B22DEF"/>
    <w:rsid w:val="00B22E29"/>
    <w:rsid w:val="00B23413"/>
    <w:rsid w:val="00B23671"/>
    <w:rsid w:val="00B23AF0"/>
    <w:rsid w:val="00B23F1C"/>
    <w:rsid w:val="00B23FE8"/>
    <w:rsid w:val="00B240A4"/>
    <w:rsid w:val="00B240B3"/>
    <w:rsid w:val="00B240F3"/>
    <w:rsid w:val="00B24317"/>
    <w:rsid w:val="00B24BCB"/>
    <w:rsid w:val="00B24EEE"/>
    <w:rsid w:val="00B250F1"/>
    <w:rsid w:val="00B2520E"/>
    <w:rsid w:val="00B25B18"/>
    <w:rsid w:val="00B25BD1"/>
    <w:rsid w:val="00B25DC1"/>
    <w:rsid w:val="00B25FC6"/>
    <w:rsid w:val="00B263FA"/>
    <w:rsid w:val="00B264A4"/>
    <w:rsid w:val="00B26589"/>
    <w:rsid w:val="00B26C6B"/>
    <w:rsid w:val="00B270E8"/>
    <w:rsid w:val="00B275DA"/>
    <w:rsid w:val="00B279CA"/>
    <w:rsid w:val="00B27AFC"/>
    <w:rsid w:val="00B27D48"/>
    <w:rsid w:val="00B30078"/>
    <w:rsid w:val="00B3064D"/>
    <w:rsid w:val="00B30B45"/>
    <w:rsid w:val="00B31215"/>
    <w:rsid w:val="00B3133D"/>
    <w:rsid w:val="00B318A2"/>
    <w:rsid w:val="00B31AA2"/>
    <w:rsid w:val="00B31EF8"/>
    <w:rsid w:val="00B3204D"/>
    <w:rsid w:val="00B32166"/>
    <w:rsid w:val="00B32722"/>
    <w:rsid w:val="00B329CC"/>
    <w:rsid w:val="00B330DE"/>
    <w:rsid w:val="00B3364C"/>
    <w:rsid w:val="00B337C0"/>
    <w:rsid w:val="00B34232"/>
    <w:rsid w:val="00B342CC"/>
    <w:rsid w:val="00B3465A"/>
    <w:rsid w:val="00B34914"/>
    <w:rsid w:val="00B34C19"/>
    <w:rsid w:val="00B34F61"/>
    <w:rsid w:val="00B367BC"/>
    <w:rsid w:val="00B36D93"/>
    <w:rsid w:val="00B370BD"/>
    <w:rsid w:val="00B37735"/>
    <w:rsid w:val="00B37F22"/>
    <w:rsid w:val="00B4010D"/>
    <w:rsid w:val="00B408CB"/>
    <w:rsid w:val="00B40C4C"/>
    <w:rsid w:val="00B40CCF"/>
    <w:rsid w:val="00B40DAD"/>
    <w:rsid w:val="00B41678"/>
    <w:rsid w:val="00B422B0"/>
    <w:rsid w:val="00B424A9"/>
    <w:rsid w:val="00B42658"/>
    <w:rsid w:val="00B42952"/>
    <w:rsid w:val="00B42C5F"/>
    <w:rsid w:val="00B42EC5"/>
    <w:rsid w:val="00B430D1"/>
    <w:rsid w:val="00B43671"/>
    <w:rsid w:val="00B43955"/>
    <w:rsid w:val="00B43A2E"/>
    <w:rsid w:val="00B43A7F"/>
    <w:rsid w:val="00B43FC3"/>
    <w:rsid w:val="00B440A3"/>
    <w:rsid w:val="00B4442C"/>
    <w:rsid w:val="00B450C0"/>
    <w:rsid w:val="00B450EE"/>
    <w:rsid w:val="00B45403"/>
    <w:rsid w:val="00B460DB"/>
    <w:rsid w:val="00B461FA"/>
    <w:rsid w:val="00B46236"/>
    <w:rsid w:val="00B4664F"/>
    <w:rsid w:val="00B46A9B"/>
    <w:rsid w:val="00B46DB4"/>
    <w:rsid w:val="00B46F88"/>
    <w:rsid w:val="00B471AD"/>
    <w:rsid w:val="00B472C1"/>
    <w:rsid w:val="00B475F7"/>
    <w:rsid w:val="00B47E46"/>
    <w:rsid w:val="00B47E5E"/>
    <w:rsid w:val="00B50580"/>
    <w:rsid w:val="00B50A65"/>
    <w:rsid w:val="00B50B1E"/>
    <w:rsid w:val="00B513A7"/>
    <w:rsid w:val="00B514D5"/>
    <w:rsid w:val="00B515AB"/>
    <w:rsid w:val="00B5177F"/>
    <w:rsid w:val="00B51C69"/>
    <w:rsid w:val="00B51D69"/>
    <w:rsid w:val="00B51F15"/>
    <w:rsid w:val="00B52056"/>
    <w:rsid w:val="00B522E6"/>
    <w:rsid w:val="00B5292F"/>
    <w:rsid w:val="00B53A23"/>
    <w:rsid w:val="00B540D8"/>
    <w:rsid w:val="00B5466F"/>
    <w:rsid w:val="00B5485C"/>
    <w:rsid w:val="00B54869"/>
    <w:rsid w:val="00B54922"/>
    <w:rsid w:val="00B5492D"/>
    <w:rsid w:val="00B54A64"/>
    <w:rsid w:val="00B54E0A"/>
    <w:rsid w:val="00B556A7"/>
    <w:rsid w:val="00B5577B"/>
    <w:rsid w:val="00B55B03"/>
    <w:rsid w:val="00B55BEF"/>
    <w:rsid w:val="00B56FDD"/>
    <w:rsid w:val="00B57357"/>
    <w:rsid w:val="00B57597"/>
    <w:rsid w:val="00B57663"/>
    <w:rsid w:val="00B57747"/>
    <w:rsid w:val="00B5779F"/>
    <w:rsid w:val="00B579FE"/>
    <w:rsid w:val="00B60354"/>
    <w:rsid w:val="00B605E0"/>
    <w:rsid w:val="00B608A3"/>
    <w:rsid w:val="00B60AC3"/>
    <w:rsid w:val="00B60C4A"/>
    <w:rsid w:val="00B60E0F"/>
    <w:rsid w:val="00B61DB0"/>
    <w:rsid w:val="00B61E21"/>
    <w:rsid w:val="00B61E66"/>
    <w:rsid w:val="00B62069"/>
    <w:rsid w:val="00B62303"/>
    <w:rsid w:val="00B62673"/>
    <w:rsid w:val="00B62D1D"/>
    <w:rsid w:val="00B62F58"/>
    <w:rsid w:val="00B630BB"/>
    <w:rsid w:val="00B63488"/>
    <w:rsid w:val="00B63571"/>
    <w:rsid w:val="00B6389B"/>
    <w:rsid w:val="00B639AE"/>
    <w:rsid w:val="00B63FF5"/>
    <w:rsid w:val="00B64467"/>
    <w:rsid w:val="00B64EBD"/>
    <w:rsid w:val="00B65100"/>
    <w:rsid w:val="00B65359"/>
    <w:rsid w:val="00B653B1"/>
    <w:rsid w:val="00B654DF"/>
    <w:rsid w:val="00B6584F"/>
    <w:rsid w:val="00B65B58"/>
    <w:rsid w:val="00B65BDC"/>
    <w:rsid w:val="00B65C42"/>
    <w:rsid w:val="00B66245"/>
    <w:rsid w:val="00B66477"/>
    <w:rsid w:val="00B66570"/>
    <w:rsid w:val="00B667E0"/>
    <w:rsid w:val="00B66885"/>
    <w:rsid w:val="00B66951"/>
    <w:rsid w:val="00B66CD7"/>
    <w:rsid w:val="00B66DB6"/>
    <w:rsid w:val="00B67158"/>
    <w:rsid w:val="00B672F1"/>
    <w:rsid w:val="00B676C6"/>
    <w:rsid w:val="00B67A4A"/>
    <w:rsid w:val="00B67CED"/>
    <w:rsid w:val="00B67D42"/>
    <w:rsid w:val="00B67DDD"/>
    <w:rsid w:val="00B70384"/>
    <w:rsid w:val="00B708CB"/>
    <w:rsid w:val="00B708DA"/>
    <w:rsid w:val="00B70975"/>
    <w:rsid w:val="00B70B1A"/>
    <w:rsid w:val="00B71699"/>
    <w:rsid w:val="00B71883"/>
    <w:rsid w:val="00B71A96"/>
    <w:rsid w:val="00B71E79"/>
    <w:rsid w:val="00B72055"/>
    <w:rsid w:val="00B7244C"/>
    <w:rsid w:val="00B72E4E"/>
    <w:rsid w:val="00B72E6A"/>
    <w:rsid w:val="00B72F1E"/>
    <w:rsid w:val="00B732AC"/>
    <w:rsid w:val="00B73513"/>
    <w:rsid w:val="00B73EF7"/>
    <w:rsid w:val="00B741C7"/>
    <w:rsid w:val="00B746D7"/>
    <w:rsid w:val="00B7485C"/>
    <w:rsid w:val="00B74A64"/>
    <w:rsid w:val="00B74A98"/>
    <w:rsid w:val="00B74B6B"/>
    <w:rsid w:val="00B74E7A"/>
    <w:rsid w:val="00B75288"/>
    <w:rsid w:val="00B75E49"/>
    <w:rsid w:val="00B75EA4"/>
    <w:rsid w:val="00B75FA9"/>
    <w:rsid w:val="00B76012"/>
    <w:rsid w:val="00B76B09"/>
    <w:rsid w:val="00B76DA8"/>
    <w:rsid w:val="00B76E79"/>
    <w:rsid w:val="00B774F3"/>
    <w:rsid w:val="00B775FE"/>
    <w:rsid w:val="00B7768A"/>
    <w:rsid w:val="00B776C8"/>
    <w:rsid w:val="00B77A1B"/>
    <w:rsid w:val="00B80865"/>
    <w:rsid w:val="00B80B01"/>
    <w:rsid w:val="00B81787"/>
    <w:rsid w:val="00B8196B"/>
    <w:rsid w:val="00B82056"/>
    <w:rsid w:val="00B82AB3"/>
    <w:rsid w:val="00B8398C"/>
    <w:rsid w:val="00B83BE7"/>
    <w:rsid w:val="00B8414A"/>
    <w:rsid w:val="00B84241"/>
    <w:rsid w:val="00B845FE"/>
    <w:rsid w:val="00B8484E"/>
    <w:rsid w:val="00B85270"/>
    <w:rsid w:val="00B85CEB"/>
    <w:rsid w:val="00B864F0"/>
    <w:rsid w:val="00B86A39"/>
    <w:rsid w:val="00B86BAB"/>
    <w:rsid w:val="00B86FA7"/>
    <w:rsid w:val="00B874A7"/>
    <w:rsid w:val="00B87528"/>
    <w:rsid w:val="00B875D3"/>
    <w:rsid w:val="00B878DC"/>
    <w:rsid w:val="00B87A9C"/>
    <w:rsid w:val="00B90C3C"/>
    <w:rsid w:val="00B90EF1"/>
    <w:rsid w:val="00B90FF2"/>
    <w:rsid w:val="00B9109F"/>
    <w:rsid w:val="00B91424"/>
    <w:rsid w:val="00B91812"/>
    <w:rsid w:val="00B91902"/>
    <w:rsid w:val="00B91970"/>
    <w:rsid w:val="00B91C64"/>
    <w:rsid w:val="00B91EEB"/>
    <w:rsid w:val="00B92498"/>
    <w:rsid w:val="00B92822"/>
    <w:rsid w:val="00B92A61"/>
    <w:rsid w:val="00B92AB8"/>
    <w:rsid w:val="00B92B1E"/>
    <w:rsid w:val="00B92B7E"/>
    <w:rsid w:val="00B92DD5"/>
    <w:rsid w:val="00B9301F"/>
    <w:rsid w:val="00B9330E"/>
    <w:rsid w:val="00B939EC"/>
    <w:rsid w:val="00B93AB5"/>
    <w:rsid w:val="00B93EDE"/>
    <w:rsid w:val="00B93F46"/>
    <w:rsid w:val="00B942F2"/>
    <w:rsid w:val="00B943F5"/>
    <w:rsid w:val="00B9468B"/>
    <w:rsid w:val="00B946B5"/>
    <w:rsid w:val="00B95451"/>
    <w:rsid w:val="00B95545"/>
    <w:rsid w:val="00B959F3"/>
    <w:rsid w:val="00B960C8"/>
    <w:rsid w:val="00B967CF"/>
    <w:rsid w:val="00B969C1"/>
    <w:rsid w:val="00B96CB0"/>
    <w:rsid w:val="00B97223"/>
    <w:rsid w:val="00B97286"/>
    <w:rsid w:val="00B975CE"/>
    <w:rsid w:val="00B9787E"/>
    <w:rsid w:val="00B97E19"/>
    <w:rsid w:val="00BA02AF"/>
    <w:rsid w:val="00BA044A"/>
    <w:rsid w:val="00BA056B"/>
    <w:rsid w:val="00BA05D1"/>
    <w:rsid w:val="00BA0796"/>
    <w:rsid w:val="00BA0A12"/>
    <w:rsid w:val="00BA0CEE"/>
    <w:rsid w:val="00BA0DD3"/>
    <w:rsid w:val="00BA12F5"/>
    <w:rsid w:val="00BA153B"/>
    <w:rsid w:val="00BA1611"/>
    <w:rsid w:val="00BA1A19"/>
    <w:rsid w:val="00BA1EFD"/>
    <w:rsid w:val="00BA1F22"/>
    <w:rsid w:val="00BA2554"/>
    <w:rsid w:val="00BA3AA1"/>
    <w:rsid w:val="00BA43F9"/>
    <w:rsid w:val="00BA4571"/>
    <w:rsid w:val="00BA4691"/>
    <w:rsid w:val="00BA4C45"/>
    <w:rsid w:val="00BA536B"/>
    <w:rsid w:val="00BA5FE4"/>
    <w:rsid w:val="00BA624A"/>
    <w:rsid w:val="00BA6459"/>
    <w:rsid w:val="00BA6530"/>
    <w:rsid w:val="00BA659B"/>
    <w:rsid w:val="00BA694D"/>
    <w:rsid w:val="00BA6B78"/>
    <w:rsid w:val="00BA6BA1"/>
    <w:rsid w:val="00BA6D33"/>
    <w:rsid w:val="00BA711F"/>
    <w:rsid w:val="00BA770F"/>
    <w:rsid w:val="00BA7BEC"/>
    <w:rsid w:val="00BA7F6A"/>
    <w:rsid w:val="00BA7FAA"/>
    <w:rsid w:val="00BB070A"/>
    <w:rsid w:val="00BB0E56"/>
    <w:rsid w:val="00BB0ECE"/>
    <w:rsid w:val="00BB14DC"/>
    <w:rsid w:val="00BB16F6"/>
    <w:rsid w:val="00BB19E9"/>
    <w:rsid w:val="00BB1E95"/>
    <w:rsid w:val="00BB2B79"/>
    <w:rsid w:val="00BB3271"/>
    <w:rsid w:val="00BB3384"/>
    <w:rsid w:val="00BB364E"/>
    <w:rsid w:val="00BB3AB1"/>
    <w:rsid w:val="00BB3BB8"/>
    <w:rsid w:val="00BB3CD9"/>
    <w:rsid w:val="00BB42CE"/>
    <w:rsid w:val="00BB45DD"/>
    <w:rsid w:val="00BB467F"/>
    <w:rsid w:val="00BB4935"/>
    <w:rsid w:val="00BB514C"/>
    <w:rsid w:val="00BB533A"/>
    <w:rsid w:val="00BB57FE"/>
    <w:rsid w:val="00BB59FA"/>
    <w:rsid w:val="00BB5F61"/>
    <w:rsid w:val="00BB6717"/>
    <w:rsid w:val="00BB6F93"/>
    <w:rsid w:val="00BB736B"/>
    <w:rsid w:val="00BB7B3D"/>
    <w:rsid w:val="00BC0358"/>
    <w:rsid w:val="00BC073E"/>
    <w:rsid w:val="00BC0DAB"/>
    <w:rsid w:val="00BC1181"/>
    <w:rsid w:val="00BC15CB"/>
    <w:rsid w:val="00BC166E"/>
    <w:rsid w:val="00BC176A"/>
    <w:rsid w:val="00BC1B9C"/>
    <w:rsid w:val="00BC26BA"/>
    <w:rsid w:val="00BC2866"/>
    <w:rsid w:val="00BC287A"/>
    <w:rsid w:val="00BC2BE7"/>
    <w:rsid w:val="00BC2E3D"/>
    <w:rsid w:val="00BC2E98"/>
    <w:rsid w:val="00BC2F14"/>
    <w:rsid w:val="00BC3130"/>
    <w:rsid w:val="00BC3176"/>
    <w:rsid w:val="00BC3587"/>
    <w:rsid w:val="00BC36A0"/>
    <w:rsid w:val="00BC387D"/>
    <w:rsid w:val="00BC4D4E"/>
    <w:rsid w:val="00BC4F93"/>
    <w:rsid w:val="00BC549A"/>
    <w:rsid w:val="00BC5BCF"/>
    <w:rsid w:val="00BC5CAC"/>
    <w:rsid w:val="00BC5F6E"/>
    <w:rsid w:val="00BC6201"/>
    <w:rsid w:val="00BC62A6"/>
    <w:rsid w:val="00BC79A9"/>
    <w:rsid w:val="00BC7BD6"/>
    <w:rsid w:val="00BD01DB"/>
    <w:rsid w:val="00BD0DB8"/>
    <w:rsid w:val="00BD155D"/>
    <w:rsid w:val="00BD225B"/>
    <w:rsid w:val="00BD2565"/>
    <w:rsid w:val="00BD26A9"/>
    <w:rsid w:val="00BD2744"/>
    <w:rsid w:val="00BD2C10"/>
    <w:rsid w:val="00BD2D56"/>
    <w:rsid w:val="00BD30C8"/>
    <w:rsid w:val="00BD3106"/>
    <w:rsid w:val="00BD3E26"/>
    <w:rsid w:val="00BD3FAC"/>
    <w:rsid w:val="00BD44D3"/>
    <w:rsid w:val="00BD46B8"/>
    <w:rsid w:val="00BD4A83"/>
    <w:rsid w:val="00BD57E4"/>
    <w:rsid w:val="00BD58B1"/>
    <w:rsid w:val="00BD5D9A"/>
    <w:rsid w:val="00BD66EC"/>
    <w:rsid w:val="00BD68BD"/>
    <w:rsid w:val="00BD6B08"/>
    <w:rsid w:val="00BD70DF"/>
    <w:rsid w:val="00BD78FC"/>
    <w:rsid w:val="00BD7930"/>
    <w:rsid w:val="00BD7B9E"/>
    <w:rsid w:val="00BD7DD0"/>
    <w:rsid w:val="00BE031D"/>
    <w:rsid w:val="00BE0480"/>
    <w:rsid w:val="00BE04DB"/>
    <w:rsid w:val="00BE082D"/>
    <w:rsid w:val="00BE154B"/>
    <w:rsid w:val="00BE1772"/>
    <w:rsid w:val="00BE1805"/>
    <w:rsid w:val="00BE1F55"/>
    <w:rsid w:val="00BE2129"/>
    <w:rsid w:val="00BE2DA5"/>
    <w:rsid w:val="00BE303D"/>
    <w:rsid w:val="00BE45BD"/>
    <w:rsid w:val="00BE4AD4"/>
    <w:rsid w:val="00BE4CF0"/>
    <w:rsid w:val="00BE4EB3"/>
    <w:rsid w:val="00BE50AA"/>
    <w:rsid w:val="00BE593B"/>
    <w:rsid w:val="00BE60C7"/>
    <w:rsid w:val="00BE67D1"/>
    <w:rsid w:val="00BE68B9"/>
    <w:rsid w:val="00BE6F32"/>
    <w:rsid w:val="00BE7A41"/>
    <w:rsid w:val="00BE7D90"/>
    <w:rsid w:val="00BF0019"/>
    <w:rsid w:val="00BF0284"/>
    <w:rsid w:val="00BF04D2"/>
    <w:rsid w:val="00BF0665"/>
    <w:rsid w:val="00BF0D32"/>
    <w:rsid w:val="00BF1410"/>
    <w:rsid w:val="00BF1D84"/>
    <w:rsid w:val="00BF1F1A"/>
    <w:rsid w:val="00BF1FFD"/>
    <w:rsid w:val="00BF25EA"/>
    <w:rsid w:val="00BF2A9D"/>
    <w:rsid w:val="00BF2BBC"/>
    <w:rsid w:val="00BF3057"/>
    <w:rsid w:val="00BF3316"/>
    <w:rsid w:val="00BF3A5A"/>
    <w:rsid w:val="00BF3A6B"/>
    <w:rsid w:val="00BF3B40"/>
    <w:rsid w:val="00BF3C11"/>
    <w:rsid w:val="00BF3E25"/>
    <w:rsid w:val="00BF4A54"/>
    <w:rsid w:val="00BF4DF5"/>
    <w:rsid w:val="00BF5792"/>
    <w:rsid w:val="00BF5B4E"/>
    <w:rsid w:val="00BF6567"/>
    <w:rsid w:val="00BF660A"/>
    <w:rsid w:val="00BF668B"/>
    <w:rsid w:val="00BF6DF9"/>
    <w:rsid w:val="00BF739D"/>
    <w:rsid w:val="00BF75F6"/>
    <w:rsid w:val="00BF7927"/>
    <w:rsid w:val="00BF7929"/>
    <w:rsid w:val="00C003DA"/>
    <w:rsid w:val="00C00C00"/>
    <w:rsid w:val="00C012E3"/>
    <w:rsid w:val="00C0157A"/>
    <w:rsid w:val="00C01D77"/>
    <w:rsid w:val="00C01E94"/>
    <w:rsid w:val="00C021BD"/>
    <w:rsid w:val="00C0232E"/>
    <w:rsid w:val="00C029E9"/>
    <w:rsid w:val="00C02B4C"/>
    <w:rsid w:val="00C02E25"/>
    <w:rsid w:val="00C03138"/>
    <w:rsid w:val="00C035EB"/>
    <w:rsid w:val="00C038BA"/>
    <w:rsid w:val="00C03F89"/>
    <w:rsid w:val="00C04683"/>
    <w:rsid w:val="00C04D90"/>
    <w:rsid w:val="00C0561E"/>
    <w:rsid w:val="00C058F8"/>
    <w:rsid w:val="00C05909"/>
    <w:rsid w:val="00C062BF"/>
    <w:rsid w:val="00C06C5D"/>
    <w:rsid w:val="00C06E4F"/>
    <w:rsid w:val="00C0725B"/>
    <w:rsid w:val="00C07388"/>
    <w:rsid w:val="00C079A6"/>
    <w:rsid w:val="00C07ED8"/>
    <w:rsid w:val="00C1021E"/>
    <w:rsid w:val="00C105AD"/>
    <w:rsid w:val="00C10A97"/>
    <w:rsid w:val="00C10C1D"/>
    <w:rsid w:val="00C11356"/>
    <w:rsid w:val="00C114AD"/>
    <w:rsid w:val="00C11954"/>
    <w:rsid w:val="00C11EA2"/>
    <w:rsid w:val="00C11F25"/>
    <w:rsid w:val="00C12588"/>
    <w:rsid w:val="00C12939"/>
    <w:rsid w:val="00C12A60"/>
    <w:rsid w:val="00C12B69"/>
    <w:rsid w:val="00C12F7C"/>
    <w:rsid w:val="00C13034"/>
    <w:rsid w:val="00C1337E"/>
    <w:rsid w:val="00C134BE"/>
    <w:rsid w:val="00C13AAC"/>
    <w:rsid w:val="00C13E74"/>
    <w:rsid w:val="00C13FCA"/>
    <w:rsid w:val="00C14051"/>
    <w:rsid w:val="00C1447D"/>
    <w:rsid w:val="00C14521"/>
    <w:rsid w:val="00C1574E"/>
    <w:rsid w:val="00C15791"/>
    <w:rsid w:val="00C159C2"/>
    <w:rsid w:val="00C15DF5"/>
    <w:rsid w:val="00C163A9"/>
    <w:rsid w:val="00C1666C"/>
    <w:rsid w:val="00C17529"/>
    <w:rsid w:val="00C175A2"/>
    <w:rsid w:val="00C17883"/>
    <w:rsid w:val="00C17A61"/>
    <w:rsid w:val="00C17B95"/>
    <w:rsid w:val="00C201EC"/>
    <w:rsid w:val="00C208A4"/>
    <w:rsid w:val="00C20A37"/>
    <w:rsid w:val="00C21222"/>
    <w:rsid w:val="00C218E9"/>
    <w:rsid w:val="00C2209A"/>
    <w:rsid w:val="00C2209F"/>
    <w:rsid w:val="00C22715"/>
    <w:rsid w:val="00C2272F"/>
    <w:rsid w:val="00C22D6D"/>
    <w:rsid w:val="00C23205"/>
    <w:rsid w:val="00C23C9E"/>
    <w:rsid w:val="00C23FF9"/>
    <w:rsid w:val="00C24232"/>
    <w:rsid w:val="00C245B2"/>
    <w:rsid w:val="00C249D6"/>
    <w:rsid w:val="00C24AF2"/>
    <w:rsid w:val="00C24DE4"/>
    <w:rsid w:val="00C24E0B"/>
    <w:rsid w:val="00C25009"/>
    <w:rsid w:val="00C25016"/>
    <w:rsid w:val="00C255A7"/>
    <w:rsid w:val="00C257A2"/>
    <w:rsid w:val="00C26069"/>
    <w:rsid w:val="00C2607D"/>
    <w:rsid w:val="00C262A3"/>
    <w:rsid w:val="00C262B2"/>
    <w:rsid w:val="00C2684B"/>
    <w:rsid w:val="00C27175"/>
    <w:rsid w:val="00C2761E"/>
    <w:rsid w:val="00C279A9"/>
    <w:rsid w:val="00C27C47"/>
    <w:rsid w:val="00C27E1B"/>
    <w:rsid w:val="00C300D0"/>
    <w:rsid w:val="00C3022D"/>
    <w:rsid w:val="00C30231"/>
    <w:rsid w:val="00C304AD"/>
    <w:rsid w:val="00C30848"/>
    <w:rsid w:val="00C31397"/>
    <w:rsid w:val="00C313F9"/>
    <w:rsid w:val="00C31466"/>
    <w:rsid w:val="00C31B26"/>
    <w:rsid w:val="00C31EC5"/>
    <w:rsid w:val="00C32123"/>
    <w:rsid w:val="00C328D8"/>
    <w:rsid w:val="00C32BBC"/>
    <w:rsid w:val="00C32C6F"/>
    <w:rsid w:val="00C32DA9"/>
    <w:rsid w:val="00C334B3"/>
    <w:rsid w:val="00C3383A"/>
    <w:rsid w:val="00C33B51"/>
    <w:rsid w:val="00C33C94"/>
    <w:rsid w:val="00C341D4"/>
    <w:rsid w:val="00C3433B"/>
    <w:rsid w:val="00C3483B"/>
    <w:rsid w:val="00C34869"/>
    <w:rsid w:val="00C34B84"/>
    <w:rsid w:val="00C34BA7"/>
    <w:rsid w:val="00C350DE"/>
    <w:rsid w:val="00C35505"/>
    <w:rsid w:val="00C35511"/>
    <w:rsid w:val="00C35C78"/>
    <w:rsid w:val="00C35D68"/>
    <w:rsid w:val="00C35E91"/>
    <w:rsid w:val="00C35FA5"/>
    <w:rsid w:val="00C3606D"/>
    <w:rsid w:val="00C36E0B"/>
    <w:rsid w:val="00C3743C"/>
    <w:rsid w:val="00C3746B"/>
    <w:rsid w:val="00C40188"/>
    <w:rsid w:val="00C40A23"/>
    <w:rsid w:val="00C40C5E"/>
    <w:rsid w:val="00C40F66"/>
    <w:rsid w:val="00C411B5"/>
    <w:rsid w:val="00C41952"/>
    <w:rsid w:val="00C4223C"/>
    <w:rsid w:val="00C42526"/>
    <w:rsid w:val="00C426F5"/>
    <w:rsid w:val="00C42ADC"/>
    <w:rsid w:val="00C438AD"/>
    <w:rsid w:val="00C43CB2"/>
    <w:rsid w:val="00C43F3C"/>
    <w:rsid w:val="00C43F85"/>
    <w:rsid w:val="00C443E6"/>
    <w:rsid w:val="00C44C99"/>
    <w:rsid w:val="00C44E89"/>
    <w:rsid w:val="00C4528D"/>
    <w:rsid w:val="00C459B8"/>
    <w:rsid w:val="00C45DB8"/>
    <w:rsid w:val="00C45F67"/>
    <w:rsid w:val="00C45FBA"/>
    <w:rsid w:val="00C468F4"/>
    <w:rsid w:val="00C46D34"/>
    <w:rsid w:val="00C472BC"/>
    <w:rsid w:val="00C47FD8"/>
    <w:rsid w:val="00C506C9"/>
    <w:rsid w:val="00C50880"/>
    <w:rsid w:val="00C50EFA"/>
    <w:rsid w:val="00C51119"/>
    <w:rsid w:val="00C51A1F"/>
    <w:rsid w:val="00C5264A"/>
    <w:rsid w:val="00C5293A"/>
    <w:rsid w:val="00C534D2"/>
    <w:rsid w:val="00C53998"/>
    <w:rsid w:val="00C545AD"/>
    <w:rsid w:val="00C5478F"/>
    <w:rsid w:val="00C54822"/>
    <w:rsid w:val="00C54AC2"/>
    <w:rsid w:val="00C54B15"/>
    <w:rsid w:val="00C54C59"/>
    <w:rsid w:val="00C55191"/>
    <w:rsid w:val="00C55886"/>
    <w:rsid w:val="00C55D47"/>
    <w:rsid w:val="00C56478"/>
    <w:rsid w:val="00C565F3"/>
    <w:rsid w:val="00C56813"/>
    <w:rsid w:val="00C56B76"/>
    <w:rsid w:val="00C56F60"/>
    <w:rsid w:val="00C56F9B"/>
    <w:rsid w:val="00C5712C"/>
    <w:rsid w:val="00C571A6"/>
    <w:rsid w:val="00C5731C"/>
    <w:rsid w:val="00C57801"/>
    <w:rsid w:val="00C57C8E"/>
    <w:rsid w:val="00C57F42"/>
    <w:rsid w:val="00C6004C"/>
    <w:rsid w:val="00C60F2E"/>
    <w:rsid w:val="00C61693"/>
    <w:rsid w:val="00C61CEA"/>
    <w:rsid w:val="00C61E6E"/>
    <w:rsid w:val="00C61E73"/>
    <w:rsid w:val="00C61FB5"/>
    <w:rsid w:val="00C62089"/>
    <w:rsid w:val="00C62268"/>
    <w:rsid w:val="00C623DE"/>
    <w:rsid w:val="00C62510"/>
    <w:rsid w:val="00C63008"/>
    <w:rsid w:val="00C634A2"/>
    <w:rsid w:val="00C63699"/>
    <w:rsid w:val="00C63EBD"/>
    <w:rsid w:val="00C643BA"/>
    <w:rsid w:val="00C646F7"/>
    <w:rsid w:val="00C64765"/>
    <w:rsid w:val="00C64A09"/>
    <w:rsid w:val="00C64D1A"/>
    <w:rsid w:val="00C64D5A"/>
    <w:rsid w:val="00C65767"/>
    <w:rsid w:val="00C65C44"/>
    <w:rsid w:val="00C65D12"/>
    <w:rsid w:val="00C660BC"/>
    <w:rsid w:val="00C66C03"/>
    <w:rsid w:val="00C66F2E"/>
    <w:rsid w:val="00C66FE4"/>
    <w:rsid w:val="00C678F9"/>
    <w:rsid w:val="00C70809"/>
    <w:rsid w:val="00C70821"/>
    <w:rsid w:val="00C70888"/>
    <w:rsid w:val="00C70DEF"/>
    <w:rsid w:val="00C70F9A"/>
    <w:rsid w:val="00C71141"/>
    <w:rsid w:val="00C714B4"/>
    <w:rsid w:val="00C71E2D"/>
    <w:rsid w:val="00C7227E"/>
    <w:rsid w:val="00C72563"/>
    <w:rsid w:val="00C726ED"/>
    <w:rsid w:val="00C72D34"/>
    <w:rsid w:val="00C73158"/>
    <w:rsid w:val="00C73643"/>
    <w:rsid w:val="00C73878"/>
    <w:rsid w:val="00C73CCC"/>
    <w:rsid w:val="00C73D65"/>
    <w:rsid w:val="00C74532"/>
    <w:rsid w:val="00C74561"/>
    <w:rsid w:val="00C745CC"/>
    <w:rsid w:val="00C7476B"/>
    <w:rsid w:val="00C747A5"/>
    <w:rsid w:val="00C74CF2"/>
    <w:rsid w:val="00C75334"/>
    <w:rsid w:val="00C7556D"/>
    <w:rsid w:val="00C758E1"/>
    <w:rsid w:val="00C75F06"/>
    <w:rsid w:val="00C76027"/>
    <w:rsid w:val="00C7683D"/>
    <w:rsid w:val="00C77C37"/>
    <w:rsid w:val="00C77D7B"/>
    <w:rsid w:val="00C77E66"/>
    <w:rsid w:val="00C800A7"/>
    <w:rsid w:val="00C806BE"/>
    <w:rsid w:val="00C807F8"/>
    <w:rsid w:val="00C80BEA"/>
    <w:rsid w:val="00C810C8"/>
    <w:rsid w:val="00C8155C"/>
    <w:rsid w:val="00C8160B"/>
    <w:rsid w:val="00C817AF"/>
    <w:rsid w:val="00C817F3"/>
    <w:rsid w:val="00C818BF"/>
    <w:rsid w:val="00C81C71"/>
    <w:rsid w:val="00C8267A"/>
    <w:rsid w:val="00C8332A"/>
    <w:rsid w:val="00C833ED"/>
    <w:rsid w:val="00C835B0"/>
    <w:rsid w:val="00C840EE"/>
    <w:rsid w:val="00C84716"/>
    <w:rsid w:val="00C8498E"/>
    <w:rsid w:val="00C84DEA"/>
    <w:rsid w:val="00C8525E"/>
    <w:rsid w:val="00C854EA"/>
    <w:rsid w:val="00C855A3"/>
    <w:rsid w:val="00C86340"/>
    <w:rsid w:val="00C8653D"/>
    <w:rsid w:val="00C865FA"/>
    <w:rsid w:val="00C86ABA"/>
    <w:rsid w:val="00C86D1E"/>
    <w:rsid w:val="00C86D76"/>
    <w:rsid w:val="00C86EAE"/>
    <w:rsid w:val="00C86EE7"/>
    <w:rsid w:val="00C86FF3"/>
    <w:rsid w:val="00C87141"/>
    <w:rsid w:val="00C872CD"/>
    <w:rsid w:val="00C87349"/>
    <w:rsid w:val="00C87392"/>
    <w:rsid w:val="00C8754C"/>
    <w:rsid w:val="00C9044E"/>
    <w:rsid w:val="00C90A76"/>
    <w:rsid w:val="00C90AE4"/>
    <w:rsid w:val="00C90C57"/>
    <w:rsid w:val="00C91135"/>
    <w:rsid w:val="00C9140D"/>
    <w:rsid w:val="00C91B00"/>
    <w:rsid w:val="00C91E94"/>
    <w:rsid w:val="00C9259A"/>
    <w:rsid w:val="00C92D0A"/>
    <w:rsid w:val="00C92E12"/>
    <w:rsid w:val="00C92FAD"/>
    <w:rsid w:val="00C932EC"/>
    <w:rsid w:val="00C94C6B"/>
    <w:rsid w:val="00C94C89"/>
    <w:rsid w:val="00C95026"/>
    <w:rsid w:val="00C952A3"/>
    <w:rsid w:val="00C959EE"/>
    <w:rsid w:val="00C95B1F"/>
    <w:rsid w:val="00C95E23"/>
    <w:rsid w:val="00C9633A"/>
    <w:rsid w:val="00C96718"/>
    <w:rsid w:val="00C96725"/>
    <w:rsid w:val="00C9757F"/>
    <w:rsid w:val="00C976D8"/>
    <w:rsid w:val="00C979B3"/>
    <w:rsid w:val="00C97DB8"/>
    <w:rsid w:val="00CA0352"/>
    <w:rsid w:val="00CA0453"/>
    <w:rsid w:val="00CA05CD"/>
    <w:rsid w:val="00CA08E6"/>
    <w:rsid w:val="00CA0B2B"/>
    <w:rsid w:val="00CA0D8E"/>
    <w:rsid w:val="00CA1043"/>
    <w:rsid w:val="00CA1537"/>
    <w:rsid w:val="00CA1798"/>
    <w:rsid w:val="00CA1898"/>
    <w:rsid w:val="00CA1A06"/>
    <w:rsid w:val="00CA1B46"/>
    <w:rsid w:val="00CA1BA2"/>
    <w:rsid w:val="00CA1EEF"/>
    <w:rsid w:val="00CA2507"/>
    <w:rsid w:val="00CA330E"/>
    <w:rsid w:val="00CA34B6"/>
    <w:rsid w:val="00CA4165"/>
    <w:rsid w:val="00CA4787"/>
    <w:rsid w:val="00CA4844"/>
    <w:rsid w:val="00CA4A47"/>
    <w:rsid w:val="00CA4A51"/>
    <w:rsid w:val="00CA51A7"/>
    <w:rsid w:val="00CA52B6"/>
    <w:rsid w:val="00CA53CB"/>
    <w:rsid w:val="00CA564F"/>
    <w:rsid w:val="00CA56B4"/>
    <w:rsid w:val="00CA5C58"/>
    <w:rsid w:val="00CA5E8D"/>
    <w:rsid w:val="00CA613B"/>
    <w:rsid w:val="00CA61E1"/>
    <w:rsid w:val="00CA63B2"/>
    <w:rsid w:val="00CA6651"/>
    <w:rsid w:val="00CA6926"/>
    <w:rsid w:val="00CA6A3D"/>
    <w:rsid w:val="00CA6E0F"/>
    <w:rsid w:val="00CA6E3B"/>
    <w:rsid w:val="00CA72DF"/>
    <w:rsid w:val="00CA78FF"/>
    <w:rsid w:val="00CA7B30"/>
    <w:rsid w:val="00CA7F7A"/>
    <w:rsid w:val="00CB0EA9"/>
    <w:rsid w:val="00CB14F8"/>
    <w:rsid w:val="00CB158B"/>
    <w:rsid w:val="00CB1613"/>
    <w:rsid w:val="00CB2173"/>
    <w:rsid w:val="00CB262A"/>
    <w:rsid w:val="00CB2902"/>
    <w:rsid w:val="00CB29CE"/>
    <w:rsid w:val="00CB2D12"/>
    <w:rsid w:val="00CB3794"/>
    <w:rsid w:val="00CB388A"/>
    <w:rsid w:val="00CB47E5"/>
    <w:rsid w:val="00CB4C75"/>
    <w:rsid w:val="00CB53D2"/>
    <w:rsid w:val="00CB55C3"/>
    <w:rsid w:val="00CB595C"/>
    <w:rsid w:val="00CB5AFB"/>
    <w:rsid w:val="00CB5FCF"/>
    <w:rsid w:val="00CB64DD"/>
    <w:rsid w:val="00CB653E"/>
    <w:rsid w:val="00CB653F"/>
    <w:rsid w:val="00CB7732"/>
    <w:rsid w:val="00CB7E1C"/>
    <w:rsid w:val="00CC00DC"/>
    <w:rsid w:val="00CC04EC"/>
    <w:rsid w:val="00CC07D2"/>
    <w:rsid w:val="00CC08BF"/>
    <w:rsid w:val="00CC0A5B"/>
    <w:rsid w:val="00CC0BED"/>
    <w:rsid w:val="00CC0C9A"/>
    <w:rsid w:val="00CC0F1D"/>
    <w:rsid w:val="00CC0F39"/>
    <w:rsid w:val="00CC1662"/>
    <w:rsid w:val="00CC1CD6"/>
    <w:rsid w:val="00CC1E60"/>
    <w:rsid w:val="00CC221A"/>
    <w:rsid w:val="00CC25C9"/>
    <w:rsid w:val="00CC25F4"/>
    <w:rsid w:val="00CC26D2"/>
    <w:rsid w:val="00CC2BE8"/>
    <w:rsid w:val="00CC2C6C"/>
    <w:rsid w:val="00CC3C95"/>
    <w:rsid w:val="00CC416C"/>
    <w:rsid w:val="00CC41C2"/>
    <w:rsid w:val="00CC4342"/>
    <w:rsid w:val="00CC4551"/>
    <w:rsid w:val="00CC4572"/>
    <w:rsid w:val="00CC57E2"/>
    <w:rsid w:val="00CC5860"/>
    <w:rsid w:val="00CC5CAA"/>
    <w:rsid w:val="00CC5DC0"/>
    <w:rsid w:val="00CC5E6A"/>
    <w:rsid w:val="00CC6563"/>
    <w:rsid w:val="00CC66D7"/>
    <w:rsid w:val="00CC6B73"/>
    <w:rsid w:val="00CC6D13"/>
    <w:rsid w:val="00CC6D2C"/>
    <w:rsid w:val="00CC6D36"/>
    <w:rsid w:val="00CC72C1"/>
    <w:rsid w:val="00CC782A"/>
    <w:rsid w:val="00CC78BE"/>
    <w:rsid w:val="00CC7A57"/>
    <w:rsid w:val="00CC7DF0"/>
    <w:rsid w:val="00CD049A"/>
    <w:rsid w:val="00CD081C"/>
    <w:rsid w:val="00CD0ADA"/>
    <w:rsid w:val="00CD1A44"/>
    <w:rsid w:val="00CD1BF6"/>
    <w:rsid w:val="00CD207C"/>
    <w:rsid w:val="00CD240E"/>
    <w:rsid w:val="00CD27FE"/>
    <w:rsid w:val="00CD28EE"/>
    <w:rsid w:val="00CD2917"/>
    <w:rsid w:val="00CD35E8"/>
    <w:rsid w:val="00CD3707"/>
    <w:rsid w:val="00CD3B7C"/>
    <w:rsid w:val="00CD4284"/>
    <w:rsid w:val="00CD49EC"/>
    <w:rsid w:val="00CD527E"/>
    <w:rsid w:val="00CD5415"/>
    <w:rsid w:val="00CD59A3"/>
    <w:rsid w:val="00CD61C1"/>
    <w:rsid w:val="00CD6222"/>
    <w:rsid w:val="00CD62FC"/>
    <w:rsid w:val="00CD6438"/>
    <w:rsid w:val="00CD6791"/>
    <w:rsid w:val="00CD70BA"/>
    <w:rsid w:val="00CD7C97"/>
    <w:rsid w:val="00CE063B"/>
    <w:rsid w:val="00CE08CD"/>
    <w:rsid w:val="00CE0969"/>
    <w:rsid w:val="00CE097D"/>
    <w:rsid w:val="00CE0A36"/>
    <w:rsid w:val="00CE13B9"/>
    <w:rsid w:val="00CE15EF"/>
    <w:rsid w:val="00CE19EB"/>
    <w:rsid w:val="00CE1DAD"/>
    <w:rsid w:val="00CE20F9"/>
    <w:rsid w:val="00CE2787"/>
    <w:rsid w:val="00CE2A7A"/>
    <w:rsid w:val="00CE2FFE"/>
    <w:rsid w:val="00CE365C"/>
    <w:rsid w:val="00CE3B02"/>
    <w:rsid w:val="00CE4365"/>
    <w:rsid w:val="00CE4371"/>
    <w:rsid w:val="00CE43E3"/>
    <w:rsid w:val="00CE46B5"/>
    <w:rsid w:val="00CE48CC"/>
    <w:rsid w:val="00CE53B4"/>
    <w:rsid w:val="00CE53F3"/>
    <w:rsid w:val="00CE589B"/>
    <w:rsid w:val="00CE58A0"/>
    <w:rsid w:val="00CE5C87"/>
    <w:rsid w:val="00CE5EF2"/>
    <w:rsid w:val="00CE6040"/>
    <w:rsid w:val="00CE6506"/>
    <w:rsid w:val="00CE6742"/>
    <w:rsid w:val="00CE6934"/>
    <w:rsid w:val="00CE6C33"/>
    <w:rsid w:val="00CE7030"/>
    <w:rsid w:val="00CE79BD"/>
    <w:rsid w:val="00CE7A5B"/>
    <w:rsid w:val="00CE7AD4"/>
    <w:rsid w:val="00CE7D1A"/>
    <w:rsid w:val="00CF0A6E"/>
    <w:rsid w:val="00CF0C07"/>
    <w:rsid w:val="00CF0EB3"/>
    <w:rsid w:val="00CF279D"/>
    <w:rsid w:val="00CF2CE4"/>
    <w:rsid w:val="00CF325C"/>
    <w:rsid w:val="00CF372F"/>
    <w:rsid w:val="00CF39E5"/>
    <w:rsid w:val="00CF3FCC"/>
    <w:rsid w:val="00CF45B9"/>
    <w:rsid w:val="00CF4610"/>
    <w:rsid w:val="00CF4E2D"/>
    <w:rsid w:val="00CF547A"/>
    <w:rsid w:val="00CF5763"/>
    <w:rsid w:val="00CF6078"/>
    <w:rsid w:val="00CF6222"/>
    <w:rsid w:val="00CF6637"/>
    <w:rsid w:val="00CF6F3D"/>
    <w:rsid w:val="00CF71CE"/>
    <w:rsid w:val="00CF74C0"/>
    <w:rsid w:val="00CF755E"/>
    <w:rsid w:val="00CF76DC"/>
    <w:rsid w:val="00CF7FA1"/>
    <w:rsid w:val="00D00498"/>
    <w:rsid w:val="00D008AA"/>
    <w:rsid w:val="00D009CF"/>
    <w:rsid w:val="00D01186"/>
    <w:rsid w:val="00D01A68"/>
    <w:rsid w:val="00D01A82"/>
    <w:rsid w:val="00D01C40"/>
    <w:rsid w:val="00D01D12"/>
    <w:rsid w:val="00D01EB5"/>
    <w:rsid w:val="00D02058"/>
    <w:rsid w:val="00D027C9"/>
    <w:rsid w:val="00D03139"/>
    <w:rsid w:val="00D0352D"/>
    <w:rsid w:val="00D03642"/>
    <w:rsid w:val="00D03692"/>
    <w:rsid w:val="00D03854"/>
    <w:rsid w:val="00D043E6"/>
    <w:rsid w:val="00D0516E"/>
    <w:rsid w:val="00D051B7"/>
    <w:rsid w:val="00D05234"/>
    <w:rsid w:val="00D054A5"/>
    <w:rsid w:val="00D05684"/>
    <w:rsid w:val="00D05A64"/>
    <w:rsid w:val="00D05AE2"/>
    <w:rsid w:val="00D05B11"/>
    <w:rsid w:val="00D06F1A"/>
    <w:rsid w:val="00D06F8A"/>
    <w:rsid w:val="00D073A4"/>
    <w:rsid w:val="00D07524"/>
    <w:rsid w:val="00D076DD"/>
    <w:rsid w:val="00D07AB8"/>
    <w:rsid w:val="00D1041C"/>
    <w:rsid w:val="00D108FF"/>
    <w:rsid w:val="00D10D89"/>
    <w:rsid w:val="00D10DA2"/>
    <w:rsid w:val="00D11030"/>
    <w:rsid w:val="00D123C6"/>
    <w:rsid w:val="00D128B4"/>
    <w:rsid w:val="00D12DB4"/>
    <w:rsid w:val="00D12EFA"/>
    <w:rsid w:val="00D12F7B"/>
    <w:rsid w:val="00D1320E"/>
    <w:rsid w:val="00D132E4"/>
    <w:rsid w:val="00D13572"/>
    <w:rsid w:val="00D137C1"/>
    <w:rsid w:val="00D13B2B"/>
    <w:rsid w:val="00D14127"/>
    <w:rsid w:val="00D14376"/>
    <w:rsid w:val="00D14396"/>
    <w:rsid w:val="00D14460"/>
    <w:rsid w:val="00D144D9"/>
    <w:rsid w:val="00D1490B"/>
    <w:rsid w:val="00D1491B"/>
    <w:rsid w:val="00D14A06"/>
    <w:rsid w:val="00D158AF"/>
    <w:rsid w:val="00D15BF0"/>
    <w:rsid w:val="00D15E5A"/>
    <w:rsid w:val="00D16B01"/>
    <w:rsid w:val="00D16F81"/>
    <w:rsid w:val="00D179AD"/>
    <w:rsid w:val="00D201D7"/>
    <w:rsid w:val="00D20291"/>
    <w:rsid w:val="00D2050C"/>
    <w:rsid w:val="00D20837"/>
    <w:rsid w:val="00D209DA"/>
    <w:rsid w:val="00D212C9"/>
    <w:rsid w:val="00D214D3"/>
    <w:rsid w:val="00D215B6"/>
    <w:rsid w:val="00D21986"/>
    <w:rsid w:val="00D22056"/>
    <w:rsid w:val="00D228F5"/>
    <w:rsid w:val="00D22C26"/>
    <w:rsid w:val="00D22E0A"/>
    <w:rsid w:val="00D23043"/>
    <w:rsid w:val="00D23532"/>
    <w:rsid w:val="00D2392E"/>
    <w:rsid w:val="00D2399D"/>
    <w:rsid w:val="00D24289"/>
    <w:rsid w:val="00D24396"/>
    <w:rsid w:val="00D24E6B"/>
    <w:rsid w:val="00D259DE"/>
    <w:rsid w:val="00D25DBA"/>
    <w:rsid w:val="00D264CB"/>
    <w:rsid w:val="00D269B3"/>
    <w:rsid w:val="00D26DB9"/>
    <w:rsid w:val="00D27041"/>
    <w:rsid w:val="00D2739F"/>
    <w:rsid w:val="00D273B1"/>
    <w:rsid w:val="00D27467"/>
    <w:rsid w:val="00D275DD"/>
    <w:rsid w:val="00D27926"/>
    <w:rsid w:val="00D279B9"/>
    <w:rsid w:val="00D27C7A"/>
    <w:rsid w:val="00D27E3F"/>
    <w:rsid w:val="00D3076A"/>
    <w:rsid w:val="00D30885"/>
    <w:rsid w:val="00D30AE2"/>
    <w:rsid w:val="00D30AFC"/>
    <w:rsid w:val="00D30CE7"/>
    <w:rsid w:val="00D30DBF"/>
    <w:rsid w:val="00D30ECF"/>
    <w:rsid w:val="00D3104E"/>
    <w:rsid w:val="00D3134D"/>
    <w:rsid w:val="00D31802"/>
    <w:rsid w:val="00D31AB4"/>
    <w:rsid w:val="00D321EE"/>
    <w:rsid w:val="00D3228C"/>
    <w:rsid w:val="00D328C6"/>
    <w:rsid w:val="00D32C0E"/>
    <w:rsid w:val="00D32C58"/>
    <w:rsid w:val="00D32DB3"/>
    <w:rsid w:val="00D333B5"/>
    <w:rsid w:val="00D334E5"/>
    <w:rsid w:val="00D33C81"/>
    <w:rsid w:val="00D340A1"/>
    <w:rsid w:val="00D341D0"/>
    <w:rsid w:val="00D3499B"/>
    <w:rsid w:val="00D34A80"/>
    <w:rsid w:val="00D34DCE"/>
    <w:rsid w:val="00D35026"/>
    <w:rsid w:val="00D357E4"/>
    <w:rsid w:val="00D35861"/>
    <w:rsid w:val="00D358EB"/>
    <w:rsid w:val="00D36876"/>
    <w:rsid w:val="00D3690D"/>
    <w:rsid w:val="00D375E7"/>
    <w:rsid w:val="00D37899"/>
    <w:rsid w:val="00D378A4"/>
    <w:rsid w:val="00D37B8B"/>
    <w:rsid w:val="00D37FC6"/>
    <w:rsid w:val="00D40289"/>
    <w:rsid w:val="00D4081A"/>
    <w:rsid w:val="00D413FF"/>
    <w:rsid w:val="00D41687"/>
    <w:rsid w:val="00D41C4C"/>
    <w:rsid w:val="00D41D80"/>
    <w:rsid w:val="00D427AF"/>
    <w:rsid w:val="00D4287D"/>
    <w:rsid w:val="00D42D17"/>
    <w:rsid w:val="00D42E23"/>
    <w:rsid w:val="00D42F49"/>
    <w:rsid w:val="00D42FDE"/>
    <w:rsid w:val="00D431C7"/>
    <w:rsid w:val="00D4326C"/>
    <w:rsid w:val="00D43350"/>
    <w:rsid w:val="00D4366F"/>
    <w:rsid w:val="00D436C3"/>
    <w:rsid w:val="00D43CFD"/>
    <w:rsid w:val="00D44070"/>
    <w:rsid w:val="00D443B8"/>
    <w:rsid w:val="00D444CC"/>
    <w:rsid w:val="00D44509"/>
    <w:rsid w:val="00D44B52"/>
    <w:rsid w:val="00D44C6A"/>
    <w:rsid w:val="00D44CD9"/>
    <w:rsid w:val="00D450BE"/>
    <w:rsid w:val="00D45401"/>
    <w:rsid w:val="00D45599"/>
    <w:rsid w:val="00D4569B"/>
    <w:rsid w:val="00D461ED"/>
    <w:rsid w:val="00D46624"/>
    <w:rsid w:val="00D4681F"/>
    <w:rsid w:val="00D46DBE"/>
    <w:rsid w:val="00D470A3"/>
    <w:rsid w:val="00D4712C"/>
    <w:rsid w:val="00D479E3"/>
    <w:rsid w:val="00D47B88"/>
    <w:rsid w:val="00D50225"/>
    <w:rsid w:val="00D502AB"/>
    <w:rsid w:val="00D5066B"/>
    <w:rsid w:val="00D50910"/>
    <w:rsid w:val="00D50C04"/>
    <w:rsid w:val="00D510BD"/>
    <w:rsid w:val="00D5119C"/>
    <w:rsid w:val="00D511B5"/>
    <w:rsid w:val="00D5143E"/>
    <w:rsid w:val="00D5163F"/>
    <w:rsid w:val="00D51E56"/>
    <w:rsid w:val="00D52406"/>
    <w:rsid w:val="00D52872"/>
    <w:rsid w:val="00D52A48"/>
    <w:rsid w:val="00D52B85"/>
    <w:rsid w:val="00D52D19"/>
    <w:rsid w:val="00D531BA"/>
    <w:rsid w:val="00D5324F"/>
    <w:rsid w:val="00D533A7"/>
    <w:rsid w:val="00D53890"/>
    <w:rsid w:val="00D53C5A"/>
    <w:rsid w:val="00D53D08"/>
    <w:rsid w:val="00D54208"/>
    <w:rsid w:val="00D547D9"/>
    <w:rsid w:val="00D548E5"/>
    <w:rsid w:val="00D54D6F"/>
    <w:rsid w:val="00D54E4E"/>
    <w:rsid w:val="00D56138"/>
    <w:rsid w:val="00D5625E"/>
    <w:rsid w:val="00D56411"/>
    <w:rsid w:val="00D56792"/>
    <w:rsid w:val="00D56AFD"/>
    <w:rsid w:val="00D57173"/>
    <w:rsid w:val="00D571B7"/>
    <w:rsid w:val="00D5724E"/>
    <w:rsid w:val="00D57F7E"/>
    <w:rsid w:val="00D603E9"/>
    <w:rsid w:val="00D6046F"/>
    <w:rsid w:val="00D60A79"/>
    <w:rsid w:val="00D60C6D"/>
    <w:rsid w:val="00D60D85"/>
    <w:rsid w:val="00D60F39"/>
    <w:rsid w:val="00D61061"/>
    <w:rsid w:val="00D61077"/>
    <w:rsid w:val="00D615F7"/>
    <w:rsid w:val="00D618BC"/>
    <w:rsid w:val="00D62120"/>
    <w:rsid w:val="00D623C9"/>
    <w:rsid w:val="00D6268E"/>
    <w:rsid w:val="00D62751"/>
    <w:rsid w:val="00D62D39"/>
    <w:rsid w:val="00D63AE9"/>
    <w:rsid w:val="00D64198"/>
    <w:rsid w:val="00D642CD"/>
    <w:rsid w:val="00D64BA2"/>
    <w:rsid w:val="00D64E16"/>
    <w:rsid w:val="00D64E90"/>
    <w:rsid w:val="00D64F6E"/>
    <w:rsid w:val="00D650F6"/>
    <w:rsid w:val="00D651A8"/>
    <w:rsid w:val="00D65734"/>
    <w:rsid w:val="00D65E12"/>
    <w:rsid w:val="00D65E9F"/>
    <w:rsid w:val="00D65EFF"/>
    <w:rsid w:val="00D66287"/>
    <w:rsid w:val="00D6635B"/>
    <w:rsid w:val="00D665F5"/>
    <w:rsid w:val="00D67730"/>
    <w:rsid w:val="00D67893"/>
    <w:rsid w:val="00D67A74"/>
    <w:rsid w:val="00D707C5"/>
    <w:rsid w:val="00D708E5"/>
    <w:rsid w:val="00D70E3F"/>
    <w:rsid w:val="00D70E6F"/>
    <w:rsid w:val="00D70E9F"/>
    <w:rsid w:val="00D713C7"/>
    <w:rsid w:val="00D714BE"/>
    <w:rsid w:val="00D71520"/>
    <w:rsid w:val="00D719A9"/>
    <w:rsid w:val="00D71DCF"/>
    <w:rsid w:val="00D729DF"/>
    <w:rsid w:val="00D72AC4"/>
    <w:rsid w:val="00D72B80"/>
    <w:rsid w:val="00D73159"/>
    <w:rsid w:val="00D732DF"/>
    <w:rsid w:val="00D739D7"/>
    <w:rsid w:val="00D73A0E"/>
    <w:rsid w:val="00D747B2"/>
    <w:rsid w:val="00D74C9D"/>
    <w:rsid w:val="00D75505"/>
    <w:rsid w:val="00D756D6"/>
    <w:rsid w:val="00D757F9"/>
    <w:rsid w:val="00D75881"/>
    <w:rsid w:val="00D7599A"/>
    <w:rsid w:val="00D7604E"/>
    <w:rsid w:val="00D762EF"/>
    <w:rsid w:val="00D76845"/>
    <w:rsid w:val="00D768B8"/>
    <w:rsid w:val="00D77100"/>
    <w:rsid w:val="00D772C4"/>
    <w:rsid w:val="00D77514"/>
    <w:rsid w:val="00D775D1"/>
    <w:rsid w:val="00D7797E"/>
    <w:rsid w:val="00D77D67"/>
    <w:rsid w:val="00D803B6"/>
    <w:rsid w:val="00D804B1"/>
    <w:rsid w:val="00D80845"/>
    <w:rsid w:val="00D80C6E"/>
    <w:rsid w:val="00D80DA8"/>
    <w:rsid w:val="00D81238"/>
    <w:rsid w:val="00D81BAC"/>
    <w:rsid w:val="00D81EE7"/>
    <w:rsid w:val="00D8250F"/>
    <w:rsid w:val="00D826A7"/>
    <w:rsid w:val="00D8277F"/>
    <w:rsid w:val="00D82783"/>
    <w:rsid w:val="00D827C6"/>
    <w:rsid w:val="00D82DAB"/>
    <w:rsid w:val="00D82FB1"/>
    <w:rsid w:val="00D82FD2"/>
    <w:rsid w:val="00D83097"/>
    <w:rsid w:val="00D831B5"/>
    <w:rsid w:val="00D838C7"/>
    <w:rsid w:val="00D84154"/>
    <w:rsid w:val="00D844F6"/>
    <w:rsid w:val="00D848C2"/>
    <w:rsid w:val="00D8497B"/>
    <w:rsid w:val="00D84C25"/>
    <w:rsid w:val="00D84E8A"/>
    <w:rsid w:val="00D8523C"/>
    <w:rsid w:val="00D85745"/>
    <w:rsid w:val="00D858B4"/>
    <w:rsid w:val="00D85997"/>
    <w:rsid w:val="00D85C2B"/>
    <w:rsid w:val="00D85C42"/>
    <w:rsid w:val="00D85D8A"/>
    <w:rsid w:val="00D86058"/>
    <w:rsid w:val="00D860FD"/>
    <w:rsid w:val="00D869C0"/>
    <w:rsid w:val="00D86EB6"/>
    <w:rsid w:val="00D874D0"/>
    <w:rsid w:val="00D8750F"/>
    <w:rsid w:val="00D877C9"/>
    <w:rsid w:val="00D87C20"/>
    <w:rsid w:val="00D9046D"/>
    <w:rsid w:val="00D910E6"/>
    <w:rsid w:val="00D91472"/>
    <w:rsid w:val="00D914CC"/>
    <w:rsid w:val="00D915D5"/>
    <w:rsid w:val="00D91A8B"/>
    <w:rsid w:val="00D92342"/>
    <w:rsid w:val="00D927D6"/>
    <w:rsid w:val="00D92ADE"/>
    <w:rsid w:val="00D92C3C"/>
    <w:rsid w:val="00D92EB4"/>
    <w:rsid w:val="00D93071"/>
    <w:rsid w:val="00D937AC"/>
    <w:rsid w:val="00D93C79"/>
    <w:rsid w:val="00D93C8F"/>
    <w:rsid w:val="00D93F55"/>
    <w:rsid w:val="00D93FC6"/>
    <w:rsid w:val="00D9491C"/>
    <w:rsid w:val="00D94B75"/>
    <w:rsid w:val="00D94E8E"/>
    <w:rsid w:val="00D94FF6"/>
    <w:rsid w:val="00D955D8"/>
    <w:rsid w:val="00D957F1"/>
    <w:rsid w:val="00D95BAA"/>
    <w:rsid w:val="00D95D0C"/>
    <w:rsid w:val="00D95E20"/>
    <w:rsid w:val="00D9659C"/>
    <w:rsid w:val="00D96B36"/>
    <w:rsid w:val="00D974BC"/>
    <w:rsid w:val="00D97B5E"/>
    <w:rsid w:val="00D97B74"/>
    <w:rsid w:val="00D97CA8"/>
    <w:rsid w:val="00DA017F"/>
    <w:rsid w:val="00DA08E7"/>
    <w:rsid w:val="00DA0D88"/>
    <w:rsid w:val="00DA145D"/>
    <w:rsid w:val="00DA14C6"/>
    <w:rsid w:val="00DA14E2"/>
    <w:rsid w:val="00DA281B"/>
    <w:rsid w:val="00DA2B82"/>
    <w:rsid w:val="00DA384A"/>
    <w:rsid w:val="00DA3A38"/>
    <w:rsid w:val="00DA3BB4"/>
    <w:rsid w:val="00DA4544"/>
    <w:rsid w:val="00DA4A00"/>
    <w:rsid w:val="00DA4E89"/>
    <w:rsid w:val="00DA533D"/>
    <w:rsid w:val="00DA6295"/>
    <w:rsid w:val="00DA6F41"/>
    <w:rsid w:val="00DA76F7"/>
    <w:rsid w:val="00DA7836"/>
    <w:rsid w:val="00DA7C81"/>
    <w:rsid w:val="00DA7D1F"/>
    <w:rsid w:val="00DA7E5A"/>
    <w:rsid w:val="00DB0200"/>
    <w:rsid w:val="00DB0358"/>
    <w:rsid w:val="00DB0657"/>
    <w:rsid w:val="00DB06D5"/>
    <w:rsid w:val="00DB08BA"/>
    <w:rsid w:val="00DB0DD3"/>
    <w:rsid w:val="00DB0FB5"/>
    <w:rsid w:val="00DB147F"/>
    <w:rsid w:val="00DB14FA"/>
    <w:rsid w:val="00DB1A5C"/>
    <w:rsid w:val="00DB1BFE"/>
    <w:rsid w:val="00DB1D21"/>
    <w:rsid w:val="00DB212C"/>
    <w:rsid w:val="00DB2164"/>
    <w:rsid w:val="00DB2F99"/>
    <w:rsid w:val="00DB3061"/>
    <w:rsid w:val="00DB31FF"/>
    <w:rsid w:val="00DB3541"/>
    <w:rsid w:val="00DB3CD4"/>
    <w:rsid w:val="00DB3EDC"/>
    <w:rsid w:val="00DB3F3B"/>
    <w:rsid w:val="00DB3FB4"/>
    <w:rsid w:val="00DB410E"/>
    <w:rsid w:val="00DB4225"/>
    <w:rsid w:val="00DB48B9"/>
    <w:rsid w:val="00DB4CCE"/>
    <w:rsid w:val="00DB4DEA"/>
    <w:rsid w:val="00DB51FB"/>
    <w:rsid w:val="00DB533B"/>
    <w:rsid w:val="00DB5425"/>
    <w:rsid w:val="00DB5CCC"/>
    <w:rsid w:val="00DB5DCF"/>
    <w:rsid w:val="00DB6229"/>
    <w:rsid w:val="00DB6302"/>
    <w:rsid w:val="00DB6A8D"/>
    <w:rsid w:val="00DB7058"/>
    <w:rsid w:val="00DB7553"/>
    <w:rsid w:val="00DB7895"/>
    <w:rsid w:val="00DC003D"/>
    <w:rsid w:val="00DC0265"/>
    <w:rsid w:val="00DC0757"/>
    <w:rsid w:val="00DC07A2"/>
    <w:rsid w:val="00DC0985"/>
    <w:rsid w:val="00DC0E4D"/>
    <w:rsid w:val="00DC11EC"/>
    <w:rsid w:val="00DC1511"/>
    <w:rsid w:val="00DC1A32"/>
    <w:rsid w:val="00DC1F43"/>
    <w:rsid w:val="00DC25ED"/>
    <w:rsid w:val="00DC2757"/>
    <w:rsid w:val="00DC2858"/>
    <w:rsid w:val="00DC2A6A"/>
    <w:rsid w:val="00DC2AEB"/>
    <w:rsid w:val="00DC2C67"/>
    <w:rsid w:val="00DC3C5F"/>
    <w:rsid w:val="00DC3DEB"/>
    <w:rsid w:val="00DC3E02"/>
    <w:rsid w:val="00DC4124"/>
    <w:rsid w:val="00DC4231"/>
    <w:rsid w:val="00DC5137"/>
    <w:rsid w:val="00DC530E"/>
    <w:rsid w:val="00DC5773"/>
    <w:rsid w:val="00DC58B0"/>
    <w:rsid w:val="00DC59BF"/>
    <w:rsid w:val="00DC5ABA"/>
    <w:rsid w:val="00DC5D63"/>
    <w:rsid w:val="00DC5E44"/>
    <w:rsid w:val="00DC7073"/>
    <w:rsid w:val="00DC71FB"/>
    <w:rsid w:val="00DC77E2"/>
    <w:rsid w:val="00DC7D60"/>
    <w:rsid w:val="00DD0190"/>
    <w:rsid w:val="00DD0EE3"/>
    <w:rsid w:val="00DD1536"/>
    <w:rsid w:val="00DD1737"/>
    <w:rsid w:val="00DD1CDB"/>
    <w:rsid w:val="00DD2197"/>
    <w:rsid w:val="00DD21C2"/>
    <w:rsid w:val="00DD2E41"/>
    <w:rsid w:val="00DD30E2"/>
    <w:rsid w:val="00DD30EC"/>
    <w:rsid w:val="00DD39C8"/>
    <w:rsid w:val="00DD3D6E"/>
    <w:rsid w:val="00DD4178"/>
    <w:rsid w:val="00DD44EC"/>
    <w:rsid w:val="00DD469F"/>
    <w:rsid w:val="00DD4967"/>
    <w:rsid w:val="00DD4993"/>
    <w:rsid w:val="00DD4EBD"/>
    <w:rsid w:val="00DD50AB"/>
    <w:rsid w:val="00DD52EB"/>
    <w:rsid w:val="00DD5620"/>
    <w:rsid w:val="00DD5D26"/>
    <w:rsid w:val="00DD5EDA"/>
    <w:rsid w:val="00DD6392"/>
    <w:rsid w:val="00DD6E9B"/>
    <w:rsid w:val="00DD74C6"/>
    <w:rsid w:val="00DD77B8"/>
    <w:rsid w:val="00DE0178"/>
    <w:rsid w:val="00DE06F8"/>
    <w:rsid w:val="00DE0925"/>
    <w:rsid w:val="00DE0CAD"/>
    <w:rsid w:val="00DE106B"/>
    <w:rsid w:val="00DE119E"/>
    <w:rsid w:val="00DE1409"/>
    <w:rsid w:val="00DE152E"/>
    <w:rsid w:val="00DE1842"/>
    <w:rsid w:val="00DE1A6A"/>
    <w:rsid w:val="00DE214C"/>
    <w:rsid w:val="00DE31A7"/>
    <w:rsid w:val="00DE335A"/>
    <w:rsid w:val="00DE3659"/>
    <w:rsid w:val="00DE3880"/>
    <w:rsid w:val="00DE3A8D"/>
    <w:rsid w:val="00DE3AB1"/>
    <w:rsid w:val="00DE3E90"/>
    <w:rsid w:val="00DE3F91"/>
    <w:rsid w:val="00DE4192"/>
    <w:rsid w:val="00DE459E"/>
    <w:rsid w:val="00DE46E7"/>
    <w:rsid w:val="00DE4B63"/>
    <w:rsid w:val="00DE546C"/>
    <w:rsid w:val="00DE578C"/>
    <w:rsid w:val="00DE5920"/>
    <w:rsid w:val="00DE6097"/>
    <w:rsid w:val="00DE6347"/>
    <w:rsid w:val="00DE65D1"/>
    <w:rsid w:val="00DE67E1"/>
    <w:rsid w:val="00DE6CF1"/>
    <w:rsid w:val="00DE71C9"/>
    <w:rsid w:val="00DE7893"/>
    <w:rsid w:val="00DE7EEB"/>
    <w:rsid w:val="00DF0221"/>
    <w:rsid w:val="00DF0662"/>
    <w:rsid w:val="00DF1035"/>
    <w:rsid w:val="00DF13D2"/>
    <w:rsid w:val="00DF19E0"/>
    <w:rsid w:val="00DF1D2F"/>
    <w:rsid w:val="00DF20B6"/>
    <w:rsid w:val="00DF2275"/>
    <w:rsid w:val="00DF2364"/>
    <w:rsid w:val="00DF311E"/>
    <w:rsid w:val="00DF3BB2"/>
    <w:rsid w:val="00DF4715"/>
    <w:rsid w:val="00DF477C"/>
    <w:rsid w:val="00DF490B"/>
    <w:rsid w:val="00DF4F3E"/>
    <w:rsid w:val="00DF51DA"/>
    <w:rsid w:val="00DF5AF7"/>
    <w:rsid w:val="00DF5B15"/>
    <w:rsid w:val="00DF5F31"/>
    <w:rsid w:val="00DF60C7"/>
    <w:rsid w:val="00DF60F4"/>
    <w:rsid w:val="00DF677B"/>
    <w:rsid w:val="00DF68EA"/>
    <w:rsid w:val="00DF69D7"/>
    <w:rsid w:val="00DF6DED"/>
    <w:rsid w:val="00DF74E3"/>
    <w:rsid w:val="00DF7ACF"/>
    <w:rsid w:val="00DF7DB6"/>
    <w:rsid w:val="00E00457"/>
    <w:rsid w:val="00E00A4B"/>
    <w:rsid w:val="00E013D9"/>
    <w:rsid w:val="00E017DD"/>
    <w:rsid w:val="00E0190D"/>
    <w:rsid w:val="00E01BF0"/>
    <w:rsid w:val="00E02357"/>
    <w:rsid w:val="00E0289A"/>
    <w:rsid w:val="00E02D99"/>
    <w:rsid w:val="00E02DD8"/>
    <w:rsid w:val="00E0358F"/>
    <w:rsid w:val="00E03A5E"/>
    <w:rsid w:val="00E03A9F"/>
    <w:rsid w:val="00E03AE6"/>
    <w:rsid w:val="00E03C7E"/>
    <w:rsid w:val="00E03C85"/>
    <w:rsid w:val="00E03DF4"/>
    <w:rsid w:val="00E041A0"/>
    <w:rsid w:val="00E04CE2"/>
    <w:rsid w:val="00E04CFB"/>
    <w:rsid w:val="00E0562D"/>
    <w:rsid w:val="00E05C60"/>
    <w:rsid w:val="00E05D3F"/>
    <w:rsid w:val="00E05F3E"/>
    <w:rsid w:val="00E062CC"/>
    <w:rsid w:val="00E0638E"/>
    <w:rsid w:val="00E065F6"/>
    <w:rsid w:val="00E066B0"/>
    <w:rsid w:val="00E06924"/>
    <w:rsid w:val="00E071C2"/>
    <w:rsid w:val="00E10365"/>
    <w:rsid w:val="00E10540"/>
    <w:rsid w:val="00E10C28"/>
    <w:rsid w:val="00E10D38"/>
    <w:rsid w:val="00E10EFE"/>
    <w:rsid w:val="00E11341"/>
    <w:rsid w:val="00E114C2"/>
    <w:rsid w:val="00E11E41"/>
    <w:rsid w:val="00E1209C"/>
    <w:rsid w:val="00E122B5"/>
    <w:rsid w:val="00E1241E"/>
    <w:rsid w:val="00E12DF4"/>
    <w:rsid w:val="00E13425"/>
    <w:rsid w:val="00E139C5"/>
    <w:rsid w:val="00E141FE"/>
    <w:rsid w:val="00E1443E"/>
    <w:rsid w:val="00E1476C"/>
    <w:rsid w:val="00E14FBB"/>
    <w:rsid w:val="00E151F8"/>
    <w:rsid w:val="00E1593B"/>
    <w:rsid w:val="00E15CE3"/>
    <w:rsid w:val="00E16204"/>
    <w:rsid w:val="00E164AE"/>
    <w:rsid w:val="00E1659A"/>
    <w:rsid w:val="00E16CAD"/>
    <w:rsid w:val="00E17BEF"/>
    <w:rsid w:val="00E200B8"/>
    <w:rsid w:val="00E2035E"/>
    <w:rsid w:val="00E206DD"/>
    <w:rsid w:val="00E206F3"/>
    <w:rsid w:val="00E209C8"/>
    <w:rsid w:val="00E20AEC"/>
    <w:rsid w:val="00E218F7"/>
    <w:rsid w:val="00E22074"/>
    <w:rsid w:val="00E2259E"/>
    <w:rsid w:val="00E225CE"/>
    <w:rsid w:val="00E22868"/>
    <w:rsid w:val="00E22DD6"/>
    <w:rsid w:val="00E22F3B"/>
    <w:rsid w:val="00E23094"/>
    <w:rsid w:val="00E23599"/>
    <w:rsid w:val="00E23649"/>
    <w:rsid w:val="00E23938"/>
    <w:rsid w:val="00E23B99"/>
    <w:rsid w:val="00E23C36"/>
    <w:rsid w:val="00E23E58"/>
    <w:rsid w:val="00E23EE4"/>
    <w:rsid w:val="00E23F51"/>
    <w:rsid w:val="00E24078"/>
    <w:rsid w:val="00E24098"/>
    <w:rsid w:val="00E24106"/>
    <w:rsid w:val="00E248B0"/>
    <w:rsid w:val="00E25560"/>
    <w:rsid w:val="00E258E5"/>
    <w:rsid w:val="00E25951"/>
    <w:rsid w:val="00E25C0B"/>
    <w:rsid w:val="00E26B06"/>
    <w:rsid w:val="00E26D76"/>
    <w:rsid w:val="00E2718F"/>
    <w:rsid w:val="00E27286"/>
    <w:rsid w:val="00E2757D"/>
    <w:rsid w:val="00E3067D"/>
    <w:rsid w:val="00E308CF"/>
    <w:rsid w:val="00E3141D"/>
    <w:rsid w:val="00E31882"/>
    <w:rsid w:val="00E31E0A"/>
    <w:rsid w:val="00E31F59"/>
    <w:rsid w:val="00E3281D"/>
    <w:rsid w:val="00E3287C"/>
    <w:rsid w:val="00E329FF"/>
    <w:rsid w:val="00E32BDD"/>
    <w:rsid w:val="00E33129"/>
    <w:rsid w:val="00E33F2C"/>
    <w:rsid w:val="00E34655"/>
    <w:rsid w:val="00E34997"/>
    <w:rsid w:val="00E34C61"/>
    <w:rsid w:val="00E34CE4"/>
    <w:rsid w:val="00E3508A"/>
    <w:rsid w:val="00E35319"/>
    <w:rsid w:val="00E355ED"/>
    <w:rsid w:val="00E35BAC"/>
    <w:rsid w:val="00E35DCC"/>
    <w:rsid w:val="00E36667"/>
    <w:rsid w:val="00E36DFF"/>
    <w:rsid w:val="00E36F72"/>
    <w:rsid w:val="00E37582"/>
    <w:rsid w:val="00E40287"/>
    <w:rsid w:val="00E40445"/>
    <w:rsid w:val="00E40AD7"/>
    <w:rsid w:val="00E40CBC"/>
    <w:rsid w:val="00E40EAA"/>
    <w:rsid w:val="00E4181A"/>
    <w:rsid w:val="00E419E8"/>
    <w:rsid w:val="00E41AC2"/>
    <w:rsid w:val="00E41BE6"/>
    <w:rsid w:val="00E41C7D"/>
    <w:rsid w:val="00E41F37"/>
    <w:rsid w:val="00E427E9"/>
    <w:rsid w:val="00E42AB8"/>
    <w:rsid w:val="00E42AFB"/>
    <w:rsid w:val="00E42C9F"/>
    <w:rsid w:val="00E43172"/>
    <w:rsid w:val="00E4371C"/>
    <w:rsid w:val="00E43970"/>
    <w:rsid w:val="00E44E53"/>
    <w:rsid w:val="00E455E2"/>
    <w:rsid w:val="00E4569F"/>
    <w:rsid w:val="00E45B04"/>
    <w:rsid w:val="00E45DAD"/>
    <w:rsid w:val="00E45FF6"/>
    <w:rsid w:val="00E463E7"/>
    <w:rsid w:val="00E467F1"/>
    <w:rsid w:val="00E46941"/>
    <w:rsid w:val="00E46B7C"/>
    <w:rsid w:val="00E471AC"/>
    <w:rsid w:val="00E47422"/>
    <w:rsid w:val="00E47478"/>
    <w:rsid w:val="00E477FC"/>
    <w:rsid w:val="00E47902"/>
    <w:rsid w:val="00E50290"/>
    <w:rsid w:val="00E50B17"/>
    <w:rsid w:val="00E50F1A"/>
    <w:rsid w:val="00E51808"/>
    <w:rsid w:val="00E51C97"/>
    <w:rsid w:val="00E52258"/>
    <w:rsid w:val="00E5260D"/>
    <w:rsid w:val="00E526B0"/>
    <w:rsid w:val="00E528A3"/>
    <w:rsid w:val="00E52934"/>
    <w:rsid w:val="00E53378"/>
    <w:rsid w:val="00E534EB"/>
    <w:rsid w:val="00E53D21"/>
    <w:rsid w:val="00E54015"/>
    <w:rsid w:val="00E54231"/>
    <w:rsid w:val="00E54248"/>
    <w:rsid w:val="00E543B8"/>
    <w:rsid w:val="00E54463"/>
    <w:rsid w:val="00E54574"/>
    <w:rsid w:val="00E546B7"/>
    <w:rsid w:val="00E54ACD"/>
    <w:rsid w:val="00E5504C"/>
    <w:rsid w:val="00E552EF"/>
    <w:rsid w:val="00E554C9"/>
    <w:rsid w:val="00E55597"/>
    <w:rsid w:val="00E55DA9"/>
    <w:rsid w:val="00E55E94"/>
    <w:rsid w:val="00E56091"/>
    <w:rsid w:val="00E56454"/>
    <w:rsid w:val="00E56529"/>
    <w:rsid w:val="00E565F8"/>
    <w:rsid w:val="00E569E5"/>
    <w:rsid w:val="00E56F85"/>
    <w:rsid w:val="00E57059"/>
    <w:rsid w:val="00E57199"/>
    <w:rsid w:val="00E57470"/>
    <w:rsid w:val="00E5770E"/>
    <w:rsid w:val="00E57CF4"/>
    <w:rsid w:val="00E60026"/>
    <w:rsid w:val="00E607BF"/>
    <w:rsid w:val="00E607DB"/>
    <w:rsid w:val="00E6094A"/>
    <w:rsid w:val="00E60BB2"/>
    <w:rsid w:val="00E612B1"/>
    <w:rsid w:val="00E6171A"/>
    <w:rsid w:val="00E61E58"/>
    <w:rsid w:val="00E62233"/>
    <w:rsid w:val="00E62558"/>
    <w:rsid w:val="00E628F8"/>
    <w:rsid w:val="00E62EF3"/>
    <w:rsid w:val="00E62F3C"/>
    <w:rsid w:val="00E630C5"/>
    <w:rsid w:val="00E6322C"/>
    <w:rsid w:val="00E6342B"/>
    <w:rsid w:val="00E6371F"/>
    <w:rsid w:val="00E6377B"/>
    <w:rsid w:val="00E63A82"/>
    <w:rsid w:val="00E644AB"/>
    <w:rsid w:val="00E646BD"/>
    <w:rsid w:val="00E64700"/>
    <w:rsid w:val="00E64D77"/>
    <w:rsid w:val="00E655C5"/>
    <w:rsid w:val="00E65E9E"/>
    <w:rsid w:val="00E65F0A"/>
    <w:rsid w:val="00E65FC6"/>
    <w:rsid w:val="00E662A4"/>
    <w:rsid w:val="00E6646A"/>
    <w:rsid w:val="00E669E1"/>
    <w:rsid w:val="00E6782A"/>
    <w:rsid w:val="00E7000C"/>
    <w:rsid w:val="00E7079F"/>
    <w:rsid w:val="00E707AC"/>
    <w:rsid w:val="00E70FB2"/>
    <w:rsid w:val="00E71AF6"/>
    <w:rsid w:val="00E71F76"/>
    <w:rsid w:val="00E7213F"/>
    <w:rsid w:val="00E724D1"/>
    <w:rsid w:val="00E727C8"/>
    <w:rsid w:val="00E728E7"/>
    <w:rsid w:val="00E72919"/>
    <w:rsid w:val="00E729B0"/>
    <w:rsid w:val="00E72B6E"/>
    <w:rsid w:val="00E72CDC"/>
    <w:rsid w:val="00E72F11"/>
    <w:rsid w:val="00E72F9F"/>
    <w:rsid w:val="00E736DD"/>
    <w:rsid w:val="00E73944"/>
    <w:rsid w:val="00E739F3"/>
    <w:rsid w:val="00E73DE3"/>
    <w:rsid w:val="00E74129"/>
    <w:rsid w:val="00E74722"/>
    <w:rsid w:val="00E74A5C"/>
    <w:rsid w:val="00E7509C"/>
    <w:rsid w:val="00E75384"/>
    <w:rsid w:val="00E75F70"/>
    <w:rsid w:val="00E75FDD"/>
    <w:rsid w:val="00E763EB"/>
    <w:rsid w:val="00E76705"/>
    <w:rsid w:val="00E77339"/>
    <w:rsid w:val="00E77726"/>
    <w:rsid w:val="00E77AAC"/>
    <w:rsid w:val="00E77BD4"/>
    <w:rsid w:val="00E77F9E"/>
    <w:rsid w:val="00E8002A"/>
    <w:rsid w:val="00E8019C"/>
    <w:rsid w:val="00E801B8"/>
    <w:rsid w:val="00E80221"/>
    <w:rsid w:val="00E803D1"/>
    <w:rsid w:val="00E80D29"/>
    <w:rsid w:val="00E818DC"/>
    <w:rsid w:val="00E81E11"/>
    <w:rsid w:val="00E822D2"/>
    <w:rsid w:val="00E82A0C"/>
    <w:rsid w:val="00E82B10"/>
    <w:rsid w:val="00E83053"/>
    <w:rsid w:val="00E8321F"/>
    <w:rsid w:val="00E83391"/>
    <w:rsid w:val="00E83AA5"/>
    <w:rsid w:val="00E83AB6"/>
    <w:rsid w:val="00E842AD"/>
    <w:rsid w:val="00E8438B"/>
    <w:rsid w:val="00E849F3"/>
    <w:rsid w:val="00E84AB8"/>
    <w:rsid w:val="00E84B60"/>
    <w:rsid w:val="00E8528F"/>
    <w:rsid w:val="00E8534C"/>
    <w:rsid w:val="00E854FB"/>
    <w:rsid w:val="00E8588B"/>
    <w:rsid w:val="00E85E3F"/>
    <w:rsid w:val="00E85EA7"/>
    <w:rsid w:val="00E86027"/>
    <w:rsid w:val="00E86CE6"/>
    <w:rsid w:val="00E8731B"/>
    <w:rsid w:val="00E87452"/>
    <w:rsid w:val="00E8789E"/>
    <w:rsid w:val="00E87D36"/>
    <w:rsid w:val="00E9014B"/>
    <w:rsid w:val="00E9039E"/>
    <w:rsid w:val="00E90815"/>
    <w:rsid w:val="00E90895"/>
    <w:rsid w:val="00E90C7A"/>
    <w:rsid w:val="00E90D35"/>
    <w:rsid w:val="00E90E07"/>
    <w:rsid w:val="00E90EAE"/>
    <w:rsid w:val="00E91396"/>
    <w:rsid w:val="00E91489"/>
    <w:rsid w:val="00E915EB"/>
    <w:rsid w:val="00E91FD2"/>
    <w:rsid w:val="00E9216A"/>
    <w:rsid w:val="00E92534"/>
    <w:rsid w:val="00E92C59"/>
    <w:rsid w:val="00E93B4A"/>
    <w:rsid w:val="00E940C3"/>
    <w:rsid w:val="00E94302"/>
    <w:rsid w:val="00E94542"/>
    <w:rsid w:val="00E94C5B"/>
    <w:rsid w:val="00E94D5E"/>
    <w:rsid w:val="00E9511C"/>
    <w:rsid w:val="00E9512F"/>
    <w:rsid w:val="00E95332"/>
    <w:rsid w:val="00E95358"/>
    <w:rsid w:val="00E9542F"/>
    <w:rsid w:val="00E95A95"/>
    <w:rsid w:val="00E9604D"/>
    <w:rsid w:val="00E9623B"/>
    <w:rsid w:val="00E962C2"/>
    <w:rsid w:val="00E968F2"/>
    <w:rsid w:val="00E96ADD"/>
    <w:rsid w:val="00E96BE9"/>
    <w:rsid w:val="00E97A8C"/>
    <w:rsid w:val="00E97FC7"/>
    <w:rsid w:val="00EA0498"/>
    <w:rsid w:val="00EA0599"/>
    <w:rsid w:val="00EA05FE"/>
    <w:rsid w:val="00EA0769"/>
    <w:rsid w:val="00EA0916"/>
    <w:rsid w:val="00EA095F"/>
    <w:rsid w:val="00EA0E86"/>
    <w:rsid w:val="00EA162A"/>
    <w:rsid w:val="00EA1839"/>
    <w:rsid w:val="00EA1DB9"/>
    <w:rsid w:val="00EA209D"/>
    <w:rsid w:val="00EA2186"/>
    <w:rsid w:val="00EA2224"/>
    <w:rsid w:val="00EA28C8"/>
    <w:rsid w:val="00EA29B6"/>
    <w:rsid w:val="00EA29C6"/>
    <w:rsid w:val="00EA3A14"/>
    <w:rsid w:val="00EA3CC6"/>
    <w:rsid w:val="00EA3D12"/>
    <w:rsid w:val="00EA40FB"/>
    <w:rsid w:val="00EA46CB"/>
    <w:rsid w:val="00EA485A"/>
    <w:rsid w:val="00EA48C2"/>
    <w:rsid w:val="00EA4A84"/>
    <w:rsid w:val="00EA4AE3"/>
    <w:rsid w:val="00EA4B30"/>
    <w:rsid w:val="00EA5150"/>
    <w:rsid w:val="00EA5352"/>
    <w:rsid w:val="00EA572B"/>
    <w:rsid w:val="00EA5E88"/>
    <w:rsid w:val="00EA5F3A"/>
    <w:rsid w:val="00EA60B0"/>
    <w:rsid w:val="00EA6498"/>
    <w:rsid w:val="00EA6A46"/>
    <w:rsid w:val="00EA6CEA"/>
    <w:rsid w:val="00EA6E98"/>
    <w:rsid w:val="00EA7E00"/>
    <w:rsid w:val="00EB0134"/>
    <w:rsid w:val="00EB02BD"/>
    <w:rsid w:val="00EB03CC"/>
    <w:rsid w:val="00EB06E2"/>
    <w:rsid w:val="00EB09E6"/>
    <w:rsid w:val="00EB0AFD"/>
    <w:rsid w:val="00EB0D76"/>
    <w:rsid w:val="00EB1064"/>
    <w:rsid w:val="00EB1223"/>
    <w:rsid w:val="00EB17C8"/>
    <w:rsid w:val="00EB1B8F"/>
    <w:rsid w:val="00EB1C5E"/>
    <w:rsid w:val="00EB28C3"/>
    <w:rsid w:val="00EB30FD"/>
    <w:rsid w:val="00EB32BE"/>
    <w:rsid w:val="00EB3936"/>
    <w:rsid w:val="00EB4260"/>
    <w:rsid w:val="00EB43D3"/>
    <w:rsid w:val="00EB455D"/>
    <w:rsid w:val="00EB47BC"/>
    <w:rsid w:val="00EB4C5B"/>
    <w:rsid w:val="00EB4C86"/>
    <w:rsid w:val="00EB502D"/>
    <w:rsid w:val="00EB5487"/>
    <w:rsid w:val="00EB553A"/>
    <w:rsid w:val="00EB5C66"/>
    <w:rsid w:val="00EB6426"/>
    <w:rsid w:val="00EB64FE"/>
    <w:rsid w:val="00EB65DB"/>
    <w:rsid w:val="00EB6722"/>
    <w:rsid w:val="00EB6B1E"/>
    <w:rsid w:val="00EB6D76"/>
    <w:rsid w:val="00EB75B8"/>
    <w:rsid w:val="00EB7BD8"/>
    <w:rsid w:val="00EB7E32"/>
    <w:rsid w:val="00EC0052"/>
    <w:rsid w:val="00EC01FF"/>
    <w:rsid w:val="00EC04F4"/>
    <w:rsid w:val="00EC0678"/>
    <w:rsid w:val="00EC0915"/>
    <w:rsid w:val="00EC0A1F"/>
    <w:rsid w:val="00EC0C30"/>
    <w:rsid w:val="00EC0E7E"/>
    <w:rsid w:val="00EC1353"/>
    <w:rsid w:val="00EC1BFC"/>
    <w:rsid w:val="00EC1FA7"/>
    <w:rsid w:val="00EC2187"/>
    <w:rsid w:val="00EC2867"/>
    <w:rsid w:val="00EC2B9D"/>
    <w:rsid w:val="00EC3094"/>
    <w:rsid w:val="00EC30A2"/>
    <w:rsid w:val="00EC36AE"/>
    <w:rsid w:val="00EC3A6A"/>
    <w:rsid w:val="00EC43EF"/>
    <w:rsid w:val="00EC47DC"/>
    <w:rsid w:val="00EC47E0"/>
    <w:rsid w:val="00EC51FD"/>
    <w:rsid w:val="00EC5D4C"/>
    <w:rsid w:val="00EC6721"/>
    <w:rsid w:val="00EC69A2"/>
    <w:rsid w:val="00EC6B4A"/>
    <w:rsid w:val="00EC7B93"/>
    <w:rsid w:val="00EC7D1F"/>
    <w:rsid w:val="00EC7E05"/>
    <w:rsid w:val="00EC7E23"/>
    <w:rsid w:val="00ED02F0"/>
    <w:rsid w:val="00ED0305"/>
    <w:rsid w:val="00ED036B"/>
    <w:rsid w:val="00ED04ED"/>
    <w:rsid w:val="00ED064D"/>
    <w:rsid w:val="00ED0BC6"/>
    <w:rsid w:val="00ED0E14"/>
    <w:rsid w:val="00ED16A9"/>
    <w:rsid w:val="00ED185D"/>
    <w:rsid w:val="00ED1CF4"/>
    <w:rsid w:val="00ED1CFA"/>
    <w:rsid w:val="00ED22DC"/>
    <w:rsid w:val="00ED22F1"/>
    <w:rsid w:val="00ED2741"/>
    <w:rsid w:val="00ED3739"/>
    <w:rsid w:val="00ED396D"/>
    <w:rsid w:val="00ED3FE9"/>
    <w:rsid w:val="00ED40E8"/>
    <w:rsid w:val="00ED4961"/>
    <w:rsid w:val="00ED4D72"/>
    <w:rsid w:val="00ED4E09"/>
    <w:rsid w:val="00ED526D"/>
    <w:rsid w:val="00ED546D"/>
    <w:rsid w:val="00ED5486"/>
    <w:rsid w:val="00ED55F7"/>
    <w:rsid w:val="00ED5C93"/>
    <w:rsid w:val="00ED5EFC"/>
    <w:rsid w:val="00ED5F43"/>
    <w:rsid w:val="00ED6459"/>
    <w:rsid w:val="00ED652B"/>
    <w:rsid w:val="00ED6A3A"/>
    <w:rsid w:val="00ED6CDC"/>
    <w:rsid w:val="00ED6FA6"/>
    <w:rsid w:val="00ED704B"/>
    <w:rsid w:val="00ED7BA1"/>
    <w:rsid w:val="00EE0366"/>
    <w:rsid w:val="00EE04FC"/>
    <w:rsid w:val="00EE050B"/>
    <w:rsid w:val="00EE1CF5"/>
    <w:rsid w:val="00EE1E17"/>
    <w:rsid w:val="00EE1EC7"/>
    <w:rsid w:val="00EE200F"/>
    <w:rsid w:val="00EE2056"/>
    <w:rsid w:val="00EE37DE"/>
    <w:rsid w:val="00EE3F98"/>
    <w:rsid w:val="00EE461E"/>
    <w:rsid w:val="00EE4895"/>
    <w:rsid w:val="00EE4BC4"/>
    <w:rsid w:val="00EE4BE2"/>
    <w:rsid w:val="00EE4E0A"/>
    <w:rsid w:val="00EE508C"/>
    <w:rsid w:val="00EE52BC"/>
    <w:rsid w:val="00EE5582"/>
    <w:rsid w:val="00EE56EA"/>
    <w:rsid w:val="00EE5800"/>
    <w:rsid w:val="00EE5C4F"/>
    <w:rsid w:val="00EE5C55"/>
    <w:rsid w:val="00EE5DBA"/>
    <w:rsid w:val="00EE60FB"/>
    <w:rsid w:val="00EE66F4"/>
    <w:rsid w:val="00EE693B"/>
    <w:rsid w:val="00EE6CFA"/>
    <w:rsid w:val="00EE7401"/>
    <w:rsid w:val="00EE7548"/>
    <w:rsid w:val="00EE7840"/>
    <w:rsid w:val="00EF0083"/>
    <w:rsid w:val="00EF0A90"/>
    <w:rsid w:val="00EF0AE8"/>
    <w:rsid w:val="00EF1028"/>
    <w:rsid w:val="00EF1E13"/>
    <w:rsid w:val="00EF201C"/>
    <w:rsid w:val="00EF25AB"/>
    <w:rsid w:val="00EF2B9A"/>
    <w:rsid w:val="00EF3023"/>
    <w:rsid w:val="00EF30A4"/>
    <w:rsid w:val="00EF32EB"/>
    <w:rsid w:val="00EF3F49"/>
    <w:rsid w:val="00EF44D0"/>
    <w:rsid w:val="00EF45F5"/>
    <w:rsid w:val="00EF481D"/>
    <w:rsid w:val="00EF4887"/>
    <w:rsid w:val="00EF4CC2"/>
    <w:rsid w:val="00EF4E8F"/>
    <w:rsid w:val="00EF4F67"/>
    <w:rsid w:val="00EF5A92"/>
    <w:rsid w:val="00EF5AC0"/>
    <w:rsid w:val="00EF5BA0"/>
    <w:rsid w:val="00EF5E45"/>
    <w:rsid w:val="00EF5EA4"/>
    <w:rsid w:val="00EF65B7"/>
    <w:rsid w:val="00EF6619"/>
    <w:rsid w:val="00EF688A"/>
    <w:rsid w:val="00EF6E61"/>
    <w:rsid w:val="00EF6FCD"/>
    <w:rsid w:val="00EF7456"/>
    <w:rsid w:val="00F00139"/>
    <w:rsid w:val="00F00756"/>
    <w:rsid w:val="00F00F41"/>
    <w:rsid w:val="00F010A7"/>
    <w:rsid w:val="00F0116F"/>
    <w:rsid w:val="00F014DF"/>
    <w:rsid w:val="00F01BAA"/>
    <w:rsid w:val="00F01F3E"/>
    <w:rsid w:val="00F01FC4"/>
    <w:rsid w:val="00F022DC"/>
    <w:rsid w:val="00F026EA"/>
    <w:rsid w:val="00F0278A"/>
    <w:rsid w:val="00F0281A"/>
    <w:rsid w:val="00F03184"/>
    <w:rsid w:val="00F039F9"/>
    <w:rsid w:val="00F044A2"/>
    <w:rsid w:val="00F04AFB"/>
    <w:rsid w:val="00F04B46"/>
    <w:rsid w:val="00F04DF3"/>
    <w:rsid w:val="00F05787"/>
    <w:rsid w:val="00F05B06"/>
    <w:rsid w:val="00F05B25"/>
    <w:rsid w:val="00F05FDE"/>
    <w:rsid w:val="00F06B38"/>
    <w:rsid w:val="00F073CF"/>
    <w:rsid w:val="00F07589"/>
    <w:rsid w:val="00F07F67"/>
    <w:rsid w:val="00F07F72"/>
    <w:rsid w:val="00F10A7E"/>
    <w:rsid w:val="00F10D26"/>
    <w:rsid w:val="00F10DC1"/>
    <w:rsid w:val="00F110BC"/>
    <w:rsid w:val="00F11177"/>
    <w:rsid w:val="00F1146C"/>
    <w:rsid w:val="00F115B0"/>
    <w:rsid w:val="00F117DD"/>
    <w:rsid w:val="00F11D9C"/>
    <w:rsid w:val="00F12655"/>
    <w:rsid w:val="00F12906"/>
    <w:rsid w:val="00F12A20"/>
    <w:rsid w:val="00F12C9E"/>
    <w:rsid w:val="00F13066"/>
    <w:rsid w:val="00F138F9"/>
    <w:rsid w:val="00F13905"/>
    <w:rsid w:val="00F13DFC"/>
    <w:rsid w:val="00F14542"/>
    <w:rsid w:val="00F14699"/>
    <w:rsid w:val="00F146A8"/>
    <w:rsid w:val="00F147AC"/>
    <w:rsid w:val="00F152F3"/>
    <w:rsid w:val="00F15483"/>
    <w:rsid w:val="00F15690"/>
    <w:rsid w:val="00F15A26"/>
    <w:rsid w:val="00F15CF1"/>
    <w:rsid w:val="00F1664D"/>
    <w:rsid w:val="00F16B70"/>
    <w:rsid w:val="00F16F91"/>
    <w:rsid w:val="00F171BD"/>
    <w:rsid w:val="00F17293"/>
    <w:rsid w:val="00F175DF"/>
    <w:rsid w:val="00F17812"/>
    <w:rsid w:val="00F17A6C"/>
    <w:rsid w:val="00F17E3A"/>
    <w:rsid w:val="00F200BB"/>
    <w:rsid w:val="00F203E1"/>
    <w:rsid w:val="00F2064A"/>
    <w:rsid w:val="00F20695"/>
    <w:rsid w:val="00F208D3"/>
    <w:rsid w:val="00F21804"/>
    <w:rsid w:val="00F21B30"/>
    <w:rsid w:val="00F21EAF"/>
    <w:rsid w:val="00F21F14"/>
    <w:rsid w:val="00F22024"/>
    <w:rsid w:val="00F22C4C"/>
    <w:rsid w:val="00F2337F"/>
    <w:rsid w:val="00F23C29"/>
    <w:rsid w:val="00F23F08"/>
    <w:rsid w:val="00F241D4"/>
    <w:rsid w:val="00F24899"/>
    <w:rsid w:val="00F24A9A"/>
    <w:rsid w:val="00F25023"/>
    <w:rsid w:val="00F25039"/>
    <w:rsid w:val="00F2507B"/>
    <w:rsid w:val="00F25220"/>
    <w:rsid w:val="00F257D0"/>
    <w:rsid w:val="00F257F3"/>
    <w:rsid w:val="00F258A4"/>
    <w:rsid w:val="00F2591B"/>
    <w:rsid w:val="00F25B4C"/>
    <w:rsid w:val="00F26150"/>
    <w:rsid w:val="00F27283"/>
    <w:rsid w:val="00F27441"/>
    <w:rsid w:val="00F2783B"/>
    <w:rsid w:val="00F303B8"/>
    <w:rsid w:val="00F3091D"/>
    <w:rsid w:val="00F30AF1"/>
    <w:rsid w:val="00F3185B"/>
    <w:rsid w:val="00F31C7D"/>
    <w:rsid w:val="00F3205C"/>
    <w:rsid w:val="00F32306"/>
    <w:rsid w:val="00F32450"/>
    <w:rsid w:val="00F3245B"/>
    <w:rsid w:val="00F32535"/>
    <w:rsid w:val="00F32719"/>
    <w:rsid w:val="00F32B57"/>
    <w:rsid w:val="00F32CD3"/>
    <w:rsid w:val="00F32EF2"/>
    <w:rsid w:val="00F3348D"/>
    <w:rsid w:val="00F3367C"/>
    <w:rsid w:val="00F33B38"/>
    <w:rsid w:val="00F34B80"/>
    <w:rsid w:val="00F34F76"/>
    <w:rsid w:val="00F35302"/>
    <w:rsid w:val="00F35A13"/>
    <w:rsid w:val="00F35FE8"/>
    <w:rsid w:val="00F37678"/>
    <w:rsid w:val="00F37FAE"/>
    <w:rsid w:val="00F40445"/>
    <w:rsid w:val="00F405F4"/>
    <w:rsid w:val="00F41724"/>
    <w:rsid w:val="00F41916"/>
    <w:rsid w:val="00F41F6B"/>
    <w:rsid w:val="00F420E0"/>
    <w:rsid w:val="00F427CE"/>
    <w:rsid w:val="00F43191"/>
    <w:rsid w:val="00F4325A"/>
    <w:rsid w:val="00F43404"/>
    <w:rsid w:val="00F435B8"/>
    <w:rsid w:val="00F436D6"/>
    <w:rsid w:val="00F43AC9"/>
    <w:rsid w:val="00F43C64"/>
    <w:rsid w:val="00F44698"/>
    <w:rsid w:val="00F447E3"/>
    <w:rsid w:val="00F44923"/>
    <w:rsid w:val="00F45330"/>
    <w:rsid w:val="00F45688"/>
    <w:rsid w:val="00F4569B"/>
    <w:rsid w:val="00F45719"/>
    <w:rsid w:val="00F457DA"/>
    <w:rsid w:val="00F45941"/>
    <w:rsid w:val="00F45FA8"/>
    <w:rsid w:val="00F46174"/>
    <w:rsid w:val="00F4656B"/>
    <w:rsid w:val="00F46F10"/>
    <w:rsid w:val="00F477FE"/>
    <w:rsid w:val="00F47AFF"/>
    <w:rsid w:val="00F47BCC"/>
    <w:rsid w:val="00F47C1F"/>
    <w:rsid w:val="00F47C4A"/>
    <w:rsid w:val="00F47E67"/>
    <w:rsid w:val="00F5060D"/>
    <w:rsid w:val="00F50A8D"/>
    <w:rsid w:val="00F51951"/>
    <w:rsid w:val="00F52DE6"/>
    <w:rsid w:val="00F530A5"/>
    <w:rsid w:val="00F53240"/>
    <w:rsid w:val="00F53264"/>
    <w:rsid w:val="00F53560"/>
    <w:rsid w:val="00F53DD4"/>
    <w:rsid w:val="00F544E9"/>
    <w:rsid w:val="00F54CB9"/>
    <w:rsid w:val="00F54F44"/>
    <w:rsid w:val="00F55088"/>
    <w:rsid w:val="00F554FF"/>
    <w:rsid w:val="00F561B5"/>
    <w:rsid w:val="00F56367"/>
    <w:rsid w:val="00F56495"/>
    <w:rsid w:val="00F56567"/>
    <w:rsid w:val="00F565F5"/>
    <w:rsid w:val="00F566AB"/>
    <w:rsid w:val="00F57580"/>
    <w:rsid w:val="00F57914"/>
    <w:rsid w:val="00F57FA0"/>
    <w:rsid w:val="00F607E4"/>
    <w:rsid w:val="00F6127C"/>
    <w:rsid w:val="00F61536"/>
    <w:rsid w:val="00F6185C"/>
    <w:rsid w:val="00F61EBE"/>
    <w:rsid w:val="00F621C6"/>
    <w:rsid w:val="00F62703"/>
    <w:rsid w:val="00F62755"/>
    <w:rsid w:val="00F6285B"/>
    <w:rsid w:val="00F62965"/>
    <w:rsid w:val="00F6296C"/>
    <w:rsid w:val="00F62A7C"/>
    <w:rsid w:val="00F62E88"/>
    <w:rsid w:val="00F636C9"/>
    <w:rsid w:val="00F639C4"/>
    <w:rsid w:val="00F64116"/>
    <w:rsid w:val="00F6432A"/>
    <w:rsid w:val="00F6432D"/>
    <w:rsid w:val="00F64B57"/>
    <w:rsid w:val="00F64DFD"/>
    <w:rsid w:val="00F64EAE"/>
    <w:rsid w:val="00F6517A"/>
    <w:rsid w:val="00F65769"/>
    <w:rsid w:val="00F658A8"/>
    <w:rsid w:val="00F65B0A"/>
    <w:rsid w:val="00F65B8E"/>
    <w:rsid w:val="00F660CE"/>
    <w:rsid w:val="00F66731"/>
    <w:rsid w:val="00F669DB"/>
    <w:rsid w:val="00F671C7"/>
    <w:rsid w:val="00F6721F"/>
    <w:rsid w:val="00F677CD"/>
    <w:rsid w:val="00F67877"/>
    <w:rsid w:val="00F70BB0"/>
    <w:rsid w:val="00F71F55"/>
    <w:rsid w:val="00F723AC"/>
    <w:rsid w:val="00F72441"/>
    <w:rsid w:val="00F7249D"/>
    <w:rsid w:val="00F726BD"/>
    <w:rsid w:val="00F7270E"/>
    <w:rsid w:val="00F7273A"/>
    <w:rsid w:val="00F72D4B"/>
    <w:rsid w:val="00F72E7D"/>
    <w:rsid w:val="00F731EC"/>
    <w:rsid w:val="00F738E1"/>
    <w:rsid w:val="00F73AFE"/>
    <w:rsid w:val="00F73D7C"/>
    <w:rsid w:val="00F73F72"/>
    <w:rsid w:val="00F74141"/>
    <w:rsid w:val="00F745EB"/>
    <w:rsid w:val="00F74760"/>
    <w:rsid w:val="00F74CA4"/>
    <w:rsid w:val="00F74EC0"/>
    <w:rsid w:val="00F75307"/>
    <w:rsid w:val="00F75921"/>
    <w:rsid w:val="00F76204"/>
    <w:rsid w:val="00F767A1"/>
    <w:rsid w:val="00F76901"/>
    <w:rsid w:val="00F76A2F"/>
    <w:rsid w:val="00F76EB4"/>
    <w:rsid w:val="00F76FD7"/>
    <w:rsid w:val="00F77212"/>
    <w:rsid w:val="00F77A82"/>
    <w:rsid w:val="00F77D89"/>
    <w:rsid w:val="00F80110"/>
    <w:rsid w:val="00F8014C"/>
    <w:rsid w:val="00F8042E"/>
    <w:rsid w:val="00F804AD"/>
    <w:rsid w:val="00F8073D"/>
    <w:rsid w:val="00F80C65"/>
    <w:rsid w:val="00F80F02"/>
    <w:rsid w:val="00F811A1"/>
    <w:rsid w:val="00F81472"/>
    <w:rsid w:val="00F816D9"/>
    <w:rsid w:val="00F8227B"/>
    <w:rsid w:val="00F826D1"/>
    <w:rsid w:val="00F82CC6"/>
    <w:rsid w:val="00F82DFC"/>
    <w:rsid w:val="00F83914"/>
    <w:rsid w:val="00F84B4C"/>
    <w:rsid w:val="00F85327"/>
    <w:rsid w:val="00F854FA"/>
    <w:rsid w:val="00F85504"/>
    <w:rsid w:val="00F859CE"/>
    <w:rsid w:val="00F85D19"/>
    <w:rsid w:val="00F85F6C"/>
    <w:rsid w:val="00F86780"/>
    <w:rsid w:val="00F868D3"/>
    <w:rsid w:val="00F87AF9"/>
    <w:rsid w:val="00F87D1B"/>
    <w:rsid w:val="00F90CD6"/>
    <w:rsid w:val="00F90F82"/>
    <w:rsid w:val="00F9118F"/>
    <w:rsid w:val="00F911FD"/>
    <w:rsid w:val="00F91249"/>
    <w:rsid w:val="00F9124D"/>
    <w:rsid w:val="00F91683"/>
    <w:rsid w:val="00F91905"/>
    <w:rsid w:val="00F91B2F"/>
    <w:rsid w:val="00F91B72"/>
    <w:rsid w:val="00F91DF7"/>
    <w:rsid w:val="00F9263E"/>
    <w:rsid w:val="00F92832"/>
    <w:rsid w:val="00F92A34"/>
    <w:rsid w:val="00F93111"/>
    <w:rsid w:val="00F93A52"/>
    <w:rsid w:val="00F93CC3"/>
    <w:rsid w:val="00F942C2"/>
    <w:rsid w:val="00F9442F"/>
    <w:rsid w:val="00F94FB2"/>
    <w:rsid w:val="00F95174"/>
    <w:rsid w:val="00F9541A"/>
    <w:rsid w:val="00F955CD"/>
    <w:rsid w:val="00F95797"/>
    <w:rsid w:val="00F95B22"/>
    <w:rsid w:val="00F95C29"/>
    <w:rsid w:val="00F95C3E"/>
    <w:rsid w:val="00F95D09"/>
    <w:rsid w:val="00F95E54"/>
    <w:rsid w:val="00F96080"/>
    <w:rsid w:val="00F9790E"/>
    <w:rsid w:val="00FA0ABB"/>
    <w:rsid w:val="00FA0CFA"/>
    <w:rsid w:val="00FA0E03"/>
    <w:rsid w:val="00FA1E68"/>
    <w:rsid w:val="00FA1F51"/>
    <w:rsid w:val="00FA214E"/>
    <w:rsid w:val="00FA2762"/>
    <w:rsid w:val="00FA280B"/>
    <w:rsid w:val="00FA3471"/>
    <w:rsid w:val="00FA3593"/>
    <w:rsid w:val="00FA3885"/>
    <w:rsid w:val="00FA4970"/>
    <w:rsid w:val="00FA4B3D"/>
    <w:rsid w:val="00FA57AC"/>
    <w:rsid w:val="00FA6713"/>
    <w:rsid w:val="00FA6DAD"/>
    <w:rsid w:val="00FA6E47"/>
    <w:rsid w:val="00FA7E41"/>
    <w:rsid w:val="00FA7FBF"/>
    <w:rsid w:val="00FB04A9"/>
    <w:rsid w:val="00FB0609"/>
    <w:rsid w:val="00FB0C57"/>
    <w:rsid w:val="00FB0CDE"/>
    <w:rsid w:val="00FB0E78"/>
    <w:rsid w:val="00FB133B"/>
    <w:rsid w:val="00FB185B"/>
    <w:rsid w:val="00FB1B61"/>
    <w:rsid w:val="00FB1DFC"/>
    <w:rsid w:val="00FB266B"/>
    <w:rsid w:val="00FB2BC9"/>
    <w:rsid w:val="00FB2C7B"/>
    <w:rsid w:val="00FB2DD9"/>
    <w:rsid w:val="00FB32FA"/>
    <w:rsid w:val="00FB4048"/>
    <w:rsid w:val="00FB4B64"/>
    <w:rsid w:val="00FB537E"/>
    <w:rsid w:val="00FB5B27"/>
    <w:rsid w:val="00FB5D0B"/>
    <w:rsid w:val="00FB5F8F"/>
    <w:rsid w:val="00FB6019"/>
    <w:rsid w:val="00FB6390"/>
    <w:rsid w:val="00FB63A2"/>
    <w:rsid w:val="00FB68BD"/>
    <w:rsid w:val="00FB6ACA"/>
    <w:rsid w:val="00FB72AC"/>
    <w:rsid w:val="00FB73BA"/>
    <w:rsid w:val="00FB75F1"/>
    <w:rsid w:val="00FB78BC"/>
    <w:rsid w:val="00FB7AE9"/>
    <w:rsid w:val="00FB7FC9"/>
    <w:rsid w:val="00FC01F3"/>
    <w:rsid w:val="00FC07AC"/>
    <w:rsid w:val="00FC09D3"/>
    <w:rsid w:val="00FC0F6C"/>
    <w:rsid w:val="00FC107A"/>
    <w:rsid w:val="00FC13B2"/>
    <w:rsid w:val="00FC1605"/>
    <w:rsid w:val="00FC2709"/>
    <w:rsid w:val="00FC270C"/>
    <w:rsid w:val="00FC27B3"/>
    <w:rsid w:val="00FC2DFF"/>
    <w:rsid w:val="00FC2EBB"/>
    <w:rsid w:val="00FC374D"/>
    <w:rsid w:val="00FC376D"/>
    <w:rsid w:val="00FC3776"/>
    <w:rsid w:val="00FC385F"/>
    <w:rsid w:val="00FC42DD"/>
    <w:rsid w:val="00FC43DD"/>
    <w:rsid w:val="00FC4549"/>
    <w:rsid w:val="00FC47E0"/>
    <w:rsid w:val="00FC4830"/>
    <w:rsid w:val="00FC4D6A"/>
    <w:rsid w:val="00FC5027"/>
    <w:rsid w:val="00FC50B4"/>
    <w:rsid w:val="00FC5286"/>
    <w:rsid w:val="00FC55D4"/>
    <w:rsid w:val="00FC57A1"/>
    <w:rsid w:val="00FC5837"/>
    <w:rsid w:val="00FC5985"/>
    <w:rsid w:val="00FC6131"/>
    <w:rsid w:val="00FC64CC"/>
    <w:rsid w:val="00FC6916"/>
    <w:rsid w:val="00FC6DF1"/>
    <w:rsid w:val="00FC78DE"/>
    <w:rsid w:val="00FD01BE"/>
    <w:rsid w:val="00FD0651"/>
    <w:rsid w:val="00FD06D5"/>
    <w:rsid w:val="00FD0BB5"/>
    <w:rsid w:val="00FD1286"/>
    <w:rsid w:val="00FD1D9E"/>
    <w:rsid w:val="00FD1EFC"/>
    <w:rsid w:val="00FD2CE6"/>
    <w:rsid w:val="00FD3145"/>
    <w:rsid w:val="00FD31A1"/>
    <w:rsid w:val="00FD414D"/>
    <w:rsid w:val="00FD4273"/>
    <w:rsid w:val="00FD4C3C"/>
    <w:rsid w:val="00FD61B3"/>
    <w:rsid w:val="00FD6591"/>
    <w:rsid w:val="00FD6DD1"/>
    <w:rsid w:val="00FD78DC"/>
    <w:rsid w:val="00FD7985"/>
    <w:rsid w:val="00FD7B50"/>
    <w:rsid w:val="00FD7E98"/>
    <w:rsid w:val="00FE0103"/>
    <w:rsid w:val="00FE089D"/>
    <w:rsid w:val="00FE0975"/>
    <w:rsid w:val="00FE09A2"/>
    <w:rsid w:val="00FE0AE4"/>
    <w:rsid w:val="00FE1560"/>
    <w:rsid w:val="00FE29AA"/>
    <w:rsid w:val="00FE2C42"/>
    <w:rsid w:val="00FE2C4F"/>
    <w:rsid w:val="00FE302E"/>
    <w:rsid w:val="00FE3110"/>
    <w:rsid w:val="00FE3736"/>
    <w:rsid w:val="00FE39D6"/>
    <w:rsid w:val="00FE3A00"/>
    <w:rsid w:val="00FE4152"/>
    <w:rsid w:val="00FE467C"/>
    <w:rsid w:val="00FE4716"/>
    <w:rsid w:val="00FE48E6"/>
    <w:rsid w:val="00FE4B38"/>
    <w:rsid w:val="00FE5194"/>
    <w:rsid w:val="00FE5393"/>
    <w:rsid w:val="00FE5433"/>
    <w:rsid w:val="00FE56FA"/>
    <w:rsid w:val="00FE5924"/>
    <w:rsid w:val="00FE6045"/>
    <w:rsid w:val="00FE604B"/>
    <w:rsid w:val="00FE650F"/>
    <w:rsid w:val="00FE764E"/>
    <w:rsid w:val="00FE7663"/>
    <w:rsid w:val="00FF0458"/>
    <w:rsid w:val="00FF109C"/>
    <w:rsid w:val="00FF15A6"/>
    <w:rsid w:val="00FF1C55"/>
    <w:rsid w:val="00FF1D24"/>
    <w:rsid w:val="00FF201F"/>
    <w:rsid w:val="00FF24A1"/>
    <w:rsid w:val="00FF26E3"/>
    <w:rsid w:val="00FF283C"/>
    <w:rsid w:val="00FF2FDC"/>
    <w:rsid w:val="00FF33BD"/>
    <w:rsid w:val="00FF3620"/>
    <w:rsid w:val="00FF3803"/>
    <w:rsid w:val="00FF39FB"/>
    <w:rsid w:val="00FF4C0B"/>
    <w:rsid w:val="00FF527F"/>
    <w:rsid w:val="00FF5964"/>
    <w:rsid w:val="00FF5B71"/>
    <w:rsid w:val="00FF5E1E"/>
    <w:rsid w:val="00FF669F"/>
    <w:rsid w:val="00FF6BCE"/>
    <w:rsid w:val="00FF7116"/>
    <w:rsid w:val="00FF75FD"/>
    <w:rsid w:val="00FF7992"/>
    <w:rsid w:val="00FF7E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849"/>
    <o:shapelayout v:ext="edit">
      <o:idmap v:ext="edit" data="1"/>
    </o:shapelayout>
  </w:shapeDefaults>
  <w:decimalSymbol w:val=","/>
  <w:listSeparator w:val=";"/>
  <w14:docId w14:val="38C80E7A"/>
  <w15:chartTrackingRefBased/>
  <w15:docId w15:val="{7036BFA6-B9E4-40CB-BB2C-BDA393703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DengXian"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12A7"/>
    <w:pPr>
      <w:spacing w:after="160" w:line="259" w:lineRule="auto"/>
    </w:pPr>
    <w:rPr>
      <w:sz w:val="22"/>
      <w:szCs w:val="22"/>
      <w:lang w:val="fr-FR"/>
    </w:rPr>
  </w:style>
  <w:style w:type="paragraph" w:styleId="Titre1">
    <w:name w:val="heading 1"/>
    <w:basedOn w:val="Normal"/>
    <w:next w:val="Normal"/>
    <w:link w:val="Titre1Car"/>
    <w:uiPriority w:val="9"/>
    <w:qFormat/>
    <w:rsid w:val="002F12A7"/>
    <w:pPr>
      <w:keepNext/>
      <w:keepLines/>
      <w:spacing w:before="400" w:after="40" w:line="240" w:lineRule="auto"/>
      <w:outlineLvl w:val="0"/>
    </w:pPr>
    <w:rPr>
      <w:rFonts w:ascii="Calibri Light" w:eastAsia="DengXian Light" w:hAnsi="Calibri Light" w:cs="Times New Roman"/>
      <w:color w:val="1F3864"/>
      <w:sz w:val="36"/>
      <w:szCs w:val="36"/>
    </w:rPr>
  </w:style>
  <w:style w:type="paragraph" w:styleId="Titre2">
    <w:name w:val="heading 2"/>
    <w:basedOn w:val="Normal"/>
    <w:next w:val="Normal"/>
    <w:link w:val="Titre2Car"/>
    <w:uiPriority w:val="9"/>
    <w:unhideWhenUsed/>
    <w:qFormat/>
    <w:rsid w:val="002F12A7"/>
    <w:pPr>
      <w:keepNext/>
      <w:keepLines/>
      <w:spacing w:before="40" w:after="0" w:line="240" w:lineRule="auto"/>
      <w:outlineLvl w:val="1"/>
    </w:pPr>
    <w:rPr>
      <w:rFonts w:ascii="Calibri Light" w:eastAsia="DengXian Light" w:hAnsi="Calibri Light" w:cs="Times New Roman"/>
      <w:color w:val="2F5496"/>
      <w:sz w:val="32"/>
      <w:szCs w:val="32"/>
    </w:rPr>
  </w:style>
  <w:style w:type="paragraph" w:styleId="Titre3">
    <w:name w:val="heading 3"/>
    <w:basedOn w:val="Normal"/>
    <w:next w:val="Normal"/>
    <w:link w:val="Titre3Car"/>
    <w:uiPriority w:val="9"/>
    <w:unhideWhenUsed/>
    <w:qFormat/>
    <w:rsid w:val="002F12A7"/>
    <w:pPr>
      <w:keepNext/>
      <w:keepLines/>
      <w:spacing w:before="40" w:after="0" w:line="240" w:lineRule="auto"/>
      <w:outlineLvl w:val="2"/>
    </w:pPr>
    <w:rPr>
      <w:rFonts w:ascii="Calibri Light" w:eastAsia="DengXian Light" w:hAnsi="Calibri Light" w:cs="Times New Roman"/>
      <w:color w:val="2F5496"/>
      <w:sz w:val="28"/>
      <w:szCs w:val="28"/>
    </w:rPr>
  </w:style>
  <w:style w:type="paragraph" w:styleId="Titre4">
    <w:name w:val="heading 4"/>
    <w:basedOn w:val="Normal"/>
    <w:next w:val="Normal"/>
    <w:link w:val="Titre4Car"/>
    <w:uiPriority w:val="9"/>
    <w:unhideWhenUsed/>
    <w:qFormat/>
    <w:rsid w:val="002F12A7"/>
    <w:pPr>
      <w:keepNext/>
      <w:keepLines/>
      <w:spacing w:before="40" w:after="0"/>
      <w:outlineLvl w:val="3"/>
    </w:pPr>
    <w:rPr>
      <w:rFonts w:ascii="Calibri Light" w:eastAsia="DengXian Light" w:hAnsi="Calibri Light" w:cs="Times New Roman"/>
      <w:color w:val="2F5496"/>
      <w:sz w:val="24"/>
      <w:szCs w:val="24"/>
    </w:rPr>
  </w:style>
  <w:style w:type="paragraph" w:styleId="Titre5">
    <w:name w:val="heading 5"/>
    <w:basedOn w:val="Normal"/>
    <w:next w:val="Normal"/>
    <w:link w:val="Titre5Car"/>
    <w:uiPriority w:val="9"/>
    <w:unhideWhenUsed/>
    <w:qFormat/>
    <w:rsid w:val="002F12A7"/>
    <w:pPr>
      <w:keepNext/>
      <w:keepLines/>
      <w:spacing w:before="40" w:after="0"/>
      <w:outlineLvl w:val="4"/>
    </w:pPr>
    <w:rPr>
      <w:rFonts w:ascii="Calibri Light" w:eastAsia="DengXian Light" w:hAnsi="Calibri Light" w:cs="Times New Roman"/>
      <w:caps/>
      <w:color w:val="2F5496"/>
    </w:rPr>
  </w:style>
  <w:style w:type="paragraph" w:styleId="Titre6">
    <w:name w:val="heading 6"/>
    <w:basedOn w:val="Normal"/>
    <w:next w:val="Normal"/>
    <w:link w:val="Titre6Car"/>
    <w:uiPriority w:val="9"/>
    <w:unhideWhenUsed/>
    <w:qFormat/>
    <w:rsid w:val="002F12A7"/>
    <w:pPr>
      <w:keepNext/>
      <w:keepLines/>
      <w:spacing w:before="40" w:after="0"/>
      <w:outlineLvl w:val="5"/>
    </w:pPr>
    <w:rPr>
      <w:rFonts w:ascii="Calibri Light" w:eastAsia="DengXian Light" w:hAnsi="Calibri Light" w:cs="Times New Roman"/>
      <w:i/>
      <w:iCs/>
      <w:caps/>
      <w:color w:val="1F3864"/>
    </w:rPr>
  </w:style>
  <w:style w:type="paragraph" w:styleId="Titre7">
    <w:name w:val="heading 7"/>
    <w:basedOn w:val="Normal"/>
    <w:next w:val="Normal"/>
    <w:link w:val="Titre7Car"/>
    <w:uiPriority w:val="9"/>
    <w:unhideWhenUsed/>
    <w:qFormat/>
    <w:rsid w:val="002F12A7"/>
    <w:pPr>
      <w:keepNext/>
      <w:keepLines/>
      <w:spacing w:before="40" w:after="0"/>
      <w:outlineLvl w:val="6"/>
    </w:pPr>
    <w:rPr>
      <w:rFonts w:ascii="Calibri Light" w:eastAsia="DengXian Light" w:hAnsi="Calibri Light" w:cs="Times New Roman"/>
      <w:b/>
      <w:bCs/>
      <w:color w:val="1F3864"/>
    </w:rPr>
  </w:style>
  <w:style w:type="paragraph" w:styleId="Titre8">
    <w:name w:val="heading 8"/>
    <w:basedOn w:val="Normal"/>
    <w:next w:val="Normal"/>
    <w:link w:val="Titre8Car"/>
    <w:uiPriority w:val="9"/>
    <w:unhideWhenUsed/>
    <w:qFormat/>
    <w:rsid w:val="002F12A7"/>
    <w:pPr>
      <w:keepNext/>
      <w:keepLines/>
      <w:spacing w:before="40" w:after="0"/>
      <w:outlineLvl w:val="7"/>
    </w:pPr>
    <w:rPr>
      <w:rFonts w:ascii="Calibri Light" w:eastAsia="DengXian Light" w:hAnsi="Calibri Light" w:cs="Times New Roman"/>
      <w:b/>
      <w:bCs/>
      <w:i/>
      <w:iCs/>
      <w:color w:val="1F3864"/>
    </w:rPr>
  </w:style>
  <w:style w:type="paragraph" w:styleId="Titre9">
    <w:name w:val="heading 9"/>
    <w:basedOn w:val="Normal"/>
    <w:next w:val="Normal"/>
    <w:link w:val="Titre9Car"/>
    <w:uiPriority w:val="9"/>
    <w:unhideWhenUsed/>
    <w:qFormat/>
    <w:rsid w:val="002F12A7"/>
    <w:pPr>
      <w:keepNext/>
      <w:keepLines/>
      <w:spacing w:before="40" w:after="0"/>
      <w:outlineLvl w:val="8"/>
    </w:pPr>
    <w:rPr>
      <w:rFonts w:ascii="Calibri Light" w:eastAsia="DengXian Light" w:hAnsi="Calibri Light" w:cs="Times New Roman"/>
      <w:i/>
      <w:iCs/>
      <w:color w:val="1F386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A61AA1"/>
    <w:rPr>
      <w:rFonts w:ascii="Calibri Light" w:eastAsia="DengXian Light" w:hAnsi="Calibri Light" w:cs="Times New Roman"/>
      <w:color w:val="1F3864"/>
      <w:sz w:val="36"/>
      <w:szCs w:val="36"/>
      <w:lang w:val="fr-FR"/>
    </w:rPr>
  </w:style>
  <w:style w:type="character" w:customStyle="1" w:styleId="Titre2Car">
    <w:name w:val="Titre 2 Car"/>
    <w:link w:val="Titre2"/>
    <w:uiPriority w:val="9"/>
    <w:rsid w:val="00A61AA1"/>
    <w:rPr>
      <w:rFonts w:ascii="Calibri Light" w:eastAsia="DengXian Light" w:hAnsi="Calibri Light" w:cs="Times New Roman"/>
      <w:color w:val="2F5496"/>
      <w:sz w:val="32"/>
      <w:szCs w:val="32"/>
      <w:lang w:val="fr-FR"/>
    </w:rPr>
  </w:style>
  <w:style w:type="character" w:customStyle="1" w:styleId="Titre3Car">
    <w:name w:val="Titre 3 Car"/>
    <w:link w:val="Titre3"/>
    <w:uiPriority w:val="9"/>
    <w:rsid w:val="00A61AA1"/>
    <w:rPr>
      <w:rFonts w:ascii="Calibri Light" w:eastAsia="DengXian Light" w:hAnsi="Calibri Light" w:cs="Times New Roman"/>
      <w:color w:val="2F5496"/>
      <w:sz w:val="28"/>
      <w:szCs w:val="28"/>
      <w:lang w:val="fr-FR"/>
    </w:rPr>
  </w:style>
  <w:style w:type="character" w:customStyle="1" w:styleId="Titre4Car">
    <w:name w:val="Titre 4 Car"/>
    <w:link w:val="Titre4"/>
    <w:uiPriority w:val="9"/>
    <w:rsid w:val="00A61AA1"/>
    <w:rPr>
      <w:rFonts w:ascii="Calibri Light" w:eastAsia="DengXian Light" w:hAnsi="Calibri Light" w:cs="Times New Roman"/>
      <w:color w:val="2F5496"/>
      <w:sz w:val="24"/>
      <w:szCs w:val="24"/>
      <w:lang w:val="fr-FR"/>
    </w:rPr>
  </w:style>
  <w:style w:type="character" w:customStyle="1" w:styleId="Titre5Car">
    <w:name w:val="Titre 5 Car"/>
    <w:link w:val="Titre5"/>
    <w:uiPriority w:val="9"/>
    <w:rsid w:val="00A61AA1"/>
    <w:rPr>
      <w:rFonts w:ascii="Calibri Light" w:eastAsia="DengXian Light" w:hAnsi="Calibri Light" w:cs="Times New Roman"/>
      <w:caps/>
      <w:color w:val="2F5496"/>
      <w:sz w:val="22"/>
      <w:szCs w:val="22"/>
      <w:lang w:val="fr-FR"/>
    </w:rPr>
  </w:style>
  <w:style w:type="character" w:customStyle="1" w:styleId="Titre6Car">
    <w:name w:val="Titre 6 Car"/>
    <w:link w:val="Titre6"/>
    <w:uiPriority w:val="9"/>
    <w:rsid w:val="00A61AA1"/>
    <w:rPr>
      <w:rFonts w:ascii="Calibri Light" w:eastAsia="DengXian Light" w:hAnsi="Calibri Light" w:cs="Times New Roman"/>
      <w:i/>
      <w:iCs/>
      <w:caps/>
      <w:color w:val="1F3864"/>
      <w:sz w:val="22"/>
      <w:szCs w:val="22"/>
      <w:lang w:val="fr-FR"/>
    </w:rPr>
  </w:style>
  <w:style w:type="character" w:customStyle="1" w:styleId="Titre7Car">
    <w:name w:val="Titre 7 Car"/>
    <w:link w:val="Titre7"/>
    <w:uiPriority w:val="9"/>
    <w:rsid w:val="00A61AA1"/>
    <w:rPr>
      <w:rFonts w:ascii="Calibri Light" w:eastAsia="DengXian Light" w:hAnsi="Calibri Light" w:cs="Times New Roman"/>
      <w:b/>
      <w:bCs/>
      <w:color w:val="1F3864"/>
      <w:sz w:val="22"/>
      <w:szCs w:val="22"/>
      <w:lang w:val="fr-FR"/>
    </w:rPr>
  </w:style>
  <w:style w:type="character" w:customStyle="1" w:styleId="Titre8Car">
    <w:name w:val="Titre 8 Car"/>
    <w:link w:val="Titre8"/>
    <w:uiPriority w:val="9"/>
    <w:rsid w:val="00A61AA1"/>
    <w:rPr>
      <w:rFonts w:ascii="Calibri Light" w:eastAsia="DengXian Light" w:hAnsi="Calibri Light" w:cs="Times New Roman"/>
      <w:b/>
      <w:bCs/>
      <w:i/>
      <w:iCs/>
      <w:color w:val="1F3864"/>
      <w:sz w:val="22"/>
      <w:szCs w:val="22"/>
      <w:lang w:val="fr-FR"/>
    </w:rPr>
  </w:style>
  <w:style w:type="character" w:customStyle="1" w:styleId="Titre9Car">
    <w:name w:val="Titre 9 Car"/>
    <w:link w:val="Titre9"/>
    <w:uiPriority w:val="9"/>
    <w:rsid w:val="00A61AA1"/>
    <w:rPr>
      <w:rFonts w:ascii="Calibri Light" w:eastAsia="DengXian Light" w:hAnsi="Calibri Light" w:cs="Times New Roman"/>
      <w:i/>
      <w:iCs/>
      <w:color w:val="1F3864"/>
      <w:sz w:val="22"/>
      <w:szCs w:val="22"/>
      <w:lang w:val="fr-FR"/>
    </w:rPr>
  </w:style>
  <w:style w:type="paragraph" w:styleId="Corpsdetexte">
    <w:name w:val="Body Text"/>
    <w:aliases w:val="Heading 2 + EYInterstate Light,Gray-80%,Before:  6 pt,After:  6 pt,Line s... Char Char"/>
    <w:basedOn w:val="Normal"/>
    <w:link w:val="CorpsdetexteCar"/>
    <w:rsid w:val="00A503D0"/>
    <w:pPr>
      <w:spacing w:before="130" w:after="130"/>
    </w:pPr>
  </w:style>
  <w:style w:type="character" w:customStyle="1" w:styleId="CorpsdetexteCar">
    <w:name w:val="Corps de texte Car"/>
    <w:aliases w:val="Heading 2 + EYInterstate Light Car,Gray-80% Car,Before:  6 pt Car,After:  6 pt Car,Line s... Char Char Car"/>
    <w:link w:val="Corpsdetexte"/>
    <w:rsid w:val="00A503D0"/>
    <w:rPr>
      <w:rFonts w:ascii="EYInterstate Light" w:eastAsia="Times New Roman" w:hAnsi="EYInterstate Light" w:cs="Times New Roman"/>
      <w:color w:val="333333"/>
      <w:sz w:val="18"/>
      <w:szCs w:val="20"/>
      <w:lang w:val="fr-FR"/>
    </w:rPr>
  </w:style>
  <w:style w:type="paragraph" w:styleId="TM4">
    <w:name w:val="toc 4"/>
    <w:basedOn w:val="TM3"/>
    <w:autoRedefine/>
    <w:uiPriority w:val="39"/>
    <w:rsid w:val="00A503D0"/>
  </w:style>
  <w:style w:type="paragraph" w:styleId="TM3">
    <w:name w:val="toc 3"/>
    <w:basedOn w:val="TM2"/>
    <w:autoRedefine/>
    <w:uiPriority w:val="39"/>
    <w:rsid w:val="00A503D0"/>
    <w:pPr>
      <w:tabs>
        <w:tab w:val="left" w:pos="1418"/>
      </w:tabs>
      <w:ind w:left="1418" w:hanging="1418"/>
    </w:pPr>
  </w:style>
  <w:style w:type="paragraph" w:styleId="TM2">
    <w:name w:val="toc 2"/>
    <w:basedOn w:val="TM1"/>
    <w:autoRedefine/>
    <w:uiPriority w:val="39"/>
    <w:rsid w:val="00DE119E"/>
    <w:pPr>
      <w:spacing w:line="259" w:lineRule="auto"/>
      <w:ind w:left="851" w:right="-28" w:hanging="851"/>
    </w:pPr>
    <w:rPr>
      <w:bCs/>
      <w:color w:val="auto"/>
      <w:sz w:val="20"/>
    </w:rPr>
  </w:style>
  <w:style w:type="paragraph" w:styleId="TM1">
    <w:name w:val="toc 1"/>
    <w:basedOn w:val="Normal"/>
    <w:autoRedefine/>
    <w:uiPriority w:val="39"/>
    <w:rsid w:val="007F5C6A"/>
    <w:pPr>
      <w:tabs>
        <w:tab w:val="right" w:pos="9781"/>
      </w:tabs>
      <w:spacing w:after="0" w:line="22" w:lineRule="atLeast"/>
      <w:ind w:left="850" w:right="-30" w:hanging="850"/>
    </w:pPr>
    <w:rPr>
      <w:rFonts w:asciiTheme="majorHAnsi" w:hAnsiTheme="majorHAnsi" w:cstheme="minorHAnsi"/>
      <w:noProof/>
      <w:color w:val="000E9A"/>
      <w:szCs w:val="20"/>
    </w:rPr>
  </w:style>
  <w:style w:type="paragraph" w:styleId="Pieddepage">
    <w:name w:val="footer"/>
    <w:basedOn w:val="Normal"/>
    <w:link w:val="PieddepageCar"/>
    <w:uiPriority w:val="99"/>
    <w:rsid w:val="00A503D0"/>
    <w:pPr>
      <w:tabs>
        <w:tab w:val="right" w:pos="8222"/>
      </w:tabs>
    </w:pPr>
  </w:style>
  <w:style w:type="character" w:customStyle="1" w:styleId="PieddepageCar">
    <w:name w:val="Pied de page Car"/>
    <w:link w:val="Pieddepage"/>
    <w:uiPriority w:val="99"/>
    <w:rsid w:val="00A503D0"/>
    <w:rPr>
      <w:rFonts w:ascii="EYInterstate Light" w:eastAsia="Times New Roman" w:hAnsi="EYInterstate Light" w:cs="Times New Roman"/>
      <w:color w:val="333333"/>
      <w:sz w:val="18"/>
      <w:szCs w:val="20"/>
      <w:lang w:val="fr-FR"/>
    </w:rPr>
  </w:style>
  <w:style w:type="paragraph" w:styleId="En-tte">
    <w:name w:val="header"/>
    <w:basedOn w:val="Normal"/>
    <w:link w:val="En-tteCar"/>
    <w:uiPriority w:val="99"/>
    <w:rsid w:val="00A503D0"/>
    <w:pPr>
      <w:spacing w:line="220" w:lineRule="atLeast"/>
      <w:jc w:val="right"/>
    </w:pPr>
    <w:rPr>
      <w:i/>
    </w:rPr>
  </w:style>
  <w:style w:type="character" w:customStyle="1" w:styleId="En-tteCar">
    <w:name w:val="En-tête Car"/>
    <w:link w:val="En-tte"/>
    <w:uiPriority w:val="99"/>
    <w:rsid w:val="00A503D0"/>
    <w:rPr>
      <w:rFonts w:ascii="EYInterstate Light" w:eastAsia="Times New Roman" w:hAnsi="EYInterstate Light" w:cs="Times New Roman"/>
      <w:i/>
      <w:color w:val="333333"/>
      <w:sz w:val="18"/>
      <w:szCs w:val="20"/>
      <w:lang w:val="fr-FR"/>
    </w:rPr>
  </w:style>
  <w:style w:type="paragraph" w:styleId="Listepuces">
    <w:name w:val="List Bullet"/>
    <w:basedOn w:val="Corpsdetexte"/>
    <w:autoRedefine/>
    <w:rsid w:val="00A503D0"/>
    <w:rPr>
      <w:sz w:val="20"/>
    </w:rPr>
  </w:style>
  <w:style w:type="paragraph" w:styleId="Listepuces2">
    <w:name w:val="List Bullet 2"/>
    <w:basedOn w:val="Listepuces"/>
    <w:autoRedefine/>
    <w:rsid w:val="00A503D0"/>
    <w:pPr>
      <w:tabs>
        <w:tab w:val="num" w:pos="680"/>
      </w:tabs>
      <w:ind w:left="680" w:hanging="340"/>
    </w:pPr>
  </w:style>
  <w:style w:type="paragraph" w:customStyle="1" w:styleId="zreportname">
    <w:name w:val="zreport name"/>
    <w:basedOn w:val="Normal"/>
    <w:semiHidden/>
    <w:rsid w:val="00A503D0"/>
    <w:pPr>
      <w:keepLines/>
      <w:spacing w:line="440" w:lineRule="exact"/>
      <w:jc w:val="center"/>
    </w:pPr>
    <w:rPr>
      <w:sz w:val="36"/>
    </w:rPr>
  </w:style>
  <w:style w:type="paragraph" w:customStyle="1" w:styleId="zcontents">
    <w:name w:val="zcontents"/>
    <w:basedOn w:val="Normal"/>
    <w:semiHidden/>
    <w:rsid w:val="00A503D0"/>
    <w:pPr>
      <w:spacing w:after="260"/>
    </w:pPr>
    <w:rPr>
      <w:b/>
      <w:sz w:val="32"/>
    </w:rPr>
  </w:style>
  <w:style w:type="paragraph" w:customStyle="1" w:styleId="zcompanyname">
    <w:name w:val="zcompany name"/>
    <w:basedOn w:val="Normal"/>
    <w:semiHidden/>
    <w:rsid w:val="00A503D0"/>
    <w:pPr>
      <w:spacing w:after="400" w:line="440" w:lineRule="exact"/>
      <w:jc w:val="center"/>
    </w:pPr>
    <w:rPr>
      <w:b/>
      <w:sz w:val="26"/>
    </w:rPr>
  </w:style>
  <w:style w:type="paragraph" w:styleId="Notedebasdepage">
    <w:name w:val="footnote text"/>
    <w:aliases w:val="fn,footnote text1"/>
    <w:basedOn w:val="Normal"/>
    <w:link w:val="NotedebasdepageCar"/>
    <w:uiPriority w:val="99"/>
    <w:rsid w:val="00A503D0"/>
  </w:style>
  <w:style w:type="character" w:customStyle="1" w:styleId="NotedebasdepageCar">
    <w:name w:val="Note de bas de page Car"/>
    <w:aliases w:val="fn Car,footnote text1 Car"/>
    <w:link w:val="Notedebasdepage"/>
    <w:uiPriority w:val="99"/>
    <w:rsid w:val="00A503D0"/>
    <w:rPr>
      <w:rFonts w:ascii="EYInterstate Light" w:eastAsia="Times New Roman" w:hAnsi="EYInterstate Light" w:cs="Times New Roman"/>
      <w:color w:val="333333"/>
      <w:sz w:val="18"/>
      <w:szCs w:val="20"/>
      <w:lang w:val="fr-FR"/>
    </w:rPr>
  </w:style>
  <w:style w:type="paragraph" w:customStyle="1" w:styleId="zreportsubtitle">
    <w:name w:val="zreport subtitle"/>
    <w:basedOn w:val="zreportname"/>
    <w:semiHidden/>
    <w:rsid w:val="00A503D0"/>
    <w:rPr>
      <w:sz w:val="32"/>
    </w:rPr>
  </w:style>
  <w:style w:type="paragraph" w:customStyle="1" w:styleId="BodyTextIndent1">
    <w:name w:val="Body Text Indent1"/>
    <w:basedOn w:val="Corpsdetexte"/>
    <w:rsid w:val="00A503D0"/>
    <w:pPr>
      <w:ind w:left="340"/>
    </w:pPr>
  </w:style>
  <w:style w:type="paragraph" w:styleId="Index1">
    <w:name w:val="index 1"/>
    <w:basedOn w:val="Normal"/>
    <w:next w:val="Normal"/>
    <w:autoRedefine/>
    <w:semiHidden/>
    <w:rsid w:val="00A503D0"/>
    <w:pPr>
      <w:keepNext/>
      <w:spacing w:before="260" w:line="280" w:lineRule="exact"/>
      <w:ind w:right="851"/>
    </w:pPr>
    <w:rPr>
      <w:b/>
      <w:sz w:val="24"/>
    </w:rPr>
  </w:style>
  <w:style w:type="paragraph" w:customStyle="1" w:styleId="Graphic">
    <w:name w:val="Graphic"/>
    <w:basedOn w:val="Signature"/>
    <w:rsid w:val="00A503D0"/>
    <w:pPr>
      <w:pBdr>
        <w:top w:val="single" w:sz="4" w:space="1" w:color="auto"/>
        <w:left w:val="single" w:sz="4" w:space="1" w:color="auto"/>
        <w:bottom w:val="single" w:sz="4" w:space="1" w:color="auto"/>
        <w:right w:val="single" w:sz="4" w:space="1" w:color="auto"/>
      </w:pBdr>
      <w:jc w:val="center"/>
    </w:pPr>
  </w:style>
  <w:style w:type="paragraph" w:styleId="Signature">
    <w:name w:val="Signature"/>
    <w:basedOn w:val="Normal"/>
    <w:link w:val="SignatureCar"/>
    <w:rsid w:val="00A503D0"/>
  </w:style>
  <w:style w:type="character" w:customStyle="1" w:styleId="SignatureCar">
    <w:name w:val="Signature Car"/>
    <w:link w:val="Signature"/>
    <w:rsid w:val="00A503D0"/>
    <w:rPr>
      <w:rFonts w:ascii="EYInterstate Light" w:eastAsia="Times New Roman" w:hAnsi="EYInterstate Light" w:cs="Times New Roman"/>
      <w:color w:val="333333"/>
      <w:sz w:val="18"/>
      <w:szCs w:val="20"/>
      <w:lang w:val="fr-FR"/>
    </w:rPr>
  </w:style>
  <w:style w:type="character" w:styleId="Numrodepage">
    <w:name w:val="page number"/>
    <w:rsid w:val="00A503D0"/>
    <w:rPr>
      <w:rFonts w:cs="Times New Roman"/>
      <w:sz w:val="22"/>
    </w:rPr>
  </w:style>
  <w:style w:type="paragraph" w:styleId="Index2">
    <w:name w:val="index 2"/>
    <w:basedOn w:val="Normal"/>
    <w:next w:val="Normal"/>
    <w:autoRedefine/>
    <w:semiHidden/>
    <w:rsid w:val="00A503D0"/>
    <w:pPr>
      <w:ind w:left="340" w:right="851"/>
    </w:pPr>
  </w:style>
  <w:style w:type="paragraph" w:customStyle="1" w:styleId="zreportaddinfo">
    <w:name w:val="zreport addinfo"/>
    <w:basedOn w:val="Normal"/>
    <w:semiHidden/>
    <w:rsid w:val="00A503D0"/>
    <w:pPr>
      <w:framePr w:wrap="auto" w:hAnchor="margin" w:xAlign="center" w:yAlign="bottom"/>
      <w:spacing w:line="240" w:lineRule="exact"/>
      <w:jc w:val="center"/>
    </w:pPr>
    <w:rPr>
      <w:sz w:val="20"/>
    </w:rPr>
  </w:style>
  <w:style w:type="paragraph" w:customStyle="1" w:styleId="zKISOffAddress">
    <w:name w:val="zKISOffAddress"/>
    <w:basedOn w:val="Normal"/>
    <w:rsid w:val="00A503D0"/>
    <w:pPr>
      <w:framePr w:hSpace="215" w:wrap="auto" w:vAnchor="page" w:hAnchor="page" w:x="4282" w:y="1294"/>
      <w:spacing w:line="190" w:lineRule="exact"/>
    </w:pPr>
    <w:rPr>
      <w:rFonts w:ascii="Univers 45 Light" w:hAnsi="Univers 45 Light"/>
      <w:sz w:val="15"/>
    </w:rPr>
  </w:style>
  <w:style w:type="paragraph" w:customStyle="1" w:styleId="AppendixHeading">
    <w:name w:val="Appendix Heading"/>
    <w:basedOn w:val="Titre1"/>
    <w:next w:val="Corpsdetexte"/>
    <w:rsid w:val="00A503D0"/>
    <w:pPr>
      <w:tabs>
        <w:tab w:val="num" w:pos="0"/>
      </w:tabs>
      <w:ind w:hanging="964"/>
      <w:outlineLvl w:val="9"/>
    </w:pPr>
  </w:style>
  <w:style w:type="paragraph" w:styleId="Listepuces3">
    <w:name w:val="List Bullet 3"/>
    <w:basedOn w:val="Listepuces"/>
    <w:autoRedefine/>
    <w:rsid w:val="00A503D0"/>
    <w:pPr>
      <w:tabs>
        <w:tab w:val="num" w:pos="340"/>
      </w:tabs>
      <w:ind w:left="340" w:hanging="340"/>
    </w:pPr>
  </w:style>
  <w:style w:type="paragraph" w:customStyle="1" w:styleId="AppendixHeading2">
    <w:name w:val="Appendix Heading 2"/>
    <w:basedOn w:val="Titre2"/>
    <w:next w:val="Corpsdetexte"/>
    <w:rsid w:val="00A503D0"/>
    <w:pPr>
      <w:tabs>
        <w:tab w:val="num" w:pos="0"/>
      </w:tabs>
      <w:ind w:hanging="964"/>
      <w:outlineLvl w:val="9"/>
    </w:pPr>
  </w:style>
  <w:style w:type="paragraph" w:customStyle="1" w:styleId="AppendixHeading3">
    <w:name w:val="Appendix Heading 3"/>
    <w:basedOn w:val="Titre3"/>
    <w:next w:val="Corpsdetexte"/>
    <w:rsid w:val="00A503D0"/>
    <w:pPr>
      <w:tabs>
        <w:tab w:val="num" w:pos="0"/>
      </w:tabs>
      <w:ind w:hanging="964"/>
      <w:outlineLvl w:val="9"/>
    </w:pPr>
  </w:style>
  <w:style w:type="paragraph" w:customStyle="1" w:styleId="AppendixHeading4">
    <w:name w:val="Appendix Heading 4"/>
    <w:basedOn w:val="Titre4"/>
    <w:next w:val="Corpsdetexte"/>
    <w:rsid w:val="00A503D0"/>
    <w:pPr>
      <w:tabs>
        <w:tab w:val="num" w:pos="0"/>
      </w:tabs>
      <w:ind w:hanging="964"/>
      <w:outlineLvl w:val="9"/>
    </w:pPr>
  </w:style>
  <w:style w:type="paragraph" w:customStyle="1" w:styleId="AppendixHeading5">
    <w:name w:val="Appendix Heading 5"/>
    <w:basedOn w:val="Titre5"/>
    <w:next w:val="Corpsdetexte"/>
    <w:rsid w:val="00A503D0"/>
    <w:pPr>
      <w:outlineLvl w:val="9"/>
    </w:pPr>
  </w:style>
  <w:style w:type="paragraph" w:styleId="Corpsdetexte3">
    <w:name w:val="Body Text 3"/>
    <w:aliases w:val="Body text 3"/>
    <w:basedOn w:val="Normal"/>
    <w:link w:val="Corpsdetexte3Car"/>
    <w:rsid w:val="00A503D0"/>
    <w:pPr>
      <w:ind w:left="142" w:hanging="142"/>
    </w:pPr>
    <w:rPr>
      <w:szCs w:val="16"/>
    </w:rPr>
  </w:style>
  <w:style w:type="character" w:customStyle="1" w:styleId="Corpsdetexte3Car">
    <w:name w:val="Corps de texte 3 Car"/>
    <w:aliases w:val="Body text 3 Car"/>
    <w:link w:val="Corpsdetexte3"/>
    <w:rsid w:val="00A503D0"/>
    <w:rPr>
      <w:rFonts w:ascii="EYInterstate Light" w:eastAsia="Times New Roman" w:hAnsi="EYInterstate Light" w:cs="Times New Roman"/>
      <w:color w:val="333333"/>
      <w:sz w:val="18"/>
      <w:szCs w:val="16"/>
      <w:lang w:val="fr-FR"/>
    </w:rPr>
  </w:style>
  <w:style w:type="paragraph" w:styleId="Lgende">
    <w:name w:val="caption"/>
    <w:basedOn w:val="Normal"/>
    <w:next w:val="Normal"/>
    <w:uiPriority w:val="35"/>
    <w:unhideWhenUsed/>
    <w:qFormat/>
    <w:rsid w:val="002F12A7"/>
    <w:pPr>
      <w:spacing w:line="240" w:lineRule="auto"/>
    </w:pPr>
    <w:rPr>
      <w:b/>
      <w:bCs/>
      <w:smallCaps/>
      <w:color w:val="44546A"/>
    </w:rPr>
  </w:style>
  <w:style w:type="paragraph" w:styleId="Listepuces4">
    <w:name w:val="List Bullet 4"/>
    <w:basedOn w:val="Listepuces2"/>
    <w:autoRedefine/>
    <w:uiPriority w:val="99"/>
    <w:rsid w:val="00A503D0"/>
  </w:style>
  <w:style w:type="paragraph" w:customStyle="1" w:styleId="zDocRevwH2">
    <w:name w:val="zDocRevwH2"/>
    <w:basedOn w:val="Normal"/>
    <w:semiHidden/>
    <w:rsid w:val="00A503D0"/>
    <w:pPr>
      <w:spacing w:before="130" w:after="130"/>
    </w:pPr>
    <w:rPr>
      <w:b/>
      <w:sz w:val="28"/>
    </w:rPr>
  </w:style>
  <w:style w:type="paragraph" w:customStyle="1" w:styleId="zDocRevwH1">
    <w:name w:val="zDocRevwH1"/>
    <w:basedOn w:val="Normal"/>
    <w:semiHidden/>
    <w:rsid w:val="00A503D0"/>
    <w:pPr>
      <w:spacing w:before="130" w:after="130"/>
    </w:pPr>
    <w:rPr>
      <w:b/>
      <w:sz w:val="32"/>
    </w:rPr>
  </w:style>
  <w:style w:type="paragraph" w:customStyle="1" w:styleId="BalloonText1">
    <w:name w:val="Balloon Text1"/>
    <w:basedOn w:val="Normal"/>
    <w:semiHidden/>
    <w:rsid w:val="00A503D0"/>
    <w:rPr>
      <w:rFonts w:ascii="Tahoma" w:hAnsi="Tahoma" w:cs="Tahoma"/>
      <w:sz w:val="16"/>
      <w:szCs w:val="16"/>
    </w:rPr>
  </w:style>
  <w:style w:type="table" w:styleId="Grilledutableau">
    <w:name w:val="Table Grid"/>
    <w:basedOn w:val="TableauNormal"/>
    <w:uiPriority w:val="39"/>
    <w:rsid w:val="00A503D0"/>
    <w:rPr>
      <w:rFonts w:ascii="Tms Rmn" w:eastAsia="Times New Roman" w:hAnsi="Tms Rmn" w:cs="Times New Roman"/>
      <w:lang w:eastAsia="fr-F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ppelnotedebasdep">
    <w:name w:val="footnote reference"/>
    <w:rsid w:val="00A503D0"/>
    <w:rPr>
      <w:rFonts w:cs="Times New Roman"/>
      <w:vertAlign w:val="superscript"/>
    </w:rPr>
  </w:style>
  <w:style w:type="paragraph" w:styleId="Textedebulles">
    <w:name w:val="Balloon Text"/>
    <w:basedOn w:val="Normal"/>
    <w:link w:val="TextedebullesCar"/>
    <w:semiHidden/>
    <w:rsid w:val="00A503D0"/>
    <w:rPr>
      <w:rFonts w:ascii="Tahoma" w:hAnsi="Tahoma" w:cs="Tahoma"/>
      <w:sz w:val="16"/>
      <w:szCs w:val="16"/>
    </w:rPr>
  </w:style>
  <w:style w:type="character" w:customStyle="1" w:styleId="TextedebullesCar">
    <w:name w:val="Texte de bulles Car"/>
    <w:link w:val="Textedebulles"/>
    <w:semiHidden/>
    <w:rsid w:val="00A503D0"/>
    <w:rPr>
      <w:rFonts w:ascii="Tahoma" w:eastAsia="Times New Roman" w:hAnsi="Tahoma" w:cs="Tahoma"/>
      <w:color w:val="333333"/>
      <w:sz w:val="16"/>
      <w:szCs w:val="16"/>
      <w:lang w:val="fr-FR"/>
    </w:rPr>
  </w:style>
  <w:style w:type="character" w:customStyle="1" w:styleId="txt">
    <w:name w:val="txt"/>
    <w:rsid w:val="00A503D0"/>
    <w:rPr>
      <w:rFonts w:cs="Times New Roman"/>
    </w:rPr>
  </w:style>
  <w:style w:type="paragraph" w:customStyle="1" w:styleId="StyleBodyText">
    <w:name w:val="Style Body Text"/>
    <w:aliases w:val="Body Text 3 + EYInterstate Light 10 pt Gray-80%"/>
    <w:basedOn w:val="Corpsdetexte"/>
    <w:rsid w:val="00A503D0"/>
  </w:style>
  <w:style w:type="character" w:styleId="Lienhypertexte">
    <w:name w:val="Hyperlink"/>
    <w:uiPriority w:val="99"/>
    <w:rsid w:val="00A503D0"/>
    <w:rPr>
      <w:rFonts w:cs="Times New Roman"/>
      <w:color w:val="0000FF"/>
      <w:u w:val="single"/>
    </w:rPr>
  </w:style>
  <w:style w:type="character" w:styleId="Marquedecommentaire">
    <w:name w:val="annotation reference"/>
    <w:aliases w:val="Notes de tableau"/>
    <w:uiPriority w:val="99"/>
    <w:rsid w:val="00A503D0"/>
    <w:rPr>
      <w:rFonts w:cs="Times New Roman"/>
      <w:sz w:val="16"/>
      <w:szCs w:val="16"/>
    </w:rPr>
  </w:style>
  <w:style w:type="paragraph" w:styleId="Commentaire">
    <w:name w:val="annotation text"/>
    <w:basedOn w:val="Normal"/>
    <w:link w:val="CommentaireCar"/>
    <w:uiPriority w:val="99"/>
    <w:rsid w:val="00A503D0"/>
    <w:rPr>
      <w:sz w:val="20"/>
    </w:rPr>
  </w:style>
  <w:style w:type="character" w:customStyle="1" w:styleId="CommentaireCar">
    <w:name w:val="Commentaire Car"/>
    <w:link w:val="Commentaire"/>
    <w:uiPriority w:val="99"/>
    <w:rsid w:val="00A503D0"/>
    <w:rPr>
      <w:rFonts w:ascii="EYInterstate Light" w:eastAsia="Times New Roman" w:hAnsi="EYInterstate Light" w:cs="Times New Roman"/>
      <w:color w:val="333333"/>
      <w:sz w:val="20"/>
      <w:szCs w:val="20"/>
      <w:lang w:val="fr-FR"/>
    </w:rPr>
  </w:style>
  <w:style w:type="paragraph" w:styleId="Objetducommentaire">
    <w:name w:val="annotation subject"/>
    <w:basedOn w:val="Commentaire"/>
    <w:next w:val="Commentaire"/>
    <w:link w:val="ObjetducommentaireCar"/>
    <w:semiHidden/>
    <w:rsid w:val="00A503D0"/>
    <w:rPr>
      <w:b/>
      <w:bCs/>
    </w:rPr>
  </w:style>
  <w:style w:type="character" w:customStyle="1" w:styleId="ObjetducommentaireCar">
    <w:name w:val="Objet du commentaire Car"/>
    <w:link w:val="Objetducommentaire"/>
    <w:semiHidden/>
    <w:rsid w:val="00A503D0"/>
    <w:rPr>
      <w:rFonts w:ascii="EYInterstate Light" w:eastAsia="Times New Roman" w:hAnsi="EYInterstate Light" w:cs="Times New Roman"/>
      <w:b/>
      <w:bCs/>
      <w:color w:val="333333"/>
      <w:sz w:val="20"/>
      <w:szCs w:val="20"/>
      <w:lang w:val="fr-FR"/>
    </w:rPr>
  </w:style>
  <w:style w:type="paragraph" w:styleId="Explorateurdedocuments">
    <w:name w:val="Document Map"/>
    <w:basedOn w:val="Normal"/>
    <w:link w:val="ExplorateurdedocumentsCar"/>
    <w:semiHidden/>
    <w:rsid w:val="00A503D0"/>
    <w:pPr>
      <w:shd w:val="clear" w:color="auto" w:fill="000080"/>
    </w:pPr>
    <w:rPr>
      <w:rFonts w:ascii="Tahoma" w:hAnsi="Tahoma" w:cs="Tahoma"/>
      <w:sz w:val="20"/>
    </w:rPr>
  </w:style>
  <w:style w:type="character" w:customStyle="1" w:styleId="ExplorateurdedocumentsCar">
    <w:name w:val="Explorateur de documents Car"/>
    <w:link w:val="Explorateurdedocuments"/>
    <w:semiHidden/>
    <w:rsid w:val="00A503D0"/>
    <w:rPr>
      <w:rFonts w:ascii="Tahoma" w:eastAsia="Times New Roman" w:hAnsi="Tahoma" w:cs="Tahoma"/>
      <w:color w:val="333333"/>
      <w:sz w:val="20"/>
      <w:szCs w:val="20"/>
      <w:shd w:val="clear" w:color="auto" w:fill="000080"/>
      <w:lang w:val="fr-FR"/>
    </w:rPr>
  </w:style>
  <w:style w:type="character" w:customStyle="1" w:styleId="NormalFreyChar">
    <w:name w:val="Normal Frey Char"/>
    <w:link w:val="NormalFrey"/>
    <w:rsid w:val="00A503D0"/>
    <w:rPr>
      <w:rFonts w:ascii="EYInterstate" w:hAnsi="EYInterstate"/>
      <w:noProof/>
      <w:spacing w:val="-2"/>
    </w:rPr>
  </w:style>
  <w:style w:type="paragraph" w:customStyle="1" w:styleId="NormalFrey">
    <w:name w:val="Normal Frey"/>
    <w:basedOn w:val="Normal"/>
    <w:link w:val="NormalFreyChar"/>
    <w:autoRedefine/>
    <w:rsid w:val="00A503D0"/>
    <w:pPr>
      <w:spacing w:after="120"/>
    </w:pPr>
    <w:rPr>
      <w:rFonts w:ascii="EYInterstate" w:eastAsia="Calibri" w:hAnsi="EYInterstate"/>
      <w:spacing w:val="-2"/>
    </w:rPr>
  </w:style>
  <w:style w:type="paragraph" w:customStyle="1" w:styleId="StyleListFreyGray-80">
    <w:name w:val="Style List Frey + Gray-80%"/>
    <w:basedOn w:val="Normal"/>
    <w:rsid w:val="00A503D0"/>
    <w:pPr>
      <w:tabs>
        <w:tab w:val="num" w:pos="284"/>
      </w:tabs>
      <w:ind w:left="284"/>
    </w:pPr>
  </w:style>
  <w:style w:type="paragraph" w:customStyle="1" w:styleId="StyleStyleHeading2EYInterstateLightGray-80Before6ptA">
    <w:name w:val="Style Style Heading 2 + EYInterstate Light Gray-80% Before:  6 pt A..."/>
    <w:basedOn w:val="Normal"/>
    <w:rsid w:val="00A503D0"/>
    <w:pPr>
      <w:keepNext/>
      <w:tabs>
        <w:tab w:val="num" w:pos="964"/>
      </w:tabs>
      <w:spacing w:before="120" w:after="120"/>
      <w:ind w:left="964" w:hanging="964"/>
      <w:outlineLvl w:val="1"/>
    </w:pPr>
    <w:rPr>
      <w:b/>
      <w:bCs/>
      <w:sz w:val="28"/>
    </w:rPr>
  </w:style>
  <w:style w:type="character" w:customStyle="1" w:styleId="CharChar3">
    <w:name w:val="Char Char3"/>
    <w:rsid w:val="00A503D0"/>
    <w:rPr>
      <w:rFonts w:cs="Times New Roman"/>
      <w:b/>
      <w:sz w:val="28"/>
      <w:lang w:val="fr-FR" w:eastAsia="en-US" w:bidi="ar-SA"/>
    </w:rPr>
  </w:style>
  <w:style w:type="paragraph" w:customStyle="1" w:styleId="ListFrey">
    <w:name w:val="List Frey"/>
    <w:basedOn w:val="Normal"/>
    <w:rsid w:val="00A503D0"/>
    <w:pPr>
      <w:tabs>
        <w:tab w:val="num" w:pos="0"/>
      </w:tabs>
      <w:ind w:hanging="964"/>
    </w:pPr>
    <w:rPr>
      <w:color w:val="5F5F5F"/>
    </w:rPr>
  </w:style>
  <w:style w:type="paragraph" w:customStyle="1" w:styleId="StyleHeading3EYInterstateLightGray-80Before6ptAfte">
    <w:name w:val="Style Heading 3 + EYInterstate Light Gray-80% Before:  6 pt Afte..."/>
    <w:basedOn w:val="Titre3"/>
    <w:rsid w:val="00A503D0"/>
    <w:pPr>
      <w:tabs>
        <w:tab w:val="num" w:pos="680"/>
      </w:tabs>
      <w:spacing w:before="120" w:after="120"/>
      <w:ind w:left="680" w:hanging="340"/>
    </w:pPr>
    <w:rPr>
      <w:rFonts w:ascii="EYInterstate Light" w:hAnsi="EYInterstate Light"/>
      <w:bCs/>
      <w:color w:val="5F5F5F"/>
    </w:rPr>
  </w:style>
  <w:style w:type="paragraph" w:customStyle="1" w:styleId="StyleHeading1EYInterstateLightGray-80Before6ptAfte">
    <w:name w:val="Style Heading 1 + EYInterstate Light Gray-80% Before:  6 pt Afte..."/>
    <w:basedOn w:val="Titre1"/>
    <w:autoRedefine/>
    <w:rsid w:val="00A503D0"/>
    <w:pPr>
      <w:pBdr>
        <w:bottom w:val="single" w:sz="4" w:space="1" w:color="auto"/>
      </w:pBdr>
      <w:tabs>
        <w:tab w:val="num" w:pos="964"/>
      </w:tabs>
      <w:spacing w:before="120" w:after="120"/>
      <w:ind w:left="964" w:hanging="964"/>
    </w:pPr>
    <w:rPr>
      <w:bCs/>
      <w:color w:val="5F5F5F"/>
    </w:rPr>
  </w:style>
  <w:style w:type="paragraph" w:customStyle="1" w:styleId="StyleHeading3EYInterstateLightGray-80Justified">
    <w:name w:val="Style Heading 3 + EYInterstate Light Gray-80% Justified"/>
    <w:basedOn w:val="Titre3"/>
    <w:rsid w:val="00A503D0"/>
    <w:pPr>
      <w:spacing w:after="120"/>
    </w:pPr>
    <w:rPr>
      <w:rFonts w:ascii="EYInterstate Light" w:hAnsi="EYInterstate Light"/>
      <w:bCs/>
    </w:rPr>
  </w:style>
  <w:style w:type="paragraph" w:customStyle="1" w:styleId="ListParagraph1">
    <w:name w:val="List Paragraph1"/>
    <w:basedOn w:val="Normal"/>
    <w:rsid w:val="00A503D0"/>
    <w:pPr>
      <w:ind w:left="720"/>
    </w:pPr>
  </w:style>
  <w:style w:type="paragraph" w:customStyle="1" w:styleId="Default">
    <w:name w:val="Default"/>
    <w:rsid w:val="002F12A7"/>
    <w:pPr>
      <w:autoSpaceDE w:val="0"/>
      <w:autoSpaceDN w:val="0"/>
      <w:adjustRightInd w:val="0"/>
    </w:pPr>
    <w:rPr>
      <w:rFonts w:ascii="Tahoma" w:eastAsia="Times New Roman" w:hAnsi="Tahoma" w:cs="Tahoma"/>
      <w:color w:val="000000"/>
      <w:sz w:val="24"/>
      <w:szCs w:val="24"/>
      <w:lang w:val="fr-FR"/>
    </w:rPr>
  </w:style>
  <w:style w:type="paragraph" w:customStyle="1" w:styleId="CarCar1CarCar">
    <w:name w:val="Car Car1 Car Car"/>
    <w:basedOn w:val="Normal"/>
    <w:rsid w:val="00A503D0"/>
    <w:pPr>
      <w:widowControl w:val="0"/>
      <w:overflowPunct w:val="0"/>
      <w:autoSpaceDE w:val="0"/>
      <w:autoSpaceDN w:val="0"/>
      <w:adjustRightInd w:val="0"/>
      <w:spacing w:line="240" w:lineRule="exact"/>
      <w:textAlignment w:val="baseline"/>
    </w:pPr>
    <w:rPr>
      <w:rFonts w:ascii="Tahoma" w:hAnsi="Tahoma"/>
      <w:sz w:val="20"/>
    </w:rPr>
  </w:style>
  <w:style w:type="paragraph" w:customStyle="1" w:styleId="CarCar2">
    <w:name w:val="Car Car2"/>
    <w:basedOn w:val="Normal"/>
    <w:rsid w:val="00A503D0"/>
    <w:pPr>
      <w:spacing w:line="240" w:lineRule="exact"/>
    </w:pPr>
    <w:rPr>
      <w:rFonts w:ascii="Tahoma" w:hAnsi="Tahoma"/>
      <w:sz w:val="20"/>
    </w:rPr>
  </w:style>
  <w:style w:type="paragraph" w:customStyle="1" w:styleId="CarCar3">
    <w:name w:val="Car Car3"/>
    <w:basedOn w:val="Normal"/>
    <w:semiHidden/>
    <w:rsid w:val="00A503D0"/>
    <w:pPr>
      <w:spacing w:line="240" w:lineRule="exact"/>
      <w:ind w:left="539" w:firstLine="578"/>
    </w:pPr>
    <w:rPr>
      <w:rFonts w:ascii="Verdana" w:hAnsi="Verdana"/>
      <w:sz w:val="20"/>
    </w:rPr>
  </w:style>
  <w:style w:type="paragraph" w:customStyle="1" w:styleId="CarCarCarCarCar1">
    <w:name w:val="Car Car Car Car Car1"/>
    <w:basedOn w:val="Normal"/>
    <w:rsid w:val="00A503D0"/>
    <w:pPr>
      <w:widowControl w:val="0"/>
      <w:overflowPunct w:val="0"/>
      <w:autoSpaceDE w:val="0"/>
      <w:autoSpaceDN w:val="0"/>
      <w:adjustRightInd w:val="0"/>
      <w:spacing w:line="240" w:lineRule="exact"/>
      <w:textAlignment w:val="baseline"/>
    </w:pPr>
    <w:rPr>
      <w:rFonts w:ascii="Tahoma" w:hAnsi="Tahoma"/>
      <w:sz w:val="20"/>
    </w:rPr>
  </w:style>
  <w:style w:type="paragraph" w:customStyle="1" w:styleId="s1111">
    <w:name w:val="s_1111"/>
    <w:basedOn w:val="Normal"/>
    <w:rsid w:val="00A503D0"/>
    <w:pPr>
      <w:numPr>
        <w:ilvl w:val="3"/>
        <w:numId w:val="1"/>
      </w:numPr>
    </w:pPr>
    <w:rPr>
      <w:rFonts w:ascii="New York" w:hAnsi="New York"/>
      <w:b/>
      <w:color w:val="FF9900"/>
      <w:sz w:val="24"/>
      <w:szCs w:val="24"/>
      <w:lang w:eastAsia="fr-FR"/>
    </w:rPr>
  </w:style>
  <w:style w:type="paragraph" w:customStyle="1" w:styleId="S11111">
    <w:name w:val="S_11111"/>
    <w:basedOn w:val="Normal"/>
    <w:rsid w:val="00A503D0"/>
    <w:pPr>
      <w:numPr>
        <w:ilvl w:val="4"/>
        <w:numId w:val="1"/>
      </w:numPr>
    </w:pPr>
    <w:rPr>
      <w:rFonts w:ascii="Times New Roman" w:hAnsi="Times New Roman"/>
      <w:b/>
      <w:i/>
      <w:color w:val="FFCC00"/>
      <w:sz w:val="24"/>
      <w:szCs w:val="24"/>
      <w:lang w:eastAsia="fr-FR"/>
    </w:rPr>
  </w:style>
  <w:style w:type="character" w:styleId="Numrodeligne">
    <w:name w:val="line number"/>
    <w:uiPriority w:val="99"/>
    <w:semiHidden/>
    <w:unhideWhenUsed/>
    <w:rsid w:val="00A503D0"/>
  </w:style>
  <w:style w:type="paragraph" w:styleId="Paragraphedeliste">
    <w:name w:val="List Paragraph"/>
    <w:aliases w:val="ANNEXE,PBM ART"/>
    <w:basedOn w:val="Normal"/>
    <w:link w:val="ParagraphedelisteCar"/>
    <w:uiPriority w:val="34"/>
    <w:qFormat/>
    <w:rsid w:val="00A503D0"/>
    <w:pPr>
      <w:ind w:left="720"/>
      <w:contextualSpacing/>
    </w:pPr>
  </w:style>
  <w:style w:type="paragraph" w:styleId="Adressedestinataire">
    <w:name w:val="envelope address"/>
    <w:basedOn w:val="Normal"/>
    <w:uiPriority w:val="99"/>
    <w:semiHidden/>
    <w:unhideWhenUsed/>
    <w:rsid w:val="00A503D0"/>
    <w:pPr>
      <w:framePr w:w="7938" w:h="1985" w:hRule="exact" w:hSpace="141" w:wrap="auto" w:hAnchor="page" w:xAlign="center" w:yAlign="bottom"/>
      <w:ind w:left="2835"/>
    </w:pPr>
    <w:rPr>
      <w:rFonts w:ascii="Calibri Light" w:hAnsi="Calibri Light"/>
      <w:sz w:val="24"/>
      <w:szCs w:val="24"/>
    </w:rPr>
  </w:style>
  <w:style w:type="paragraph" w:styleId="Adresseexpditeur">
    <w:name w:val="envelope return"/>
    <w:basedOn w:val="Normal"/>
    <w:uiPriority w:val="99"/>
    <w:semiHidden/>
    <w:unhideWhenUsed/>
    <w:rsid w:val="00A503D0"/>
    <w:rPr>
      <w:rFonts w:ascii="Calibri Light" w:hAnsi="Calibri Light"/>
      <w:sz w:val="20"/>
    </w:rPr>
  </w:style>
  <w:style w:type="paragraph" w:styleId="AdresseHTML">
    <w:name w:val="HTML Address"/>
    <w:basedOn w:val="Normal"/>
    <w:link w:val="AdresseHTMLCar"/>
    <w:uiPriority w:val="99"/>
    <w:semiHidden/>
    <w:unhideWhenUsed/>
    <w:rsid w:val="00A503D0"/>
    <w:rPr>
      <w:i/>
      <w:iCs/>
    </w:rPr>
  </w:style>
  <w:style w:type="character" w:customStyle="1" w:styleId="AdresseHTMLCar">
    <w:name w:val="Adresse HTML Car"/>
    <w:link w:val="AdresseHTML"/>
    <w:uiPriority w:val="99"/>
    <w:semiHidden/>
    <w:rsid w:val="00A503D0"/>
    <w:rPr>
      <w:rFonts w:ascii="EYInterstate Light" w:eastAsia="Times New Roman" w:hAnsi="EYInterstate Light" w:cs="Times New Roman"/>
      <w:i/>
      <w:iCs/>
      <w:color w:val="333333"/>
      <w:sz w:val="18"/>
      <w:szCs w:val="20"/>
      <w:lang w:val="fr-FR"/>
    </w:rPr>
  </w:style>
  <w:style w:type="paragraph" w:styleId="Bibliographie">
    <w:name w:val="Bibliography"/>
    <w:basedOn w:val="Normal"/>
    <w:next w:val="Normal"/>
    <w:uiPriority w:val="37"/>
    <w:semiHidden/>
    <w:unhideWhenUsed/>
    <w:rsid w:val="00A503D0"/>
  </w:style>
  <w:style w:type="paragraph" w:styleId="Citation">
    <w:name w:val="Quote"/>
    <w:basedOn w:val="Normal"/>
    <w:next w:val="Normal"/>
    <w:link w:val="CitationCar"/>
    <w:uiPriority w:val="29"/>
    <w:qFormat/>
    <w:rsid w:val="002F12A7"/>
    <w:pPr>
      <w:spacing w:before="120" w:after="120"/>
      <w:ind w:left="720"/>
    </w:pPr>
    <w:rPr>
      <w:color w:val="44546A"/>
      <w:sz w:val="24"/>
      <w:szCs w:val="24"/>
    </w:rPr>
  </w:style>
  <w:style w:type="character" w:customStyle="1" w:styleId="CitationCar">
    <w:name w:val="Citation Car"/>
    <w:link w:val="Citation"/>
    <w:uiPriority w:val="29"/>
    <w:rsid w:val="00A61AA1"/>
    <w:rPr>
      <w:color w:val="44546A"/>
      <w:sz w:val="24"/>
      <w:szCs w:val="24"/>
      <w:lang w:val="fr-FR"/>
    </w:rPr>
  </w:style>
  <w:style w:type="paragraph" w:styleId="Citationintense">
    <w:name w:val="Intense Quote"/>
    <w:basedOn w:val="Normal"/>
    <w:next w:val="Normal"/>
    <w:link w:val="CitationintenseCar"/>
    <w:uiPriority w:val="30"/>
    <w:qFormat/>
    <w:rsid w:val="002F12A7"/>
    <w:pPr>
      <w:spacing w:before="100" w:beforeAutospacing="1" w:after="240" w:line="240" w:lineRule="auto"/>
      <w:ind w:left="720"/>
      <w:jc w:val="center"/>
    </w:pPr>
    <w:rPr>
      <w:rFonts w:ascii="Calibri Light" w:eastAsia="DengXian Light" w:hAnsi="Calibri Light" w:cs="Times New Roman"/>
      <w:color w:val="44546A"/>
      <w:spacing w:val="-6"/>
      <w:sz w:val="32"/>
      <w:szCs w:val="32"/>
    </w:rPr>
  </w:style>
  <w:style w:type="character" w:customStyle="1" w:styleId="CitationintenseCar">
    <w:name w:val="Citation intense Car"/>
    <w:link w:val="Citationintense"/>
    <w:uiPriority w:val="30"/>
    <w:rsid w:val="00A61AA1"/>
    <w:rPr>
      <w:rFonts w:ascii="Calibri Light" w:eastAsia="DengXian Light" w:hAnsi="Calibri Light" w:cs="Times New Roman"/>
      <w:color w:val="44546A"/>
      <w:spacing w:val="-6"/>
      <w:sz w:val="32"/>
      <w:szCs w:val="32"/>
      <w:lang w:val="fr-FR"/>
    </w:rPr>
  </w:style>
  <w:style w:type="paragraph" w:styleId="Corpsdetexte2">
    <w:name w:val="Body Text 2"/>
    <w:basedOn w:val="Normal"/>
    <w:link w:val="Corpsdetexte2Car"/>
    <w:uiPriority w:val="99"/>
    <w:semiHidden/>
    <w:unhideWhenUsed/>
    <w:rsid w:val="00A503D0"/>
    <w:pPr>
      <w:spacing w:after="120" w:line="480" w:lineRule="auto"/>
    </w:pPr>
  </w:style>
  <w:style w:type="character" w:customStyle="1" w:styleId="Corpsdetexte2Car">
    <w:name w:val="Corps de texte 2 Car"/>
    <w:link w:val="Corpsdetexte2"/>
    <w:uiPriority w:val="99"/>
    <w:semiHidden/>
    <w:rsid w:val="00A503D0"/>
    <w:rPr>
      <w:rFonts w:ascii="EYInterstate Light" w:eastAsia="Times New Roman" w:hAnsi="EYInterstate Light" w:cs="Times New Roman"/>
      <w:color w:val="333333"/>
      <w:sz w:val="18"/>
      <w:szCs w:val="20"/>
      <w:lang w:val="fr-FR"/>
    </w:rPr>
  </w:style>
  <w:style w:type="paragraph" w:styleId="Date">
    <w:name w:val="Date"/>
    <w:basedOn w:val="Normal"/>
    <w:next w:val="Normal"/>
    <w:link w:val="DateCar"/>
    <w:uiPriority w:val="99"/>
    <w:semiHidden/>
    <w:unhideWhenUsed/>
    <w:rsid w:val="00A503D0"/>
  </w:style>
  <w:style w:type="character" w:customStyle="1" w:styleId="DateCar">
    <w:name w:val="Date Car"/>
    <w:link w:val="Date"/>
    <w:uiPriority w:val="99"/>
    <w:semiHidden/>
    <w:rsid w:val="00A503D0"/>
    <w:rPr>
      <w:rFonts w:ascii="EYInterstate Light" w:eastAsia="Times New Roman" w:hAnsi="EYInterstate Light" w:cs="Times New Roman"/>
      <w:color w:val="333333"/>
      <w:sz w:val="18"/>
      <w:szCs w:val="20"/>
      <w:lang w:val="fr-FR"/>
    </w:rPr>
  </w:style>
  <w:style w:type="paragraph" w:styleId="En-ttedemessage">
    <w:name w:val="Message Header"/>
    <w:basedOn w:val="Normal"/>
    <w:link w:val="En-ttedemessageCar"/>
    <w:uiPriority w:val="99"/>
    <w:semiHidden/>
    <w:unhideWhenUsed/>
    <w:rsid w:val="00A503D0"/>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En-ttedemessageCar">
    <w:name w:val="En-tête de message Car"/>
    <w:link w:val="En-ttedemessage"/>
    <w:uiPriority w:val="99"/>
    <w:semiHidden/>
    <w:rsid w:val="00A503D0"/>
    <w:rPr>
      <w:rFonts w:ascii="Calibri Light" w:eastAsia="Times New Roman" w:hAnsi="Calibri Light" w:cs="Times New Roman"/>
      <w:color w:val="333333"/>
      <w:sz w:val="24"/>
      <w:szCs w:val="24"/>
      <w:shd w:val="pct20" w:color="auto" w:fill="auto"/>
      <w:lang w:val="fr-FR"/>
    </w:rPr>
  </w:style>
  <w:style w:type="paragraph" w:styleId="En-ttedetabledesmatires">
    <w:name w:val="TOC Heading"/>
    <w:basedOn w:val="Titre1"/>
    <w:next w:val="Normal"/>
    <w:uiPriority w:val="39"/>
    <w:unhideWhenUsed/>
    <w:qFormat/>
    <w:rsid w:val="00A61AA1"/>
    <w:pPr>
      <w:outlineLvl w:val="9"/>
    </w:pPr>
  </w:style>
  <w:style w:type="paragraph" w:styleId="Formuledepolitesse">
    <w:name w:val="Closing"/>
    <w:basedOn w:val="Normal"/>
    <w:link w:val="FormuledepolitesseCar"/>
    <w:uiPriority w:val="99"/>
    <w:semiHidden/>
    <w:unhideWhenUsed/>
    <w:rsid w:val="00A503D0"/>
    <w:pPr>
      <w:ind w:left="4252"/>
    </w:pPr>
  </w:style>
  <w:style w:type="character" w:customStyle="1" w:styleId="FormuledepolitesseCar">
    <w:name w:val="Formule de politesse Car"/>
    <w:link w:val="Formuledepolitesse"/>
    <w:uiPriority w:val="99"/>
    <w:semiHidden/>
    <w:rsid w:val="00A503D0"/>
    <w:rPr>
      <w:rFonts w:ascii="EYInterstate Light" w:eastAsia="Times New Roman" w:hAnsi="EYInterstate Light" w:cs="Times New Roman"/>
      <w:color w:val="333333"/>
      <w:sz w:val="18"/>
      <w:szCs w:val="20"/>
      <w:lang w:val="fr-FR"/>
    </w:rPr>
  </w:style>
  <w:style w:type="paragraph" w:styleId="Index3">
    <w:name w:val="index 3"/>
    <w:basedOn w:val="Normal"/>
    <w:next w:val="Normal"/>
    <w:autoRedefine/>
    <w:uiPriority w:val="99"/>
    <w:semiHidden/>
    <w:unhideWhenUsed/>
    <w:rsid w:val="00A503D0"/>
    <w:pPr>
      <w:ind w:left="540" w:hanging="180"/>
    </w:pPr>
  </w:style>
  <w:style w:type="paragraph" w:styleId="Index4">
    <w:name w:val="index 4"/>
    <w:basedOn w:val="Normal"/>
    <w:next w:val="Normal"/>
    <w:autoRedefine/>
    <w:uiPriority w:val="99"/>
    <w:semiHidden/>
    <w:unhideWhenUsed/>
    <w:rsid w:val="00A503D0"/>
    <w:pPr>
      <w:ind w:left="720" w:hanging="180"/>
    </w:pPr>
  </w:style>
  <w:style w:type="paragraph" w:styleId="Index5">
    <w:name w:val="index 5"/>
    <w:basedOn w:val="Normal"/>
    <w:next w:val="Normal"/>
    <w:autoRedefine/>
    <w:uiPriority w:val="99"/>
    <w:semiHidden/>
    <w:unhideWhenUsed/>
    <w:rsid w:val="00A503D0"/>
    <w:pPr>
      <w:ind w:left="900" w:hanging="180"/>
    </w:pPr>
  </w:style>
  <w:style w:type="paragraph" w:styleId="Index6">
    <w:name w:val="index 6"/>
    <w:basedOn w:val="Normal"/>
    <w:next w:val="Normal"/>
    <w:autoRedefine/>
    <w:uiPriority w:val="99"/>
    <w:semiHidden/>
    <w:unhideWhenUsed/>
    <w:rsid w:val="00A503D0"/>
    <w:pPr>
      <w:ind w:left="1080" w:hanging="180"/>
    </w:pPr>
  </w:style>
  <w:style w:type="paragraph" w:styleId="Index7">
    <w:name w:val="index 7"/>
    <w:basedOn w:val="Normal"/>
    <w:next w:val="Normal"/>
    <w:autoRedefine/>
    <w:uiPriority w:val="99"/>
    <w:semiHidden/>
    <w:unhideWhenUsed/>
    <w:rsid w:val="00A503D0"/>
    <w:pPr>
      <w:ind w:left="1260" w:hanging="180"/>
    </w:pPr>
  </w:style>
  <w:style w:type="paragraph" w:styleId="Index8">
    <w:name w:val="index 8"/>
    <w:basedOn w:val="Normal"/>
    <w:next w:val="Normal"/>
    <w:autoRedefine/>
    <w:uiPriority w:val="99"/>
    <w:semiHidden/>
    <w:unhideWhenUsed/>
    <w:rsid w:val="00A503D0"/>
    <w:pPr>
      <w:ind w:left="1440" w:hanging="180"/>
    </w:pPr>
  </w:style>
  <w:style w:type="paragraph" w:styleId="Index9">
    <w:name w:val="index 9"/>
    <w:basedOn w:val="Normal"/>
    <w:next w:val="Normal"/>
    <w:autoRedefine/>
    <w:uiPriority w:val="99"/>
    <w:semiHidden/>
    <w:unhideWhenUsed/>
    <w:rsid w:val="00A503D0"/>
    <w:pPr>
      <w:ind w:left="1620" w:hanging="180"/>
    </w:pPr>
  </w:style>
  <w:style w:type="paragraph" w:styleId="Liste">
    <w:name w:val="List"/>
    <w:basedOn w:val="Normal"/>
    <w:uiPriority w:val="99"/>
    <w:semiHidden/>
    <w:unhideWhenUsed/>
    <w:rsid w:val="00A503D0"/>
    <w:pPr>
      <w:ind w:left="283" w:hanging="283"/>
      <w:contextualSpacing/>
    </w:pPr>
  </w:style>
  <w:style w:type="paragraph" w:styleId="Liste2">
    <w:name w:val="List 2"/>
    <w:basedOn w:val="Normal"/>
    <w:uiPriority w:val="99"/>
    <w:semiHidden/>
    <w:unhideWhenUsed/>
    <w:rsid w:val="00A503D0"/>
    <w:pPr>
      <w:ind w:left="566" w:hanging="283"/>
      <w:contextualSpacing/>
    </w:pPr>
  </w:style>
  <w:style w:type="paragraph" w:styleId="Liste3">
    <w:name w:val="List 3"/>
    <w:basedOn w:val="Normal"/>
    <w:uiPriority w:val="99"/>
    <w:semiHidden/>
    <w:unhideWhenUsed/>
    <w:rsid w:val="00A503D0"/>
    <w:pPr>
      <w:ind w:left="849" w:hanging="283"/>
      <w:contextualSpacing/>
    </w:pPr>
  </w:style>
  <w:style w:type="paragraph" w:styleId="Liste4">
    <w:name w:val="List 4"/>
    <w:basedOn w:val="Normal"/>
    <w:uiPriority w:val="99"/>
    <w:semiHidden/>
    <w:unhideWhenUsed/>
    <w:rsid w:val="00A503D0"/>
    <w:pPr>
      <w:ind w:left="1132" w:hanging="283"/>
      <w:contextualSpacing/>
    </w:pPr>
  </w:style>
  <w:style w:type="paragraph" w:styleId="Liste5">
    <w:name w:val="List 5"/>
    <w:basedOn w:val="Normal"/>
    <w:uiPriority w:val="99"/>
    <w:semiHidden/>
    <w:unhideWhenUsed/>
    <w:rsid w:val="00A503D0"/>
    <w:pPr>
      <w:ind w:left="1415" w:hanging="283"/>
      <w:contextualSpacing/>
    </w:pPr>
  </w:style>
  <w:style w:type="paragraph" w:styleId="Listenumros">
    <w:name w:val="List Number"/>
    <w:basedOn w:val="Normal"/>
    <w:uiPriority w:val="99"/>
    <w:semiHidden/>
    <w:unhideWhenUsed/>
    <w:rsid w:val="00A503D0"/>
    <w:pPr>
      <w:numPr>
        <w:numId w:val="2"/>
      </w:numPr>
      <w:contextualSpacing/>
    </w:pPr>
  </w:style>
  <w:style w:type="paragraph" w:styleId="Listenumros2">
    <w:name w:val="List Number 2"/>
    <w:basedOn w:val="Normal"/>
    <w:uiPriority w:val="99"/>
    <w:semiHidden/>
    <w:unhideWhenUsed/>
    <w:rsid w:val="00A503D0"/>
    <w:pPr>
      <w:numPr>
        <w:numId w:val="3"/>
      </w:numPr>
      <w:contextualSpacing/>
    </w:pPr>
  </w:style>
  <w:style w:type="paragraph" w:styleId="Listenumros3">
    <w:name w:val="List Number 3"/>
    <w:basedOn w:val="Normal"/>
    <w:uiPriority w:val="99"/>
    <w:semiHidden/>
    <w:unhideWhenUsed/>
    <w:rsid w:val="00A503D0"/>
    <w:pPr>
      <w:numPr>
        <w:numId w:val="4"/>
      </w:numPr>
      <w:contextualSpacing/>
    </w:pPr>
  </w:style>
  <w:style w:type="paragraph" w:styleId="Listenumros4">
    <w:name w:val="List Number 4"/>
    <w:basedOn w:val="Normal"/>
    <w:uiPriority w:val="99"/>
    <w:semiHidden/>
    <w:unhideWhenUsed/>
    <w:rsid w:val="00A503D0"/>
    <w:pPr>
      <w:numPr>
        <w:numId w:val="5"/>
      </w:numPr>
      <w:contextualSpacing/>
    </w:pPr>
  </w:style>
  <w:style w:type="paragraph" w:styleId="Listenumros5">
    <w:name w:val="List Number 5"/>
    <w:basedOn w:val="Normal"/>
    <w:uiPriority w:val="99"/>
    <w:semiHidden/>
    <w:unhideWhenUsed/>
    <w:rsid w:val="00A503D0"/>
    <w:pPr>
      <w:numPr>
        <w:numId w:val="6"/>
      </w:numPr>
      <w:contextualSpacing/>
    </w:pPr>
  </w:style>
  <w:style w:type="paragraph" w:styleId="Listepuces5">
    <w:name w:val="List Bullet 5"/>
    <w:basedOn w:val="Normal"/>
    <w:uiPriority w:val="99"/>
    <w:semiHidden/>
    <w:unhideWhenUsed/>
    <w:rsid w:val="00A503D0"/>
    <w:pPr>
      <w:numPr>
        <w:numId w:val="7"/>
      </w:numPr>
      <w:contextualSpacing/>
    </w:pPr>
  </w:style>
  <w:style w:type="paragraph" w:styleId="Listecontinue">
    <w:name w:val="List Continue"/>
    <w:basedOn w:val="Normal"/>
    <w:uiPriority w:val="99"/>
    <w:semiHidden/>
    <w:unhideWhenUsed/>
    <w:rsid w:val="00A503D0"/>
    <w:pPr>
      <w:spacing w:after="120"/>
      <w:ind w:left="283"/>
      <w:contextualSpacing/>
    </w:pPr>
  </w:style>
  <w:style w:type="paragraph" w:styleId="Listecontinue2">
    <w:name w:val="List Continue 2"/>
    <w:basedOn w:val="Normal"/>
    <w:uiPriority w:val="99"/>
    <w:semiHidden/>
    <w:unhideWhenUsed/>
    <w:rsid w:val="00A503D0"/>
    <w:pPr>
      <w:spacing w:after="120"/>
      <w:ind w:left="566"/>
      <w:contextualSpacing/>
    </w:pPr>
  </w:style>
  <w:style w:type="paragraph" w:styleId="Listecontinue3">
    <w:name w:val="List Continue 3"/>
    <w:basedOn w:val="Normal"/>
    <w:uiPriority w:val="99"/>
    <w:semiHidden/>
    <w:unhideWhenUsed/>
    <w:rsid w:val="00A503D0"/>
    <w:pPr>
      <w:spacing w:after="120"/>
      <w:ind w:left="849"/>
      <w:contextualSpacing/>
    </w:pPr>
  </w:style>
  <w:style w:type="paragraph" w:styleId="Listecontinue4">
    <w:name w:val="List Continue 4"/>
    <w:basedOn w:val="Normal"/>
    <w:uiPriority w:val="99"/>
    <w:semiHidden/>
    <w:unhideWhenUsed/>
    <w:rsid w:val="00A503D0"/>
    <w:pPr>
      <w:spacing w:after="120"/>
      <w:ind w:left="1132"/>
      <w:contextualSpacing/>
    </w:pPr>
  </w:style>
  <w:style w:type="paragraph" w:styleId="Listecontinue5">
    <w:name w:val="List Continue 5"/>
    <w:basedOn w:val="Normal"/>
    <w:uiPriority w:val="99"/>
    <w:semiHidden/>
    <w:unhideWhenUsed/>
    <w:rsid w:val="00A503D0"/>
    <w:pPr>
      <w:spacing w:after="120"/>
      <w:ind w:left="1415"/>
      <w:contextualSpacing/>
    </w:pPr>
  </w:style>
  <w:style w:type="paragraph" w:styleId="NormalWeb">
    <w:name w:val="Normal (Web)"/>
    <w:basedOn w:val="Normal"/>
    <w:uiPriority w:val="99"/>
    <w:unhideWhenUsed/>
    <w:rsid w:val="00A503D0"/>
    <w:rPr>
      <w:rFonts w:ascii="Times New Roman" w:hAnsi="Times New Roman"/>
      <w:sz w:val="24"/>
      <w:szCs w:val="24"/>
    </w:rPr>
  </w:style>
  <w:style w:type="paragraph" w:styleId="Normalcentr">
    <w:name w:val="Block Text"/>
    <w:basedOn w:val="Normal"/>
    <w:uiPriority w:val="99"/>
    <w:semiHidden/>
    <w:unhideWhenUsed/>
    <w:rsid w:val="00A503D0"/>
    <w:pPr>
      <w:spacing w:after="120"/>
      <w:ind w:left="1440" w:right="1440"/>
    </w:pPr>
  </w:style>
  <w:style w:type="paragraph" w:styleId="Notedefin">
    <w:name w:val="endnote text"/>
    <w:basedOn w:val="Normal"/>
    <w:link w:val="NotedefinCar"/>
    <w:uiPriority w:val="99"/>
    <w:semiHidden/>
    <w:unhideWhenUsed/>
    <w:rsid w:val="00A503D0"/>
    <w:rPr>
      <w:sz w:val="20"/>
    </w:rPr>
  </w:style>
  <w:style w:type="character" w:customStyle="1" w:styleId="NotedefinCar">
    <w:name w:val="Note de fin Car"/>
    <w:link w:val="Notedefin"/>
    <w:uiPriority w:val="99"/>
    <w:semiHidden/>
    <w:rsid w:val="00A503D0"/>
    <w:rPr>
      <w:rFonts w:ascii="EYInterstate Light" w:eastAsia="Times New Roman" w:hAnsi="EYInterstate Light" w:cs="Times New Roman"/>
      <w:color w:val="333333"/>
      <w:sz w:val="20"/>
      <w:szCs w:val="20"/>
      <w:lang w:val="fr-FR"/>
    </w:rPr>
  </w:style>
  <w:style w:type="paragraph" w:styleId="PrformatHTML">
    <w:name w:val="HTML Preformatted"/>
    <w:basedOn w:val="Normal"/>
    <w:link w:val="PrformatHTMLCar"/>
    <w:uiPriority w:val="99"/>
    <w:semiHidden/>
    <w:unhideWhenUsed/>
    <w:rsid w:val="00A503D0"/>
    <w:rPr>
      <w:rFonts w:ascii="Courier New" w:hAnsi="Courier New" w:cs="Courier New"/>
      <w:sz w:val="20"/>
    </w:rPr>
  </w:style>
  <w:style w:type="character" w:customStyle="1" w:styleId="PrformatHTMLCar">
    <w:name w:val="Préformaté HTML Car"/>
    <w:link w:val="PrformatHTML"/>
    <w:uiPriority w:val="99"/>
    <w:semiHidden/>
    <w:rsid w:val="00A503D0"/>
    <w:rPr>
      <w:rFonts w:ascii="Courier New" w:eastAsia="Times New Roman" w:hAnsi="Courier New" w:cs="Courier New"/>
      <w:color w:val="333333"/>
      <w:sz w:val="20"/>
      <w:szCs w:val="20"/>
      <w:lang w:val="fr-FR"/>
    </w:rPr>
  </w:style>
  <w:style w:type="paragraph" w:styleId="Retrait1religne">
    <w:name w:val="Body Text First Indent"/>
    <w:basedOn w:val="Corpsdetexte"/>
    <w:link w:val="Retrait1religneCar"/>
    <w:uiPriority w:val="99"/>
    <w:semiHidden/>
    <w:unhideWhenUsed/>
    <w:rsid w:val="00A503D0"/>
    <w:pPr>
      <w:spacing w:before="0" w:after="120"/>
      <w:ind w:firstLine="210"/>
    </w:pPr>
  </w:style>
  <w:style w:type="character" w:customStyle="1" w:styleId="Retrait1religneCar">
    <w:name w:val="Retrait 1re ligne Car"/>
    <w:link w:val="Retrait1religne"/>
    <w:uiPriority w:val="99"/>
    <w:semiHidden/>
    <w:rsid w:val="00A503D0"/>
    <w:rPr>
      <w:rFonts w:ascii="EYInterstate Light" w:eastAsia="Times New Roman" w:hAnsi="EYInterstate Light" w:cs="Times New Roman"/>
      <w:color w:val="333333"/>
      <w:sz w:val="18"/>
      <w:szCs w:val="20"/>
      <w:lang w:val="fr-FR"/>
    </w:rPr>
  </w:style>
  <w:style w:type="paragraph" w:styleId="Retraitcorpsdetexte">
    <w:name w:val="Body Text Indent"/>
    <w:basedOn w:val="Normal"/>
    <w:link w:val="RetraitcorpsdetexteCar"/>
    <w:uiPriority w:val="99"/>
    <w:semiHidden/>
    <w:unhideWhenUsed/>
    <w:rsid w:val="00A503D0"/>
    <w:pPr>
      <w:spacing w:after="120"/>
      <w:ind w:left="283"/>
    </w:pPr>
  </w:style>
  <w:style w:type="character" w:customStyle="1" w:styleId="RetraitcorpsdetexteCar">
    <w:name w:val="Retrait corps de texte Car"/>
    <w:link w:val="Retraitcorpsdetexte"/>
    <w:uiPriority w:val="99"/>
    <w:semiHidden/>
    <w:rsid w:val="00A503D0"/>
    <w:rPr>
      <w:rFonts w:ascii="EYInterstate Light" w:eastAsia="Times New Roman" w:hAnsi="EYInterstate Light" w:cs="Times New Roman"/>
      <w:color w:val="333333"/>
      <w:sz w:val="18"/>
      <w:szCs w:val="20"/>
      <w:lang w:val="fr-FR"/>
    </w:rPr>
  </w:style>
  <w:style w:type="paragraph" w:styleId="Retraitcorpsdetexte2">
    <w:name w:val="Body Text Indent 2"/>
    <w:basedOn w:val="Normal"/>
    <w:link w:val="Retraitcorpsdetexte2Car"/>
    <w:uiPriority w:val="99"/>
    <w:semiHidden/>
    <w:unhideWhenUsed/>
    <w:rsid w:val="00A503D0"/>
    <w:pPr>
      <w:spacing w:after="120" w:line="480" w:lineRule="auto"/>
      <w:ind w:left="283"/>
    </w:pPr>
  </w:style>
  <w:style w:type="character" w:customStyle="1" w:styleId="Retraitcorpsdetexte2Car">
    <w:name w:val="Retrait corps de texte 2 Car"/>
    <w:link w:val="Retraitcorpsdetexte2"/>
    <w:uiPriority w:val="99"/>
    <w:semiHidden/>
    <w:rsid w:val="00A503D0"/>
    <w:rPr>
      <w:rFonts w:ascii="EYInterstate Light" w:eastAsia="Times New Roman" w:hAnsi="EYInterstate Light" w:cs="Times New Roman"/>
      <w:color w:val="333333"/>
      <w:sz w:val="18"/>
      <w:szCs w:val="20"/>
      <w:lang w:val="fr-FR"/>
    </w:rPr>
  </w:style>
  <w:style w:type="paragraph" w:styleId="Retraitcorpsdetexte3">
    <w:name w:val="Body Text Indent 3"/>
    <w:basedOn w:val="Normal"/>
    <w:link w:val="Retraitcorpsdetexte3Car"/>
    <w:uiPriority w:val="99"/>
    <w:semiHidden/>
    <w:unhideWhenUsed/>
    <w:rsid w:val="00A503D0"/>
    <w:pPr>
      <w:spacing w:after="120"/>
      <w:ind w:left="283"/>
    </w:pPr>
    <w:rPr>
      <w:sz w:val="16"/>
      <w:szCs w:val="16"/>
    </w:rPr>
  </w:style>
  <w:style w:type="character" w:customStyle="1" w:styleId="Retraitcorpsdetexte3Car">
    <w:name w:val="Retrait corps de texte 3 Car"/>
    <w:link w:val="Retraitcorpsdetexte3"/>
    <w:uiPriority w:val="99"/>
    <w:semiHidden/>
    <w:rsid w:val="00A503D0"/>
    <w:rPr>
      <w:rFonts w:ascii="EYInterstate Light" w:eastAsia="Times New Roman" w:hAnsi="EYInterstate Light" w:cs="Times New Roman"/>
      <w:color w:val="333333"/>
      <w:sz w:val="16"/>
      <w:szCs w:val="16"/>
      <w:lang w:val="fr-FR"/>
    </w:rPr>
  </w:style>
  <w:style w:type="paragraph" w:styleId="Retraitcorpset1relig">
    <w:name w:val="Body Text First Indent 2"/>
    <w:basedOn w:val="Retraitcorpsdetexte"/>
    <w:link w:val="Retraitcorpset1religCar"/>
    <w:uiPriority w:val="99"/>
    <w:semiHidden/>
    <w:unhideWhenUsed/>
    <w:rsid w:val="00A503D0"/>
    <w:pPr>
      <w:ind w:firstLine="210"/>
    </w:pPr>
  </w:style>
  <w:style w:type="character" w:customStyle="1" w:styleId="Retraitcorpset1religCar">
    <w:name w:val="Retrait corps et 1re lig. Car"/>
    <w:link w:val="Retraitcorpset1relig"/>
    <w:uiPriority w:val="99"/>
    <w:semiHidden/>
    <w:rsid w:val="00A503D0"/>
    <w:rPr>
      <w:rFonts w:ascii="EYInterstate Light" w:eastAsia="Times New Roman" w:hAnsi="EYInterstate Light" w:cs="Times New Roman"/>
      <w:color w:val="333333"/>
      <w:sz w:val="18"/>
      <w:szCs w:val="20"/>
      <w:lang w:val="fr-FR"/>
    </w:rPr>
  </w:style>
  <w:style w:type="paragraph" w:styleId="Retraitnormal">
    <w:name w:val="Normal Indent"/>
    <w:basedOn w:val="Normal"/>
    <w:uiPriority w:val="99"/>
    <w:semiHidden/>
    <w:unhideWhenUsed/>
    <w:rsid w:val="00A503D0"/>
    <w:pPr>
      <w:ind w:left="708"/>
    </w:pPr>
  </w:style>
  <w:style w:type="paragraph" w:styleId="Salutations">
    <w:name w:val="Salutation"/>
    <w:basedOn w:val="Normal"/>
    <w:next w:val="Normal"/>
    <w:link w:val="SalutationsCar"/>
    <w:uiPriority w:val="99"/>
    <w:semiHidden/>
    <w:unhideWhenUsed/>
    <w:rsid w:val="00A503D0"/>
  </w:style>
  <w:style w:type="character" w:customStyle="1" w:styleId="SalutationsCar">
    <w:name w:val="Salutations Car"/>
    <w:link w:val="Salutations"/>
    <w:uiPriority w:val="99"/>
    <w:semiHidden/>
    <w:rsid w:val="00A503D0"/>
    <w:rPr>
      <w:rFonts w:ascii="EYInterstate Light" w:eastAsia="Times New Roman" w:hAnsi="EYInterstate Light" w:cs="Times New Roman"/>
      <w:color w:val="333333"/>
      <w:sz w:val="18"/>
      <w:szCs w:val="20"/>
      <w:lang w:val="fr-FR"/>
    </w:rPr>
  </w:style>
  <w:style w:type="paragraph" w:styleId="Sansinterligne">
    <w:name w:val="No Spacing"/>
    <w:link w:val="SansinterligneCar"/>
    <w:uiPriority w:val="1"/>
    <w:qFormat/>
    <w:rsid w:val="002F12A7"/>
    <w:rPr>
      <w:sz w:val="22"/>
      <w:szCs w:val="22"/>
      <w:lang w:val="fr-FR"/>
    </w:rPr>
  </w:style>
  <w:style w:type="paragraph" w:styleId="Signaturelectronique">
    <w:name w:val="E-mail Signature"/>
    <w:basedOn w:val="Normal"/>
    <w:link w:val="SignaturelectroniqueCar"/>
    <w:uiPriority w:val="99"/>
    <w:semiHidden/>
    <w:unhideWhenUsed/>
    <w:rsid w:val="00A503D0"/>
  </w:style>
  <w:style w:type="character" w:customStyle="1" w:styleId="SignaturelectroniqueCar">
    <w:name w:val="Signature électronique Car"/>
    <w:link w:val="Signaturelectronique"/>
    <w:uiPriority w:val="99"/>
    <w:semiHidden/>
    <w:rsid w:val="00A503D0"/>
    <w:rPr>
      <w:rFonts w:ascii="EYInterstate Light" w:eastAsia="Times New Roman" w:hAnsi="EYInterstate Light" w:cs="Times New Roman"/>
      <w:color w:val="333333"/>
      <w:sz w:val="18"/>
      <w:szCs w:val="20"/>
      <w:lang w:val="fr-FR"/>
    </w:rPr>
  </w:style>
  <w:style w:type="paragraph" w:styleId="Sous-titre">
    <w:name w:val="Subtitle"/>
    <w:basedOn w:val="Normal"/>
    <w:next w:val="Normal"/>
    <w:link w:val="Sous-titreCar"/>
    <w:uiPriority w:val="11"/>
    <w:qFormat/>
    <w:rsid w:val="002F12A7"/>
    <w:pPr>
      <w:numPr>
        <w:ilvl w:val="1"/>
      </w:numPr>
      <w:spacing w:after="240" w:line="240" w:lineRule="auto"/>
    </w:pPr>
    <w:rPr>
      <w:rFonts w:ascii="Calibri Light" w:eastAsia="DengXian Light" w:hAnsi="Calibri Light" w:cs="Times New Roman"/>
      <w:color w:val="4472C4"/>
      <w:sz w:val="28"/>
      <w:szCs w:val="28"/>
    </w:rPr>
  </w:style>
  <w:style w:type="character" w:customStyle="1" w:styleId="Sous-titreCar">
    <w:name w:val="Sous-titre Car"/>
    <w:link w:val="Sous-titre"/>
    <w:uiPriority w:val="11"/>
    <w:rsid w:val="00A61AA1"/>
    <w:rPr>
      <w:rFonts w:ascii="Calibri Light" w:eastAsia="DengXian Light" w:hAnsi="Calibri Light" w:cs="Times New Roman"/>
      <w:color w:val="4472C4"/>
      <w:sz w:val="28"/>
      <w:szCs w:val="28"/>
      <w:lang w:val="fr-FR"/>
    </w:rPr>
  </w:style>
  <w:style w:type="paragraph" w:styleId="Tabledesillustrations">
    <w:name w:val="table of figures"/>
    <w:basedOn w:val="Normal"/>
    <w:next w:val="Normal"/>
    <w:uiPriority w:val="99"/>
    <w:semiHidden/>
    <w:unhideWhenUsed/>
    <w:rsid w:val="00A503D0"/>
  </w:style>
  <w:style w:type="paragraph" w:styleId="Tabledesrfrencesjuridiques">
    <w:name w:val="table of authorities"/>
    <w:basedOn w:val="Normal"/>
    <w:next w:val="Normal"/>
    <w:uiPriority w:val="99"/>
    <w:semiHidden/>
    <w:unhideWhenUsed/>
    <w:rsid w:val="00A503D0"/>
    <w:pPr>
      <w:ind w:left="180" w:hanging="180"/>
    </w:pPr>
  </w:style>
  <w:style w:type="paragraph" w:styleId="Textebrut">
    <w:name w:val="Plain Text"/>
    <w:basedOn w:val="Normal"/>
    <w:link w:val="TextebrutCar"/>
    <w:uiPriority w:val="99"/>
    <w:semiHidden/>
    <w:unhideWhenUsed/>
    <w:rsid w:val="00A503D0"/>
    <w:rPr>
      <w:rFonts w:ascii="Courier New" w:hAnsi="Courier New" w:cs="Courier New"/>
      <w:sz w:val="20"/>
    </w:rPr>
  </w:style>
  <w:style w:type="character" w:customStyle="1" w:styleId="TextebrutCar">
    <w:name w:val="Texte brut Car"/>
    <w:link w:val="Textebrut"/>
    <w:uiPriority w:val="99"/>
    <w:semiHidden/>
    <w:rsid w:val="00A503D0"/>
    <w:rPr>
      <w:rFonts w:ascii="Courier New" w:eastAsia="Times New Roman" w:hAnsi="Courier New" w:cs="Courier New"/>
      <w:color w:val="333333"/>
      <w:sz w:val="20"/>
      <w:szCs w:val="20"/>
      <w:lang w:val="fr-FR"/>
    </w:rPr>
  </w:style>
  <w:style w:type="paragraph" w:styleId="Textedemacro">
    <w:name w:val="macro"/>
    <w:link w:val="TextedemacroCar"/>
    <w:uiPriority w:val="99"/>
    <w:semiHidden/>
    <w:unhideWhenUsed/>
    <w:rsid w:val="002F12A7"/>
    <w:pPr>
      <w:tabs>
        <w:tab w:val="left" w:pos="480"/>
        <w:tab w:val="left" w:pos="960"/>
        <w:tab w:val="left" w:pos="1440"/>
        <w:tab w:val="left" w:pos="1920"/>
        <w:tab w:val="left" w:pos="2400"/>
        <w:tab w:val="left" w:pos="2880"/>
        <w:tab w:val="left" w:pos="3360"/>
        <w:tab w:val="left" w:pos="3840"/>
        <w:tab w:val="left" w:pos="4320"/>
      </w:tabs>
      <w:jc w:val="both"/>
    </w:pPr>
    <w:rPr>
      <w:rFonts w:ascii="Courier New" w:eastAsia="Times New Roman" w:hAnsi="Courier New" w:cs="Courier New"/>
      <w:color w:val="333333"/>
      <w:lang w:val="fr-FR"/>
    </w:rPr>
  </w:style>
  <w:style w:type="character" w:customStyle="1" w:styleId="TextedemacroCar">
    <w:name w:val="Texte de macro Car"/>
    <w:link w:val="Textedemacro"/>
    <w:uiPriority w:val="99"/>
    <w:semiHidden/>
    <w:rsid w:val="00A503D0"/>
    <w:rPr>
      <w:rFonts w:ascii="Courier New" w:eastAsia="Times New Roman" w:hAnsi="Courier New" w:cs="Courier New"/>
      <w:color w:val="333333"/>
      <w:lang w:val="fr-FR"/>
    </w:rPr>
  </w:style>
  <w:style w:type="paragraph" w:styleId="Titre">
    <w:name w:val="Title"/>
    <w:basedOn w:val="Normal"/>
    <w:next w:val="Normal"/>
    <w:link w:val="TitreCar"/>
    <w:uiPriority w:val="10"/>
    <w:qFormat/>
    <w:rsid w:val="002F12A7"/>
    <w:pPr>
      <w:spacing w:after="0" w:line="204" w:lineRule="auto"/>
      <w:contextualSpacing/>
    </w:pPr>
    <w:rPr>
      <w:rFonts w:ascii="Calibri Light" w:eastAsia="DengXian Light" w:hAnsi="Calibri Light" w:cs="Times New Roman"/>
      <w:caps/>
      <w:color w:val="44546A"/>
      <w:spacing w:val="-15"/>
      <w:sz w:val="72"/>
      <w:szCs w:val="72"/>
    </w:rPr>
  </w:style>
  <w:style w:type="character" w:customStyle="1" w:styleId="TitreCar">
    <w:name w:val="Titre Car"/>
    <w:link w:val="Titre"/>
    <w:uiPriority w:val="10"/>
    <w:rsid w:val="00A61AA1"/>
    <w:rPr>
      <w:rFonts w:ascii="Calibri Light" w:eastAsia="DengXian Light" w:hAnsi="Calibri Light" w:cs="Times New Roman"/>
      <w:caps/>
      <w:color w:val="44546A"/>
      <w:spacing w:val="-15"/>
      <w:sz w:val="72"/>
      <w:szCs w:val="72"/>
      <w:lang w:val="fr-FR"/>
    </w:rPr>
  </w:style>
  <w:style w:type="paragraph" w:styleId="Titredenote">
    <w:name w:val="Note Heading"/>
    <w:basedOn w:val="Normal"/>
    <w:next w:val="Normal"/>
    <w:link w:val="TitredenoteCar"/>
    <w:uiPriority w:val="99"/>
    <w:semiHidden/>
    <w:unhideWhenUsed/>
    <w:rsid w:val="00A503D0"/>
  </w:style>
  <w:style w:type="character" w:customStyle="1" w:styleId="TitredenoteCar">
    <w:name w:val="Titre de note Car"/>
    <w:link w:val="Titredenote"/>
    <w:uiPriority w:val="99"/>
    <w:semiHidden/>
    <w:rsid w:val="00A503D0"/>
    <w:rPr>
      <w:rFonts w:ascii="EYInterstate Light" w:eastAsia="Times New Roman" w:hAnsi="EYInterstate Light" w:cs="Times New Roman"/>
      <w:color w:val="333333"/>
      <w:sz w:val="18"/>
      <w:szCs w:val="20"/>
      <w:lang w:val="fr-FR"/>
    </w:rPr>
  </w:style>
  <w:style w:type="paragraph" w:styleId="Titreindex">
    <w:name w:val="index heading"/>
    <w:basedOn w:val="Normal"/>
    <w:next w:val="Index1"/>
    <w:uiPriority w:val="99"/>
    <w:semiHidden/>
    <w:unhideWhenUsed/>
    <w:rsid w:val="00A503D0"/>
    <w:rPr>
      <w:rFonts w:ascii="Calibri Light" w:hAnsi="Calibri Light"/>
      <w:b/>
      <w:bCs/>
    </w:rPr>
  </w:style>
  <w:style w:type="paragraph" w:styleId="TitreTR">
    <w:name w:val="toa heading"/>
    <w:basedOn w:val="Normal"/>
    <w:next w:val="Normal"/>
    <w:uiPriority w:val="99"/>
    <w:semiHidden/>
    <w:unhideWhenUsed/>
    <w:rsid w:val="00A503D0"/>
    <w:pPr>
      <w:spacing w:before="120"/>
    </w:pPr>
    <w:rPr>
      <w:rFonts w:ascii="Calibri Light" w:hAnsi="Calibri Light"/>
      <w:b/>
      <w:bCs/>
      <w:sz w:val="24"/>
      <w:szCs w:val="24"/>
    </w:rPr>
  </w:style>
  <w:style w:type="paragraph" w:styleId="TM5">
    <w:name w:val="toc 5"/>
    <w:basedOn w:val="Normal"/>
    <w:next w:val="Normal"/>
    <w:autoRedefine/>
    <w:uiPriority w:val="39"/>
    <w:unhideWhenUsed/>
    <w:rsid w:val="00A503D0"/>
    <w:pPr>
      <w:ind w:left="720"/>
    </w:pPr>
  </w:style>
  <w:style w:type="paragraph" w:styleId="TM6">
    <w:name w:val="toc 6"/>
    <w:basedOn w:val="Normal"/>
    <w:next w:val="Normal"/>
    <w:autoRedefine/>
    <w:uiPriority w:val="39"/>
    <w:unhideWhenUsed/>
    <w:rsid w:val="00A503D0"/>
    <w:pPr>
      <w:ind w:left="900"/>
    </w:pPr>
  </w:style>
  <w:style w:type="paragraph" w:styleId="TM7">
    <w:name w:val="toc 7"/>
    <w:basedOn w:val="Normal"/>
    <w:next w:val="Normal"/>
    <w:autoRedefine/>
    <w:uiPriority w:val="39"/>
    <w:unhideWhenUsed/>
    <w:rsid w:val="00A503D0"/>
    <w:pPr>
      <w:ind w:left="1080"/>
    </w:pPr>
  </w:style>
  <w:style w:type="paragraph" w:styleId="TM8">
    <w:name w:val="toc 8"/>
    <w:basedOn w:val="Normal"/>
    <w:next w:val="Normal"/>
    <w:autoRedefine/>
    <w:uiPriority w:val="39"/>
    <w:unhideWhenUsed/>
    <w:rsid w:val="00A503D0"/>
    <w:pPr>
      <w:ind w:left="1260"/>
    </w:pPr>
  </w:style>
  <w:style w:type="paragraph" w:styleId="TM9">
    <w:name w:val="toc 9"/>
    <w:basedOn w:val="Normal"/>
    <w:next w:val="Normal"/>
    <w:autoRedefine/>
    <w:uiPriority w:val="39"/>
    <w:unhideWhenUsed/>
    <w:rsid w:val="00A503D0"/>
    <w:pPr>
      <w:ind w:left="1440"/>
    </w:pPr>
  </w:style>
  <w:style w:type="character" w:customStyle="1" w:styleId="Mentionnonrsolue1">
    <w:name w:val="Mention non résolue1"/>
    <w:uiPriority w:val="99"/>
    <w:semiHidden/>
    <w:unhideWhenUsed/>
    <w:rsid w:val="00A503D0"/>
    <w:rPr>
      <w:color w:val="808080"/>
      <w:shd w:val="clear" w:color="auto" w:fill="E6E6E6"/>
    </w:rPr>
  </w:style>
  <w:style w:type="character" w:styleId="Lienhypertextesuivivisit">
    <w:name w:val="FollowedHyperlink"/>
    <w:uiPriority w:val="99"/>
    <w:semiHidden/>
    <w:unhideWhenUsed/>
    <w:rsid w:val="00A503D0"/>
    <w:rPr>
      <w:color w:val="954F72"/>
      <w:u w:val="single"/>
    </w:rPr>
  </w:style>
  <w:style w:type="paragraph" w:customStyle="1" w:styleId="Conso1">
    <w:name w:val="Conso1"/>
    <w:basedOn w:val="Titre"/>
    <w:next w:val="Normal"/>
    <w:link w:val="Conso1Car"/>
    <w:rsid w:val="00316382"/>
    <w:pPr>
      <w:keepNext/>
      <w:pageBreakBefore/>
      <w:numPr>
        <w:numId w:val="8"/>
      </w:numPr>
      <w:pBdr>
        <w:top w:val="single" w:sz="4" w:space="1" w:color="005EB8"/>
        <w:bottom w:val="single" w:sz="4" w:space="1" w:color="005EB8"/>
      </w:pBdr>
      <w:spacing w:after="40"/>
    </w:pPr>
    <w:rPr>
      <w:rFonts w:ascii="Univers 45 Light" w:hAnsi="Univers 45 Light"/>
      <w:b/>
      <w:bCs/>
      <w:color w:val="005EB8"/>
      <w:spacing w:val="-10"/>
      <w:sz w:val="44"/>
      <w:szCs w:val="56"/>
    </w:rPr>
  </w:style>
  <w:style w:type="character" w:customStyle="1" w:styleId="Conso1Car">
    <w:name w:val="Conso1 Car"/>
    <w:link w:val="Conso1"/>
    <w:rsid w:val="00316382"/>
    <w:rPr>
      <w:rFonts w:ascii="Univers 45 Light" w:eastAsia="DengXian Light" w:hAnsi="Univers 45 Light" w:cs="Times New Roman"/>
      <w:b/>
      <w:bCs/>
      <w:caps/>
      <w:color w:val="005EB8"/>
      <w:spacing w:val="-10"/>
      <w:sz w:val="44"/>
      <w:szCs w:val="56"/>
      <w:lang w:val="fr-FR"/>
    </w:rPr>
  </w:style>
  <w:style w:type="paragraph" w:customStyle="1" w:styleId="Conso2">
    <w:name w:val="Conso2"/>
    <w:basedOn w:val="Normal"/>
    <w:next w:val="Normal"/>
    <w:link w:val="Conso2Car"/>
    <w:rsid w:val="00316382"/>
    <w:pPr>
      <w:keepNext/>
      <w:keepLines/>
      <w:numPr>
        <w:ilvl w:val="1"/>
        <w:numId w:val="8"/>
      </w:numPr>
      <w:spacing w:before="240" w:after="360" w:line="240" w:lineRule="atLeast"/>
      <w:outlineLvl w:val="1"/>
    </w:pPr>
    <w:rPr>
      <w:rFonts w:ascii="Univers 45 Light" w:eastAsia="Calibri" w:hAnsi="Univers 45 Light"/>
      <w:color w:val="005EB8"/>
      <w:sz w:val="32"/>
    </w:rPr>
  </w:style>
  <w:style w:type="character" w:customStyle="1" w:styleId="Conso2Car">
    <w:name w:val="Conso2 Car"/>
    <w:link w:val="Conso2"/>
    <w:rsid w:val="00316382"/>
    <w:rPr>
      <w:rFonts w:ascii="Univers 45 Light" w:eastAsia="Calibri" w:hAnsi="Univers 45 Light"/>
      <w:color w:val="005EB8"/>
      <w:sz w:val="32"/>
      <w:szCs w:val="22"/>
      <w:lang w:val="fr-FR"/>
    </w:rPr>
  </w:style>
  <w:style w:type="paragraph" w:customStyle="1" w:styleId="Conso3">
    <w:name w:val="Conso3"/>
    <w:basedOn w:val="Conso2"/>
    <w:next w:val="Normal"/>
    <w:link w:val="Conso3Car"/>
    <w:rsid w:val="00316382"/>
    <w:pPr>
      <w:numPr>
        <w:ilvl w:val="2"/>
      </w:numPr>
      <w:spacing w:after="240"/>
      <w:outlineLvl w:val="2"/>
    </w:pPr>
    <w:rPr>
      <w:sz w:val="24"/>
    </w:rPr>
  </w:style>
  <w:style w:type="character" w:customStyle="1" w:styleId="Conso3Car">
    <w:name w:val="Conso3 Car"/>
    <w:link w:val="Conso3"/>
    <w:rsid w:val="00316382"/>
    <w:rPr>
      <w:rFonts w:ascii="Univers 45 Light" w:eastAsia="Calibri" w:hAnsi="Univers 45 Light"/>
      <w:color w:val="005EB8"/>
      <w:sz w:val="24"/>
      <w:szCs w:val="22"/>
      <w:lang w:val="fr-FR"/>
    </w:rPr>
  </w:style>
  <w:style w:type="paragraph" w:customStyle="1" w:styleId="Conso4">
    <w:name w:val="Conso4"/>
    <w:basedOn w:val="Conso3"/>
    <w:next w:val="Normal"/>
    <w:link w:val="Conso4Car"/>
    <w:rsid w:val="00316382"/>
    <w:pPr>
      <w:numPr>
        <w:ilvl w:val="3"/>
      </w:numPr>
      <w:tabs>
        <w:tab w:val="left" w:pos="1021"/>
      </w:tabs>
      <w:spacing w:after="120"/>
      <w:outlineLvl w:val="3"/>
    </w:pPr>
    <w:rPr>
      <w:i/>
    </w:rPr>
  </w:style>
  <w:style w:type="character" w:customStyle="1" w:styleId="Conso4Car">
    <w:name w:val="Conso4 Car"/>
    <w:link w:val="Conso4"/>
    <w:rsid w:val="00316382"/>
    <w:rPr>
      <w:rFonts w:ascii="Univers 45 Light" w:eastAsia="Calibri" w:hAnsi="Univers 45 Light"/>
      <w:i/>
      <w:color w:val="005EB8"/>
      <w:sz w:val="24"/>
      <w:szCs w:val="22"/>
      <w:lang w:val="fr-FR"/>
    </w:rPr>
  </w:style>
  <w:style w:type="paragraph" w:customStyle="1" w:styleId="Conso5">
    <w:name w:val="Conso5"/>
    <w:basedOn w:val="Conso4"/>
    <w:next w:val="Normal"/>
    <w:rsid w:val="00316382"/>
    <w:pPr>
      <w:numPr>
        <w:ilvl w:val="4"/>
      </w:numPr>
      <w:tabs>
        <w:tab w:val="clear" w:pos="1701"/>
      </w:tabs>
      <w:ind w:left="1843" w:hanging="360"/>
      <w:outlineLvl w:val="4"/>
    </w:pPr>
  </w:style>
  <w:style w:type="paragraph" w:customStyle="1" w:styleId="ConsoPuce">
    <w:name w:val="ConsoPuce"/>
    <w:basedOn w:val="Normal"/>
    <w:rsid w:val="00316382"/>
    <w:pPr>
      <w:numPr>
        <w:numId w:val="9"/>
      </w:numPr>
      <w:spacing w:before="120" w:after="120" w:line="240" w:lineRule="atLeast"/>
      <w:ind w:left="357" w:hanging="357"/>
    </w:pPr>
    <w:rPr>
      <w:rFonts w:ascii="Univers 45 Light" w:eastAsia="Calibri" w:hAnsi="Univers 45 Light"/>
    </w:rPr>
  </w:style>
  <w:style w:type="character" w:styleId="lev">
    <w:name w:val="Strong"/>
    <w:uiPriority w:val="22"/>
    <w:qFormat/>
    <w:rsid w:val="00A61AA1"/>
    <w:rPr>
      <w:b/>
      <w:bCs/>
    </w:rPr>
  </w:style>
  <w:style w:type="character" w:styleId="Accentuation">
    <w:name w:val="Emphasis"/>
    <w:uiPriority w:val="20"/>
    <w:qFormat/>
    <w:rsid w:val="00A61AA1"/>
    <w:rPr>
      <w:i/>
      <w:iCs/>
    </w:rPr>
  </w:style>
  <w:style w:type="character" w:styleId="Accentuationlgre">
    <w:name w:val="Subtle Emphasis"/>
    <w:uiPriority w:val="19"/>
    <w:qFormat/>
    <w:rsid w:val="002F12A7"/>
    <w:rPr>
      <w:i/>
      <w:iCs/>
      <w:color w:val="595959"/>
    </w:rPr>
  </w:style>
  <w:style w:type="character" w:styleId="Accentuationintense">
    <w:name w:val="Intense Emphasis"/>
    <w:uiPriority w:val="21"/>
    <w:qFormat/>
    <w:rsid w:val="00A61AA1"/>
    <w:rPr>
      <w:b/>
      <w:bCs/>
      <w:i/>
      <w:iCs/>
    </w:rPr>
  </w:style>
  <w:style w:type="character" w:styleId="Rfrencelgre">
    <w:name w:val="Subtle Reference"/>
    <w:uiPriority w:val="31"/>
    <w:qFormat/>
    <w:rsid w:val="002F12A7"/>
    <w:rPr>
      <w:smallCaps/>
      <w:color w:val="595959"/>
      <w:u w:val="none" w:color="7F7F7F"/>
      <w:bdr w:val="none" w:sz="0" w:space="0" w:color="auto"/>
    </w:rPr>
  </w:style>
  <w:style w:type="character" w:styleId="Rfrenceintense">
    <w:name w:val="Intense Reference"/>
    <w:uiPriority w:val="32"/>
    <w:qFormat/>
    <w:rsid w:val="002F12A7"/>
    <w:rPr>
      <w:b/>
      <w:bCs/>
      <w:smallCaps/>
      <w:color w:val="44546A"/>
      <w:u w:val="single"/>
    </w:rPr>
  </w:style>
  <w:style w:type="character" w:styleId="Titredulivre">
    <w:name w:val="Book Title"/>
    <w:uiPriority w:val="33"/>
    <w:qFormat/>
    <w:rsid w:val="00A61AA1"/>
    <w:rPr>
      <w:b/>
      <w:bCs/>
      <w:smallCaps/>
      <w:spacing w:val="10"/>
    </w:rPr>
  </w:style>
  <w:style w:type="paragraph" w:customStyle="1" w:styleId="paragraphe">
    <w:name w:val="paragraphe"/>
    <w:basedOn w:val="Corpsdetexte2"/>
    <w:link w:val="paragrapheCar"/>
    <w:qFormat/>
    <w:rsid w:val="00333527"/>
    <w:pPr>
      <w:spacing w:before="60" w:line="240" w:lineRule="auto"/>
      <w:jc w:val="both"/>
    </w:pPr>
    <w:rPr>
      <w:rFonts w:ascii="Times New Roman" w:eastAsia="Times New Roman" w:hAnsi="Times New Roman" w:cs="Times New Roman"/>
      <w:color w:val="333333"/>
      <w:sz w:val="18"/>
      <w:szCs w:val="18"/>
      <w:lang w:eastAsia="fr-FR"/>
    </w:rPr>
  </w:style>
  <w:style w:type="character" w:customStyle="1" w:styleId="paragrapheCar">
    <w:name w:val="paragraphe Car"/>
    <w:link w:val="paragraphe"/>
    <w:rsid w:val="00333527"/>
    <w:rPr>
      <w:rFonts w:ascii="Times New Roman" w:eastAsia="Times New Roman" w:hAnsi="Times New Roman" w:cs="Times New Roman"/>
      <w:color w:val="333333"/>
      <w:sz w:val="18"/>
      <w:szCs w:val="18"/>
      <w:lang w:val="fr-FR" w:eastAsia="fr-FR"/>
    </w:rPr>
  </w:style>
  <w:style w:type="paragraph" w:customStyle="1" w:styleId="Bullets95ptSpreads">
    <w:name w:val="Bullets 9.5pt (Spreads)"/>
    <w:basedOn w:val="Normal"/>
    <w:uiPriority w:val="99"/>
    <w:rsid w:val="00333527"/>
    <w:pPr>
      <w:widowControl w:val="0"/>
      <w:numPr>
        <w:numId w:val="10"/>
      </w:numPr>
      <w:suppressAutoHyphens/>
      <w:autoSpaceDE w:val="0"/>
      <w:autoSpaceDN w:val="0"/>
      <w:adjustRightInd w:val="0"/>
      <w:spacing w:after="120" w:line="240" w:lineRule="atLeast"/>
      <w:textAlignment w:val="center"/>
    </w:pPr>
    <w:rPr>
      <w:rFonts w:ascii="Univers LT Std 45 Light" w:eastAsia="Times New Roman" w:hAnsi="Univers LT Std 45 Light" w:cs="Univers LT Std 45 Light"/>
      <w:color w:val="000000"/>
      <w:sz w:val="19"/>
      <w:szCs w:val="19"/>
      <w:lang w:eastAsia="en-NZ"/>
    </w:rPr>
  </w:style>
  <w:style w:type="numbering" w:customStyle="1" w:styleId="StyleHirarchisationVinciSans-Bold14ptCouleurpersonnalise">
    <w:name w:val="Style Hiérarchisation VinciSans-Bold 14 pt Couleur personnalisée..."/>
    <w:basedOn w:val="Aucuneliste"/>
    <w:rsid w:val="008026CE"/>
    <w:pPr>
      <w:numPr>
        <w:numId w:val="12"/>
      </w:numPr>
    </w:pPr>
  </w:style>
  <w:style w:type="paragraph" w:customStyle="1" w:styleId="Normal11">
    <w:name w:val="Normal_11"/>
    <w:qFormat/>
    <w:rsid w:val="002F12A7"/>
    <w:rPr>
      <w:rFonts w:ascii="Dax-Regular" w:eastAsia="Times New Roman" w:hAnsi="Dax-Regular" w:cs="Times New Roman"/>
      <w:szCs w:val="22"/>
      <w:lang w:val="fr-FR"/>
    </w:rPr>
  </w:style>
  <w:style w:type="character" w:customStyle="1" w:styleId="ParagraphedelisteCar">
    <w:name w:val="Paragraphe de liste Car"/>
    <w:aliases w:val="ANNEXE Car,PBM ART Car"/>
    <w:link w:val="Paragraphedeliste"/>
    <w:uiPriority w:val="34"/>
    <w:rsid w:val="008026CE"/>
  </w:style>
  <w:style w:type="paragraph" w:customStyle="1" w:styleId="Normal131">
    <w:name w:val="Normal_13_1"/>
    <w:qFormat/>
    <w:rsid w:val="002F12A7"/>
    <w:rPr>
      <w:rFonts w:ascii="Dax-Regular" w:eastAsia="Times New Roman" w:hAnsi="Dax-Regular" w:cs="Times New Roman"/>
      <w:szCs w:val="22"/>
      <w:lang w:val="fr-FR"/>
    </w:rPr>
  </w:style>
  <w:style w:type="character" w:styleId="Appeldenotedefin">
    <w:name w:val="endnote reference"/>
    <w:uiPriority w:val="99"/>
    <w:semiHidden/>
    <w:unhideWhenUsed/>
    <w:rsid w:val="00210FD3"/>
    <w:rPr>
      <w:vertAlign w:val="superscript"/>
    </w:rPr>
  </w:style>
  <w:style w:type="paragraph" w:styleId="Rvision">
    <w:name w:val="Revision"/>
    <w:hidden/>
    <w:uiPriority w:val="99"/>
    <w:semiHidden/>
    <w:rsid w:val="002F12A7"/>
    <w:rPr>
      <w:sz w:val="22"/>
      <w:szCs w:val="22"/>
      <w:lang w:val="fr-FR"/>
    </w:rPr>
  </w:style>
  <w:style w:type="character" w:customStyle="1" w:styleId="tlid-translation">
    <w:name w:val="tlid-translation"/>
    <w:basedOn w:val="Policepardfaut"/>
    <w:rsid w:val="00CF6222"/>
  </w:style>
  <w:style w:type="paragraph" w:customStyle="1" w:styleId="000Normal">
    <w:name w:val="000 Normal"/>
    <w:basedOn w:val="Normal"/>
    <w:rsid w:val="00811518"/>
    <w:pPr>
      <w:overflowPunct w:val="0"/>
      <w:autoSpaceDE w:val="0"/>
      <w:autoSpaceDN w:val="0"/>
      <w:adjustRightInd w:val="0"/>
      <w:spacing w:before="60" w:after="40" w:line="220" w:lineRule="exact"/>
      <w:jc w:val="both"/>
      <w:textAlignment w:val="baseline"/>
    </w:pPr>
    <w:rPr>
      <w:rFonts w:ascii="Arial" w:hAnsi="Arial"/>
      <w:sz w:val="20"/>
      <w:szCs w:val="20"/>
      <w:lang w:eastAsia="en-GB" w:bidi="en-GB"/>
    </w:rPr>
  </w:style>
  <w:style w:type="character" w:customStyle="1" w:styleId="jlqj4b">
    <w:name w:val="jlqj4b"/>
    <w:basedOn w:val="Policepardfaut"/>
    <w:rsid w:val="00246A8B"/>
  </w:style>
  <w:style w:type="character" w:customStyle="1" w:styleId="viiyi">
    <w:name w:val="viiyi"/>
    <w:basedOn w:val="Policepardfaut"/>
    <w:rsid w:val="00D713C7"/>
  </w:style>
  <w:style w:type="paragraph" w:customStyle="1" w:styleId="paragraph">
    <w:name w:val="paragraph"/>
    <w:basedOn w:val="Normal"/>
    <w:rsid w:val="00D650F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Policepardfaut"/>
    <w:rsid w:val="00D650F6"/>
  </w:style>
  <w:style w:type="character" w:customStyle="1" w:styleId="spellingerror">
    <w:name w:val="spellingerror"/>
    <w:basedOn w:val="Policepardfaut"/>
    <w:rsid w:val="00D650F6"/>
  </w:style>
  <w:style w:type="character" w:customStyle="1" w:styleId="eop">
    <w:name w:val="eop"/>
    <w:basedOn w:val="Policepardfaut"/>
    <w:rsid w:val="00D650F6"/>
  </w:style>
  <w:style w:type="character" w:customStyle="1" w:styleId="hgkelc">
    <w:name w:val="hgkelc"/>
    <w:basedOn w:val="Policepardfaut"/>
    <w:rsid w:val="00217BF2"/>
  </w:style>
  <w:style w:type="character" w:customStyle="1" w:styleId="Footnote">
    <w:name w:val="Footnote"/>
    <w:uiPriority w:val="99"/>
    <w:rsid w:val="009738E2"/>
    <w:rPr>
      <w:rFonts w:ascii="Univers 45 Light" w:hAnsi="Univers 45 Light"/>
      <w:b/>
      <w:color w:val="D30B54"/>
      <w:position w:val="2"/>
      <w:sz w:val="22"/>
      <w:vertAlign w:val="superscript"/>
    </w:rPr>
  </w:style>
  <w:style w:type="character" w:customStyle="1" w:styleId="Manualhyperlinks">
    <w:name w:val="Manual hyperlinks"/>
    <w:uiPriority w:val="99"/>
    <w:rsid w:val="009433A7"/>
    <w:rPr>
      <w:color w:val="6F2784"/>
    </w:rPr>
  </w:style>
  <w:style w:type="paragraph" w:customStyle="1" w:styleId="Puce">
    <w:name w:val="Puce"/>
    <w:basedOn w:val="Normal"/>
    <w:autoRedefine/>
    <w:rsid w:val="00E6646A"/>
    <w:pPr>
      <w:numPr>
        <w:numId w:val="14"/>
      </w:numPr>
      <w:tabs>
        <w:tab w:val="left" w:pos="357"/>
      </w:tabs>
      <w:spacing w:before="120" w:after="0" w:line="240" w:lineRule="auto"/>
      <w:contextualSpacing/>
      <w:jc w:val="both"/>
    </w:pPr>
    <w:rPr>
      <w:rFonts w:ascii="Arial" w:eastAsia="SimSun" w:hAnsi="Arial"/>
      <w:sz w:val="20"/>
      <w:szCs w:val="20"/>
      <w:lang w:eastAsia="fr-FR"/>
    </w:rPr>
  </w:style>
  <w:style w:type="paragraph" w:customStyle="1" w:styleId="wText">
    <w:name w:val="wText"/>
    <w:basedOn w:val="Normal"/>
    <w:link w:val="wTextChar"/>
    <w:uiPriority w:val="1"/>
    <w:qFormat/>
    <w:rsid w:val="007164EE"/>
    <w:pPr>
      <w:spacing w:after="180" w:line="240" w:lineRule="auto"/>
      <w:jc w:val="both"/>
    </w:pPr>
    <w:rPr>
      <w:rFonts w:ascii="Times New Roman" w:eastAsia="MS Mincho" w:hAnsi="Times New Roman"/>
    </w:rPr>
  </w:style>
  <w:style w:type="character" w:customStyle="1" w:styleId="wTextChar">
    <w:name w:val="wText Char"/>
    <w:link w:val="wText"/>
    <w:uiPriority w:val="1"/>
    <w:rsid w:val="007164EE"/>
    <w:rPr>
      <w:rFonts w:ascii="Times New Roman" w:eastAsia="MS Mincho" w:hAnsi="Times New Roman"/>
      <w:sz w:val="22"/>
      <w:szCs w:val="22"/>
      <w:lang w:val="fr-FR"/>
    </w:rPr>
  </w:style>
  <w:style w:type="character" w:customStyle="1" w:styleId="basexpc">
    <w:name w:val="basexpc"/>
    <w:basedOn w:val="Policepardfaut"/>
    <w:rsid w:val="00B91812"/>
  </w:style>
  <w:style w:type="paragraph" w:customStyle="1" w:styleId="Style1">
    <w:name w:val="Style1"/>
    <w:basedOn w:val="Titre3"/>
    <w:link w:val="Style1Car"/>
    <w:qFormat/>
    <w:rsid w:val="00F95C3E"/>
    <w:pPr>
      <w:numPr>
        <w:ilvl w:val="2"/>
        <w:numId w:val="11"/>
      </w:numPr>
      <w:spacing w:before="120"/>
      <w:ind w:right="-74"/>
    </w:pPr>
    <w:rPr>
      <w:rFonts w:ascii="Calibri" w:hAnsi="Calibri"/>
      <w:b/>
      <w:bCs/>
      <w:sz w:val="22"/>
      <w:szCs w:val="22"/>
    </w:rPr>
  </w:style>
  <w:style w:type="character" w:styleId="Mentionnonrsolue">
    <w:name w:val="Unresolved Mention"/>
    <w:basedOn w:val="Policepardfaut"/>
    <w:uiPriority w:val="99"/>
    <w:semiHidden/>
    <w:unhideWhenUsed/>
    <w:rsid w:val="00F95C3E"/>
    <w:rPr>
      <w:color w:val="605E5C"/>
      <w:shd w:val="clear" w:color="auto" w:fill="E1DFDD"/>
    </w:rPr>
  </w:style>
  <w:style w:type="character" w:customStyle="1" w:styleId="Style1Car">
    <w:name w:val="Style1 Car"/>
    <w:basedOn w:val="Titre3Car"/>
    <w:link w:val="Style1"/>
    <w:rsid w:val="00F95C3E"/>
    <w:rPr>
      <w:rFonts w:ascii="Calibri Light" w:eastAsia="DengXian Light" w:hAnsi="Calibri Light" w:cs="Times New Roman"/>
      <w:b/>
      <w:bCs/>
      <w:color w:val="2F5496"/>
      <w:sz w:val="22"/>
      <w:szCs w:val="22"/>
      <w:lang w:val="fr-FR"/>
    </w:rPr>
  </w:style>
  <w:style w:type="character" w:customStyle="1" w:styleId="basexalinea">
    <w:name w:val="basexalinea"/>
    <w:basedOn w:val="Policepardfaut"/>
    <w:rsid w:val="00B55BEF"/>
  </w:style>
  <w:style w:type="character" w:customStyle="1" w:styleId="SansinterligneCar">
    <w:name w:val="Sans interligne Car"/>
    <w:basedOn w:val="Policepardfaut"/>
    <w:link w:val="Sansinterligne"/>
    <w:uiPriority w:val="1"/>
    <w:rsid w:val="00524151"/>
    <w:rPr>
      <w:sz w:val="22"/>
      <w:szCs w:val="22"/>
      <w:lang w:val="fr-FR"/>
    </w:rPr>
  </w:style>
  <w:style w:type="paragraph" w:customStyle="1" w:styleId="p1">
    <w:name w:val="p1"/>
    <w:basedOn w:val="Normal"/>
    <w:rsid w:val="001938B4"/>
    <w:pPr>
      <w:spacing w:after="0" w:line="240" w:lineRule="auto"/>
    </w:pPr>
    <w:rPr>
      <w:rFonts w:ascii="Helvetica Neue Light" w:eastAsiaTheme="minorHAnsi" w:hAnsi="Helvetica Neue Light" w:cs="Calibri"/>
      <w:color w:val="0F0F0F"/>
      <w:sz w:val="21"/>
      <w:szCs w:val="21"/>
      <w:lang w:eastAsia="fr-FR"/>
    </w:rPr>
  </w:style>
  <w:style w:type="character" w:customStyle="1" w:styleId="apple-converted-space">
    <w:name w:val="apple-converted-space"/>
    <w:basedOn w:val="Policepardfaut"/>
    <w:rsid w:val="001938B4"/>
  </w:style>
  <w:style w:type="character" w:customStyle="1" w:styleId="markedcontent">
    <w:name w:val="markedcontent"/>
    <w:basedOn w:val="Policepardfaut"/>
    <w:rsid w:val="00767EE9"/>
  </w:style>
  <w:style w:type="table" w:styleId="TableauGrille1Clair-Accentuation1">
    <w:name w:val="Grid Table 1 Light Accent 1"/>
    <w:basedOn w:val="TableauNormal"/>
    <w:uiPriority w:val="46"/>
    <w:rsid w:val="0041512C"/>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TexteCP">
    <w:name w:val="TexteCP"/>
    <w:basedOn w:val="Normal"/>
    <w:link w:val="TexteCPCar"/>
    <w:qFormat/>
    <w:rsid w:val="0041512C"/>
    <w:pPr>
      <w:spacing w:after="0" w:line="240" w:lineRule="auto"/>
      <w:jc w:val="both"/>
    </w:pPr>
    <w:rPr>
      <w:rFonts w:ascii="Source Sans Pro" w:eastAsiaTheme="minorHAnsi" w:hAnsi="Source Sans Pro"/>
      <w:iCs/>
      <w:sz w:val="20"/>
      <w:szCs w:val="20"/>
    </w:rPr>
  </w:style>
  <w:style w:type="character" w:customStyle="1" w:styleId="TexteCPCar">
    <w:name w:val="TexteCP Car"/>
    <w:basedOn w:val="Policepardfaut"/>
    <w:link w:val="TexteCP"/>
    <w:rsid w:val="0041512C"/>
    <w:rPr>
      <w:rFonts w:ascii="Source Sans Pro" w:eastAsiaTheme="minorHAnsi" w:hAnsi="Source Sans Pro"/>
      <w:iCs/>
      <w:lang w:val="fr-FR"/>
    </w:rPr>
  </w:style>
  <w:style w:type="paragraph" w:customStyle="1" w:styleId="SSChapitreCP">
    <w:name w:val="SSChapitreCP"/>
    <w:basedOn w:val="Normal"/>
    <w:link w:val="SSChapitreCPCar"/>
    <w:qFormat/>
    <w:rsid w:val="0041512C"/>
    <w:pPr>
      <w:spacing w:before="120" w:after="120" w:line="240" w:lineRule="auto"/>
    </w:pPr>
    <w:rPr>
      <w:rFonts w:ascii="Source Sans Pro" w:eastAsia="SimSun" w:hAnsi="Source Sans Pro" w:cs="Times New Roman"/>
      <w:b/>
      <w:sz w:val="24"/>
      <w:szCs w:val="20"/>
    </w:rPr>
  </w:style>
  <w:style w:type="character" w:customStyle="1" w:styleId="SSChapitreCPCar">
    <w:name w:val="SSChapitreCP Car"/>
    <w:basedOn w:val="Policepardfaut"/>
    <w:link w:val="SSChapitreCP"/>
    <w:rsid w:val="0041512C"/>
    <w:rPr>
      <w:rFonts w:ascii="Source Sans Pro" w:eastAsia="SimSun" w:hAnsi="Source Sans Pro" w:cs="Times New Roman"/>
      <w:b/>
      <w:sz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1032">
      <w:bodyDiv w:val="1"/>
      <w:marLeft w:val="0"/>
      <w:marRight w:val="0"/>
      <w:marTop w:val="0"/>
      <w:marBottom w:val="0"/>
      <w:divBdr>
        <w:top w:val="none" w:sz="0" w:space="0" w:color="auto"/>
        <w:left w:val="none" w:sz="0" w:space="0" w:color="auto"/>
        <w:bottom w:val="none" w:sz="0" w:space="0" w:color="auto"/>
        <w:right w:val="none" w:sz="0" w:space="0" w:color="auto"/>
      </w:divBdr>
    </w:div>
    <w:div w:id="11420243">
      <w:bodyDiv w:val="1"/>
      <w:marLeft w:val="0"/>
      <w:marRight w:val="0"/>
      <w:marTop w:val="0"/>
      <w:marBottom w:val="0"/>
      <w:divBdr>
        <w:top w:val="none" w:sz="0" w:space="0" w:color="auto"/>
        <w:left w:val="none" w:sz="0" w:space="0" w:color="auto"/>
        <w:bottom w:val="none" w:sz="0" w:space="0" w:color="auto"/>
        <w:right w:val="none" w:sz="0" w:space="0" w:color="auto"/>
      </w:divBdr>
    </w:div>
    <w:div w:id="13196312">
      <w:bodyDiv w:val="1"/>
      <w:marLeft w:val="0"/>
      <w:marRight w:val="0"/>
      <w:marTop w:val="0"/>
      <w:marBottom w:val="0"/>
      <w:divBdr>
        <w:top w:val="none" w:sz="0" w:space="0" w:color="auto"/>
        <w:left w:val="none" w:sz="0" w:space="0" w:color="auto"/>
        <w:bottom w:val="none" w:sz="0" w:space="0" w:color="auto"/>
        <w:right w:val="none" w:sz="0" w:space="0" w:color="auto"/>
      </w:divBdr>
    </w:div>
    <w:div w:id="13197468">
      <w:bodyDiv w:val="1"/>
      <w:marLeft w:val="0"/>
      <w:marRight w:val="0"/>
      <w:marTop w:val="0"/>
      <w:marBottom w:val="0"/>
      <w:divBdr>
        <w:top w:val="none" w:sz="0" w:space="0" w:color="auto"/>
        <w:left w:val="none" w:sz="0" w:space="0" w:color="auto"/>
        <w:bottom w:val="none" w:sz="0" w:space="0" w:color="auto"/>
        <w:right w:val="none" w:sz="0" w:space="0" w:color="auto"/>
      </w:divBdr>
    </w:div>
    <w:div w:id="15271761">
      <w:bodyDiv w:val="1"/>
      <w:marLeft w:val="0"/>
      <w:marRight w:val="0"/>
      <w:marTop w:val="0"/>
      <w:marBottom w:val="0"/>
      <w:divBdr>
        <w:top w:val="none" w:sz="0" w:space="0" w:color="auto"/>
        <w:left w:val="none" w:sz="0" w:space="0" w:color="auto"/>
        <w:bottom w:val="none" w:sz="0" w:space="0" w:color="auto"/>
        <w:right w:val="none" w:sz="0" w:space="0" w:color="auto"/>
      </w:divBdr>
    </w:div>
    <w:div w:id="18238138">
      <w:bodyDiv w:val="1"/>
      <w:marLeft w:val="0"/>
      <w:marRight w:val="0"/>
      <w:marTop w:val="0"/>
      <w:marBottom w:val="0"/>
      <w:divBdr>
        <w:top w:val="none" w:sz="0" w:space="0" w:color="auto"/>
        <w:left w:val="none" w:sz="0" w:space="0" w:color="auto"/>
        <w:bottom w:val="none" w:sz="0" w:space="0" w:color="auto"/>
        <w:right w:val="none" w:sz="0" w:space="0" w:color="auto"/>
      </w:divBdr>
    </w:div>
    <w:div w:id="20017353">
      <w:bodyDiv w:val="1"/>
      <w:marLeft w:val="0"/>
      <w:marRight w:val="0"/>
      <w:marTop w:val="0"/>
      <w:marBottom w:val="0"/>
      <w:divBdr>
        <w:top w:val="none" w:sz="0" w:space="0" w:color="auto"/>
        <w:left w:val="none" w:sz="0" w:space="0" w:color="auto"/>
        <w:bottom w:val="none" w:sz="0" w:space="0" w:color="auto"/>
        <w:right w:val="none" w:sz="0" w:space="0" w:color="auto"/>
      </w:divBdr>
    </w:div>
    <w:div w:id="24909769">
      <w:bodyDiv w:val="1"/>
      <w:marLeft w:val="0"/>
      <w:marRight w:val="0"/>
      <w:marTop w:val="0"/>
      <w:marBottom w:val="0"/>
      <w:divBdr>
        <w:top w:val="none" w:sz="0" w:space="0" w:color="auto"/>
        <w:left w:val="none" w:sz="0" w:space="0" w:color="auto"/>
        <w:bottom w:val="none" w:sz="0" w:space="0" w:color="auto"/>
        <w:right w:val="none" w:sz="0" w:space="0" w:color="auto"/>
      </w:divBdr>
    </w:div>
    <w:div w:id="25183980">
      <w:bodyDiv w:val="1"/>
      <w:marLeft w:val="0"/>
      <w:marRight w:val="0"/>
      <w:marTop w:val="0"/>
      <w:marBottom w:val="0"/>
      <w:divBdr>
        <w:top w:val="none" w:sz="0" w:space="0" w:color="auto"/>
        <w:left w:val="none" w:sz="0" w:space="0" w:color="auto"/>
        <w:bottom w:val="none" w:sz="0" w:space="0" w:color="auto"/>
        <w:right w:val="none" w:sz="0" w:space="0" w:color="auto"/>
      </w:divBdr>
    </w:div>
    <w:div w:id="25758381">
      <w:bodyDiv w:val="1"/>
      <w:marLeft w:val="0"/>
      <w:marRight w:val="0"/>
      <w:marTop w:val="0"/>
      <w:marBottom w:val="0"/>
      <w:divBdr>
        <w:top w:val="none" w:sz="0" w:space="0" w:color="auto"/>
        <w:left w:val="none" w:sz="0" w:space="0" w:color="auto"/>
        <w:bottom w:val="none" w:sz="0" w:space="0" w:color="auto"/>
        <w:right w:val="none" w:sz="0" w:space="0" w:color="auto"/>
      </w:divBdr>
    </w:div>
    <w:div w:id="31542243">
      <w:bodyDiv w:val="1"/>
      <w:marLeft w:val="0"/>
      <w:marRight w:val="0"/>
      <w:marTop w:val="0"/>
      <w:marBottom w:val="0"/>
      <w:divBdr>
        <w:top w:val="none" w:sz="0" w:space="0" w:color="auto"/>
        <w:left w:val="none" w:sz="0" w:space="0" w:color="auto"/>
        <w:bottom w:val="none" w:sz="0" w:space="0" w:color="auto"/>
        <w:right w:val="none" w:sz="0" w:space="0" w:color="auto"/>
      </w:divBdr>
    </w:div>
    <w:div w:id="38750872">
      <w:bodyDiv w:val="1"/>
      <w:marLeft w:val="0"/>
      <w:marRight w:val="0"/>
      <w:marTop w:val="0"/>
      <w:marBottom w:val="0"/>
      <w:divBdr>
        <w:top w:val="none" w:sz="0" w:space="0" w:color="auto"/>
        <w:left w:val="none" w:sz="0" w:space="0" w:color="auto"/>
        <w:bottom w:val="none" w:sz="0" w:space="0" w:color="auto"/>
        <w:right w:val="none" w:sz="0" w:space="0" w:color="auto"/>
      </w:divBdr>
    </w:div>
    <w:div w:id="38823094">
      <w:bodyDiv w:val="1"/>
      <w:marLeft w:val="0"/>
      <w:marRight w:val="0"/>
      <w:marTop w:val="0"/>
      <w:marBottom w:val="0"/>
      <w:divBdr>
        <w:top w:val="none" w:sz="0" w:space="0" w:color="auto"/>
        <w:left w:val="none" w:sz="0" w:space="0" w:color="auto"/>
        <w:bottom w:val="none" w:sz="0" w:space="0" w:color="auto"/>
        <w:right w:val="none" w:sz="0" w:space="0" w:color="auto"/>
      </w:divBdr>
    </w:div>
    <w:div w:id="40398481">
      <w:bodyDiv w:val="1"/>
      <w:marLeft w:val="0"/>
      <w:marRight w:val="0"/>
      <w:marTop w:val="0"/>
      <w:marBottom w:val="0"/>
      <w:divBdr>
        <w:top w:val="none" w:sz="0" w:space="0" w:color="auto"/>
        <w:left w:val="none" w:sz="0" w:space="0" w:color="auto"/>
        <w:bottom w:val="none" w:sz="0" w:space="0" w:color="auto"/>
        <w:right w:val="none" w:sz="0" w:space="0" w:color="auto"/>
      </w:divBdr>
    </w:div>
    <w:div w:id="44180332">
      <w:bodyDiv w:val="1"/>
      <w:marLeft w:val="0"/>
      <w:marRight w:val="0"/>
      <w:marTop w:val="0"/>
      <w:marBottom w:val="0"/>
      <w:divBdr>
        <w:top w:val="none" w:sz="0" w:space="0" w:color="auto"/>
        <w:left w:val="none" w:sz="0" w:space="0" w:color="auto"/>
        <w:bottom w:val="none" w:sz="0" w:space="0" w:color="auto"/>
        <w:right w:val="none" w:sz="0" w:space="0" w:color="auto"/>
      </w:divBdr>
    </w:div>
    <w:div w:id="44262108">
      <w:bodyDiv w:val="1"/>
      <w:marLeft w:val="0"/>
      <w:marRight w:val="0"/>
      <w:marTop w:val="0"/>
      <w:marBottom w:val="0"/>
      <w:divBdr>
        <w:top w:val="none" w:sz="0" w:space="0" w:color="auto"/>
        <w:left w:val="none" w:sz="0" w:space="0" w:color="auto"/>
        <w:bottom w:val="none" w:sz="0" w:space="0" w:color="auto"/>
        <w:right w:val="none" w:sz="0" w:space="0" w:color="auto"/>
      </w:divBdr>
    </w:div>
    <w:div w:id="44377159">
      <w:bodyDiv w:val="1"/>
      <w:marLeft w:val="0"/>
      <w:marRight w:val="0"/>
      <w:marTop w:val="0"/>
      <w:marBottom w:val="0"/>
      <w:divBdr>
        <w:top w:val="none" w:sz="0" w:space="0" w:color="auto"/>
        <w:left w:val="none" w:sz="0" w:space="0" w:color="auto"/>
        <w:bottom w:val="none" w:sz="0" w:space="0" w:color="auto"/>
        <w:right w:val="none" w:sz="0" w:space="0" w:color="auto"/>
      </w:divBdr>
    </w:div>
    <w:div w:id="45570796">
      <w:bodyDiv w:val="1"/>
      <w:marLeft w:val="0"/>
      <w:marRight w:val="0"/>
      <w:marTop w:val="0"/>
      <w:marBottom w:val="0"/>
      <w:divBdr>
        <w:top w:val="none" w:sz="0" w:space="0" w:color="auto"/>
        <w:left w:val="none" w:sz="0" w:space="0" w:color="auto"/>
        <w:bottom w:val="none" w:sz="0" w:space="0" w:color="auto"/>
        <w:right w:val="none" w:sz="0" w:space="0" w:color="auto"/>
      </w:divBdr>
    </w:div>
    <w:div w:id="45615321">
      <w:bodyDiv w:val="1"/>
      <w:marLeft w:val="0"/>
      <w:marRight w:val="0"/>
      <w:marTop w:val="0"/>
      <w:marBottom w:val="0"/>
      <w:divBdr>
        <w:top w:val="none" w:sz="0" w:space="0" w:color="auto"/>
        <w:left w:val="none" w:sz="0" w:space="0" w:color="auto"/>
        <w:bottom w:val="none" w:sz="0" w:space="0" w:color="auto"/>
        <w:right w:val="none" w:sz="0" w:space="0" w:color="auto"/>
      </w:divBdr>
    </w:div>
    <w:div w:id="45645413">
      <w:bodyDiv w:val="1"/>
      <w:marLeft w:val="0"/>
      <w:marRight w:val="0"/>
      <w:marTop w:val="0"/>
      <w:marBottom w:val="0"/>
      <w:divBdr>
        <w:top w:val="none" w:sz="0" w:space="0" w:color="auto"/>
        <w:left w:val="none" w:sz="0" w:space="0" w:color="auto"/>
        <w:bottom w:val="none" w:sz="0" w:space="0" w:color="auto"/>
        <w:right w:val="none" w:sz="0" w:space="0" w:color="auto"/>
      </w:divBdr>
    </w:div>
    <w:div w:id="50272126">
      <w:bodyDiv w:val="1"/>
      <w:marLeft w:val="0"/>
      <w:marRight w:val="0"/>
      <w:marTop w:val="0"/>
      <w:marBottom w:val="0"/>
      <w:divBdr>
        <w:top w:val="none" w:sz="0" w:space="0" w:color="auto"/>
        <w:left w:val="none" w:sz="0" w:space="0" w:color="auto"/>
        <w:bottom w:val="none" w:sz="0" w:space="0" w:color="auto"/>
        <w:right w:val="none" w:sz="0" w:space="0" w:color="auto"/>
      </w:divBdr>
    </w:div>
    <w:div w:id="58138454">
      <w:bodyDiv w:val="1"/>
      <w:marLeft w:val="0"/>
      <w:marRight w:val="0"/>
      <w:marTop w:val="0"/>
      <w:marBottom w:val="0"/>
      <w:divBdr>
        <w:top w:val="none" w:sz="0" w:space="0" w:color="auto"/>
        <w:left w:val="none" w:sz="0" w:space="0" w:color="auto"/>
        <w:bottom w:val="none" w:sz="0" w:space="0" w:color="auto"/>
        <w:right w:val="none" w:sz="0" w:space="0" w:color="auto"/>
      </w:divBdr>
    </w:div>
    <w:div w:id="58406746">
      <w:bodyDiv w:val="1"/>
      <w:marLeft w:val="0"/>
      <w:marRight w:val="0"/>
      <w:marTop w:val="0"/>
      <w:marBottom w:val="0"/>
      <w:divBdr>
        <w:top w:val="none" w:sz="0" w:space="0" w:color="auto"/>
        <w:left w:val="none" w:sz="0" w:space="0" w:color="auto"/>
        <w:bottom w:val="none" w:sz="0" w:space="0" w:color="auto"/>
        <w:right w:val="none" w:sz="0" w:space="0" w:color="auto"/>
      </w:divBdr>
    </w:div>
    <w:div w:id="60325250">
      <w:bodyDiv w:val="1"/>
      <w:marLeft w:val="0"/>
      <w:marRight w:val="0"/>
      <w:marTop w:val="0"/>
      <w:marBottom w:val="0"/>
      <w:divBdr>
        <w:top w:val="none" w:sz="0" w:space="0" w:color="auto"/>
        <w:left w:val="none" w:sz="0" w:space="0" w:color="auto"/>
        <w:bottom w:val="none" w:sz="0" w:space="0" w:color="auto"/>
        <w:right w:val="none" w:sz="0" w:space="0" w:color="auto"/>
      </w:divBdr>
    </w:div>
    <w:div w:id="60371670">
      <w:bodyDiv w:val="1"/>
      <w:marLeft w:val="0"/>
      <w:marRight w:val="0"/>
      <w:marTop w:val="0"/>
      <w:marBottom w:val="0"/>
      <w:divBdr>
        <w:top w:val="none" w:sz="0" w:space="0" w:color="auto"/>
        <w:left w:val="none" w:sz="0" w:space="0" w:color="auto"/>
        <w:bottom w:val="none" w:sz="0" w:space="0" w:color="auto"/>
        <w:right w:val="none" w:sz="0" w:space="0" w:color="auto"/>
      </w:divBdr>
    </w:div>
    <w:div w:id="60688091">
      <w:bodyDiv w:val="1"/>
      <w:marLeft w:val="0"/>
      <w:marRight w:val="0"/>
      <w:marTop w:val="0"/>
      <w:marBottom w:val="0"/>
      <w:divBdr>
        <w:top w:val="none" w:sz="0" w:space="0" w:color="auto"/>
        <w:left w:val="none" w:sz="0" w:space="0" w:color="auto"/>
        <w:bottom w:val="none" w:sz="0" w:space="0" w:color="auto"/>
        <w:right w:val="none" w:sz="0" w:space="0" w:color="auto"/>
      </w:divBdr>
    </w:div>
    <w:div w:id="65345043">
      <w:bodyDiv w:val="1"/>
      <w:marLeft w:val="0"/>
      <w:marRight w:val="0"/>
      <w:marTop w:val="0"/>
      <w:marBottom w:val="0"/>
      <w:divBdr>
        <w:top w:val="none" w:sz="0" w:space="0" w:color="auto"/>
        <w:left w:val="none" w:sz="0" w:space="0" w:color="auto"/>
        <w:bottom w:val="none" w:sz="0" w:space="0" w:color="auto"/>
        <w:right w:val="none" w:sz="0" w:space="0" w:color="auto"/>
      </w:divBdr>
    </w:div>
    <w:div w:id="65954112">
      <w:bodyDiv w:val="1"/>
      <w:marLeft w:val="0"/>
      <w:marRight w:val="0"/>
      <w:marTop w:val="0"/>
      <w:marBottom w:val="0"/>
      <w:divBdr>
        <w:top w:val="none" w:sz="0" w:space="0" w:color="auto"/>
        <w:left w:val="none" w:sz="0" w:space="0" w:color="auto"/>
        <w:bottom w:val="none" w:sz="0" w:space="0" w:color="auto"/>
        <w:right w:val="none" w:sz="0" w:space="0" w:color="auto"/>
      </w:divBdr>
    </w:div>
    <w:div w:id="73624484">
      <w:bodyDiv w:val="1"/>
      <w:marLeft w:val="0"/>
      <w:marRight w:val="0"/>
      <w:marTop w:val="0"/>
      <w:marBottom w:val="0"/>
      <w:divBdr>
        <w:top w:val="none" w:sz="0" w:space="0" w:color="auto"/>
        <w:left w:val="none" w:sz="0" w:space="0" w:color="auto"/>
        <w:bottom w:val="none" w:sz="0" w:space="0" w:color="auto"/>
        <w:right w:val="none" w:sz="0" w:space="0" w:color="auto"/>
      </w:divBdr>
    </w:div>
    <w:div w:id="74520558">
      <w:bodyDiv w:val="1"/>
      <w:marLeft w:val="0"/>
      <w:marRight w:val="0"/>
      <w:marTop w:val="0"/>
      <w:marBottom w:val="0"/>
      <w:divBdr>
        <w:top w:val="none" w:sz="0" w:space="0" w:color="auto"/>
        <w:left w:val="none" w:sz="0" w:space="0" w:color="auto"/>
        <w:bottom w:val="none" w:sz="0" w:space="0" w:color="auto"/>
        <w:right w:val="none" w:sz="0" w:space="0" w:color="auto"/>
      </w:divBdr>
    </w:div>
    <w:div w:id="76561285">
      <w:bodyDiv w:val="1"/>
      <w:marLeft w:val="0"/>
      <w:marRight w:val="0"/>
      <w:marTop w:val="0"/>
      <w:marBottom w:val="0"/>
      <w:divBdr>
        <w:top w:val="none" w:sz="0" w:space="0" w:color="auto"/>
        <w:left w:val="none" w:sz="0" w:space="0" w:color="auto"/>
        <w:bottom w:val="none" w:sz="0" w:space="0" w:color="auto"/>
        <w:right w:val="none" w:sz="0" w:space="0" w:color="auto"/>
      </w:divBdr>
    </w:div>
    <w:div w:id="79065221">
      <w:bodyDiv w:val="1"/>
      <w:marLeft w:val="0"/>
      <w:marRight w:val="0"/>
      <w:marTop w:val="0"/>
      <w:marBottom w:val="0"/>
      <w:divBdr>
        <w:top w:val="none" w:sz="0" w:space="0" w:color="auto"/>
        <w:left w:val="none" w:sz="0" w:space="0" w:color="auto"/>
        <w:bottom w:val="none" w:sz="0" w:space="0" w:color="auto"/>
        <w:right w:val="none" w:sz="0" w:space="0" w:color="auto"/>
      </w:divBdr>
    </w:div>
    <w:div w:id="80182441">
      <w:bodyDiv w:val="1"/>
      <w:marLeft w:val="0"/>
      <w:marRight w:val="0"/>
      <w:marTop w:val="0"/>
      <w:marBottom w:val="0"/>
      <w:divBdr>
        <w:top w:val="none" w:sz="0" w:space="0" w:color="auto"/>
        <w:left w:val="none" w:sz="0" w:space="0" w:color="auto"/>
        <w:bottom w:val="none" w:sz="0" w:space="0" w:color="auto"/>
        <w:right w:val="none" w:sz="0" w:space="0" w:color="auto"/>
      </w:divBdr>
    </w:div>
    <w:div w:id="87191972">
      <w:bodyDiv w:val="1"/>
      <w:marLeft w:val="0"/>
      <w:marRight w:val="0"/>
      <w:marTop w:val="0"/>
      <w:marBottom w:val="0"/>
      <w:divBdr>
        <w:top w:val="none" w:sz="0" w:space="0" w:color="auto"/>
        <w:left w:val="none" w:sz="0" w:space="0" w:color="auto"/>
        <w:bottom w:val="none" w:sz="0" w:space="0" w:color="auto"/>
        <w:right w:val="none" w:sz="0" w:space="0" w:color="auto"/>
      </w:divBdr>
    </w:div>
    <w:div w:id="89592973">
      <w:bodyDiv w:val="1"/>
      <w:marLeft w:val="0"/>
      <w:marRight w:val="0"/>
      <w:marTop w:val="0"/>
      <w:marBottom w:val="0"/>
      <w:divBdr>
        <w:top w:val="none" w:sz="0" w:space="0" w:color="auto"/>
        <w:left w:val="none" w:sz="0" w:space="0" w:color="auto"/>
        <w:bottom w:val="none" w:sz="0" w:space="0" w:color="auto"/>
        <w:right w:val="none" w:sz="0" w:space="0" w:color="auto"/>
      </w:divBdr>
    </w:div>
    <w:div w:id="91900254">
      <w:bodyDiv w:val="1"/>
      <w:marLeft w:val="0"/>
      <w:marRight w:val="0"/>
      <w:marTop w:val="0"/>
      <w:marBottom w:val="0"/>
      <w:divBdr>
        <w:top w:val="none" w:sz="0" w:space="0" w:color="auto"/>
        <w:left w:val="none" w:sz="0" w:space="0" w:color="auto"/>
        <w:bottom w:val="none" w:sz="0" w:space="0" w:color="auto"/>
        <w:right w:val="none" w:sz="0" w:space="0" w:color="auto"/>
      </w:divBdr>
    </w:div>
    <w:div w:id="92946587">
      <w:bodyDiv w:val="1"/>
      <w:marLeft w:val="0"/>
      <w:marRight w:val="0"/>
      <w:marTop w:val="0"/>
      <w:marBottom w:val="0"/>
      <w:divBdr>
        <w:top w:val="none" w:sz="0" w:space="0" w:color="auto"/>
        <w:left w:val="none" w:sz="0" w:space="0" w:color="auto"/>
        <w:bottom w:val="none" w:sz="0" w:space="0" w:color="auto"/>
        <w:right w:val="none" w:sz="0" w:space="0" w:color="auto"/>
      </w:divBdr>
    </w:div>
    <w:div w:id="94444989">
      <w:bodyDiv w:val="1"/>
      <w:marLeft w:val="0"/>
      <w:marRight w:val="0"/>
      <w:marTop w:val="0"/>
      <w:marBottom w:val="0"/>
      <w:divBdr>
        <w:top w:val="none" w:sz="0" w:space="0" w:color="auto"/>
        <w:left w:val="none" w:sz="0" w:space="0" w:color="auto"/>
        <w:bottom w:val="none" w:sz="0" w:space="0" w:color="auto"/>
        <w:right w:val="none" w:sz="0" w:space="0" w:color="auto"/>
      </w:divBdr>
    </w:div>
    <w:div w:id="97720859">
      <w:bodyDiv w:val="1"/>
      <w:marLeft w:val="0"/>
      <w:marRight w:val="0"/>
      <w:marTop w:val="0"/>
      <w:marBottom w:val="0"/>
      <w:divBdr>
        <w:top w:val="none" w:sz="0" w:space="0" w:color="auto"/>
        <w:left w:val="none" w:sz="0" w:space="0" w:color="auto"/>
        <w:bottom w:val="none" w:sz="0" w:space="0" w:color="auto"/>
        <w:right w:val="none" w:sz="0" w:space="0" w:color="auto"/>
      </w:divBdr>
    </w:div>
    <w:div w:id="100077327">
      <w:bodyDiv w:val="1"/>
      <w:marLeft w:val="0"/>
      <w:marRight w:val="0"/>
      <w:marTop w:val="0"/>
      <w:marBottom w:val="0"/>
      <w:divBdr>
        <w:top w:val="none" w:sz="0" w:space="0" w:color="auto"/>
        <w:left w:val="none" w:sz="0" w:space="0" w:color="auto"/>
        <w:bottom w:val="none" w:sz="0" w:space="0" w:color="auto"/>
        <w:right w:val="none" w:sz="0" w:space="0" w:color="auto"/>
      </w:divBdr>
    </w:div>
    <w:div w:id="101455873">
      <w:bodyDiv w:val="1"/>
      <w:marLeft w:val="0"/>
      <w:marRight w:val="0"/>
      <w:marTop w:val="0"/>
      <w:marBottom w:val="0"/>
      <w:divBdr>
        <w:top w:val="none" w:sz="0" w:space="0" w:color="auto"/>
        <w:left w:val="none" w:sz="0" w:space="0" w:color="auto"/>
        <w:bottom w:val="none" w:sz="0" w:space="0" w:color="auto"/>
        <w:right w:val="none" w:sz="0" w:space="0" w:color="auto"/>
      </w:divBdr>
    </w:div>
    <w:div w:id="101537820">
      <w:bodyDiv w:val="1"/>
      <w:marLeft w:val="0"/>
      <w:marRight w:val="0"/>
      <w:marTop w:val="0"/>
      <w:marBottom w:val="0"/>
      <w:divBdr>
        <w:top w:val="none" w:sz="0" w:space="0" w:color="auto"/>
        <w:left w:val="none" w:sz="0" w:space="0" w:color="auto"/>
        <w:bottom w:val="none" w:sz="0" w:space="0" w:color="auto"/>
        <w:right w:val="none" w:sz="0" w:space="0" w:color="auto"/>
      </w:divBdr>
    </w:div>
    <w:div w:id="101655004">
      <w:bodyDiv w:val="1"/>
      <w:marLeft w:val="0"/>
      <w:marRight w:val="0"/>
      <w:marTop w:val="0"/>
      <w:marBottom w:val="0"/>
      <w:divBdr>
        <w:top w:val="none" w:sz="0" w:space="0" w:color="auto"/>
        <w:left w:val="none" w:sz="0" w:space="0" w:color="auto"/>
        <w:bottom w:val="none" w:sz="0" w:space="0" w:color="auto"/>
        <w:right w:val="none" w:sz="0" w:space="0" w:color="auto"/>
      </w:divBdr>
    </w:div>
    <w:div w:id="106242170">
      <w:bodyDiv w:val="1"/>
      <w:marLeft w:val="0"/>
      <w:marRight w:val="0"/>
      <w:marTop w:val="0"/>
      <w:marBottom w:val="0"/>
      <w:divBdr>
        <w:top w:val="none" w:sz="0" w:space="0" w:color="auto"/>
        <w:left w:val="none" w:sz="0" w:space="0" w:color="auto"/>
        <w:bottom w:val="none" w:sz="0" w:space="0" w:color="auto"/>
        <w:right w:val="none" w:sz="0" w:space="0" w:color="auto"/>
      </w:divBdr>
    </w:div>
    <w:div w:id="112528579">
      <w:bodyDiv w:val="1"/>
      <w:marLeft w:val="0"/>
      <w:marRight w:val="0"/>
      <w:marTop w:val="0"/>
      <w:marBottom w:val="0"/>
      <w:divBdr>
        <w:top w:val="none" w:sz="0" w:space="0" w:color="auto"/>
        <w:left w:val="none" w:sz="0" w:space="0" w:color="auto"/>
        <w:bottom w:val="none" w:sz="0" w:space="0" w:color="auto"/>
        <w:right w:val="none" w:sz="0" w:space="0" w:color="auto"/>
      </w:divBdr>
    </w:div>
    <w:div w:id="116803042">
      <w:bodyDiv w:val="1"/>
      <w:marLeft w:val="0"/>
      <w:marRight w:val="0"/>
      <w:marTop w:val="0"/>
      <w:marBottom w:val="0"/>
      <w:divBdr>
        <w:top w:val="none" w:sz="0" w:space="0" w:color="auto"/>
        <w:left w:val="none" w:sz="0" w:space="0" w:color="auto"/>
        <w:bottom w:val="none" w:sz="0" w:space="0" w:color="auto"/>
        <w:right w:val="none" w:sz="0" w:space="0" w:color="auto"/>
      </w:divBdr>
    </w:div>
    <w:div w:id="117064397">
      <w:bodyDiv w:val="1"/>
      <w:marLeft w:val="0"/>
      <w:marRight w:val="0"/>
      <w:marTop w:val="0"/>
      <w:marBottom w:val="0"/>
      <w:divBdr>
        <w:top w:val="none" w:sz="0" w:space="0" w:color="auto"/>
        <w:left w:val="none" w:sz="0" w:space="0" w:color="auto"/>
        <w:bottom w:val="none" w:sz="0" w:space="0" w:color="auto"/>
        <w:right w:val="none" w:sz="0" w:space="0" w:color="auto"/>
      </w:divBdr>
    </w:div>
    <w:div w:id="123624457">
      <w:bodyDiv w:val="1"/>
      <w:marLeft w:val="0"/>
      <w:marRight w:val="0"/>
      <w:marTop w:val="0"/>
      <w:marBottom w:val="0"/>
      <w:divBdr>
        <w:top w:val="none" w:sz="0" w:space="0" w:color="auto"/>
        <w:left w:val="none" w:sz="0" w:space="0" w:color="auto"/>
        <w:bottom w:val="none" w:sz="0" w:space="0" w:color="auto"/>
        <w:right w:val="none" w:sz="0" w:space="0" w:color="auto"/>
      </w:divBdr>
    </w:div>
    <w:div w:id="123891673">
      <w:bodyDiv w:val="1"/>
      <w:marLeft w:val="0"/>
      <w:marRight w:val="0"/>
      <w:marTop w:val="0"/>
      <w:marBottom w:val="0"/>
      <w:divBdr>
        <w:top w:val="none" w:sz="0" w:space="0" w:color="auto"/>
        <w:left w:val="none" w:sz="0" w:space="0" w:color="auto"/>
        <w:bottom w:val="none" w:sz="0" w:space="0" w:color="auto"/>
        <w:right w:val="none" w:sz="0" w:space="0" w:color="auto"/>
      </w:divBdr>
    </w:div>
    <w:div w:id="124131183">
      <w:bodyDiv w:val="1"/>
      <w:marLeft w:val="0"/>
      <w:marRight w:val="0"/>
      <w:marTop w:val="0"/>
      <w:marBottom w:val="0"/>
      <w:divBdr>
        <w:top w:val="none" w:sz="0" w:space="0" w:color="auto"/>
        <w:left w:val="none" w:sz="0" w:space="0" w:color="auto"/>
        <w:bottom w:val="none" w:sz="0" w:space="0" w:color="auto"/>
        <w:right w:val="none" w:sz="0" w:space="0" w:color="auto"/>
      </w:divBdr>
    </w:div>
    <w:div w:id="127553236">
      <w:bodyDiv w:val="1"/>
      <w:marLeft w:val="0"/>
      <w:marRight w:val="0"/>
      <w:marTop w:val="0"/>
      <w:marBottom w:val="0"/>
      <w:divBdr>
        <w:top w:val="none" w:sz="0" w:space="0" w:color="auto"/>
        <w:left w:val="none" w:sz="0" w:space="0" w:color="auto"/>
        <w:bottom w:val="none" w:sz="0" w:space="0" w:color="auto"/>
        <w:right w:val="none" w:sz="0" w:space="0" w:color="auto"/>
      </w:divBdr>
    </w:div>
    <w:div w:id="128665727">
      <w:bodyDiv w:val="1"/>
      <w:marLeft w:val="0"/>
      <w:marRight w:val="0"/>
      <w:marTop w:val="0"/>
      <w:marBottom w:val="0"/>
      <w:divBdr>
        <w:top w:val="none" w:sz="0" w:space="0" w:color="auto"/>
        <w:left w:val="none" w:sz="0" w:space="0" w:color="auto"/>
        <w:bottom w:val="none" w:sz="0" w:space="0" w:color="auto"/>
        <w:right w:val="none" w:sz="0" w:space="0" w:color="auto"/>
      </w:divBdr>
    </w:div>
    <w:div w:id="130442035">
      <w:bodyDiv w:val="1"/>
      <w:marLeft w:val="0"/>
      <w:marRight w:val="0"/>
      <w:marTop w:val="0"/>
      <w:marBottom w:val="0"/>
      <w:divBdr>
        <w:top w:val="none" w:sz="0" w:space="0" w:color="auto"/>
        <w:left w:val="none" w:sz="0" w:space="0" w:color="auto"/>
        <w:bottom w:val="none" w:sz="0" w:space="0" w:color="auto"/>
        <w:right w:val="none" w:sz="0" w:space="0" w:color="auto"/>
      </w:divBdr>
    </w:div>
    <w:div w:id="131411613">
      <w:bodyDiv w:val="1"/>
      <w:marLeft w:val="0"/>
      <w:marRight w:val="0"/>
      <w:marTop w:val="0"/>
      <w:marBottom w:val="0"/>
      <w:divBdr>
        <w:top w:val="none" w:sz="0" w:space="0" w:color="auto"/>
        <w:left w:val="none" w:sz="0" w:space="0" w:color="auto"/>
        <w:bottom w:val="none" w:sz="0" w:space="0" w:color="auto"/>
        <w:right w:val="none" w:sz="0" w:space="0" w:color="auto"/>
      </w:divBdr>
    </w:div>
    <w:div w:id="132066519">
      <w:bodyDiv w:val="1"/>
      <w:marLeft w:val="0"/>
      <w:marRight w:val="0"/>
      <w:marTop w:val="0"/>
      <w:marBottom w:val="0"/>
      <w:divBdr>
        <w:top w:val="none" w:sz="0" w:space="0" w:color="auto"/>
        <w:left w:val="none" w:sz="0" w:space="0" w:color="auto"/>
        <w:bottom w:val="none" w:sz="0" w:space="0" w:color="auto"/>
        <w:right w:val="none" w:sz="0" w:space="0" w:color="auto"/>
      </w:divBdr>
    </w:div>
    <w:div w:id="137769121">
      <w:bodyDiv w:val="1"/>
      <w:marLeft w:val="0"/>
      <w:marRight w:val="0"/>
      <w:marTop w:val="0"/>
      <w:marBottom w:val="0"/>
      <w:divBdr>
        <w:top w:val="none" w:sz="0" w:space="0" w:color="auto"/>
        <w:left w:val="none" w:sz="0" w:space="0" w:color="auto"/>
        <w:bottom w:val="none" w:sz="0" w:space="0" w:color="auto"/>
        <w:right w:val="none" w:sz="0" w:space="0" w:color="auto"/>
      </w:divBdr>
    </w:div>
    <w:div w:id="139228665">
      <w:bodyDiv w:val="1"/>
      <w:marLeft w:val="0"/>
      <w:marRight w:val="0"/>
      <w:marTop w:val="0"/>
      <w:marBottom w:val="0"/>
      <w:divBdr>
        <w:top w:val="none" w:sz="0" w:space="0" w:color="auto"/>
        <w:left w:val="none" w:sz="0" w:space="0" w:color="auto"/>
        <w:bottom w:val="none" w:sz="0" w:space="0" w:color="auto"/>
        <w:right w:val="none" w:sz="0" w:space="0" w:color="auto"/>
      </w:divBdr>
    </w:div>
    <w:div w:id="139346892">
      <w:bodyDiv w:val="1"/>
      <w:marLeft w:val="0"/>
      <w:marRight w:val="0"/>
      <w:marTop w:val="0"/>
      <w:marBottom w:val="0"/>
      <w:divBdr>
        <w:top w:val="none" w:sz="0" w:space="0" w:color="auto"/>
        <w:left w:val="none" w:sz="0" w:space="0" w:color="auto"/>
        <w:bottom w:val="none" w:sz="0" w:space="0" w:color="auto"/>
        <w:right w:val="none" w:sz="0" w:space="0" w:color="auto"/>
      </w:divBdr>
    </w:div>
    <w:div w:id="142936234">
      <w:bodyDiv w:val="1"/>
      <w:marLeft w:val="0"/>
      <w:marRight w:val="0"/>
      <w:marTop w:val="0"/>
      <w:marBottom w:val="0"/>
      <w:divBdr>
        <w:top w:val="none" w:sz="0" w:space="0" w:color="auto"/>
        <w:left w:val="none" w:sz="0" w:space="0" w:color="auto"/>
        <w:bottom w:val="none" w:sz="0" w:space="0" w:color="auto"/>
        <w:right w:val="none" w:sz="0" w:space="0" w:color="auto"/>
      </w:divBdr>
    </w:div>
    <w:div w:id="145360430">
      <w:bodyDiv w:val="1"/>
      <w:marLeft w:val="0"/>
      <w:marRight w:val="0"/>
      <w:marTop w:val="0"/>
      <w:marBottom w:val="0"/>
      <w:divBdr>
        <w:top w:val="none" w:sz="0" w:space="0" w:color="auto"/>
        <w:left w:val="none" w:sz="0" w:space="0" w:color="auto"/>
        <w:bottom w:val="none" w:sz="0" w:space="0" w:color="auto"/>
        <w:right w:val="none" w:sz="0" w:space="0" w:color="auto"/>
      </w:divBdr>
    </w:div>
    <w:div w:id="146866665">
      <w:bodyDiv w:val="1"/>
      <w:marLeft w:val="0"/>
      <w:marRight w:val="0"/>
      <w:marTop w:val="0"/>
      <w:marBottom w:val="0"/>
      <w:divBdr>
        <w:top w:val="none" w:sz="0" w:space="0" w:color="auto"/>
        <w:left w:val="none" w:sz="0" w:space="0" w:color="auto"/>
        <w:bottom w:val="none" w:sz="0" w:space="0" w:color="auto"/>
        <w:right w:val="none" w:sz="0" w:space="0" w:color="auto"/>
      </w:divBdr>
    </w:div>
    <w:div w:id="148177084">
      <w:bodyDiv w:val="1"/>
      <w:marLeft w:val="0"/>
      <w:marRight w:val="0"/>
      <w:marTop w:val="0"/>
      <w:marBottom w:val="0"/>
      <w:divBdr>
        <w:top w:val="none" w:sz="0" w:space="0" w:color="auto"/>
        <w:left w:val="none" w:sz="0" w:space="0" w:color="auto"/>
        <w:bottom w:val="none" w:sz="0" w:space="0" w:color="auto"/>
        <w:right w:val="none" w:sz="0" w:space="0" w:color="auto"/>
      </w:divBdr>
    </w:div>
    <w:div w:id="149756905">
      <w:bodyDiv w:val="1"/>
      <w:marLeft w:val="0"/>
      <w:marRight w:val="0"/>
      <w:marTop w:val="0"/>
      <w:marBottom w:val="0"/>
      <w:divBdr>
        <w:top w:val="none" w:sz="0" w:space="0" w:color="auto"/>
        <w:left w:val="none" w:sz="0" w:space="0" w:color="auto"/>
        <w:bottom w:val="none" w:sz="0" w:space="0" w:color="auto"/>
        <w:right w:val="none" w:sz="0" w:space="0" w:color="auto"/>
      </w:divBdr>
    </w:div>
    <w:div w:id="152181749">
      <w:bodyDiv w:val="1"/>
      <w:marLeft w:val="0"/>
      <w:marRight w:val="0"/>
      <w:marTop w:val="0"/>
      <w:marBottom w:val="0"/>
      <w:divBdr>
        <w:top w:val="none" w:sz="0" w:space="0" w:color="auto"/>
        <w:left w:val="none" w:sz="0" w:space="0" w:color="auto"/>
        <w:bottom w:val="none" w:sz="0" w:space="0" w:color="auto"/>
        <w:right w:val="none" w:sz="0" w:space="0" w:color="auto"/>
      </w:divBdr>
    </w:div>
    <w:div w:id="153420134">
      <w:bodyDiv w:val="1"/>
      <w:marLeft w:val="0"/>
      <w:marRight w:val="0"/>
      <w:marTop w:val="0"/>
      <w:marBottom w:val="0"/>
      <w:divBdr>
        <w:top w:val="none" w:sz="0" w:space="0" w:color="auto"/>
        <w:left w:val="none" w:sz="0" w:space="0" w:color="auto"/>
        <w:bottom w:val="none" w:sz="0" w:space="0" w:color="auto"/>
        <w:right w:val="none" w:sz="0" w:space="0" w:color="auto"/>
      </w:divBdr>
    </w:div>
    <w:div w:id="155532932">
      <w:bodyDiv w:val="1"/>
      <w:marLeft w:val="0"/>
      <w:marRight w:val="0"/>
      <w:marTop w:val="0"/>
      <w:marBottom w:val="0"/>
      <w:divBdr>
        <w:top w:val="none" w:sz="0" w:space="0" w:color="auto"/>
        <w:left w:val="none" w:sz="0" w:space="0" w:color="auto"/>
        <w:bottom w:val="none" w:sz="0" w:space="0" w:color="auto"/>
        <w:right w:val="none" w:sz="0" w:space="0" w:color="auto"/>
      </w:divBdr>
    </w:div>
    <w:div w:id="155655919">
      <w:bodyDiv w:val="1"/>
      <w:marLeft w:val="0"/>
      <w:marRight w:val="0"/>
      <w:marTop w:val="0"/>
      <w:marBottom w:val="0"/>
      <w:divBdr>
        <w:top w:val="none" w:sz="0" w:space="0" w:color="auto"/>
        <w:left w:val="none" w:sz="0" w:space="0" w:color="auto"/>
        <w:bottom w:val="none" w:sz="0" w:space="0" w:color="auto"/>
        <w:right w:val="none" w:sz="0" w:space="0" w:color="auto"/>
      </w:divBdr>
    </w:div>
    <w:div w:id="156656291">
      <w:bodyDiv w:val="1"/>
      <w:marLeft w:val="0"/>
      <w:marRight w:val="0"/>
      <w:marTop w:val="0"/>
      <w:marBottom w:val="0"/>
      <w:divBdr>
        <w:top w:val="none" w:sz="0" w:space="0" w:color="auto"/>
        <w:left w:val="none" w:sz="0" w:space="0" w:color="auto"/>
        <w:bottom w:val="none" w:sz="0" w:space="0" w:color="auto"/>
        <w:right w:val="none" w:sz="0" w:space="0" w:color="auto"/>
      </w:divBdr>
    </w:div>
    <w:div w:id="158083417">
      <w:bodyDiv w:val="1"/>
      <w:marLeft w:val="0"/>
      <w:marRight w:val="0"/>
      <w:marTop w:val="0"/>
      <w:marBottom w:val="0"/>
      <w:divBdr>
        <w:top w:val="none" w:sz="0" w:space="0" w:color="auto"/>
        <w:left w:val="none" w:sz="0" w:space="0" w:color="auto"/>
        <w:bottom w:val="none" w:sz="0" w:space="0" w:color="auto"/>
        <w:right w:val="none" w:sz="0" w:space="0" w:color="auto"/>
      </w:divBdr>
    </w:div>
    <w:div w:id="159201711">
      <w:bodyDiv w:val="1"/>
      <w:marLeft w:val="0"/>
      <w:marRight w:val="0"/>
      <w:marTop w:val="0"/>
      <w:marBottom w:val="0"/>
      <w:divBdr>
        <w:top w:val="none" w:sz="0" w:space="0" w:color="auto"/>
        <w:left w:val="none" w:sz="0" w:space="0" w:color="auto"/>
        <w:bottom w:val="none" w:sz="0" w:space="0" w:color="auto"/>
        <w:right w:val="none" w:sz="0" w:space="0" w:color="auto"/>
      </w:divBdr>
    </w:div>
    <w:div w:id="159395774">
      <w:bodyDiv w:val="1"/>
      <w:marLeft w:val="0"/>
      <w:marRight w:val="0"/>
      <w:marTop w:val="0"/>
      <w:marBottom w:val="0"/>
      <w:divBdr>
        <w:top w:val="none" w:sz="0" w:space="0" w:color="auto"/>
        <w:left w:val="none" w:sz="0" w:space="0" w:color="auto"/>
        <w:bottom w:val="none" w:sz="0" w:space="0" w:color="auto"/>
        <w:right w:val="none" w:sz="0" w:space="0" w:color="auto"/>
      </w:divBdr>
    </w:div>
    <w:div w:id="159581440">
      <w:bodyDiv w:val="1"/>
      <w:marLeft w:val="0"/>
      <w:marRight w:val="0"/>
      <w:marTop w:val="0"/>
      <w:marBottom w:val="0"/>
      <w:divBdr>
        <w:top w:val="none" w:sz="0" w:space="0" w:color="auto"/>
        <w:left w:val="none" w:sz="0" w:space="0" w:color="auto"/>
        <w:bottom w:val="none" w:sz="0" w:space="0" w:color="auto"/>
        <w:right w:val="none" w:sz="0" w:space="0" w:color="auto"/>
      </w:divBdr>
    </w:div>
    <w:div w:id="166945096">
      <w:bodyDiv w:val="1"/>
      <w:marLeft w:val="0"/>
      <w:marRight w:val="0"/>
      <w:marTop w:val="0"/>
      <w:marBottom w:val="0"/>
      <w:divBdr>
        <w:top w:val="none" w:sz="0" w:space="0" w:color="auto"/>
        <w:left w:val="none" w:sz="0" w:space="0" w:color="auto"/>
        <w:bottom w:val="none" w:sz="0" w:space="0" w:color="auto"/>
        <w:right w:val="none" w:sz="0" w:space="0" w:color="auto"/>
      </w:divBdr>
    </w:div>
    <w:div w:id="169100194">
      <w:bodyDiv w:val="1"/>
      <w:marLeft w:val="0"/>
      <w:marRight w:val="0"/>
      <w:marTop w:val="0"/>
      <w:marBottom w:val="0"/>
      <w:divBdr>
        <w:top w:val="none" w:sz="0" w:space="0" w:color="auto"/>
        <w:left w:val="none" w:sz="0" w:space="0" w:color="auto"/>
        <w:bottom w:val="none" w:sz="0" w:space="0" w:color="auto"/>
        <w:right w:val="none" w:sz="0" w:space="0" w:color="auto"/>
      </w:divBdr>
    </w:div>
    <w:div w:id="171340428">
      <w:bodyDiv w:val="1"/>
      <w:marLeft w:val="0"/>
      <w:marRight w:val="0"/>
      <w:marTop w:val="0"/>
      <w:marBottom w:val="0"/>
      <w:divBdr>
        <w:top w:val="none" w:sz="0" w:space="0" w:color="auto"/>
        <w:left w:val="none" w:sz="0" w:space="0" w:color="auto"/>
        <w:bottom w:val="none" w:sz="0" w:space="0" w:color="auto"/>
        <w:right w:val="none" w:sz="0" w:space="0" w:color="auto"/>
      </w:divBdr>
    </w:div>
    <w:div w:id="171845546">
      <w:bodyDiv w:val="1"/>
      <w:marLeft w:val="0"/>
      <w:marRight w:val="0"/>
      <w:marTop w:val="0"/>
      <w:marBottom w:val="0"/>
      <w:divBdr>
        <w:top w:val="none" w:sz="0" w:space="0" w:color="auto"/>
        <w:left w:val="none" w:sz="0" w:space="0" w:color="auto"/>
        <w:bottom w:val="none" w:sz="0" w:space="0" w:color="auto"/>
        <w:right w:val="none" w:sz="0" w:space="0" w:color="auto"/>
      </w:divBdr>
    </w:div>
    <w:div w:id="172646677">
      <w:bodyDiv w:val="1"/>
      <w:marLeft w:val="0"/>
      <w:marRight w:val="0"/>
      <w:marTop w:val="0"/>
      <w:marBottom w:val="0"/>
      <w:divBdr>
        <w:top w:val="none" w:sz="0" w:space="0" w:color="auto"/>
        <w:left w:val="none" w:sz="0" w:space="0" w:color="auto"/>
        <w:bottom w:val="none" w:sz="0" w:space="0" w:color="auto"/>
        <w:right w:val="none" w:sz="0" w:space="0" w:color="auto"/>
      </w:divBdr>
    </w:div>
    <w:div w:id="172770746">
      <w:bodyDiv w:val="1"/>
      <w:marLeft w:val="0"/>
      <w:marRight w:val="0"/>
      <w:marTop w:val="0"/>
      <w:marBottom w:val="0"/>
      <w:divBdr>
        <w:top w:val="none" w:sz="0" w:space="0" w:color="auto"/>
        <w:left w:val="none" w:sz="0" w:space="0" w:color="auto"/>
        <w:bottom w:val="none" w:sz="0" w:space="0" w:color="auto"/>
        <w:right w:val="none" w:sz="0" w:space="0" w:color="auto"/>
      </w:divBdr>
    </w:div>
    <w:div w:id="173880985">
      <w:bodyDiv w:val="1"/>
      <w:marLeft w:val="0"/>
      <w:marRight w:val="0"/>
      <w:marTop w:val="0"/>
      <w:marBottom w:val="0"/>
      <w:divBdr>
        <w:top w:val="none" w:sz="0" w:space="0" w:color="auto"/>
        <w:left w:val="none" w:sz="0" w:space="0" w:color="auto"/>
        <w:bottom w:val="none" w:sz="0" w:space="0" w:color="auto"/>
        <w:right w:val="none" w:sz="0" w:space="0" w:color="auto"/>
      </w:divBdr>
    </w:div>
    <w:div w:id="179857812">
      <w:bodyDiv w:val="1"/>
      <w:marLeft w:val="0"/>
      <w:marRight w:val="0"/>
      <w:marTop w:val="0"/>
      <w:marBottom w:val="0"/>
      <w:divBdr>
        <w:top w:val="none" w:sz="0" w:space="0" w:color="auto"/>
        <w:left w:val="none" w:sz="0" w:space="0" w:color="auto"/>
        <w:bottom w:val="none" w:sz="0" w:space="0" w:color="auto"/>
        <w:right w:val="none" w:sz="0" w:space="0" w:color="auto"/>
      </w:divBdr>
    </w:div>
    <w:div w:id="183179966">
      <w:bodyDiv w:val="1"/>
      <w:marLeft w:val="0"/>
      <w:marRight w:val="0"/>
      <w:marTop w:val="0"/>
      <w:marBottom w:val="0"/>
      <w:divBdr>
        <w:top w:val="none" w:sz="0" w:space="0" w:color="auto"/>
        <w:left w:val="none" w:sz="0" w:space="0" w:color="auto"/>
        <w:bottom w:val="none" w:sz="0" w:space="0" w:color="auto"/>
        <w:right w:val="none" w:sz="0" w:space="0" w:color="auto"/>
      </w:divBdr>
    </w:div>
    <w:div w:id="188028379">
      <w:bodyDiv w:val="1"/>
      <w:marLeft w:val="0"/>
      <w:marRight w:val="0"/>
      <w:marTop w:val="0"/>
      <w:marBottom w:val="0"/>
      <w:divBdr>
        <w:top w:val="none" w:sz="0" w:space="0" w:color="auto"/>
        <w:left w:val="none" w:sz="0" w:space="0" w:color="auto"/>
        <w:bottom w:val="none" w:sz="0" w:space="0" w:color="auto"/>
        <w:right w:val="none" w:sz="0" w:space="0" w:color="auto"/>
      </w:divBdr>
    </w:div>
    <w:div w:id="194586811">
      <w:bodyDiv w:val="1"/>
      <w:marLeft w:val="0"/>
      <w:marRight w:val="0"/>
      <w:marTop w:val="0"/>
      <w:marBottom w:val="0"/>
      <w:divBdr>
        <w:top w:val="none" w:sz="0" w:space="0" w:color="auto"/>
        <w:left w:val="none" w:sz="0" w:space="0" w:color="auto"/>
        <w:bottom w:val="none" w:sz="0" w:space="0" w:color="auto"/>
        <w:right w:val="none" w:sz="0" w:space="0" w:color="auto"/>
      </w:divBdr>
    </w:div>
    <w:div w:id="197470543">
      <w:bodyDiv w:val="1"/>
      <w:marLeft w:val="0"/>
      <w:marRight w:val="0"/>
      <w:marTop w:val="0"/>
      <w:marBottom w:val="0"/>
      <w:divBdr>
        <w:top w:val="none" w:sz="0" w:space="0" w:color="auto"/>
        <w:left w:val="none" w:sz="0" w:space="0" w:color="auto"/>
        <w:bottom w:val="none" w:sz="0" w:space="0" w:color="auto"/>
        <w:right w:val="none" w:sz="0" w:space="0" w:color="auto"/>
      </w:divBdr>
    </w:div>
    <w:div w:id="199054577">
      <w:bodyDiv w:val="1"/>
      <w:marLeft w:val="0"/>
      <w:marRight w:val="0"/>
      <w:marTop w:val="0"/>
      <w:marBottom w:val="0"/>
      <w:divBdr>
        <w:top w:val="none" w:sz="0" w:space="0" w:color="auto"/>
        <w:left w:val="none" w:sz="0" w:space="0" w:color="auto"/>
        <w:bottom w:val="none" w:sz="0" w:space="0" w:color="auto"/>
        <w:right w:val="none" w:sz="0" w:space="0" w:color="auto"/>
      </w:divBdr>
    </w:div>
    <w:div w:id="199130841">
      <w:bodyDiv w:val="1"/>
      <w:marLeft w:val="0"/>
      <w:marRight w:val="0"/>
      <w:marTop w:val="0"/>
      <w:marBottom w:val="0"/>
      <w:divBdr>
        <w:top w:val="none" w:sz="0" w:space="0" w:color="auto"/>
        <w:left w:val="none" w:sz="0" w:space="0" w:color="auto"/>
        <w:bottom w:val="none" w:sz="0" w:space="0" w:color="auto"/>
        <w:right w:val="none" w:sz="0" w:space="0" w:color="auto"/>
      </w:divBdr>
    </w:div>
    <w:div w:id="200090957">
      <w:bodyDiv w:val="1"/>
      <w:marLeft w:val="0"/>
      <w:marRight w:val="0"/>
      <w:marTop w:val="0"/>
      <w:marBottom w:val="0"/>
      <w:divBdr>
        <w:top w:val="none" w:sz="0" w:space="0" w:color="auto"/>
        <w:left w:val="none" w:sz="0" w:space="0" w:color="auto"/>
        <w:bottom w:val="none" w:sz="0" w:space="0" w:color="auto"/>
        <w:right w:val="none" w:sz="0" w:space="0" w:color="auto"/>
      </w:divBdr>
    </w:div>
    <w:div w:id="202452167">
      <w:bodyDiv w:val="1"/>
      <w:marLeft w:val="0"/>
      <w:marRight w:val="0"/>
      <w:marTop w:val="0"/>
      <w:marBottom w:val="0"/>
      <w:divBdr>
        <w:top w:val="none" w:sz="0" w:space="0" w:color="auto"/>
        <w:left w:val="none" w:sz="0" w:space="0" w:color="auto"/>
        <w:bottom w:val="none" w:sz="0" w:space="0" w:color="auto"/>
        <w:right w:val="none" w:sz="0" w:space="0" w:color="auto"/>
      </w:divBdr>
    </w:div>
    <w:div w:id="203060205">
      <w:bodyDiv w:val="1"/>
      <w:marLeft w:val="0"/>
      <w:marRight w:val="0"/>
      <w:marTop w:val="0"/>
      <w:marBottom w:val="0"/>
      <w:divBdr>
        <w:top w:val="none" w:sz="0" w:space="0" w:color="auto"/>
        <w:left w:val="none" w:sz="0" w:space="0" w:color="auto"/>
        <w:bottom w:val="none" w:sz="0" w:space="0" w:color="auto"/>
        <w:right w:val="none" w:sz="0" w:space="0" w:color="auto"/>
      </w:divBdr>
    </w:div>
    <w:div w:id="204298636">
      <w:bodyDiv w:val="1"/>
      <w:marLeft w:val="0"/>
      <w:marRight w:val="0"/>
      <w:marTop w:val="0"/>
      <w:marBottom w:val="0"/>
      <w:divBdr>
        <w:top w:val="none" w:sz="0" w:space="0" w:color="auto"/>
        <w:left w:val="none" w:sz="0" w:space="0" w:color="auto"/>
        <w:bottom w:val="none" w:sz="0" w:space="0" w:color="auto"/>
        <w:right w:val="none" w:sz="0" w:space="0" w:color="auto"/>
      </w:divBdr>
    </w:div>
    <w:div w:id="206916137">
      <w:bodyDiv w:val="1"/>
      <w:marLeft w:val="0"/>
      <w:marRight w:val="0"/>
      <w:marTop w:val="0"/>
      <w:marBottom w:val="0"/>
      <w:divBdr>
        <w:top w:val="none" w:sz="0" w:space="0" w:color="auto"/>
        <w:left w:val="none" w:sz="0" w:space="0" w:color="auto"/>
        <w:bottom w:val="none" w:sz="0" w:space="0" w:color="auto"/>
        <w:right w:val="none" w:sz="0" w:space="0" w:color="auto"/>
      </w:divBdr>
    </w:div>
    <w:div w:id="207912097">
      <w:bodyDiv w:val="1"/>
      <w:marLeft w:val="0"/>
      <w:marRight w:val="0"/>
      <w:marTop w:val="0"/>
      <w:marBottom w:val="0"/>
      <w:divBdr>
        <w:top w:val="none" w:sz="0" w:space="0" w:color="auto"/>
        <w:left w:val="none" w:sz="0" w:space="0" w:color="auto"/>
        <w:bottom w:val="none" w:sz="0" w:space="0" w:color="auto"/>
        <w:right w:val="none" w:sz="0" w:space="0" w:color="auto"/>
      </w:divBdr>
    </w:div>
    <w:div w:id="208735751">
      <w:bodyDiv w:val="1"/>
      <w:marLeft w:val="0"/>
      <w:marRight w:val="0"/>
      <w:marTop w:val="0"/>
      <w:marBottom w:val="0"/>
      <w:divBdr>
        <w:top w:val="none" w:sz="0" w:space="0" w:color="auto"/>
        <w:left w:val="none" w:sz="0" w:space="0" w:color="auto"/>
        <w:bottom w:val="none" w:sz="0" w:space="0" w:color="auto"/>
        <w:right w:val="none" w:sz="0" w:space="0" w:color="auto"/>
      </w:divBdr>
    </w:div>
    <w:div w:id="215121098">
      <w:bodyDiv w:val="1"/>
      <w:marLeft w:val="0"/>
      <w:marRight w:val="0"/>
      <w:marTop w:val="0"/>
      <w:marBottom w:val="0"/>
      <w:divBdr>
        <w:top w:val="none" w:sz="0" w:space="0" w:color="auto"/>
        <w:left w:val="none" w:sz="0" w:space="0" w:color="auto"/>
        <w:bottom w:val="none" w:sz="0" w:space="0" w:color="auto"/>
        <w:right w:val="none" w:sz="0" w:space="0" w:color="auto"/>
      </w:divBdr>
    </w:div>
    <w:div w:id="215514865">
      <w:bodyDiv w:val="1"/>
      <w:marLeft w:val="0"/>
      <w:marRight w:val="0"/>
      <w:marTop w:val="0"/>
      <w:marBottom w:val="0"/>
      <w:divBdr>
        <w:top w:val="none" w:sz="0" w:space="0" w:color="auto"/>
        <w:left w:val="none" w:sz="0" w:space="0" w:color="auto"/>
        <w:bottom w:val="none" w:sz="0" w:space="0" w:color="auto"/>
        <w:right w:val="none" w:sz="0" w:space="0" w:color="auto"/>
      </w:divBdr>
    </w:div>
    <w:div w:id="217740611">
      <w:bodyDiv w:val="1"/>
      <w:marLeft w:val="0"/>
      <w:marRight w:val="0"/>
      <w:marTop w:val="0"/>
      <w:marBottom w:val="0"/>
      <w:divBdr>
        <w:top w:val="none" w:sz="0" w:space="0" w:color="auto"/>
        <w:left w:val="none" w:sz="0" w:space="0" w:color="auto"/>
        <w:bottom w:val="none" w:sz="0" w:space="0" w:color="auto"/>
        <w:right w:val="none" w:sz="0" w:space="0" w:color="auto"/>
      </w:divBdr>
    </w:div>
    <w:div w:id="217789929">
      <w:bodyDiv w:val="1"/>
      <w:marLeft w:val="0"/>
      <w:marRight w:val="0"/>
      <w:marTop w:val="0"/>
      <w:marBottom w:val="0"/>
      <w:divBdr>
        <w:top w:val="none" w:sz="0" w:space="0" w:color="auto"/>
        <w:left w:val="none" w:sz="0" w:space="0" w:color="auto"/>
        <w:bottom w:val="none" w:sz="0" w:space="0" w:color="auto"/>
        <w:right w:val="none" w:sz="0" w:space="0" w:color="auto"/>
      </w:divBdr>
    </w:div>
    <w:div w:id="218173142">
      <w:bodyDiv w:val="1"/>
      <w:marLeft w:val="0"/>
      <w:marRight w:val="0"/>
      <w:marTop w:val="0"/>
      <w:marBottom w:val="0"/>
      <w:divBdr>
        <w:top w:val="none" w:sz="0" w:space="0" w:color="auto"/>
        <w:left w:val="none" w:sz="0" w:space="0" w:color="auto"/>
        <w:bottom w:val="none" w:sz="0" w:space="0" w:color="auto"/>
        <w:right w:val="none" w:sz="0" w:space="0" w:color="auto"/>
      </w:divBdr>
    </w:div>
    <w:div w:id="228151384">
      <w:bodyDiv w:val="1"/>
      <w:marLeft w:val="0"/>
      <w:marRight w:val="0"/>
      <w:marTop w:val="0"/>
      <w:marBottom w:val="0"/>
      <w:divBdr>
        <w:top w:val="none" w:sz="0" w:space="0" w:color="auto"/>
        <w:left w:val="none" w:sz="0" w:space="0" w:color="auto"/>
        <w:bottom w:val="none" w:sz="0" w:space="0" w:color="auto"/>
        <w:right w:val="none" w:sz="0" w:space="0" w:color="auto"/>
      </w:divBdr>
    </w:div>
    <w:div w:id="229078087">
      <w:bodyDiv w:val="1"/>
      <w:marLeft w:val="0"/>
      <w:marRight w:val="0"/>
      <w:marTop w:val="0"/>
      <w:marBottom w:val="0"/>
      <w:divBdr>
        <w:top w:val="none" w:sz="0" w:space="0" w:color="auto"/>
        <w:left w:val="none" w:sz="0" w:space="0" w:color="auto"/>
        <w:bottom w:val="none" w:sz="0" w:space="0" w:color="auto"/>
        <w:right w:val="none" w:sz="0" w:space="0" w:color="auto"/>
      </w:divBdr>
    </w:div>
    <w:div w:id="229121736">
      <w:bodyDiv w:val="1"/>
      <w:marLeft w:val="0"/>
      <w:marRight w:val="0"/>
      <w:marTop w:val="0"/>
      <w:marBottom w:val="0"/>
      <w:divBdr>
        <w:top w:val="none" w:sz="0" w:space="0" w:color="auto"/>
        <w:left w:val="none" w:sz="0" w:space="0" w:color="auto"/>
        <w:bottom w:val="none" w:sz="0" w:space="0" w:color="auto"/>
        <w:right w:val="none" w:sz="0" w:space="0" w:color="auto"/>
      </w:divBdr>
    </w:div>
    <w:div w:id="229196249">
      <w:bodyDiv w:val="1"/>
      <w:marLeft w:val="0"/>
      <w:marRight w:val="0"/>
      <w:marTop w:val="0"/>
      <w:marBottom w:val="0"/>
      <w:divBdr>
        <w:top w:val="none" w:sz="0" w:space="0" w:color="auto"/>
        <w:left w:val="none" w:sz="0" w:space="0" w:color="auto"/>
        <w:bottom w:val="none" w:sz="0" w:space="0" w:color="auto"/>
        <w:right w:val="none" w:sz="0" w:space="0" w:color="auto"/>
      </w:divBdr>
    </w:div>
    <w:div w:id="230506858">
      <w:bodyDiv w:val="1"/>
      <w:marLeft w:val="0"/>
      <w:marRight w:val="0"/>
      <w:marTop w:val="0"/>
      <w:marBottom w:val="0"/>
      <w:divBdr>
        <w:top w:val="none" w:sz="0" w:space="0" w:color="auto"/>
        <w:left w:val="none" w:sz="0" w:space="0" w:color="auto"/>
        <w:bottom w:val="none" w:sz="0" w:space="0" w:color="auto"/>
        <w:right w:val="none" w:sz="0" w:space="0" w:color="auto"/>
      </w:divBdr>
    </w:div>
    <w:div w:id="232159187">
      <w:bodyDiv w:val="1"/>
      <w:marLeft w:val="0"/>
      <w:marRight w:val="0"/>
      <w:marTop w:val="0"/>
      <w:marBottom w:val="0"/>
      <w:divBdr>
        <w:top w:val="none" w:sz="0" w:space="0" w:color="auto"/>
        <w:left w:val="none" w:sz="0" w:space="0" w:color="auto"/>
        <w:bottom w:val="none" w:sz="0" w:space="0" w:color="auto"/>
        <w:right w:val="none" w:sz="0" w:space="0" w:color="auto"/>
      </w:divBdr>
    </w:div>
    <w:div w:id="237712984">
      <w:bodyDiv w:val="1"/>
      <w:marLeft w:val="0"/>
      <w:marRight w:val="0"/>
      <w:marTop w:val="0"/>
      <w:marBottom w:val="0"/>
      <w:divBdr>
        <w:top w:val="none" w:sz="0" w:space="0" w:color="auto"/>
        <w:left w:val="none" w:sz="0" w:space="0" w:color="auto"/>
        <w:bottom w:val="none" w:sz="0" w:space="0" w:color="auto"/>
        <w:right w:val="none" w:sz="0" w:space="0" w:color="auto"/>
      </w:divBdr>
    </w:div>
    <w:div w:id="240798515">
      <w:bodyDiv w:val="1"/>
      <w:marLeft w:val="0"/>
      <w:marRight w:val="0"/>
      <w:marTop w:val="0"/>
      <w:marBottom w:val="0"/>
      <w:divBdr>
        <w:top w:val="none" w:sz="0" w:space="0" w:color="auto"/>
        <w:left w:val="none" w:sz="0" w:space="0" w:color="auto"/>
        <w:bottom w:val="none" w:sz="0" w:space="0" w:color="auto"/>
        <w:right w:val="none" w:sz="0" w:space="0" w:color="auto"/>
      </w:divBdr>
    </w:div>
    <w:div w:id="242228250">
      <w:bodyDiv w:val="1"/>
      <w:marLeft w:val="0"/>
      <w:marRight w:val="0"/>
      <w:marTop w:val="0"/>
      <w:marBottom w:val="0"/>
      <w:divBdr>
        <w:top w:val="none" w:sz="0" w:space="0" w:color="auto"/>
        <w:left w:val="none" w:sz="0" w:space="0" w:color="auto"/>
        <w:bottom w:val="none" w:sz="0" w:space="0" w:color="auto"/>
        <w:right w:val="none" w:sz="0" w:space="0" w:color="auto"/>
      </w:divBdr>
    </w:div>
    <w:div w:id="244270192">
      <w:bodyDiv w:val="1"/>
      <w:marLeft w:val="0"/>
      <w:marRight w:val="0"/>
      <w:marTop w:val="0"/>
      <w:marBottom w:val="0"/>
      <w:divBdr>
        <w:top w:val="none" w:sz="0" w:space="0" w:color="auto"/>
        <w:left w:val="none" w:sz="0" w:space="0" w:color="auto"/>
        <w:bottom w:val="none" w:sz="0" w:space="0" w:color="auto"/>
        <w:right w:val="none" w:sz="0" w:space="0" w:color="auto"/>
      </w:divBdr>
    </w:div>
    <w:div w:id="245110406">
      <w:bodyDiv w:val="1"/>
      <w:marLeft w:val="0"/>
      <w:marRight w:val="0"/>
      <w:marTop w:val="0"/>
      <w:marBottom w:val="0"/>
      <w:divBdr>
        <w:top w:val="none" w:sz="0" w:space="0" w:color="auto"/>
        <w:left w:val="none" w:sz="0" w:space="0" w:color="auto"/>
        <w:bottom w:val="none" w:sz="0" w:space="0" w:color="auto"/>
        <w:right w:val="none" w:sz="0" w:space="0" w:color="auto"/>
      </w:divBdr>
    </w:div>
    <w:div w:id="253444124">
      <w:bodyDiv w:val="1"/>
      <w:marLeft w:val="0"/>
      <w:marRight w:val="0"/>
      <w:marTop w:val="0"/>
      <w:marBottom w:val="0"/>
      <w:divBdr>
        <w:top w:val="none" w:sz="0" w:space="0" w:color="auto"/>
        <w:left w:val="none" w:sz="0" w:space="0" w:color="auto"/>
        <w:bottom w:val="none" w:sz="0" w:space="0" w:color="auto"/>
        <w:right w:val="none" w:sz="0" w:space="0" w:color="auto"/>
      </w:divBdr>
    </w:div>
    <w:div w:id="254099258">
      <w:bodyDiv w:val="1"/>
      <w:marLeft w:val="0"/>
      <w:marRight w:val="0"/>
      <w:marTop w:val="0"/>
      <w:marBottom w:val="0"/>
      <w:divBdr>
        <w:top w:val="none" w:sz="0" w:space="0" w:color="auto"/>
        <w:left w:val="none" w:sz="0" w:space="0" w:color="auto"/>
        <w:bottom w:val="none" w:sz="0" w:space="0" w:color="auto"/>
        <w:right w:val="none" w:sz="0" w:space="0" w:color="auto"/>
      </w:divBdr>
    </w:div>
    <w:div w:id="254174197">
      <w:bodyDiv w:val="1"/>
      <w:marLeft w:val="0"/>
      <w:marRight w:val="0"/>
      <w:marTop w:val="0"/>
      <w:marBottom w:val="0"/>
      <w:divBdr>
        <w:top w:val="none" w:sz="0" w:space="0" w:color="auto"/>
        <w:left w:val="none" w:sz="0" w:space="0" w:color="auto"/>
        <w:bottom w:val="none" w:sz="0" w:space="0" w:color="auto"/>
        <w:right w:val="none" w:sz="0" w:space="0" w:color="auto"/>
      </w:divBdr>
    </w:div>
    <w:div w:id="257249817">
      <w:bodyDiv w:val="1"/>
      <w:marLeft w:val="0"/>
      <w:marRight w:val="0"/>
      <w:marTop w:val="0"/>
      <w:marBottom w:val="0"/>
      <w:divBdr>
        <w:top w:val="none" w:sz="0" w:space="0" w:color="auto"/>
        <w:left w:val="none" w:sz="0" w:space="0" w:color="auto"/>
        <w:bottom w:val="none" w:sz="0" w:space="0" w:color="auto"/>
        <w:right w:val="none" w:sz="0" w:space="0" w:color="auto"/>
      </w:divBdr>
    </w:div>
    <w:div w:id="257566486">
      <w:bodyDiv w:val="1"/>
      <w:marLeft w:val="0"/>
      <w:marRight w:val="0"/>
      <w:marTop w:val="0"/>
      <w:marBottom w:val="0"/>
      <w:divBdr>
        <w:top w:val="none" w:sz="0" w:space="0" w:color="auto"/>
        <w:left w:val="none" w:sz="0" w:space="0" w:color="auto"/>
        <w:bottom w:val="none" w:sz="0" w:space="0" w:color="auto"/>
        <w:right w:val="none" w:sz="0" w:space="0" w:color="auto"/>
      </w:divBdr>
    </w:div>
    <w:div w:id="258374879">
      <w:bodyDiv w:val="1"/>
      <w:marLeft w:val="0"/>
      <w:marRight w:val="0"/>
      <w:marTop w:val="0"/>
      <w:marBottom w:val="0"/>
      <w:divBdr>
        <w:top w:val="none" w:sz="0" w:space="0" w:color="auto"/>
        <w:left w:val="none" w:sz="0" w:space="0" w:color="auto"/>
        <w:bottom w:val="none" w:sz="0" w:space="0" w:color="auto"/>
        <w:right w:val="none" w:sz="0" w:space="0" w:color="auto"/>
      </w:divBdr>
    </w:div>
    <w:div w:id="260525637">
      <w:bodyDiv w:val="1"/>
      <w:marLeft w:val="0"/>
      <w:marRight w:val="0"/>
      <w:marTop w:val="0"/>
      <w:marBottom w:val="0"/>
      <w:divBdr>
        <w:top w:val="none" w:sz="0" w:space="0" w:color="auto"/>
        <w:left w:val="none" w:sz="0" w:space="0" w:color="auto"/>
        <w:bottom w:val="none" w:sz="0" w:space="0" w:color="auto"/>
        <w:right w:val="none" w:sz="0" w:space="0" w:color="auto"/>
      </w:divBdr>
    </w:div>
    <w:div w:id="261306193">
      <w:bodyDiv w:val="1"/>
      <w:marLeft w:val="0"/>
      <w:marRight w:val="0"/>
      <w:marTop w:val="0"/>
      <w:marBottom w:val="0"/>
      <w:divBdr>
        <w:top w:val="none" w:sz="0" w:space="0" w:color="auto"/>
        <w:left w:val="none" w:sz="0" w:space="0" w:color="auto"/>
        <w:bottom w:val="none" w:sz="0" w:space="0" w:color="auto"/>
        <w:right w:val="none" w:sz="0" w:space="0" w:color="auto"/>
      </w:divBdr>
    </w:div>
    <w:div w:id="261453332">
      <w:bodyDiv w:val="1"/>
      <w:marLeft w:val="0"/>
      <w:marRight w:val="0"/>
      <w:marTop w:val="0"/>
      <w:marBottom w:val="0"/>
      <w:divBdr>
        <w:top w:val="none" w:sz="0" w:space="0" w:color="auto"/>
        <w:left w:val="none" w:sz="0" w:space="0" w:color="auto"/>
        <w:bottom w:val="none" w:sz="0" w:space="0" w:color="auto"/>
        <w:right w:val="none" w:sz="0" w:space="0" w:color="auto"/>
      </w:divBdr>
    </w:div>
    <w:div w:id="266083856">
      <w:bodyDiv w:val="1"/>
      <w:marLeft w:val="0"/>
      <w:marRight w:val="0"/>
      <w:marTop w:val="0"/>
      <w:marBottom w:val="0"/>
      <w:divBdr>
        <w:top w:val="none" w:sz="0" w:space="0" w:color="auto"/>
        <w:left w:val="none" w:sz="0" w:space="0" w:color="auto"/>
        <w:bottom w:val="none" w:sz="0" w:space="0" w:color="auto"/>
        <w:right w:val="none" w:sz="0" w:space="0" w:color="auto"/>
      </w:divBdr>
    </w:div>
    <w:div w:id="266469424">
      <w:bodyDiv w:val="1"/>
      <w:marLeft w:val="0"/>
      <w:marRight w:val="0"/>
      <w:marTop w:val="0"/>
      <w:marBottom w:val="0"/>
      <w:divBdr>
        <w:top w:val="none" w:sz="0" w:space="0" w:color="auto"/>
        <w:left w:val="none" w:sz="0" w:space="0" w:color="auto"/>
        <w:bottom w:val="none" w:sz="0" w:space="0" w:color="auto"/>
        <w:right w:val="none" w:sz="0" w:space="0" w:color="auto"/>
      </w:divBdr>
      <w:divsChild>
        <w:div w:id="1490947166">
          <w:marLeft w:val="0"/>
          <w:marRight w:val="0"/>
          <w:marTop w:val="0"/>
          <w:marBottom w:val="0"/>
          <w:divBdr>
            <w:top w:val="none" w:sz="0" w:space="0" w:color="auto"/>
            <w:left w:val="none" w:sz="0" w:space="0" w:color="auto"/>
            <w:bottom w:val="none" w:sz="0" w:space="0" w:color="auto"/>
            <w:right w:val="none" w:sz="0" w:space="0" w:color="auto"/>
          </w:divBdr>
        </w:div>
      </w:divsChild>
    </w:div>
    <w:div w:id="269824991">
      <w:bodyDiv w:val="1"/>
      <w:marLeft w:val="0"/>
      <w:marRight w:val="0"/>
      <w:marTop w:val="0"/>
      <w:marBottom w:val="0"/>
      <w:divBdr>
        <w:top w:val="none" w:sz="0" w:space="0" w:color="auto"/>
        <w:left w:val="none" w:sz="0" w:space="0" w:color="auto"/>
        <w:bottom w:val="none" w:sz="0" w:space="0" w:color="auto"/>
        <w:right w:val="none" w:sz="0" w:space="0" w:color="auto"/>
      </w:divBdr>
    </w:div>
    <w:div w:id="271481088">
      <w:bodyDiv w:val="1"/>
      <w:marLeft w:val="0"/>
      <w:marRight w:val="0"/>
      <w:marTop w:val="0"/>
      <w:marBottom w:val="0"/>
      <w:divBdr>
        <w:top w:val="none" w:sz="0" w:space="0" w:color="auto"/>
        <w:left w:val="none" w:sz="0" w:space="0" w:color="auto"/>
        <w:bottom w:val="none" w:sz="0" w:space="0" w:color="auto"/>
        <w:right w:val="none" w:sz="0" w:space="0" w:color="auto"/>
      </w:divBdr>
    </w:div>
    <w:div w:id="278227097">
      <w:bodyDiv w:val="1"/>
      <w:marLeft w:val="0"/>
      <w:marRight w:val="0"/>
      <w:marTop w:val="0"/>
      <w:marBottom w:val="0"/>
      <w:divBdr>
        <w:top w:val="none" w:sz="0" w:space="0" w:color="auto"/>
        <w:left w:val="none" w:sz="0" w:space="0" w:color="auto"/>
        <w:bottom w:val="none" w:sz="0" w:space="0" w:color="auto"/>
        <w:right w:val="none" w:sz="0" w:space="0" w:color="auto"/>
      </w:divBdr>
    </w:div>
    <w:div w:id="279075165">
      <w:bodyDiv w:val="1"/>
      <w:marLeft w:val="0"/>
      <w:marRight w:val="0"/>
      <w:marTop w:val="0"/>
      <w:marBottom w:val="0"/>
      <w:divBdr>
        <w:top w:val="none" w:sz="0" w:space="0" w:color="auto"/>
        <w:left w:val="none" w:sz="0" w:space="0" w:color="auto"/>
        <w:bottom w:val="none" w:sz="0" w:space="0" w:color="auto"/>
        <w:right w:val="none" w:sz="0" w:space="0" w:color="auto"/>
      </w:divBdr>
    </w:div>
    <w:div w:id="282536069">
      <w:bodyDiv w:val="1"/>
      <w:marLeft w:val="0"/>
      <w:marRight w:val="0"/>
      <w:marTop w:val="0"/>
      <w:marBottom w:val="0"/>
      <w:divBdr>
        <w:top w:val="none" w:sz="0" w:space="0" w:color="auto"/>
        <w:left w:val="none" w:sz="0" w:space="0" w:color="auto"/>
        <w:bottom w:val="none" w:sz="0" w:space="0" w:color="auto"/>
        <w:right w:val="none" w:sz="0" w:space="0" w:color="auto"/>
      </w:divBdr>
    </w:div>
    <w:div w:id="284653899">
      <w:bodyDiv w:val="1"/>
      <w:marLeft w:val="0"/>
      <w:marRight w:val="0"/>
      <w:marTop w:val="0"/>
      <w:marBottom w:val="0"/>
      <w:divBdr>
        <w:top w:val="none" w:sz="0" w:space="0" w:color="auto"/>
        <w:left w:val="none" w:sz="0" w:space="0" w:color="auto"/>
        <w:bottom w:val="none" w:sz="0" w:space="0" w:color="auto"/>
        <w:right w:val="none" w:sz="0" w:space="0" w:color="auto"/>
      </w:divBdr>
    </w:div>
    <w:div w:id="288509823">
      <w:bodyDiv w:val="1"/>
      <w:marLeft w:val="0"/>
      <w:marRight w:val="0"/>
      <w:marTop w:val="0"/>
      <w:marBottom w:val="0"/>
      <w:divBdr>
        <w:top w:val="none" w:sz="0" w:space="0" w:color="auto"/>
        <w:left w:val="none" w:sz="0" w:space="0" w:color="auto"/>
        <w:bottom w:val="none" w:sz="0" w:space="0" w:color="auto"/>
        <w:right w:val="none" w:sz="0" w:space="0" w:color="auto"/>
      </w:divBdr>
    </w:div>
    <w:div w:id="290016805">
      <w:bodyDiv w:val="1"/>
      <w:marLeft w:val="0"/>
      <w:marRight w:val="0"/>
      <w:marTop w:val="0"/>
      <w:marBottom w:val="0"/>
      <w:divBdr>
        <w:top w:val="none" w:sz="0" w:space="0" w:color="auto"/>
        <w:left w:val="none" w:sz="0" w:space="0" w:color="auto"/>
        <w:bottom w:val="none" w:sz="0" w:space="0" w:color="auto"/>
        <w:right w:val="none" w:sz="0" w:space="0" w:color="auto"/>
      </w:divBdr>
    </w:div>
    <w:div w:id="290482008">
      <w:bodyDiv w:val="1"/>
      <w:marLeft w:val="0"/>
      <w:marRight w:val="0"/>
      <w:marTop w:val="0"/>
      <w:marBottom w:val="0"/>
      <w:divBdr>
        <w:top w:val="none" w:sz="0" w:space="0" w:color="auto"/>
        <w:left w:val="none" w:sz="0" w:space="0" w:color="auto"/>
        <w:bottom w:val="none" w:sz="0" w:space="0" w:color="auto"/>
        <w:right w:val="none" w:sz="0" w:space="0" w:color="auto"/>
      </w:divBdr>
    </w:div>
    <w:div w:id="293341070">
      <w:bodyDiv w:val="1"/>
      <w:marLeft w:val="0"/>
      <w:marRight w:val="0"/>
      <w:marTop w:val="0"/>
      <w:marBottom w:val="0"/>
      <w:divBdr>
        <w:top w:val="none" w:sz="0" w:space="0" w:color="auto"/>
        <w:left w:val="none" w:sz="0" w:space="0" w:color="auto"/>
        <w:bottom w:val="none" w:sz="0" w:space="0" w:color="auto"/>
        <w:right w:val="none" w:sz="0" w:space="0" w:color="auto"/>
      </w:divBdr>
    </w:div>
    <w:div w:id="293760015">
      <w:bodyDiv w:val="1"/>
      <w:marLeft w:val="0"/>
      <w:marRight w:val="0"/>
      <w:marTop w:val="0"/>
      <w:marBottom w:val="0"/>
      <w:divBdr>
        <w:top w:val="none" w:sz="0" w:space="0" w:color="auto"/>
        <w:left w:val="none" w:sz="0" w:space="0" w:color="auto"/>
        <w:bottom w:val="none" w:sz="0" w:space="0" w:color="auto"/>
        <w:right w:val="none" w:sz="0" w:space="0" w:color="auto"/>
      </w:divBdr>
    </w:div>
    <w:div w:id="297077986">
      <w:bodyDiv w:val="1"/>
      <w:marLeft w:val="0"/>
      <w:marRight w:val="0"/>
      <w:marTop w:val="0"/>
      <w:marBottom w:val="0"/>
      <w:divBdr>
        <w:top w:val="none" w:sz="0" w:space="0" w:color="auto"/>
        <w:left w:val="none" w:sz="0" w:space="0" w:color="auto"/>
        <w:bottom w:val="none" w:sz="0" w:space="0" w:color="auto"/>
        <w:right w:val="none" w:sz="0" w:space="0" w:color="auto"/>
      </w:divBdr>
    </w:div>
    <w:div w:id="297730427">
      <w:bodyDiv w:val="1"/>
      <w:marLeft w:val="0"/>
      <w:marRight w:val="0"/>
      <w:marTop w:val="0"/>
      <w:marBottom w:val="0"/>
      <w:divBdr>
        <w:top w:val="none" w:sz="0" w:space="0" w:color="auto"/>
        <w:left w:val="none" w:sz="0" w:space="0" w:color="auto"/>
        <w:bottom w:val="none" w:sz="0" w:space="0" w:color="auto"/>
        <w:right w:val="none" w:sz="0" w:space="0" w:color="auto"/>
      </w:divBdr>
    </w:div>
    <w:div w:id="298655324">
      <w:bodyDiv w:val="1"/>
      <w:marLeft w:val="0"/>
      <w:marRight w:val="0"/>
      <w:marTop w:val="0"/>
      <w:marBottom w:val="0"/>
      <w:divBdr>
        <w:top w:val="none" w:sz="0" w:space="0" w:color="auto"/>
        <w:left w:val="none" w:sz="0" w:space="0" w:color="auto"/>
        <w:bottom w:val="none" w:sz="0" w:space="0" w:color="auto"/>
        <w:right w:val="none" w:sz="0" w:space="0" w:color="auto"/>
      </w:divBdr>
    </w:div>
    <w:div w:id="298732613">
      <w:bodyDiv w:val="1"/>
      <w:marLeft w:val="0"/>
      <w:marRight w:val="0"/>
      <w:marTop w:val="0"/>
      <w:marBottom w:val="0"/>
      <w:divBdr>
        <w:top w:val="none" w:sz="0" w:space="0" w:color="auto"/>
        <w:left w:val="none" w:sz="0" w:space="0" w:color="auto"/>
        <w:bottom w:val="none" w:sz="0" w:space="0" w:color="auto"/>
        <w:right w:val="none" w:sz="0" w:space="0" w:color="auto"/>
      </w:divBdr>
    </w:div>
    <w:div w:id="299850046">
      <w:bodyDiv w:val="1"/>
      <w:marLeft w:val="0"/>
      <w:marRight w:val="0"/>
      <w:marTop w:val="0"/>
      <w:marBottom w:val="0"/>
      <w:divBdr>
        <w:top w:val="none" w:sz="0" w:space="0" w:color="auto"/>
        <w:left w:val="none" w:sz="0" w:space="0" w:color="auto"/>
        <w:bottom w:val="none" w:sz="0" w:space="0" w:color="auto"/>
        <w:right w:val="none" w:sz="0" w:space="0" w:color="auto"/>
      </w:divBdr>
    </w:div>
    <w:div w:id="303464344">
      <w:bodyDiv w:val="1"/>
      <w:marLeft w:val="0"/>
      <w:marRight w:val="0"/>
      <w:marTop w:val="0"/>
      <w:marBottom w:val="0"/>
      <w:divBdr>
        <w:top w:val="none" w:sz="0" w:space="0" w:color="auto"/>
        <w:left w:val="none" w:sz="0" w:space="0" w:color="auto"/>
        <w:bottom w:val="none" w:sz="0" w:space="0" w:color="auto"/>
        <w:right w:val="none" w:sz="0" w:space="0" w:color="auto"/>
      </w:divBdr>
    </w:div>
    <w:div w:id="305161362">
      <w:bodyDiv w:val="1"/>
      <w:marLeft w:val="0"/>
      <w:marRight w:val="0"/>
      <w:marTop w:val="0"/>
      <w:marBottom w:val="0"/>
      <w:divBdr>
        <w:top w:val="none" w:sz="0" w:space="0" w:color="auto"/>
        <w:left w:val="none" w:sz="0" w:space="0" w:color="auto"/>
        <w:bottom w:val="none" w:sz="0" w:space="0" w:color="auto"/>
        <w:right w:val="none" w:sz="0" w:space="0" w:color="auto"/>
      </w:divBdr>
    </w:div>
    <w:div w:id="306324004">
      <w:bodyDiv w:val="1"/>
      <w:marLeft w:val="0"/>
      <w:marRight w:val="0"/>
      <w:marTop w:val="0"/>
      <w:marBottom w:val="0"/>
      <w:divBdr>
        <w:top w:val="none" w:sz="0" w:space="0" w:color="auto"/>
        <w:left w:val="none" w:sz="0" w:space="0" w:color="auto"/>
        <w:bottom w:val="none" w:sz="0" w:space="0" w:color="auto"/>
        <w:right w:val="none" w:sz="0" w:space="0" w:color="auto"/>
      </w:divBdr>
    </w:div>
    <w:div w:id="309868821">
      <w:bodyDiv w:val="1"/>
      <w:marLeft w:val="0"/>
      <w:marRight w:val="0"/>
      <w:marTop w:val="0"/>
      <w:marBottom w:val="0"/>
      <w:divBdr>
        <w:top w:val="none" w:sz="0" w:space="0" w:color="auto"/>
        <w:left w:val="none" w:sz="0" w:space="0" w:color="auto"/>
        <w:bottom w:val="none" w:sz="0" w:space="0" w:color="auto"/>
        <w:right w:val="none" w:sz="0" w:space="0" w:color="auto"/>
      </w:divBdr>
    </w:div>
    <w:div w:id="310985239">
      <w:bodyDiv w:val="1"/>
      <w:marLeft w:val="0"/>
      <w:marRight w:val="0"/>
      <w:marTop w:val="0"/>
      <w:marBottom w:val="0"/>
      <w:divBdr>
        <w:top w:val="none" w:sz="0" w:space="0" w:color="auto"/>
        <w:left w:val="none" w:sz="0" w:space="0" w:color="auto"/>
        <w:bottom w:val="none" w:sz="0" w:space="0" w:color="auto"/>
        <w:right w:val="none" w:sz="0" w:space="0" w:color="auto"/>
      </w:divBdr>
    </w:div>
    <w:div w:id="310990060">
      <w:bodyDiv w:val="1"/>
      <w:marLeft w:val="0"/>
      <w:marRight w:val="0"/>
      <w:marTop w:val="0"/>
      <w:marBottom w:val="0"/>
      <w:divBdr>
        <w:top w:val="none" w:sz="0" w:space="0" w:color="auto"/>
        <w:left w:val="none" w:sz="0" w:space="0" w:color="auto"/>
        <w:bottom w:val="none" w:sz="0" w:space="0" w:color="auto"/>
        <w:right w:val="none" w:sz="0" w:space="0" w:color="auto"/>
      </w:divBdr>
    </w:div>
    <w:div w:id="312374837">
      <w:bodyDiv w:val="1"/>
      <w:marLeft w:val="0"/>
      <w:marRight w:val="0"/>
      <w:marTop w:val="0"/>
      <w:marBottom w:val="0"/>
      <w:divBdr>
        <w:top w:val="none" w:sz="0" w:space="0" w:color="auto"/>
        <w:left w:val="none" w:sz="0" w:space="0" w:color="auto"/>
        <w:bottom w:val="none" w:sz="0" w:space="0" w:color="auto"/>
        <w:right w:val="none" w:sz="0" w:space="0" w:color="auto"/>
      </w:divBdr>
    </w:div>
    <w:div w:id="314723806">
      <w:bodyDiv w:val="1"/>
      <w:marLeft w:val="0"/>
      <w:marRight w:val="0"/>
      <w:marTop w:val="0"/>
      <w:marBottom w:val="0"/>
      <w:divBdr>
        <w:top w:val="none" w:sz="0" w:space="0" w:color="auto"/>
        <w:left w:val="none" w:sz="0" w:space="0" w:color="auto"/>
        <w:bottom w:val="none" w:sz="0" w:space="0" w:color="auto"/>
        <w:right w:val="none" w:sz="0" w:space="0" w:color="auto"/>
      </w:divBdr>
    </w:div>
    <w:div w:id="315375145">
      <w:bodyDiv w:val="1"/>
      <w:marLeft w:val="0"/>
      <w:marRight w:val="0"/>
      <w:marTop w:val="0"/>
      <w:marBottom w:val="0"/>
      <w:divBdr>
        <w:top w:val="none" w:sz="0" w:space="0" w:color="auto"/>
        <w:left w:val="none" w:sz="0" w:space="0" w:color="auto"/>
        <w:bottom w:val="none" w:sz="0" w:space="0" w:color="auto"/>
        <w:right w:val="none" w:sz="0" w:space="0" w:color="auto"/>
      </w:divBdr>
    </w:div>
    <w:div w:id="318505118">
      <w:bodyDiv w:val="1"/>
      <w:marLeft w:val="0"/>
      <w:marRight w:val="0"/>
      <w:marTop w:val="0"/>
      <w:marBottom w:val="0"/>
      <w:divBdr>
        <w:top w:val="none" w:sz="0" w:space="0" w:color="auto"/>
        <w:left w:val="none" w:sz="0" w:space="0" w:color="auto"/>
        <w:bottom w:val="none" w:sz="0" w:space="0" w:color="auto"/>
        <w:right w:val="none" w:sz="0" w:space="0" w:color="auto"/>
      </w:divBdr>
    </w:div>
    <w:div w:id="321929302">
      <w:bodyDiv w:val="1"/>
      <w:marLeft w:val="0"/>
      <w:marRight w:val="0"/>
      <w:marTop w:val="0"/>
      <w:marBottom w:val="0"/>
      <w:divBdr>
        <w:top w:val="none" w:sz="0" w:space="0" w:color="auto"/>
        <w:left w:val="none" w:sz="0" w:space="0" w:color="auto"/>
        <w:bottom w:val="none" w:sz="0" w:space="0" w:color="auto"/>
        <w:right w:val="none" w:sz="0" w:space="0" w:color="auto"/>
      </w:divBdr>
    </w:div>
    <w:div w:id="324167833">
      <w:bodyDiv w:val="1"/>
      <w:marLeft w:val="0"/>
      <w:marRight w:val="0"/>
      <w:marTop w:val="0"/>
      <w:marBottom w:val="0"/>
      <w:divBdr>
        <w:top w:val="none" w:sz="0" w:space="0" w:color="auto"/>
        <w:left w:val="none" w:sz="0" w:space="0" w:color="auto"/>
        <w:bottom w:val="none" w:sz="0" w:space="0" w:color="auto"/>
        <w:right w:val="none" w:sz="0" w:space="0" w:color="auto"/>
      </w:divBdr>
    </w:div>
    <w:div w:id="324550626">
      <w:bodyDiv w:val="1"/>
      <w:marLeft w:val="0"/>
      <w:marRight w:val="0"/>
      <w:marTop w:val="0"/>
      <w:marBottom w:val="0"/>
      <w:divBdr>
        <w:top w:val="none" w:sz="0" w:space="0" w:color="auto"/>
        <w:left w:val="none" w:sz="0" w:space="0" w:color="auto"/>
        <w:bottom w:val="none" w:sz="0" w:space="0" w:color="auto"/>
        <w:right w:val="none" w:sz="0" w:space="0" w:color="auto"/>
      </w:divBdr>
    </w:div>
    <w:div w:id="325130601">
      <w:bodyDiv w:val="1"/>
      <w:marLeft w:val="0"/>
      <w:marRight w:val="0"/>
      <w:marTop w:val="0"/>
      <w:marBottom w:val="0"/>
      <w:divBdr>
        <w:top w:val="none" w:sz="0" w:space="0" w:color="auto"/>
        <w:left w:val="none" w:sz="0" w:space="0" w:color="auto"/>
        <w:bottom w:val="none" w:sz="0" w:space="0" w:color="auto"/>
        <w:right w:val="none" w:sz="0" w:space="0" w:color="auto"/>
      </w:divBdr>
    </w:div>
    <w:div w:id="327445508">
      <w:bodyDiv w:val="1"/>
      <w:marLeft w:val="0"/>
      <w:marRight w:val="0"/>
      <w:marTop w:val="0"/>
      <w:marBottom w:val="0"/>
      <w:divBdr>
        <w:top w:val="none" w:sz="0" w:space="0" w:color="auto"/>
        <w:left w:val="none" w:sz="0" w:space="0" w:color="auto"/>
        <w:bottom w:val="none" w:sz="0" w:space="0" w:color="auto"/>
        <w:right w:val="none" w:sz="0" w:space="0" w:color="auto"/>
      </w:divBdr>
    </w:div>
    <w:div w:id="329256515">
      <w:bodyDiv w:val="1"/>
      <w:marLeft w:val="0"/>
      <w:marRight w:val="0"/>
      <w:marTop w:val="0"/>
      <w:marBottom w:val="0"/>
      <w:divBdr>
        <w:top w:val="none" w:sz="0" w:space="0" w:color="auto"/>
        <w:left w:val="none" w:sz="0" w:space="0" w:color="auto"/>
        <w:bottom w:val="none" w:sz="0" w:space="0" w:color="auto"/>
        <w:right w:val="none" w:sz="0" w:space="0" w:color="auto"/>
      </w:divBdr>
    </w:div>
    <w:div w:id="331374985">
      <w:bodyDiv w:val="1"/>
      <w:marLeft w:val="0"/>
      <w:marRight w:val="0"/>
      <w:marTop w:val="0"/>
      <w:marBottom w:val="0"/>
      <w:divBdr>
        <w:top w:val="none" w:sz="0" w:space="0" w:color="auto"/>
        <w:left w:val="none" w:sz="0" w:space="0" w:color="auto"/>
        <w:bottom w:val="none" w:sz="0" w:space="0" w:color="auto"/>
        <w:right w:val="none" w:sz="0" w:space="0" w:color="auto"/>
      </w:divBdr>
    </w:div>
    <w:div w:id="333342693">
      <w:bodyDiv w:val="1"/>
      <w:marLeft w:val="0"/>
      <w:marRight w:val="0"/>
      <w:marTop w:val="0"/>
      <w:marBottom w:val="0"/>
      <w:divBdr>
        <w:top w:val="none" w:sz="0" w:space="0" w:color="auto"/>
        <w:left w:val="none" w:sz="0" w:space="0" w:color="auto"/>
        <w:bottom w:val="none" w:sz="0" w:space="0" w:color="auto"/>
        <w:right w:val="none" w:sz="0" w:space="0" w:color="auto"/>
      </w:divBdr>
    </w:div>
    <w:div w:id="334235827">
      <w:bodyDiv w:val="1"/>
      <w:marLeft w:val="0"/>
      <w:marRight w:val="0"/>
      <w:marTop w:val="0"/>
      <w:marBottom w:val="0"/>
      <w:divBdr>
        <w:top w:val="none" w:sz="0" w:space="0" w:color="auto"/>
        <w:left w:val="none" w:sz="0" w:space="0" w:color="auto"/>
        <w:bottom w:val="none" w:sz="0" w:space="0" w:color="auto"/>
        <w:right w:val="none" w:sz="0" w:space="0" w:color="auto"/>
      </w:divBdr>
    </w:div>
    <w:div w:id="335377719">
      <w:bodyDiv w:val="1"/>
      <w:marLeft w:val="0"/>
      <w:marRight w:val="0"/>
      <w:marTop w:val="0"/>
      <w:marBottom w:val="0"/>
      <w:divBdr>
        <w:top w:val="none" w:sz="0" w:space="0" w:color="auto"/>
        <w:left w:val="none" w:sz="0" w:space="0" w:color="auto"/>
        <w:bottom w:val="none" w:sz="0" w:space="0" w:color="auto"/>
        <w:right w:val="none" w:sz="0" w:space="0" w:color="auto"/>
      </w:divBdr>
    </w:div>
    <w:div w:id="338243203">
      <w:bodyDiv w:val="1"/>
      <w:marLeft w:val="0"/>
      <w:marRight w:val="0"/>
      <w:marTop w:val="0"/>
      <w:marBottom w:val="0"/>
      <w:divBdr>
        <w:top w:val="none" w:sz="0" w:space="0" w:color="auto"/>
        <w:left w:val="none" w:sz="0" w:space="0" w:color="auto"/>
        <w:bottom w:val="none" w:sz="0" w:space="0" w:color="auto"/>
        <w:right w:val="none" w:sz="0" w:space="0" w:color="auto"/>
      </w:divBdr>
    </w:div>
    <w:div w:id="339360874">
      <w:bodyDiv w:val="1"/>
      <w:marLeft w:val="0"/>
      <w:marRight w:val="0"/>
      <w:marTop w:val="0"/>
      <w:marBottom w:val="0"/>
      <w:divBdr>
        <w:top w:val="none" w:sz="0" w:space="0" w:color="auto"/>
        <w:left w:val="none" w:sz="0" w:space="0" w:color="auto"/>
        <w:bottom w:val="none" w:sz="0" w:space="0" w:color="auto"/>
        <w:right w:val="none" w:sz="0" w:space="0" w:color="auto"/>
      </w:divBdr>
    </w:div>
    <w:div w:id="340164589">
      <w:bodyDiv w:val="1"/>
      <w:marLeft w:val="0"/>
      <w:marRight w:val="0"/>
      <w:marTop w:val="0"/>
      <w:marBottom w:val="0"/>
      <w:divBdr>
        <w:top w:val="none" w:sz="0" w:space="0" w:color="auto"/>
        <w:left w:val="none" w:sz="0" w:space="0" w:color="auto"/>
        <w:bottom w:val="none" w:sz="0" w:space="0" w:color="auto"/>
        <w:right w:val="none" w:sz="0" w:space="0" w:color="auto"/>
      </w:divBdr>
    </w:div>
    <w:div w:id="340476963">
      <w:bodyDiv w:val="1"/>
      <w:marLeft w:val="0"/>
      <w:marRight w:val="0"/>
      <w:marTop w:val="0"/>
      <w:marBottom w:val="0"/>
      <w:divBdr>
        <w:top w:val="none" w:sz="0" w:space="0" w:color="auto"/>
        <w:left w:val="none" w:sz="0" w:space="0" w:color="auto"/>
        <w:bottom w:val="none" w:sz="0" w:space="0" w:color="auto"/>
        <w:right w:val="none" w:sz="0" w:space="0" w:color="auto"/>
      </w:divBdr>
    </w:div>
    <w:div w:id="343165097">
      <w:bodyDiv w:val="1"/>
      <w:marLeft w:val="0"/>
      <w:marRight w:val="0"/>
      <w:marTop w:val="0"/>
      <w:marBottom w:val="0"/>
      <w:divBdr>
        <w:top w:val="none" w:sz="0" w:space="0" w:color="auto"/>
        <w:left w:val="none" w:sz="0" w:space="0" w:color="auto"/>
        <w:bottom w:val="none" w:sz="0" w:space="0" w:color="auto"/>
        <w:right w:val="none" w:sz="0" w:space="0" w:color="auto"/>
      </w:divBdr>
    </w:div>
    <w:div w:id="345056325">
      <w:bodyDiv w:val="1"/>
      <w:marLeft w:val="0"/>
      <w:marRight w:val="0"/>
      <w:marTop w:val="0"/>
      <w:marBottom w:val="0"/>
      <w:divBdr>
        <w:top w:val="none" w:sz="0" w:space="0" w:color="auto"/>
        <w:left w:val="none" w:sz="0" w:space="0" w:color="auto"/>
        <w:bottom w:val="none" w:sz="0" w:space="0" w:color="auto"/>
        <w:right w:val="none" w:sz="0" w:space="0" w:color="auto"/>
      </w:divBdr>
    </w:div>
    <w:div w:id="345833790">
      <w:bodyDiv w:val="1"/>
      <w:marLeft w:val="0"/>
      <w:marRight w:val="0"/>
      <w:marTop w:val="0"/>
      <w:marBottom w:val="0"/>
      <w:divBdr>
        <w:top w:val="none" w:sz="0" w:space="0" w:color="auto"/>
        <w:left w:val="none" w:sz="0" w:space="0" w:color="auto"/>
        <w:bottom w:val="none" w:sz="0" w:space="0" w:color="auto"/>
        <w:right w:val="none" w:sz="0" w:space="0" w:color="auto"/>
      </w:divBdr>
    </w:div>
    <w:div w:id="346105603">
      <w:bodyDiv w:val="1"/>
      <w:marLeft w:val="0"/>
      <w:marRight w:val="0"/>
      <w:marTop w:val="0"/>
      <w:marBottom w:val="0"/>
      <w:divBdr>
        <w:top w:val="none" w:sz="0" w:space="0" w:color="auto"/>
        <w:left w:val="none" w:sz="0" w:space="0" w:color="auto"/>
        <w:bottom w:val="none" w:sz="0" w:space="0" w:color="auto"/>
        <w:right w:val="none" w:sz="0" w:space="0" w:color="auto"/>
      </w:divBdr>
    </w:div>
    <w:div w:id="346560778">
      <w:bodyDiv w:val="1"/>
      <w:marLeft w:val="0"/>
      <w:marRight w:val="0"/>
      <w:marTop w:val="0"/>
      <w:marBottom w:val="0"/>
      <w:divBdr>
        <w:top w:val="none" w:sz="0" w:space="0" w:color="auto"/>
        <w:left w:val="none" w:sz="0" w:space="0" w:color="auto"/>
        <w:bottom w:val="none" w:sz="0" w:space="0" w:color="auto"/>
        <w:right w:val="none" w:sz="0" w:space="0" w:color="auto"/>
      </w:divBdr>
    </w:div>
    <w:div w:id="348530802">
      <w:bodyDiv w:val="1"/>
      <w:marLeft w:val="0"/>
      <w:marRight w:val="0"/>
      <w:marTop w:val="0"/>
      <w:marBottom w:val="0"/>
      <w:divBdr>
        <w:top w:val="none" w:sz="0" w:space="0" w:color="auto"/>
        <w:left w:val="none" w:sz="0" w:space="0" w:color="auto"/>
        <w:bottom w:val="none" w:sz="0" w:space="0" w:color="auto"/>
        <w:right w:val="none" w:sz="0" w:space="0" w:color="auto"/>
      </w:divBdr>
    </w:div>
    <w:div w:id="349991330">
      <w:bodyDiv w:val="1"/>
      <w:marLeft w:val="0"/>
      <w:marRight w:val="0"/>
      <w:marTop w:val="0"/>
      <w:marBottom w:val="0"/>
      <w:divBdr>
        <w:top w:val="none" w:sz="0" w:space="0" w:color="auto"/>
        <w:left w:val="none" w:sz="0" w:space="0" w:color="auto"/>
        <w:bottom w:val="none" w:sz="0" w:space="0" w:color="auto"/>
        <w:right w:val="none" w:sz="0" w:space="0" w:color="auto"/>
      </w:divBdr>
    </w:div>
    <w:div w:id="351418504">
      <w:bodyDiv w:val="1"/>
      <w:marLeft w:val="0"/>
      <w:marRight w:val="0"/>
      <w:marTop w:val="0"/>
      <w:marBottom w:val="0"/>
      <w:divBdr>
        <w:top w:val="none" w:sz="0" w:space="0" w:color="auto"/>
        <w:left w:val="none" w:sz="0" w:space="0" w:color="auto"/>
        <w:bottom w:val="none" w:sz="0" w:space="0" w:color="auto"/>
        <w:right w:val="none" w:sz="0" w:space="0" w:color="auto"/>
      </w:divBdr>
    </w:div>
    <w:div w:id="352267255">
      <w:bodyDiv w:val="1"/>
      <w:marLeft w:val="0"/>
      <w:marRight w:val="0"/>
      <w:marTop w:val="0"/>
      <w:marBottom w:val="0"/>
      <w:divBdr>
        <w:top w:val="none" w:sz="0" w:space="0" w:color="auto"/>
        <w:left w:val="none" w:sz="0" w:space="0" w:color="auto"/>
        <w:bottom w:val="none" w:sz="0" w:space="0" w:color="auto"/>
        <w:right w:val="none" w:sz="0" w:space="0" w:color="auto"/>
      </w:divBdr>
    </w:div>
    <w:div w:id="352804629">
      <w:bodyDiv w:val="1"/>
      <w:marLeft w:val="0"/>
      <w:marRight w:val="0"/>
      <w:marTop w:val="0"/>
      <w:marBottom w:val="0"/>
      <w:divBdr>
        <w:top w:val="none" w:sz="0" w:space="0" w:color="auto"/>
        <w:left w:val="none" w:sz="0" w:space="0" w:color="auto"/>
        <w:bottom w:val="none" w:sz="0" w:space="0" w:color="auto"/>
        <w:right w:val="none" w:sz="0" w:space="0" w:color="auto"/>
      </w:divBdr>
    </w:div>
    <w:div w:id="352922937">
      <w:bodyDiv w:val="1"/>
      <w:marLeft w:val="0"/>
      <w:marRight w:val="0"/>
      <w:marTop w:val="0"/>
      <w:marBottom w:val="0"/>
      <w:divBdr>
        <w:top w:val="none" w:sz="0" w:space="0" w:color="auto"/>
        <w:left w:val="none" w:sz="0" w:space="0" w:color="auto"/>
        <w:bottom w:val="none" w:sz="0" w:space="0" w:color="auto"/>
        <w:right w:val="none" w:sz="0" w:space="0" w:color="auto"/>
      </w:divBdr>
    </w:div>
    <w:div w:id="353502070">
      <w:bodyDiv w:val="1"/>
      <w:marLeft w:val="0"/>
      <w:marRight w:val="0"/>
      <w:marTop w:val="0"/>
      <w:marBottom w:val="0"/>
      <w:divBdr>
        <w:top w:val="none" w:sz="0" w:space="0" w:color="auto"/>
        <w:left w:val="none" w:sz="0" w:space="0" w:color="auto"/>
        <w:bottom w:val="none" w:sz="0" w:space="0" w:color="auto"/>
        <w:right w:val="none" w:sz="0" w:space="0" w:color="auto"/>
      </w:divBdr>
    </w:div>
    <w:div w:id="354116631">
      <w:bodyDiv w:val="1"/>
      <w:marLeft w:val="0"/>
      <w:marRight w:val="0"/>
      <w:marTop w:val="0"/>
      <w:marBottom w:val="0"/>
      <w:divBdr>
        <w:top w:val="none" w:sz="0" w:space="0" w:color="auto"/>
        <w:left w:val="none" w:sz="0" w:space="0" w:color="auto"/>
        <w:bottom w:val="none" w:sz="0" w:space="0" w:color="auto"/>
        <w:right w:val="none" w:sz="0" w:space="0" w:color="auto"/>
      </w:divBdr>
    </w:div>
    <w:div w:id="354502602">
      <w:bodyDiv w:val="1"/>
      <w:marLeft w:val="0"/>
      <w:marRight w:val="0"/>
      <w:marTop w:val="0"/>
      <w:marBottom w:val="0"/>
      <w:divBdr>
        <w:top w:val="none" w:sz="0" w:space="0" w:color="auto"/>
        <w:left w:val="none" w:sz="0" w:space="0" w:color="auto"/>
        <w:bottom w:val="none" w:sz="0" w:space="0" w:color="auto"/>
        <w:right w:val="none" w:sz="0" w:space="0" w:color="auto"/>
      </w:divBdr>
    </w:div>
    <w:div w:id="357194114">
      <w:bodyDiv w:val="1"/>
      <w:marLeft w:val="0"/>
      <w:marRight w:val="0"/>
      <w:marTop w:val="0"/>
      <w:marBottom w:val="0"/>
      <w:divBdr>
        <w:top w:val="none" w:sz="0" w:space="0" w:color="auto"/>
        <w:left w:val="none" w:sz="0" w:space="0" w:color="auto"/>
        <w:bottom w:val="none" w:sz="0" w:space="0" w:color="auto"/>
        <w:right w:val="none" w:sz="0" w:space="0" w:color="auto"/>
      </w:divBdr>
    </w:div>
    <w:div w:id="359669450">
      <w:bodyDiv w:val="1"/>
      <w:marLeft w:val="0"/>
      <w:marRight w:val="0"/>
      <w:marTop w:val="0"/>
      <w:marBottom w:val="0"/>
      <w:divBdr>
        <w:top w:val="none" w:sz="0" w:space="0" w:color="auto"/>
        <w:left w:val="none" w:sz="0" w:space="0" w:color="auto"/>
        <w:bottom w:val="none" w:sz="0" w:space="0" w:color="auto"/>
        <w:right w:val="none" w:sz="0" w:space="0" w:color="auto"/>
      </w:divBdr>
    </w:div>
    <w:div w:id="359936776">
      <w:bodyDiv w:val="1"/>
      <w:marLeft w:val="0"/>
      <w:marRight w:val="0"/>
      <w:marTop w:val="0"/>
      <w:marBottom w:val="0"/>
      <w:divBdr>
        <w:top w:val="none" w:sz="0" w:space="0" w:color="auto"/>
        <w:left w:val="none" w:sz="0" w:space="0" w:color="auto"/>
        <w:bottom w:val="none" w:sz="0" w:space="0" w:color="auto"/>
        <w:right w:val="none" w:sz="0" w:space="0" w:color="auto"/>
      </w:divBdr>
    </w:div>
    <w:div w:id="360251589">
      <w:bodyDiv w:val="1"/>
      <w:marLeft w:val="0"/>
      <w:marRight w:val="0"/>
      <w:marTop w:val="0"/>
      <w:marBottom w:val="0"/>
      <w:divBdr>
        <w:top w:val="none" w:sz="0" w:space="0" w:color="auto"/>
        <w:left w:val="none" w:sz="0" w:space="0" w:color="auto"/>
        <w:bottom w:val="none" w:sz="0" w:space="0" w:color="auto"/>
        <w:right w:val="none" w:sz="0" w:space="0" w:color="auto"/>
      </w:divBdr>
    </w:div>
    <w:div w:id="360597929">
      <w:bodyDiv w:val="1"/>
      <w:marLeft w:val="0"/>
      <w:marRight w:val="0"/>
      <w:marTop w:val="0"/>
      <w:marBottom w:val="0"/>
      <w:divBdr>
        <w:top w:val="none" w:sz="0" w:space="0" w:color="auto"/>
        <w:left w:val="none" w:sz="0" w:space="0" w:color="auto"/>
        <w:bottom w:val="none" w:sz="0" w:space="0" w:color="auto"/>
        <w:right w:val="none" w:sz="0" w:space="0" w:color="auto"/>
      </w:divBdr>
    </w:div>
    <w:div w:id="363748327">
      <w:bodyDiv w:val="1"/>
      <w:marLeft w:val="0"/>
      <w:marRight w:val="0"/>
      <w:marTop w:val="0"/>
      <w:marBottom w:val="0"/>
      <w:divBdr>
        <w:top w:val="none" w:sz="0" w:space="0" w:color="auto"/>
        <w:left w:val="none" w:sz="0" w:space="0" w:color="auto"/>
        <w:bottom w:val="none" w:sz="0" w:space="0" w:color="auto"/>
        <w:right w:val="none" w:sz="0" w:space="0" w:color="auto"/>
      </w:divBdr>
    </w:div>
    <w:div w:id="368652788">
      <w:bodyDiv w:val="1"/>
      <w:marLeft w:val="0"/>
      <w:marRight w:val="0"/>
      <w:marTop w:val="0"/>
      <w:marBottom w:val="0"/>
      <w:divBdr>
        <w:top w:val="none" w:sz="0" w:space="0" w:color="auto"/>
        <w:left w:val="none" w:sz="0" w:space="0" w:color="auto"/>
        <w:bottom w:val="none" w:sz="0" w:space="0" w:color="auto"/>
        <w:right w:val="none" w:sz="0" w:space="0" w:color="auto"/>
      </w:divBdr>
    </w:div>
    <w:div w:id="372115461">
      <w:bodyDiv w:val="1"/>
      <w:marLeft w:val="0"/>
      <w:marRight w:val="0"/>
      <w:marTop w:val="0"/>
      <w:marBottom w:val="0"/>
      <w:divBdr>
        <w:top w:val="none" w:sz="0" w:space="0" w:color="auto"/>
        <w:left w:val="none" w:sz="0" w:space="0" w:color="auto"/>
        <w:bottom w:val="none" w:sz="0" w:space="0" w:color="auto"/>
        <w:right w:val="none" w:sz="0" w:space="0" w:color="auto"/>
      </w:divBdr>
    </w:div>
    <w:div w:id="374736660">
      <w:bodyDiv w:val="1"/>
      <w:marLeft w:val="0"/>
      <w:marRight w:val="0"/>
      <w:marTop w:val="0"/>
      <w:marBottom w:val="0"/>
      <w:divBdr>
        <w:top w:val="none" w:sz="0" w:space="0" w:color="auto"/>
        <w:left w:val="none" w:sz="0" w:space="0" w:color="auto"/>
        <w:bottom w:val="none" w:sz="0" w:space="0" w:color="auto"/>
        <w:right w:val="none" w:sz="0" w:space="0" w:color="auto"/>
      </w:divBdr>
    </w:div>
    <w:div w:id="376126991">
      <w:bodyDiv w:val="1"/>
      <w:marLeft w:val="0"/>
      <w:marRight w:val="0"/>
      <w:marTop w:val="0"/>
      <w:marBottom w:val="0"/>
      <w:divBdr>
        <w:top w:val="none" w:sz="0" w:space="0" w:color="auto"/>
        <w:left w:val="none" w:sz="0" w:space="0" w:color="auto"/>
        <w:bottom w:val="none" w:sz="0" w:space="0" w:color="auto"/>
        <w:right w:val="none" w:sz="0" w:space="0" w:color="auto"/>
      </w:divBdr>
    </w:div>
    <w:div w:id="376323791">
      <w:bodyDiv w:val="1"/>
      <w:marLeft w:val="0"/>
      <w:marRight w:val="0"/>
      <w:marTop w:val="0"/>
      <w:marBottom w:val="0"/>
      <w:divBdr>
        <w:top w:val="none" w:sz="0" w:space="0" w:color="auto"/>
        <w:left w:val="none" w:sz="0" w:space="0" w:color="auto"/>
        <w:bottom w:val="none" w:sz="0" w:space="0" w:color="auto"/>
        <w:right w:val="none" w:sz="0" w:space="0" w:color="auto"/>
      </w:divBdr>
    </w:div>
    <w:div w:id="377358847">
      <w:bodyDiv w:val="1"/>
      <w:marLeft w:val="0"/>
      <w:marRight w:val="0"/>
      <w:marTop w:val="0"/>
      <w:marBottom w:val="0"/>
      <w:divBdr>
        <w:top w:val="none" w:sz="0" w:space="0" w:color="auto"/>
        <w:left w:val="none" w:sz="0" w:space="0" w:color="auto"/>
        <w:bottom w:val="none" w:sz="0" w:space="0" w:color="auto"/>
        <w:right w:val="none" w:sz="0" w:space="0" w:color="auto"/>
      </w:divBdr>
    </w:div>
    <w:div w:id="378556065">
      <w:bodyDiv w:val="1"/>
      <w:marLeft w:val="0"/>
      <w:marRight w:val="0"/>
      <w:marTop w:val="0"/>
      <w:marBottom w:val="0"/>
      <w:divBdr>
        <w:top w:val="none" w:sz="0" w:space="0" w:color="auto"/>
        <w:left w:val="none" w:sz="0" w:space="0" w:color="auto"/>
        <w:bottom w:val="none" w:sz="0" w:space="0" w:color="auto"/>
        <w:right w:val="none" w:sz="0" w:space="0" w:color="auto"/>
      </w:divBdr>
    </w:div>
    <w:div w:id="382601976">
      <w:bodyDiv w:val="1"/>
      <w:marLeft w:val="0"/>
      <w:marRight w:val="0"/>
      <w:marTop w:val="0"/>
      <w:marBottom w:val="0"/>
      <w:divBdr>
        <w:top w:val="none" w:sz="0" w:space="0" w:color="auto"/>
        <w:left w:val="none" w:sz="0" w:space="0" w:color="auto"/>
        <w:bottom w:val="none" w:sz="0" w:space="0" w:color="auto"/>
        <w:right w:val="none" w:sz="0" w:space="0" w:color="auto"/>
      </w:divBdr>
    </w:div>
    <w:div w:id="383141854">
      <w:bodyDiv w:val="1"/>
      <w:marLeft w:val="0"/>
      <w:marRight w:val="0"/>
      <w:marTop w:val="0"/>
      <w:marBottom w:val="0"/>
      <w:divBdr>
        <w:top w:val="none" w:sz="0" w:space="0" w:color="auto"/>
        <w:left w:val="none" w:sz="0" w:space="0" w:color="auto"/>
        <w:bottom w:val="none" w:sz="0" w:space="0" w:color="auto"/>
        <w:right w:val="none" w:sz="0" w:space="0" w:color="auto"/>
      </w:divBdr>
    </w:div>
    <w:div w:id="386759077">
      <w:bodyDiv w:val="1"/>
      <w:marLeft w:val="0"/>
      <w:marRight w:val="0"/>
      <w:marTop w:val="0"/>
      <w:marBottom w:val="0"/>
      <w:divBdr>
        <w:top w:val="none" w:sz="0" w:space="0" w:color="auto"/>
        <w:left w:val="none" w:sz="0" w:space="0" w:color="auto"/>
        <w:bottom w:val="none" w:sz="0" w:space="0" w:color="auto"/>
        <w:right w:val="none" w:sz="0" w:space="0" w:color="auto"/>
      </w:divBdr>
    </w:div>
    <w:div w:id="388303026">
      <w:bodyDiv w:val="1"/>
      <w:marLeft w:val="0"/>
      <w:marRight w:val="0"/>
      <w:marTop w:val="0"/>
      <w:marBottom w:val="0"/>
      <w:divBdr>
        <w:top w:val="none" w:sz="0" w:space="0" w:color="auto"/>
        <w:left w:val="none" w:sz="0" w:space="0" w:color="auto"/>
        <w:bottom w:val="none" w:sz="0" w:space="0" w:color="auto"/>
        <w:right w:val="none" w:sz="0" w:space="0" w:color="auto"/>
      </w:divBdr>
    </w:div>
    <w:div w:id="390351830">
      <w:bodyDiv w:val="1"/>
      <w:marLeft w:val="0"/>
      <w:marRight w:val="0"/>
      <w:marTop w:val="0"/>
      <w:marBottom w:val="0"/>
      <w:divBdr>
        <w:top w:val="none" w:sz="0" w:space="0" w:color="auto"/>
        <w:left w:val="none" w:sz="0" w:space="0" w:color="auto"/>
        <w:bottom w:val="none" w:sz="0" w:space="0" w:color="auto"/>
        <w:right w:val="none" w:sz="0" w:space="0" w:color="auto"/>
      </w:divBdr>
    </w:div>
    <w:div w:id="392505713">
      <w:bodyDiv w:val="1"/>
      <w:marLeft w:val="0"/>
      <w:marRight w:val="0"/>
      <w:marTop w:val="0"/>
      <w:marBottom w:val="0"/>
      <w:divBdr>
        <w:top w:val="none" w:sz="0" w:space="0" w:color="auto"/>
        <w:left w:val="none" w:sz="0" w:space="0" w:color="auto"/>
        <w:bottom w:val="none" w:sz="0" w:space="0" w:color="auto"/>
        <w:right w:val="none" w:sz="0" w:space="0" w:color="auto"/>
      </w:divBdr>
    </w:div>
    <w:div w:id="393823288">
      <w:bodyDiv w:val="1"/>
      <w:marLeft w:val="0"/>
      <w:marRight w:val="0"/>
      <w:marTop w:val="0"/>
      <w:marBottom w:val="0"/>
      <w:divBdr>
        <w:top w:val="none" w:sz="0" w:space="0" w:color="auto"/>
        <w:left w:val="none" w:sz="0" w:space="0" w:color="auto"/>
        <w:bottom w:val="none" w:sz="0" w:space="0" w:color="auto"/>
        <w:right w:val="none" w:sz="0" w:space="0" w:color="auto"/>
      </w:divBdr>
    </w:div>
    <w:div w:id="394670326">
      <w:bodyDiv w:val="1"/>
      <w:marLeft w:val="0"/>
      <w:marRight w:val="0"/>
      <w:marTop w:val="0"/>
      <w:marBottom w:val="0"/>
      <w:divBdr>
        <w:top w:val="none" w:sz="0" w:space="0" w:color="auto"/>
        <w:left w:val="none" w:sz="0" w:space="0" w:color="auto"/>
        <w:bottom w:val="none" w:sz="0" w:space="0" w:color="auto"/>
        <w:right w:val="none" w:sz="0" w:space="0" w:color="auto"/>
      </w:divBdr>
    </w:div>
    <w:div w:id="395664042">
      <w:bodyDiv w:val="1"/>
      <w:marLeft w:val="0"/>
      <w:marRight w:val="0"/>
      <w:marTop w:val="0"/>
      <w:marBottom w:val="0"/>
      <w:divBdr>
        <w:top w:val="none" w:sz="0" w:space="0" w:color="auto"/>
        <w:left w:val="none" w:sz="0" w:space="0" w:color="auto"/>
        <w:bottom w:val="none" w:sz="0" w:space="0" w:color="auto"/>
        <w:right w:val="none" w:sz="0" w:space="0" w:color="auto"/>
      </w:divBdr>
    </w:div>
    <w:div w:id="395706630">
      <w:bodyDiv w:val="1"/>
      <w:marLeft w:val="0"/>
      <w:marRight w:val="0"/>
      <w:marTop w:val="0"/>
      <w:marBottom w:val="0"/>
      <w:divBdr>
        <w:top w:val="none" w:sz="0" w:space="0" w:color="auto"/>
        <w:left w:val="none" w:sz="0" w:space="0" w:color="auto"/>
        <w:bottom w:val="none" w:sz="0" w:space="0" w:color="auto"/>
        <w:right w:val="none" w:sz="0" w:space="0" w:color="auto"/>
      </w:divBdr>
    </w:div>
    <w:div w:id="397553970">
      <w:bodyDiv w:val="1"/>
      <w:marLeft w:val="0"/>
      <w:marRight w:val="0"/>
      <w:marTop w:val="0"/>
      <w:marBottom w:val="0"/>
      <w:divBdr>
        <w:top w:val="none" w:sz="0" w:space="0" w:color="auto"/>
        <w:left w:val="none" w:sz="0" w:space="0" w:color="auto"/>
        <w:bottom w:val="none" w:sz="0" w:space="0" w:color="auto"/>
        <w:right w:val="none" w:sz="0" w:space="0" w:color="auto"/>
      </w:divBdr>
    </w:div>
    <w:div w:id="398409121">
      <w:bodyDiv w:val="1"/>
      <w:marLeft w:val="0"/>
      <w:marRight w:val="0"/>
      <w:marTop w:val="0"/>
      <w:marBottom w:val="0"/>
      <w:divBdr>
        <w:top w:val="none" w:sz="0" w:space="0" w:color="auto"/>
        <w:left w:val="none" w:sz="0" w:space="0" w:color="auto"/>
        <w:bottom w:val="none" w:sz="0" w:space="0" w:color="auto"/>
        <w:right w:val="none" w:sz="0" w:space="0" w:color="auto"/>
      </w:divBdr>
    </w:div>
    <w:div w:id="398483216">
      <w:bodyDiv w:val="1"/>
      <w:marLeft w:val="0"/>
      <w:marRight w:val="0"/>
      <w:marTop w:val="0"/>
      <w:marBottom w:val="0"/>
      <w:divBdr>
        <w:top w:val="none" w:sz="0" w:space="0" w:color="auto"/>
        <w:left w:val="none" w:sz="0" w:space="0" w:color="auto"/>
        <w:bottom w:val="none" w:sz="0" w:space="0" w:color="auto"/>
        <w:right w:val="none" w:sz="0" w:space="0" w:color="auto"/>
      </w:divBdr>
    </w:div>
    <w:div w:id="401879622">
      <w:bodyDiv w:val="1"/>
      <w:marLeft w:val="0"/>
      <w:marRight w:val="0"/>
      <w:marTop w:val="0"/>
      <w:marBottom w:val="0"/>
      <w:divBdr>
        <w:top w:val="none" w:sz="0" w:space="0" w:color="auto"/>
        <w:left w:val="none" w:sz="0" w:space="0" w:color="auto"/>
        <w:bottom w:val="none" w:sz="0" w:space="0" w:color="auto"/>
        <w:right w:val="none" w:sz="0" w:space="0" w:color="auto"/>
      </w:divBdr>
    </w:div>
    <w:div w:id="406614299">
      <w:bodyDiv w:val="1"/>
      <w:marLeft w:val="0"/>
      <w:marRight w:val="0"/>
      <w:marTop w:val="0"/>
      <w:marBottom w:val="0"/>
      <w:divBdr>
        <w:top w:val="none" w:sz="0" w:space="0" w:color="auto"/>
        <w:left w:val="none" w:sz="0" w:space="0" w:color="auto"/>
        <w:bottom w:val="none" w:sz="0" w:space="0" w:color="auto"/>
        <w:right w:val="none" w:sz="0" w:space="0" w:color="auto"/>
      </w:divBdr>
    </w:div>
    <w:div w:id="409697225">
      <w:bodyDiv w:val="1"/>
      <w:marLeft w:val="0"/>
      <w:marRight w:val="0"/>
      <w:marTop w:val="0"/>
      <w:marBottom w:val="0"/>
      <w:divBdr>
        <w:top w:val="none" w:sz="0" w:space="0" w:color="auto"/>
        <w:left w:val="none" w:sz="0" w:space="0" w:color="auto"/>
        <w:bottom w:val="none" w:sz="0" w:space="0" w:color="auto"/>
        <w:right w:val="none" w:sz="0" w:space="0" w:color="auto"/>
      </w:divBdr>
    </w:div>
    <w:div w:id="410860306">
      <w:bodyDiv w:val="1"/>
      <w:marLeft w:val="0"/>
      <w:marRight w:val="0"/>
      <w:marTop w:val="0"/>
      <w:marBottom w:val="0"/>
      <w:divBdr>
        <w:top w:val="none" w:sz="0" w:space="0" w:color="auto"/>
        <w:left w:val="none" w:sz="0" w:space="0" w:color="auto"/>
        <w:bottom w:val="none" w:sz="0" w:space="0" w:color="auto"/>
        <w:right w:val="none" w:sz="0" w:space="0" w:color="auto"/>
      </w:divBdr>
    </w:div>
    <w:div w:id="413011880">
      <w:bodyDiv w:val="1"/>
      <w:marLeft w:val="0"/>
      <w:marRight w:val="0"/>
      <w:marTop w:val="0"/>
      <w:marBottom w:val="0"/>
      <w:divBdr>
        <w:top w:val="none" w:sz="0" w:space="0" w:color="auto"/>
        <w:left w:val="none" w:sz="0" w:space="0" w:color="auto"/>
        <w:bottom w:val="none" w:sz="0" w:space="0" w:color="auto"/>
        <w:right w:val="none" w:sz="0" w:space="0" w:color="auto"/>
      </w:divBdr>
    </w:div>
    <w:div w:id="415173805">
      <w:bodyDiv w:val="1"/>
      <w:marLeft w:val="0"/>
      <w:marRight w:val="0"/>
      <w:marTop w:val="0"/>
      <w:marBottom w:val="0"/>
      <w:divBdr>
        <w:top w:val="none" w:sz="0" w:space="0" w:color="auto"/>
        <w:left w:val="none" w:sz="0" w:space="0" w:color="auto"/>
        <w:bottom w:val="none" w:sz="0" w:space="0" w:color="auto"/>
        <w:right w:val="none" w:sz="0" w:space="0" w:color="auto"/>
      </w:divBdr>
    </w:div>
    <w:div w:id="415328208">
      <w:bodyDiv w:val="1"/>
      <w:marLeft w:val="0"/>
      <w:marRight w:val="0"/>
      <w:marTop w:val="0"/>
      <w:marBottom w:val="0"/>
      <w:divBdr>
        <w:top w:val="none" w:sz="0" w:space="0" w:color="auto"/>
        <w:left w:val="none" w:sz="0" w:space="0" w:color="auto"/>
        <w:bottom w:val="none" w:sz="0" w:space="0" w:color="auto"/>
        <w:right w:val="none" w:sz="0" w:space="0" w:color="auto"/>
      </w:divBdr>
    </w:div>
    <w:div w:id="415639112">
      <w:bodyDiv w:val="1"/>
      <w:marLeft w:val="0"/>
      <w:marRight w:val="0"/>
      <w:marTop w:val="0"/>
      <w:marBottom w:val="0"/>
      <w:divBdr>
        <w:top w:val="none" w:sz="0" w:space="0" w:color="auto"/>
        <w:left w:val="none" w:sz="0" w:space="0" w:color="auto"/>
        <w:bottom w:val="none" w:sz="0" w:space="0" w:color="auto"/>
        <w:right w:val="none" w:sz="0" w:space="0" w:color="auto"/>
      </w:divBdr>
    </w:div>
    <w:div w:id="419254191">
      <w:bodyDiv w:val="1"/>
      <w:marLeft w:val="0"/>
      <w:marRight w:val="0"/>
      <w:marTop w:val="0"/>
      <w:marBottom w:val="0"/>
      <w:divBdr>
        <w:top w:val="none" w:sz="0" w:space="0" w:color="auto"/>
        <w:left w:val="none" w:sz="0" w:space="0" w:color="auto"/>
        <w:bottom w:val="none" w:sz="0" w:space="0" w:color="auto"/>
        <w:right w:val="none" w:sz="0" w:space="0" w:color="auto"/>
      </w:divBdr>
    </w:div>
    <w:div w:id="419914053">
      <w:bodyDiv w:val="1"/>
      <w:marLeft w:val="0"/>
      <w:marRight w:val="0"/>
      <w:marTop w:val="0"/>
      <w:marBottom w:val="0"/>
      <w:divBdr>
        <w:top w:val="none" w:sz="0" w:space="0" w:color="auto"/>
        <w:left w:val="none" w:sz="0" w:space="0" w:color="auto"/>
        <w:bottom w:val="none" w:sz="0" w:space="0" w:color="auto"/>
        <w:right w:val="none" w:sz="0" w:space="0" w:color="auto"/>
      </w:divBdr>
    </w:div>
    <w:div w:id="420104646">
      <w:bodyDiv w:val="1"/>
      <w:marLeft w:val="0"/>
      <w:marRight w:val="0"/>
      <w:marTop w:val="0"/>
      <w:marBottom w:val="0"/>
      <w:divBdr>
        <w:top w:val="none" w:sz="0" w:space="0" w:color="auto"/>
        <w:left w:val="none" w:sz="0" w:space="0" w:color="auto"/>
        <w:bottom w:val="none" w:sz="0" w:space="0" w:color="auto"/>
        <w:right w:val="none" w:sz="0" w:space="0" w:color="auto"/>
      </w:divBdr>
    </w:div>
    <w:div w:id="420371057">
      <w:bodyDiv w:val="1"/>
      <w:marLeft w:val="0"/>
      <w:marRight w:val="0"/>
      <w:marTop w:val="0"/>
      <w:marBottom w:val="0"/>
      <w:divBdr>
        <w:top w:val="none" w:sz="0" w:space="0" w:color="auto"/>
        <w:left w:val="none" w:sz="0" w:space="0" w:color="auto"/>
        <w:bottom w:val="none" w:sz="0" w:space="0" w:color="auto"/>
        <w:right w:val="none" w:sz="0" w:space="0" w:color="auto"/>
      </w:divBdr>
    </w:div>
    <w:div w:id="420372710">
      <w:bodyDiv w:val="1"/>
      <w:marLeft w:val="0"/>
      <w:marRight w:val="0"/>
      <w:marTop w:val="0"/>
      <w:marBottom w:val="0"/>
      <w:divBdr>
        <w:top w:val="none" w:sz="0" w:space="0" w:color="auto"/>
        <w:left w:val="none" w:sz="0" w:space="0" w:color="auto"/>
        <w:bottom w:val="none" w:sz="0" w:space="0" w:color="auto"/>
        <w:right w:val="none" w:sz="0" w:space="0" w:color="auto"/>
      </w:divBdr>
    </w:div>
    <w:div w:id="420957734">
      <w:bodyDiv w:val="1"/>
      <w:marLeft w:val="0"/>
      <w:marRight w:val="0"/>
      <w:marTop w:val="0"/>
      <w:marBottom w:val="0"/>
      <w:divBdr>
        <w:top w:val="none" w:sz="0" w:space="0" w:color="auto"/>
        <w:left w:val="none" w:sz="0" w:space="0" w:color="auto"/>
        <w:bottom w:val="none" w:sz="0" w:space="0" w:color="auto"/>
        <w:right w:val="none" w:sz="0" w:space="0" w:color="auto"/>
      </w:divBdr>
    </w:div>
    <w:div w:id="421419646">
      <w:bodyDiv w:val="1"/>
      <w:marLeft w:val="0"/>
      <w:marRight w:val="0"/>
      <w:marTop w:val="0"/>
      <w:marBottom w:val="0"/>
      <w:divBdr>
        <w:top w:val="none" w:sz="0" w:space="0" w:color="auto"/>
        <w:left w:val="none" w:sz="0" w:space="0" w:color="auto"/>
        <w:bottom w:val="none" w:sz="0" w:space="0" w:color="auto"/>
        <w:right w:val="none" w:sz="0" w:space="0" w:color="auto"/>
      </w:divBdr>
    </w:div>
    <w:div w:id="422267114">
      <w:bodyDiv w:val="1"/>
      <w:marLeft w:val="0"/>
      <w:marRight w:val="0"/>
      <w:marTop w:val="0"/>
      <w:marBottom w:val="0"/>
      <w:divBdr>
        <w:top w:val="none" w:sz="0" w:space="0" w:color="auto"/>
        <w:left w:val="none" w:sz="0" w:space="0" w:color="auto"/>
        <w:bottom w:val="none" w:sz="0" w:space="0" w:color="auto"/>
        <w:right w:val="none" w:sz="0" w:space="0" w:color="auto"/>
      </w:divBdr>
    </w:div>
    <w:div w:id="426000739">
      <w:bodyDiv w:val="1"/>
      <w:marLeft w:val="0"/>
      <w:marRight w:val="0"/>
      <w:marTop w:val="0"/>
      <w:marBottom w:val="0"/>
      <w:divBdr>
        <w:top w:val="none" w:sz="0" w:space="0" w:color="auto"/>
        <w:left w:val="none" w:sz="0" w:space="0" w:color="auto"/>
        <w:bottom w:val="none" w:sz="0" w:space="0" w:color="auto"/>
        <w:right w:val="none" w:sz="0" w:space="0" w:color="auto"/>
      </w:divBdr>
    </w:div>
    <w:div w:id="426585846">
      <w:bodyDiv w:val="1"/>
      <w:marLeft w:val="0"/>
      <w:marRight w:val="0"/>
      <w:marTop w:val="0"/>
      <w:marBottom w:val="0"/>
      <w:divBdr>
        <w:top w:val="none" w:sz="0" w:space="0" w:color="auto"/>
        <w:left w:val="none" w:sz="0" w:space="0" w:color="auto"/>
        <w:bottom w:val="none" w:sz="0" w:space="0" w:color="auto"/>
        <w:right w:val="none" w:sz="0" w:space="0" w:color="auto"/>
      </w:divBdr>
    </w:div>
    <w:div w:id="427431032">
      <w:bodyDiv w:val="1"/>
      <w:marLeft w:val="0"/>
      <w:marRight w:val="0"/>
      <w:marTop w:val="0"/>
      <w:marBottom w:val="0"/>
      <w:divBdr>
        <w:top w:val="none" w:sz="0" w:space="0" w:color="auto"/>
        <w:left w:val="none" w:sz="0" w:space="0" w:color="auto"/>
        <w:bottom w:val="none" w:sz="0" w:space="0" w:color="auto"/>
        <w:right w:val="none" w:sz="0" w:space="0" w:color="auto"/>
      </w:divBdr>
    </w:div>
    <w:div w:id="428083521">
      <w:bodyDiv w:val="1"/>
      <w:marLeft w:val="0"/>
      <w:marRight w:val="0"/>
      <w:marTop w:val="0"/>
      <w:marBottom w:val="0"/>
      <w:divBdr>
        <w:top w:val="none" w:sz="0" w:space="0" w:color="auto"/>
        <w:left w:val="none" w:sz="0" w:space="0" w:color="auto"/>
        <w:bottom w:val="none" w:sz="0" w:space="0" w:color="auto"/>
        <w:right w:val="none" w:sz="0" w:space="0" w:color="auto"/>
      </w:divBdr>
    </w:div>
    <w:div w:id="431436189">
      <w:bodyDiv w:val="1"/>
      <w:marLeft w:val="0"/>
      <w:marRight w:val="0"/>
      <w:marTop w:val="0"/>
      <w:marBottom w:val="0"/>
      <w:divBdr>
        <w:top w:val="none" w:sz="0" w:space="0" w:color="auto"/>
        <w:left w:val="none" w:sz="0" w:space="0" w:color="auto"/>
        <w:bottom w:val="none" w:sz="0" w:space="0" w:color="auto"/>
        <w:right w:val="none" w:sz="0" w:space="0" w:color="auto"/>
      </w:divBdr>
    </w:div>
    <w:div w:id="433139050">
      <w:bodyDiv w:val="1"/>
      <w:marLeft w:val="0"/>
      <w:marRight w:val="0"/>
      <w:marTop w:val="0"/>
      <w:marBottom w:val="0"/>
      <w:divBdr>
        <w:top w:val="none" w:sz="0" w:space="0" w:color="auto"/>
        <w:left w:val="none" w:sz="0" w:space="0" w:color="auto"/>
        <w:bottom w:val="none" w:sz="0" w:space="0" w:color="auto"/>
        <w:right w:val="none" w:sz="0" w:space="0" w:color="auto"/>
      </w:divBdr>
    </w:div>
    <w:div w:id="434249390">
      <w:bodyDiv w:val="1"/>
      <w:marLeft w:val="0"/>
      <w:marRight w:val="0"/>
      <w:marTop w:val="0"/>
      <w:marBottom w:val="0"/>
      <w:divBdr>
        <w:top w:val="none" w:sz="0" w:space="0" w:color="auto"/>
        <w:left w:val="none" w:sz="0" w:space="0" w:color="auto"/>
        <w:bottom w:val="none" w:sz="0" w:space="0" w:color="auto"/>
        <w:right w:val="none" w:sz="0" w:space="0" w:color="auto"/>
      </w:divBdr>
    </w:div>
    <w:div w:id="435903486">
      <w:bodyDiv w:val="1"/>
      <w:marLeft w:val="0"/>
      <w:marRight w:val="0"/>
      <w:marTop w:val="0"/>
      <w:marBottom w:val="0"/>
      <w:divBdr>
        <w:top w:val="none" w:sz="0" w:space="0" w:color="auto"/>
        <w:left w:val="none" w:sz="0" w:space="0" w:color="auto"/>
        <w:bottom w:val="none" w:sz="0" w:space="0" w:color="auto"/>
        <w:right w:val="none" w:sz="0" w:space="0" w:color="auto"/>
      </w:divBdr>
    </w:div>
    <w:div w:id="437069852">
      <w:bodyDiv w:val="1"/>
      <w:marLeft w:val="0"/>
      <w:marRight w:val="0"/>
      <w:marTop w:val="0"/>
      <w:marBottom w:val="0"/>
      <w:divBdr>
        <w:top w:val="none" w:sz="0" w:space="0" w:color="auto"/>
        <w:left w:val="none" w:sz="0" w:space="0" w:color="auto"/>
        <w:bottom w:val="none" w:sz="0" w:space="0" w:color="auto"/>
        <w:right w:val="none" w:sz="0" w:space="0" w:color="auto"/>
      </w:divBdr>
    </w:div>
    <w:div w:id="438912646">
      <w:bodyDiv w:val="1"/>
      <w:marLeft w:val="0"/>
      <w:marRight w:val="0"/>
      <w:marTop w:val="0"/>
      <w:marBottom w:val="0"/>
      <w:divBdr>
        <w:top w:val="none" w:sz="0" w:space="0" w:color="auto"/>
        <w:left w:val="none" w:sz="0" w:space="0" w:color="auto"/>
        <w:bottom w:val="none" w:sz="0" w:space="0" w:color="auto"/>
        <w:right w:val="none" w:sz="0" w:space="0" w:color="auto"/>
      </w:divBdr>
    </w:div>
    <w:div w:id="439422962">
      <w:bodyDiv w:val="1"/>
      <w:marLeft w:val="0"/>
      <w:marRight w:val="0"/>
      <w:marTop w:val="0"/>
      <w:marBottom w:val="0"/>
      <w:divBdr>
        <w:top w:val="none" w:sz="0" w:space="0" w:color="auto"/>
        <w:left w:val="none" w:sz="0" w:space="0" w:color="auto"/>
        <w:bottom w:val="none" w:sz="0" w:space="0" w:color="auto"/>
        <w:right w:val="none" w:sz="0" w:space="0" w:color="auto"/>
      </w:divBdr>
    </w:div>
    <w:div w:id="439684581">
      <w:bodyDiv w:val="1"/>
      <w:marLeft w:val="0"/>
      <w:marRight w:val="0"/>
      <w:marTop w:val="0"/>
      <w:marBottom w:val="0"/>
      <w:divBdr>
        <w:top w:val="none" w:sz="0" w:space="0" w:color="auto"/>
        <w:left w:val="none" w:sz="0" w:space="0" w:color="auto"/>
        <w:bottom w:val="none" w:sz="0" w:space="0" w:color="auto"/>
        <w:right w:val="none" w:sz="0" w:space="0" w:color="auto"/>
      </w:divBdr>
    </w:div>
    <w:div w:id="440298539">
      <w:bodyDiv w:val="1"/>
      <w:marLeft w:val="0"/>
      <w:marRight w:val="0"/>
      <w:marTop w:val="0"/>
      <w:marBottom w:val="0"/>
      <w:divBdr>
        <w:top w:val="none" w:sz="0" w:space="0" w:color="auto"/>
        <w:left w:val="none" w:sz="0" w:space="0" w:color="auto"/>
        <w:bottom w:val="none" w:sz="0" w:space="0" w:color="auto"/>
        <w:right w:val="none" w:sz="0" w:space="0" w:color="auto"/>
      </w:divBdr>
    </w:div>
    <w:div w:id="440954366">
      <w:bodyDiv w:val="1"/>
      <w:marLeft w:val="0"/>
      <w:marRight w:val="0"/>
      <w:marTop w:val="0"/>
      <w:marBottom w:val="0"/>
      <w:divBdr>
        <w:top w:val="none" w:sz="0" w:space="0" w:color="auto"/>
        <w:left w:val="none" w:sz="0" w:space="0" w:color="auto"/>
        <w:bottom w:val="none" w:sz="0" w:space="0" w:color="auto"/>
        <w:right w:val="none" w:sz="0" w:space="0" w:color="auto"/>
      </w:divBdr>
    </w:div>
    <w:div w:id="441266323">
      <w:bodyDiv w:val="1"/>
      <w:marLeft w:val="0"/>
      <w:marRight w:val="0"/>
      <w:marTop w:val="0"/>
      <w:marBottom w:val="0"/>
      <w:divBdr>
        <w:top w:val="none" w:sz="0" w:space="0" w:color="auto"/>
        <w:left w:val="none" w:sz="0" w:space="0" w:color="auto"/>
        <w:bottom w:val="none" w:sz="0" w:space="0" w:color="auto"/>
        <w:right w:val="none" w:sz="0" w:space="0" w:color="auto"/>
      </w:divBdr>
    </w:div>
    <w:div w:id="443382767">
      <w:bodyDiv w:val="1"/>
      <w:marLeft w:val="0"/>
      <w:marRight w:val="0"/>
      <w:marTop w:val="0"/>
      <w:marBottom w:val="0"/>
      <w:divBdr>
        <w:top w:val="none" w:sz="0" w:space="0" w:color="auto"/>
        <w:left w:val="none" w:sz="0" w:space="0" w:color="auto"/>
        <w:bottom w:val="none" w:sz="0" w:space="0" w:color="auto"/>
        <w:right w:val="none" w:sz="0" w:space="0" w:color="auto"/>
      </w:divBdr>
    </w:div>
    <w:div w:id="444740206">
      <w:bodyDiv w:val="1"/>
      <w:marLeft w:val="0"/>
      <w:marRight w:val="0"/>
      <w:marTop w:val="0"/>
      <w:marBottom w:val="0"/>
      <w:divBdr>
        <w:top w:val="none" w:sz="0" w:space="0" w:color="auto"/>
        <w:left w:val="none" w:sz="0" w:space="0" w:color="auto"/>
        <w:bottom w:val="none" w:sz="0" w:space="0" w:color="auto"/>
        <w:right w:val="none" w:sz="0" w:space="0" w:color="auto"/>
      </w:divBdr>
    </w:div>
    <w:div w:id="446706200">
      <w:bodyDiv w:val="1"/>
      <w:marLeft w:val="0"/>
      <w:marRight w:val="0"/>
      <w:marTop w:val="0"/>
      <w:marBottom w:val="0"/>
      <w:divBdr>
        <w:top w:val="none" w:sz="0" w:space="0" w:color="auto"/>
        <w:left w:val="none" w:sz="0" w:space="0" w:color="auto"/>
        <w:bottom w:val="none" w:sz="0" w:space="0" w:color="auto"/>
        <w:right w:val="none" w:sz="0" w:space="0" w:color="auto"/>
      </w:divBdr>
    </w:div>
    <w:div w:id="449664261">
      <w:bodyDiv w:val="1"/>
      <w:marLeft w:val="0"/>
      <w:marRight w:val="0"/>
      <w:marTop w:val="0"/>
      <w:marBottom w:val="0"/>
      <w:divBdr>
        <w:top w:val="none" w:sz="0" w:space="0" w:color="auto"/>
        <w:left w:val="none" w:sz="0" w:space="0" w:color="auto"/>
        <w:bottom w:val="none" w:sz="0" w:space="0" w:color="auto"/>
        <w:right w:val="none" w:sz="0" w:space="0" w:color="auto"/>
      </w:divBdr>
    </w:div>
    <w:div w:id="449737837">
      <w:bodyDiv w:val="1"/>
      <w:marLeft w:val="0"/>
      <w:marRight w:val="0"/>
      <w:marTop w:val="0"/>
      <w:marBottom w:val="0"/>
      <w:divBdr>
        <w:top w:val="none" w:sz="0" w:space="0" w:color="auto"/>
        <w:left w:val="none" w:sz="0" w:space="0" w:color="auto"/>
        <w:bottom w:val="none" w:sz="0" w:space="0" w:color="auto"/>
        <w:right w:val="none" w:sz="0" w:space="0" w:color="auto"/>
      </w:divBdr>
    </w:div>
    <w:div w:id="450898641">
      <w:bodyDiv w:val="1"/>
      <w:marLeft w:val="0"/>
      <w:marRight w:val="0"/>
      <w:marTop w:val="0"/>
      <w:marBottom w:val="0"/>
      <w:divBdr>
        <w:top w:val="none" w:sz="0" w:space="0" w:color="auto"/>
        <w:left w:val="none" w:sz="0" w:space="0" w:color="auto"/>
        <w:bottom w:val="none" w:sz="0" w:space="0" w:color="auto"/>
        <w:right w:val="none" w:sz="0" w:space="0" w:color="auto"/>
      </w:divBdr>
    </w:div>
    <w:div w:id="452986906">
      <w:bodyDiv w:val="1"/>
      <w:marLeft w:val="0"/>
      <w:marRight w:val="0"/>
      <w:marTop w:val="0"/>
      <w:marBottom w:val="0"/>
      <w:divBdr>
        <w:top w:val="none" w:sz="0" w:space="0" w:color="auto"/>
        <w:left w:val="none" w:sz="0" w:space="0" w:color="auto"/>
        <w:bottom w:val="none" w:sz="0" w:space="0" w:color="auto"/>
        <w:right w:val="none" w:sz="0" w:space="0" w:color="auto"/>
      </w:divBdr>
    </w:div>
    <w:div w:id="453138178">
      <w:bodyDiv w:val="1"/>
      <w:marLeft w:val="0"/>
      <w:marRight w:val="0"/>
      <w:marTop w:val="0"/>
      <w:marBottom w:val="0"/>
      <w:divBdr>
        <w:top w:val="none" w:sz="0" w:space="0" w:color="auto"/>
        <w:left w:val="none" w:sz="0" w:space="0" w:color="auto"/>
        <w:bottom w:val="none" w:sz="0" w:space="0" w:color="auto"/>
        <w:right w:val="none" w:sz="0" w:space="0" w:color="auto"/>
      </w:divBdr>
    </w:div>
    <w:div w:id="457072314">
      <w:bodyDiv w:val="1"/>
      <w:marLeft w:val="0"/>
      <w:marRight w:val="0"/>
      <w:marTop w:val="0"/>
      <w:marBottom w:val="0"/>
      <w:divBdr>
        <w:top w:val="none" w:sz="0" w:space="0" w:color="auto"/>
        <w:left w:val="none" w:sz="0" w:space="0" w:color="auto"/>
        <w:bottom w:val="none" w:sz="0" w:space="0" w:color="auto"/>
        <w:right w:val="none" w:sz="0" w:space="0" w:color="auto"/>
      </w:divBdr>
    </w:div>
    <w:div w:id="457920662">
      <w:bodyDiv w:val="1"/>
      <w:marLeft w:val="0"/>
      <w:marRight w:val="0"/>
      <w:marTop w:val="0"/>
      <w:marBottom w:val="0"/>
      <w:divBdr>
        <w:top w:val="none" w:sz="0" w:space="0" w:color="auto"/>
        <w:left w:val="none" w:sz="0" w:space="0" w:color="auto"/>
        <w:bottom w:val="none" w:sz="0" w:space="0" w:color="auto"/>
        <w:right w:val="none" w:sz="0" w:space="0" w:color="auto"/>
      </w:divBdr>
    </w:div>
    <w:div w:id="459303960">
      <w:bodyDiv w:val="1"/>
      <w:marLeft w:val="0"/>
      <w:marRight w:val="0"/>
      <w:marTop w:val="0"/>
      <w:marBottom w:val="0"/>
      <w:divBdr>
        <w:top w:val="none" w:sz="0" w:space="0" w:color="auto"/>
        <w:left w:val="none" w:sz="0" w:space="0" w:color="auto"/>
        <w:bottom w:val="none" w:sz="0" w:space="0" w:color="auto"/>
        <w:right w:val="none" w:sz="0" w:space="0" w:color="auto"/>
      </w:divBdr>
    </w:div>
    <w:div w:id="461073545">
      <w:bodyDiv w:val="1"/>
      <w:marLeft w:val="0"/>
      <w:marRight w:val="0"/>
      <w:marTop w:val="0"/>
      <w:marBottom w:val="0"/>
      <w:divBdr>
        <w:top w:val="none" w:sz="0" w:space="0" w:color="auto"/>
        <w:left w:val="none" w:sz="0" w:space="0" w:color="auto"/>
        <w:bottom w:val="none" w:sz="0" w:space="0" w:color="auto"/>
        <w:right w:val="none" w:sz="0" w:space="0" w:color="auto"/>
      </w:divBdr>
    </w:div>
    <w:div w:id="464273333">
      <w:bodyDiv w:val="1"/>
      <w:marLeft w:val="0"/>
      <w:marRight w:val="0"/>
      <w:marTop w:val="0"/>
      <w:marBottom w:val="0"/>
      <w:divBdr>
        <w:top w:val="none" w:sz="0" w:space="0" w:color="auto"/>
        <w:left w:val="none" w:sz="0" w:space="0" w:color="auto"/>
        <w:bottom w:val="none" w:sz="0" w:space="0" w:color="auto"/>
        <w:right w:val="none" w:sz="0" w:space="0" w:color="auto"/>
      </w:divBdr>
    </w:div>
    <w:div w:id="466045050">
      <w:bodyDiv w:val="1"/>
      <w:marLeft w:val="0"/>
      <w:marRight w:val="0"/>
      <w:marTop w:val="0"/>
      <w:marBottom w:val="0"/>
      <w:divBdr>
        <w:top w:val="none" w:sz="0" w:space="0" w:color="auto"/>
        <w:left w:val="none" w:sz="0" w:space="0" w:color="auto"/>
        <w:bottom w:val="none" w:sz="0" w:space="0" w:color="auto"/>
        <w:right w:val="none" w:sz="0" w:space="0" w:color="auto"/>
      </w:divBdr>
    </w:div>
    <w:div w:id="473789814">
      <w:bodyDiv w:val="1"/>
      <w:marLeft w:val="0"/>
      <w:marRight w:val="0"/>
      <w:marTop w:val="0"/>
      <w:marBottom w:val="0"/>
      <w:divBdr>
        <w:top w:val="none" w:sz="0" w:space="0" w:color="auto"/>
        <w:left w:val="none" w:sz="0" w:space="0" w:color="auto"/>
        <w:bottom w:val="none" w:sz="0" w:space="0" w:color="auto"/>
        <w:right w:val="none" w:sz="0" w:space="0" w:color="auto"/>
      </w:divBdr>
    </w:div>
    <w:div w:id="474176138">
      <w:bodyDiv w:val="1"/>
      <w:marLeft w:val="0"/>
      <w:marRight w:val="0"/>
      <w:marTop w:val="0"/>
      <w:marBottom w:val="0"/>
      <w:divBdr>
        <w:top w:val="none" w:sz="0" w:space="0" w:color="auto"/>
        <w:left w:val="none" w:sz="0" w:space="0" w:color="auto"/>
        <w:bottom w:val="none" w:sz="0" w:space="0" w:color="auto"/>
        <w:right w:val="none" w:sz="0" w:space="0" w:color="auto"/>
      </w:divBdr>
    </w:div>
    <w:div w:id="474566287">
      <w:bodyDiv w:val="1"/>
      <w:marLeft w:val="0"/>
      <w:marRight w:val="0"/>
      <w:marTop w:val="0"/>
      <w:marBottom w:val="0"/>
      <w:divBdr>
        <w:top w:val="none" w:sz="0" w:space="0" w:color="auto"/>
        <w:left w:val="none" w:sz="0" w:space="0" w:color="auto"/>
        <w:bottom w:val="none" w:sz="0" w:space="0" w:color="auto"/>
        <w:right w:val="none" w:sz="0" w:space="0" w:color="auto"/>
      </w:divBdr>
    </w:div>
    <w:div w:id="478614009">
      <w:bodyDiv w:val="1"/>
      <w:marLeft w:val="0"/>
      <w:marRight w:val="0"/>
      <w:marTop w:val="0"/>
      <w:marBottom w:val="0"/>
      <w:divBdr>
        <w:top w:val="none" w:sz="0" w:space="0" w:color="auto"/>
        <w:left w:val="none" w:sz="0" w:space="0" w:color="auto"/>
        <w:bottom w:val="none" w:sz="0" w:space="0" w:color="auto"/>
        <w:right w:val="none" w:sz="0" w:space="0" w:color="auto"/>
      </w:divBdr>
    </w:div>
    <w:div w:id="481120170">
      <w:bodyDiv w:val="1"/>
      <w:marLeft w:val="0"/>
      <w:marRight w:val="0"/>
      <w:marTop w:val="0"/>
      <w:marBottom w:val="0"/>
      <w:divBdr>
        <w:top w:val="none" w:sz="0" w:space="0" w:color="auto"/>
        <w:left w:val="none" w:sz="0" w:space="0" w:color="auto"/>
        <w:bottom w:val="none" w:sz="0" w:space="0" w:color="auto"/>
        <w:right w:val="none" w:sz="0" w:space="0" w:color="auto"/>
      </w:divBdr>
    </w:div>
    <w:div w:id="481849857">
      <w:bodyDiv w:val="1"/>
      <w:marLeft w:val="0"/>
      <w:marRight w:val="0"/>
      <w:marTop w:val="0"/>
      <w:marBottom w:val="0"/>
      <w:divBdr>
        <w:top w:val="none" w:sz="0" w:space="0" w:color="auto"/>
        <w:left w:val="none" w:sz="0" w:space="0" w:color="auto"/>
        <w:bottom w:val="none" w:sz="0" w:space="0" w:color="auto"/>
        <w:right w:val="none" w:sz="0" w:space="0" w:color="auto"/>
      </w:divBdr>
    </w:div>
    <w:div w:id="483551433">
      <w:bodyDiv w:val="1"/>
      <w:marLeft w:val="0"/>
      <w:marRight w:val="0"/>
      <w:marTop w:val="0"/>
      <w:marBottom w:val="0"/>
      <w:divBdr>
        <w:top w:val="none" w:sz="0" w:space="0" w:color="auto"/>
        <w:left w:val="none" w:sz="0" w:space="0" w:color="auto"/>
        <w:bottom w:val="none" w:sz="0" w:space="0" w:color="auto"/>
        <w:right w:val="none" w:sz="0" w:space="0" w:color="auto"/>
      </w:divBdr>
    </w:div>
    <w:div w:id="485779021">
      <w:bodyDiv w:val="1"/>
      <w:marLeft w:val="0"/>
      <w:marRight w:val="0"/>
      <w:marTop w:val="0"/>
      <w:marBottom w:val="0"/>
      <w:divBdr>
        <w:top w:val="none" w:sz="0" w:space="0" w:color="auto"/>
        <w:left w:val="none" w:sz="0" w:space="0" w:color="auto"/>
        <w:bottom w:val="none" w:sz="0" w:space="0" w:color="auto"/>
        <w:right w:val="none" w:sz="0" w:space="0" w:color="auto"/>
      </w:divBdr>
    </w:div>
    <w:div w:id="485781458">
      <w:bodyDiv w:val="1"/>
      <w:marLeft w:val="0"/>
      <w:marRight w:val="0"/>
      <w:marTop w:val="0"/>
      <w:marBottom w:val="0"/>
      <w:divBdr>
        <w:top w:val="none" w:sz="0" w:space="0" w:color="auto"/>
        <w:left w:val="none" w:sz="0" w:space="0" w:color="auto"/>
        <w:bottom w:val="none" w:sz="0" w:space="0" w:color="auto"/>
        <w:right w:val="none" w:sz="0" w:space="0" w:color="auto"/>
      </w:divBdr>
    </w:div>
    <w:div w:id="486089824">
      <w:bodyDiv w:val="1"/>
      <w:marLeft w:val="0"/>
      <w:marRight w:val="0"/>
      <w:marTop w:val="0"/>
      <w:marBottom w:val="0"/>
      <w:divBdr>
        <w:top w:val="none" w:sz="0" w:space="0" w:color="auto"/>
        <w:left w:val="none" w:sz="0" w:space="0" w:color="auto"/>
        <w:bottom w:val="none" w:sz="0" w:space="0" w:color="auto"/>
        <w:right w:val="none" w:sz="0" w:space="0" w:color="auto"/>
      </w:divBdr>
    </w:div>
    <w:div w:id="486626351">
      <w:bodyDiv w:val="1"/>
      <w:marLeft w:val="0"/>
      <w:marRight w:val="0"/>
      <w:marTop w:val="0"/>
      <w:marBottom w:val="0"/>
      <w:divBdr>
        <w:top w:val="none" w:sz="0" w:space="0" w:color="auto"/>
        <w:left w:val="none" w:sz="0" w:space="0" w:color="auto"/>
        <w:bottom w:val="none" w:sz="0" w:space="0" w:color="auto"/>
        <w:right w:val="none" w:sz="0" w:space="0" w:color="auto"/>
      </w:divBdr>
    </w:div>
    <w:div w:id="486632420">
      <w:bodyDiv w:val="1"/>
      <w:marLeft w:val="0"/>
      <w:marRight w:val="0"/>
      <w:marTop w:val="0"/>
      <w:marBottom w:val="0"/>
      <w:divBdr>
        <w:top w:val="none" w:sz="0" w:space="0" w:color="auto"/>
        <w:left w:val="none" w:sz="0" w:space="0" w:color="auto"/>
        <w:bottom w:val="none" w:sz="0" w:space="0" w:color="auto"/>
        <w:right w:val="none" w:sz="0" w:space="0" w:color="auto"/>
      </w:divBdr>
    </w:div>
    <w:div w:id="489949182">
      <w:bodyDiv w:val="1"/>
      <w:marLeft w:val="0"/>
      <w:marRight w:val="0"/>
      <w:marTop w:val="0"/>
      <w:marBottom w:val="0"/>
      <w:divBdr>
        <w:top w:val="none" w:sz="0" w:space="0" w:color="auto"/>
        <w:left w:val="none" w:sz="0" w:space="0" w:color="auto"/>
        <w:bottom w:val="none" w:sz="0" w:space="0" w:color="auto"/>
        <w:right w:val="none" w:sz="0" w:space="0" w:color="auto"/>
      </w:divBdr>
    </w:div>
    <w:div w:id="492069687">
      <w:bodyDiv w:val="1"/>
      <w:marLeft w:val="0"/>
      <w:marRight w:val="0"/>
      <w:marTop w:val="0"/>
      <w:marBottom w:val="0"/>
      <w:divBdr>
        <w:top w:val="none" w:sz="0" w:space="0" w:color="auto"/>
        <w:left w:val="none" w:sz="0" w:space="0" w:color="auto"/>
        <w:bottom w:val="none" w:sz="0" w:space="0" w:color="auto"/>
        <w:right w:val="none" w:sz="0" w:space="0" w:color="auto"/>
      </w:divBdr>
    </w:div>
    <w:div w:id="495653535">
      <w:bodyDiv w:val="1"/>
      <w:marLeft w:val="0"/>
      <w:marRight w:val="0"/>
      <w:marTop w:val="0"/>
      <w:marBottom w:val="0"/>
      <w:divBdr>
        <w:top w:val="none" w:sz="0" w:space="0" w:color="auto"/>
        <w:left w:val="none" w:sz="0" w:space="0" w:color="auto"/>
        <w:bottom w:val="none" w:sz="0" w:space="0" w:color="auto"/>
        <w:right w:val="none" w:sz="0" w:space="0" w:color="auto"/>
      </w:divBdr>
    </w:div>
    <w:div w:id="496115988">
      <w:bodyDiv w:val="1"/>
      <w:marLeft w:val="0"/>
      <w:marRight w:val="0"/>
      <w:marTop w:val="0"/>
      <w:marBottom w:val="0"/>
      <w:divBdr>
        <w:top w:val="none" w:sz="0" w:space="0" w:color="auto"/>
        <w:left w:val="none" w:sz="0" w:space="0" w:color="auto"/>
        <w:bottom w:val="none" w:sz="0" w:space="0" w:color="auto"/>
        <w:right w:val="none" w:sz="0" w:space="0" w:color="auto"/>
      </w:divBdr>
    </w:div>
    <w:div w:id="496651844">
      <w:bodyDiv w:val="1"/>
      <w:marLeft w:val="0"/>
      <w:marRight w:val="0"/>
      <w:marTop w:val="0"/>
      <w:marBottom w:val="0"/>
      <w:divBdr>
        <w:top w:val="none" w:sz="0" w:space="0" w:color="auto"/>
        <w:left w:val="none" w:sz="0" w:space="0" w:color="auto"/>
        <w:bottom w:val="none" w:sz="0" w:space="0" w:color="auto"/>
        <w:right w:val="none" w:sz="0" w:space="0" w:color="auto"/>
      </w:divBdr>
    </w:div>
    <w:div w:id="496699686">
      <w:bodyDiv w:val="1"/>
      <w:marLeft w:val="0"/>
      <w:marRight w:val="0"/>
      <w:marTop w:val="0"/>
      <w:marBottom w:val="0"/>
      <w:divBdr>
        <w:top w:val="none" w:sz="0" w:space="0" w:color="auto"/>
        <w:left w:val="none" w:sz="0" w:space="0" w:color="auto"/>
        <w:bottom w:val="none" w:sz="0" w:space="0" w:color="auto"/>
        <w:right w:val="none" w:sz="0" w:space="0" w:color="auto"/>
      </w:divBdr>
    </w:div>
    <w:div w:id="497355206">
      <w:bodyDiv w:val="1"/>
      <w:marLeft w:val="0"/>
      <w:marRight w:val="0"/>
      <w:marTop w:val="0"/>
      <w:marBottom w:val="0"/>
      <w:divBdr>
        <w:top w:val="none" w:sz="0" w:space="0" w:color="auto"/>
        <w:left w:val="none" w:sz="0" w:space="0" w:color="auto"/>
        <w:bottom w:val="none" w:sz="0" w:space="0" w:color="auto"/>
        <w:right w:val="none" w:sz="0" w:space="0" w:color="auto"/>
      </w:divBdr>
    </w:div>
    <w:div w:id="498080875">
      <w:bodyDiv w:val="1"/>
      <w:marLeft w:val="0"/>
      <w:marRight w:val="0"/>
      <w:marTop w:val="0"/>
      <w:marBottom w:val="0"/>
      <w:divBdr>
        <w:top w:val="none" w:sz="0" w:space="0" w:color="auto"/>
        <w:left w:val="none" w:sz="0" w:space="0" w:color="auto"/>
        <w:bottom w:val="none" w:sz="0" w:space="0" w:color="auto"/>
        <w:right w:val="none" w:sz="0" w:space="0" w:color="auto"/>
      </w:divBdr>
    </w:div>
    <w:div w:id="500656532">
      <w:bodyDiv w:val="1"/>
      <w:marLeft w:val="0"/>
      <w:marRight w:val="0"/>
      <w:marTop w:val="0"/>
      <w:marBottom w:val="0"/>
      <w:divBdr>
        <w:top w:val="none" w:sz="0" w:space="0" w:color="auto"/>
        <w:left w:val="none" w:sz="0" w:space="0" w:color="auto"/>
        <w:bottom w:val="none" w:sz="0" w:space="0" w:color="auto"/>
        <w:right w:val="none" w:sz="0" w:space="0" w:color="auto"/>
      </w:divBdr>
    </w:div>
    <w:div w:id="500973977">
      <w:bodyDiv w:val="1"/>
      <w:marLeft w:val="0"/>
      <w:marRight w:val="0"/>
      <w:marTop w:val="0"/>
      <w:marBottom w:val="0"/>
      <w:divBdr>
        <w:top w:val="none" w:sz="0" w:space="0" w:color="auto"/>
        <w:left w:val="none" w:sz="0" w:space="0" w:color="auto"/>
        <w:bottom w:val="none" w:sz="0" w:space="0" w:color="auto"/>
        <w:right w:val="none" w:sz="0" w:space="0" w:color="auto"/>
      </w:divBdr>
    </w:div>
    <w:div w:id="502283032">
      <w:bodyDiv w:val="1"/>
      <w:marLeft w:val="0"/>
      <w:marRight w:val="0"/>
      <w:marTop w:val="0"/>
      <w:marBottom w:val="0"/>
      <w:divBdr>
        <w:top w:val="none" w:sz="0" w:space="0" w:color="auto"/>
        <w:left w:val="none" w:sz="0" w:space="0" w:color="auto"/>
        <w:bottom w:val="none" w:sz="0" w:space="0" w:color="auto"/>
        <w:right w:val="none" w:sz="0" w:space="0" w:color="auto"/>
      </w:divBdr>
    </w:div>
    <w:div w:id="502401160">
      <w:bodyDiv w:val="1"/>
      <w:marLeft w:val="0"/>
      <w:marRight w:val="0"/>
      <w:marTop w:val="0"/>
      <w:marBottom w:val="0"/>
      <w:divBdr>
        <w:top w:val="none" w:sz="0" w:space="0" w:color="auto"/>
        <w:left w:val="none" w:sz="0" w:space="0" w:color="auto"/>
        <w:bottom w:val="none" w:sz="0" w:space="0" w:color="auto"/>
        <w:right w:val="none" w:sz="0" w:space="0" w:color="auto"/>
      </w:divBdr>
    </w:div>
    <w:div w:id="503473302">
      <w:bodyDiv w:val="1"/>
      <w:marLeft w:val="0"/>
      <w:marRight w:val="0"/>
      <w:marTop w:val="0"/>
      <w:marBottom w:val="0"/>
      <w:divBdr>
        <w:top w:val="none" w:sz="0" w:space="0" w:color="auto"/>
        <w:left w:val="none" w:sz="0" w:space="0" w:color="auto"/>
        <w:bottom w:val="none" w:sz="0" w:space="0" w:color="auto"/>
        <w:right w:val="none" w:sz="0" w:space="0" w:color="auto"/>
      </w:divBdr>
    </w:div>
    <w:div w:id="506598555">
      <w:bodyDiv w:val="1"/>
      <w:marLeft w:val="0"/>
      <w:marRight w:val="0"/>
      <w:marTop w:val="0"/>
      <w:marBottom w:val="0"/>
      <w:divBdr>
        <w:top w:val="none" w:sz="0" w:space="0" w:color="auto"/>
        <w:left w:val="none" w:sz="0" w:space="0" w:color="auto"/>
        <w:bottom w:val="none" w:sz="0" w:space="0" w:color="auto"/>
        <w:right w:val="none" w:sz="0" w:space="0" w:color="auto"/>
      </w:divBdr>
    </w:div>
    <w:div w:id="508714009">
      <w:bodyDiv w:val="1"/>
      <w:marLeft w:val="0"/>
      <w:marRight w:val="0"/>
      <w:marTop w:val="0"/>
      <w:marBottom w:val="0"/>
      <w:divBdr>
        <w:top w:val="none" w:sz="0" w:space="0" w:color="auto"/>
        <w:left w:val="none" w:sz="0" w:space="0" w:color="auto"/>
        <w:bottom w:val="none" w:sz="0" w:space="0" w:color="auto"/>
        <w:right w:val="none" w:sz="0" w:space="0" w:color="auto"/>
      </w:divBdr>
    </w:div>
    <w:div w:id="508715836">
      <w:bodyDiv w:val="1"/>
      <w:marLeft w:val="0"/>
      <w:marRight w:val="0"/>
      <w:marTop w:val="0"/>
      <w:marBottom w:val="0"/>
      <w:divBdr>
        <w:top w:val="none" w:sz="0" w:space="0" w:color="auto"/>
        <w:left w:val="none" w:sz="0" w:space="0" w:color="auto"/>
        <w:bottom w:val="none" w:sz="0" w:space="0" w:color="auto"/>
        <w:right w:val="none" w:sz="0" w:space="0" w:color="auto"/>
      </w:divBdr>
    </w:div>
    <w:div w:id="510989219">
      <w:bodyDiv w:val="1"/>
      <w:marLeft w:val="0"/>
      <w:marRight w:val="0"/>
      <w:marTop w:val="0"/>
      <w:marBottom w:val="0"/>
      <w:divBdr>
        <w:top w:val="none" w:sz="0" w:space="0" w:color="auto"/>
        <w:left w:val="none" w:sz="0" w:space="0" w:color="auto"/>
        <w:bottom w:val="none" w:sz="0" w:space="0" w:color="auto"/>
        <w:right w:val="none" w:sz="0" w:space="0" w:color="auto"/>
      </w:divBdr>
    </w:div>
    <w:div w:id="514416636">
      <w:bodyDiv w:val="1"/>
      <w:marLeft w:val="0"/>
      <w:marRight w:val="0"/>
      <w:marTop w:val="0"/>
      <w:marBottom w:val="0"/>
      <w:divBdr>
        <w:top w:val="none" w:sz="0" w:space="0" w:color="auto"/>
        <w:left w:val="none" w:sz="0" w:space="0" w:color="auto"/>
        <w:bottom w:val="none" w:sz="0" w:space="0" w:color="auto"/>
        <w:right w:val="none" w:sz="0" w:space="0" w:color="auto"/>
      </w:divBdr>
    </w:div>
    <w:div w:id="516777859">
      <w:bodyDiv w:val="1"/>
      <w:marLeft w:val="0"/>
      <w:marRight w:val="0"/>
      <w:marTop w:val="0"/>
      <w:marBottom w:val="0"/>
      <w:divBdr>
        <w:top w:val="none" w:sz="0" w:space="0" w:color="auto"/>
        <w:left w:val="none" w:sz="0" w:space="0" w:color="auto"/>
        <w:bottom w:val="none" w:sz="0" w:space="0" w:color="auto"/>
        <w:right w:val="none" w:sz="0" w:space="0" w:color="auto"/>
      </w:divBdr>
    </w:div>
    <w:div w:id="517086534">
      <w:bodyDiv w:val="1"/>
      <w:marLeft w:val="0"/>
      <w:marRight w:val="0"/>
      <w:marTop w:val="0"/>
      <w:marBottom w:val="0"/>
      <w:divBdr>
        <w:top w:val="none" w:sz="0" w:space="0" w:color="auto"/>
        <w:left w:val="none" w:sz="0" w:space="0" w:color="auto"/>
        <w:bottom w:val="none" w:sz="0" w:space="0" w:color="auto"/>
        <w:right w:val="none" w:sz="0" w:space="0" w:color="auto"/>
      </w:divBdr>
    </w:div>
    <w:div w:id="522986453">
      <w:bodyDiv w:val="1"/>
      <w:marLeft w:val="0"/>
      <w:marRight w:val="0"/>
      <w:marTop w:val="0"/>
      <w:marBottom w:val="0"/>
      <w:divBdr>
        <w:top w:val="none" w:sz="0" w:space="0" w:color="auto"/>
        <w:left w:val="none" w:sz="0" w:space="0" w:color="auto"/>
        <w:bottom w:val="none" w:sz="0" w:space="0" w:color="auto"/>
        <w:right w:val="none" w:sz="0" w:space="0" w:color="auto"/>
      </w:divBdr>
    </w:div>
    <w:div w:id="524830790">
      <w:bodyDiv w:val="1"/>
      <w:marLeft w:val="0"/>
      <w:marRight w:val="0"/>
      <w:marTop w:val="0"/>
      <w:marBottom w:val="0"/>
      <w:divBdr>
        <w:top w:val="none" w:sz="0" w:space="0" w:color="auto"/>
        <w:left w:val="none" w:sz="0" w:space="0" w:color="auto"/>
        <w:bottom w:val="none" w:sz="0" w:space="0" w:color="auto"/>
        <w:right w:val="none" w:sz="0" w:space="0" w:color="auto"/>
      </w:divBdr>
    </w:div>
    <w:div w:id="526914263">
      <w:bodyDiv w:val="1"/>
      <w:marLeft w:val="0"/>
      <w:marRight w:val="0"/>
      <w:marTop w:val="0"/>
      <w:marBottom w:val="0"/>
      <w:divBdr>
        <w:top w:val="none" w:sz="0" w:space="0" w:color="auto"/>
        <w:left w:val="none" w:sz="0" w:space="0" w:color="auto"/>
        <w:bottom w:val="none" w:sz="0" w:space="0" w:color="auto"/>
        <w:right w:val="none" w:sz="0" w:space="0" w:color="auto"/>
      </w:divBdr>
    </w:div>
    <w:div w:id="527262480">
      <w:bodyDiv w:val="1"/>
      <w:marLeft w:val="0"/>
      <w:marRight w:val="0"/>
      <w:marTop w:val="0"/>
      <w:marBottom w:val="0"/>
      <w:divBdr>
        <w:top w:val="none" w:sz="0" w:space="0" w:color="auto"/>
        <w:left w:val="none" w:sz="0" w:space="0" w:color="auto"/>
        <w:bottom w:val="none" w:sz="0" w:space="0" w:color="auto"/>
        <w:right w:val="none" w:sz="0" w:space="0" w:color="auto"/>
      </w:divBdr>
    </w:div>
    <w:div w:id="531191337">
      <w:bodyDiv w:val="1"/>
      <w:marLeft w:val="0"/>
      <w:marRight w:val="0"/>
      <w:marTop w:val="0"/>
      <w:marBottom w:val="0"/>
      <w:divBdr>
        <w:top w:val="none" w:sz="0" w:space="0" w:color="auto"/>
        <w:left w:val="none" w:sz="0" w:space="0" w:color="auto"/>
        <w:bottom w:val="none" w:sz="0" w:space="0" w:color="auto"/>
        <w:right w:val="none" w:sz="0" w:space="0" w:color="auto"/>
      </w:divBdr>
    </w:div>
    <w:div w:id="535584787">
      <w:bodyDiv w:val="1"/>
      <w:marLeft w:val="0"/>
      <w:marRight w:val="0"/>
      <w:marTop w:val="0"/>
      <w:marBottom w:val="0"/>
      <w:divBdr>
        <w:top w:val="none" w:sz="0" w:space="0" w:color="auto"/>
        <w:left w:val="none" w:sz="0" w:space="0" w:color="auto"/>
        <w:bottom w:val="none" w:sz="0" w:space="0" w:color="auto"/>
        <w:right w:val="none" w:sz="0" w:space="0" w:color="auto"/>
      </w:divBdr>
    </w:div>
    <w:div w:id="538974993">
      <w:bodyDiv w:val="1"/>
      <w:marLeft w:val="0"/>
      <w:marRight w:val="0"/>
      <w:marTop w:val="0"/>
      <w:marBottom w:val="0"/>
      <w:divBdr>
        <w:top w:val="none" w:sz="0" w:space="0" w:color="auto"/>
        <w:left w:val="none" w:sz="0" w:space="0" w:color="auto"/>
        <w:bottom w:val="none" w:sz="0" w:space="0" w:color="auto"/>
        <w:right w:val="none" w:sz="0" w:space="0" w:color="auto"/>
      </w:divBdr>
    </w:div>
    <w:div w:id="539589017">
      <w:bodyDiv w:val="1"/>
      <w:marLeft w:val="0"/>
      <w:marRight w:val="0"/>
      <w:marTop w:val="0"/>
      <w:marBottom w:val="0"/>
      <w:divBdr>
        <w:top w:val="none" w:sz="0" w:space="0" w:color="auto"/>
        <w:left w:val="none" w:sz="0" w:space="0" w:color="auto"/>
        <w:bottom w:val="none" w:sz="0" w:space="0" w:color="auto"/>
        <w:right w:val="none" w:sz="0" w:space="0" w:color="auto"/>
      </w:divBdr>
    </w:div>
    <w:div w:id="541789264">
      <w:bodyDiv w:val="1"/>
      <w:marLeft w:val="0"/>
      <w:marRight w:val="0"/>
      <w:marTop w:val="0"/>
      <w:marBottom w:val="0"/>
      <w:divBdr>
        <w:top w:val="none" w:sz="0" w:space="0" w:color="auto"/>
        <w:left w:val="none" w:sz="0" w:space="0" w:color="auto"/>
        <w:bottom w:val="none" w:sz="0" w:space="0" w:color="auto"/>
        <w:right w:val="none" w:sz="0" w:space="0" w:color="auto"/>
      </w:divBdr>
    </w:div>
    <w:div w:id="544803124">
      <w:bodyDiv w:val="1"/>
      <w:marLeft w:val="0"/>
      <w:marRight w:val="0"/>
      <w:marTop w:val="0"/>
      <w:marBottom w:val="0"/>
      <w:divBdr>
        <w:top w:val="none" w:sz="0" w:space="0" w:color="auto"/>
        <w:left w:val="none" w:sz="0" w:space="0" w:color="auto"/>
        <w:bottom w:val="none" w:sz="0" w:space="0" w:color="auto"/>
        <w:right w:val="none" w:sz="0" w:space="0" w:color="auto"/>
      </w:divBdr>
    </w:div>
    <w:div w:id="545679325">
      <w:bodyDiv w:val="1"/>
      <w:marLeft w:val="0"/>
      <w:marRight w:val="0"/>
      <w:marTop w:val="0"/>
      <w:marBottom w:val="0"/>
      <w:divBdr>
        <w:top w:val="none" w:sz="0" w:space="0" w:color="auto"/>
        <w:left w:val="none" w:sz="0" w:space="0" w:color="auto"/>
        <w:bottom w:val="none" w:sz="0" w:space="0" w:color="auto"/>
        <w:right w:val="none" w:sz="0" w:space="0" w:color="auto"/>
      </w:divBdr>
    </w:div>
    <w:div w:id="546646938">
      <w:bodyDiv w:val="1"/>
      <w:marLeft w:val="0"/>
      <w:marRight w:val="0"/>
      <w:marTop w:val="0"/>
      <w:marBottom w:val="0"/>
      <w:divBdr>
        <w:top w:val="none" w:sz="0" w:space="0" w:color="auto"/>
        <w:left w:val="none" w:sz="0" w:space="0" w:color="auto"/>
        <w:bottom w:val="none" w:sz="0" w:space="0" w:color="auto"/>
        <w:right w:val="none" w:sz="0" w:space="0" w:color="auto"/>
      </w:divBdr>
    </w:div>
    <w:div w:id="549148886">
      <w:bodyDiv w:val="1"/>
      <w:marLeft w:val="0"/>
      <w:marRight w:val="0"/>
      <w:marTop w:val="0"/>
      <w:marBottom w:val="0"/>
      <w:divBdr>
        <w:top w:val="none" w:sz="0" w:space="0" w:color="auto"/>
        <w:left w:val="none" w:sz="0" w:space="0" w:color="auto"/>
        <w:bottom w:val="none" w:sz="0" w:space="0" w:color="auto"/>
        <w:right w:val="none" w:sz="0" w:space="0" w:color="auto"/>
      </w:divBdr>
    </w:div>
    <w:div w:id="549927856">
      <w:bodyDiv w:val="1"/>
      <w:marLeft w:val="0"/>
      <w:marRight w:val="0"/>
      <w:marTop w:val="0"/>
      <w:marBottom w:val="0"/>
      <w:divBdr>
        <w:top w:val="none" w:sz="0" w:space="0" w:color="auto"/>
        <w:left w:val="none" w:sz="0" w:space="0" w:color="auto"/>
        <w:bottom w:val="none" w:sz="0" w:space="0" w:color="auto"/>
        <w:right w:val="none" w:sz="0" w:space="0" w:color="auto"/>
      </w:divBdr>
    </w:div>
    <w:div w:id="550918589">
      <w:bodyDiv w:val="1"/>
      <w:marLeft w:val="0"/>
      <w:marRight w:val="0"/>
      <w:marTop w:val="0"/>
      <w:marBottom w:val="0"/>
      <w:divBdr>
        <w:top w:val="none" w:sz="0" w:space="0" w:color="auto"/>
        <w:left w:val="none" w:sz="0" w:space="0" w:color="auto"/>
        <w:bottom w:val="none" w:sz="0" w:space="0" w:color="auto"/>
        <w:right w:val="none" w:sz="0" w:space="0" w:color="auto"/>
      </w:divBdr>
    </w:div>
    <w:div w:id="557671088">
      <w:bodyDiv w:val="1"/>
      <w:marLeft w:val="0"/>
      <w:marRight w:val="0"/>
      <w:marTop w:val="0"/>
      <w:marBottom w:val="0"/>
      <w:divBdr>
        <w:top w:val="none" w:sz="0" w:space="0" w:color="auto"/>
        <w:left w:val="none" w:sz="0" w:space="0" w:color="auto"/>
        <w:bottom w:val="none" w:sz="0" w:space="0" w:color="auto"/>
        <w:right w:val="none" w:sz="0" w:space="0" w:color="auto"/>
      </w:divBdr>
    </w:div>
    <w:div w:id="558248970">
      <w:bodyDiv w:val="1"/>
      <w:marLeft w:val="0"/>
      <w:marRight w:val="0"/>
      <w:marTop w:val="0"/>
      <w:marBottom w:val="0"/>
      <w:divBdr>
        <w:top w:val="none" w:sz="0" w:space="0" w:color="auto"/>
        <w:left w:val="none" w:sz="0" w:space="0" w:color="auto"/>
        <w:bottom w:val="none" w:sz="0" w:space="0" w:color="auto"/>
        <w:right w:val="none" w:sz="0" w:space="0" w:color="auto"/>
      </w:divBdr>
    </w:div>
    <w:div w:id="560870955">
      <w:bodyDiv w:val="1"/>
      <w:marLeft w:val="0"/>
      <w:marRight w:val="0"/>
      <w:marTop w:val="0"/>
      <w:marBottom w:val="0"/>
      <w:divBdr>
        <w:top w:val="none" w:sz="0" w:space="0" w:color="auto"/>
        <w:left w:val="none" w:sz="0" w:space="0" w:color="auto"/>
        <w:bottom w:val="none" w:sz="0" w:space="0" w:color="auto"/>
        <w:right w:val="none" w:sz="0" w:space="0" w:color="auto"/>
      </w:divBdr>
    </w:div>
    <w:div w:id="566382803">
      <w:bodyDiv w:val="1"/>
      <w:marLeft w:val="0"/>
      <w:marRight w:val="0"/>
      <w:marTop w:val="0"/>
      <w:marBottom w:val="0"/>
      <w:divBdr>
        <w:top w:val="none" w:sz="0" w:space="0" w:color="auto"/>
        <w:left w:val="none" w:sz="0" w:space="0" w:color="auto"/>
        <w:bottom w:val="none" w:sz="0" w:space="0" w:color="auto"/>
        <w:right w:val="none" w:sz="0" w:space="0" w:color="auto"/>
      </w:divBdr>
    </w:div>
    <w:div w:id="566771020">
      <w:bodyDiv w:val="1"/>
      <w:marLeft w:val="0"/>
      <w:marRight w:val="0"/>
      <w:marTop w:val="0"/>
      <w:marBottom w:val="0"/>
      <w:divBdr>
        <w:top w:val="none" w:sz="0" w:space="0" w:color="auto"/>
        <w:left w:val="none" w:sz="0" w:space="0" w:color="auto"/>
        <w:bottom w:val="none" w:sz="0" w:space="0" w:color="auto"/>
        <w:right w:val="none" w:sz="0" w:space="0" w:color="auto"/>
      </w:divBdr>
    </w:div>
    <w:div w:id="567611426">
      <w:bodyDiv w:val="1"/>
      <w:marLeft w:val="0"/>
      <w:marRight w:val="0"/>
      <w:marTop w:val="0"/>
      <w:marBottom w:val="0"/>
      <w:divBdr>
        <w:top w:val="none" w:sz="0" w:space="0" w:color="auto"/>
        <w:left w:val="none" w:sz="0" w:space="0" w:color="auto"/>
        <w:bottom w:val="none" w:sz="0" w:space="0" w:color="auto"/>
        <w:right w:val="none" w:sz="0" w:space="0" w:color="auto"/>
      </w:divBdr>
    </w:div>
    <w:div w:id="568923639">
      <w:bodyDiv w:val="1"/>
      <w:marLeft w:val="0"/>
      <w:marRight w:val="0"/>
      <w:marTop w:val="0"/>
      <w:marBottom w:val="0"/>
      <w:divBdr>
        <w:top w:val="none" w:sz="0" w:space="0" w:color="auto"/>
        <w:left w:val="none" w:sz="0" w:space="0" w:color="auto"/>
        <w:bottom w:val="none" w:sz="0" w:space="0" w:color="auto"/>
        <w:right w:val="none" w:sz="0" w:space="0" w:color="auto"/>
      </w:divBdr>
    </w:div>
    <w:div w:id="571545695">
      <w:bodyDiv w:val="1"/>
      <w:marLeft w:val="0"/>
      <w:marRight w:val="0"/>
      <w:marTop w:val="0"/>
      <w:marBottom w:val="0"/>
      <w:divBdr>
        <w:top w:val="none" w:sz="0" w:space="0" w:color="auto"/>
        <w:left w:val="none" w:sz="0" w:space="0" w:color="auto"/>
        <w:bottom w:val="none" w:sz="0" w:space="0" w:color="auto"/>
        <w:right w:val="none" w:sz="0" w:space="0" w:color="auto"/>
      </w:divBdr>
    </w:div>
    <w:div w:id="578442141">
      <w:bodyDiv w:val="1"/>
      <w:marLeft w:val="0"/>
      <w:marRight w:val="0"/>
      <w:marTop w:val="0"/>
      <w:marBottom w:val="0"/>
      <w:divBdr>
        <w:top w:val="none" w:sz="0" w:space="0" w:color="auto"/>
        <w:left w:val="none" w:sz="0" w:space="0" w:color="auto"/>
        <w:bottom w:val="none" w:sz="0" w:space="0" w:color="auto"/>
        <w:right w:val="none" w:sz="0" w:space="0" w:color="auto"/>
      </w:divBdr>
    </w:div>
    <w:div w:id="579097267">
      <w:bodyDiv w:val="1"/>
      <w:marLeft w:val="0"/>
      <w:marRight w:val="0"/>
      <w:marTop w:val="0"/>
      <w:marBottom w:val="0"/>
      <w:divBdr>
        <w:top w:val="none" w:sz="0" w:space="0" w:color="auto"/>
        <w:left w:val="none" w:sz="0" w:space="0" w:color="auto"/>
        <w:bottom w:val="none" w:sz="0" w:space="0" w:color="auto"/>
        <w:right w:val="none" w:sz="0" w:space="0" w:color="auto"/>
      </w:divBdr>
    </w:div>
    <w:div w:id="579365284">
      <w:bodyDiv w:val="1"/>
      <w:marLeft w:val="0"/>
      <w:marRight w:val="0"/>
      <w:marTop w:val="0"/>
      <w:marBottom w:val="0"/>
      <w:divBdr>
        <w:top w:val="none" w:sz="0" w:space="0" w:color="auto"/>
        <w:left w:val="none" w:sz="0" w:space="0" w:color="auto"/>
        <w:bottom w:val="none" w:sz="0" w:space="0" w:color="auto"/>
        <w:right w:val="none" w:sz="0" w:space="0" w:color="auto"/>
      </w:divBdr>
    </w:div>
    <w:div w:id="580875792">
      <w:bodyDiv w:val="1"/>
      <w:marLeft w:val="0"/>
      <w:marRight w:val="0"/>
      <w:marTop w:val="0"/>
      <w:marBottom w:val="0"/>
      <w:divBdr>
        <w:top w:val="none" w:sz="0" w:space="0" w:color="auto"/>
        <w:left w:val="none" w:sz="0" w:space="0" w:color="auto"/>
        <w:bottom w:val="none" w:sz="0" w:space="0" w:color="auto"/>
        <w:right w:val="none" w:sz="0" w:space="0" w:color="auto"/>
      </w:divBdr>
    </w:div>
    <w:div w:id="584654225">
      <w:bodyDiv w:val="1"/>
      <w:marLeft w:val="0"/>
      <w:marRight w:val="0"/>
      <w:marTop w:val="0"/>
      <w:marBottom w:val="0"/>
      <w:divBdr>
        <w:top w:val="none" w:sz="0" w:space="0" w:color="auto"/>
        <w:left w:val="none" w:sz="0" w:space="0" w:color="auto"/>
        <w:bottom w:val="none" w:sz="0" w:space="0" w:color="auto"/>
        <w:right w:val="none" w:sz="0" w:space="0" w:color="auto"/>
      </w:divBdr>
    </w:div>
    <w:div w:id="587077900">
      <w:bodyDiv w:val="1"/>
      <w:marLeft w:val="0"/>
      <w:marRight w:val="0"/>
      <w:marTop w:val="0"/>
      <w:marBottom w:val="0"/>
      <w:divBdr>
        <w:top w:val="none" w:sz="0" w:space="0" w:color="auto"/>
        <w:left w:val="none" w:sz="0" w:space="0" w:color="auto"/>
        <w:bottom w:val="none" w:sz="0" w:space="0" w:color="auto"/>
        <w:right w:val="none" w:sz="0" w:space="0" w:color="auto"/>
      </w:divBdr>
    </w:div>
    <w:div w:id="587153265">
      <w:bodyDiv w:val="1"/>
      <w:marLeft w:val="0"/>
      <w:marRight w:val="0"/>
      <w:marTop w:val="0"/>
      <w:marBottom w:val="0"/>
      <w:divBdr>
        <w:top w:val="none" w:sz="0" w:space="0" w:color="auto"/>
        <w:left w:val="none" w:sz="0" w:space="0" w:color="auto"/>
        <w:bottom w:val="none" w:sz="0" w:space="0" w:color="auto"/>
        <w:right w:val="none" w:sz="0" w:space="0" w:color="auto"/>
      </w:divBdr>
    </w:div>
    <w:div w:id="588538412">
      <w:bodyDiv w:val="1"/>
      <w:marLeft w:val="0"/>
      <w:marRight w:val="0"/>
      <w:marTop w:val="0"/>
      <w:marBottom w:val="0"/>
      <w:divBdr>
        <w:top w:val="none" w:sz="0" w:space="0" w:color="auto"/>
        <w:left w:val="none" w:sz="0" w:space="0" w:color="auto"/>
        <w:bottom w:val="none" w:sz="0" w:space="0" w:color="auto"/>
        <w:right w:val="none" w:sz="0" w:space="0" w:color="auto"/>
      </w:divBdr>
    </w:div>
    <w:div w:id="590697607">
      <w:bodyDiv w:val="1"/>
      <w:marLeft w:val="0"/>
      <w:marRight w:val="0"/>
      <w:marTop w:val="0"/>
      <w:marBottom w:val="0"/>
      <w:divBdr>
        <w:top w:val="none" w:sz="0" w:space="0" w:color="auto"/>
        <w:left w:val="none" w:sz="0" w:space="0" w:color="auto"/>
        <w:bottom w:val="none" w:sz="0" w:space="0" w:color="auto"/>
        <w:right w:val="none" w:sz="0" w:space="0" w:color="auto"/>
      </w:divBdr>
    </w:div>
    <w:div w:id="595675324">
      <w:bodyDiv w:val="1"/>
      <w:marLeft w:val="0"/>
      <w:marRight w:val="0"/>
      <w:marTop w:val="0"/>
      <w:marBottom w:val="0"/>
      <w:divBdr>
        <w:top w:val="none" w:sz="0" w:space="0" w:color="auto"/>
        <w:left w:val="none" w:sz="0" w:space="0" w:color="auto"/>
        <w:bottom w:val="none" w:sz="0" w:space="0" w:color="auto"/>
        <w:right w:val="none" w:sz="0" w:space="0" w:color="auto"/>
      </w:divBdr>
    </w:div>
    <w:div w:id="598684866">
      <w:bodyDiv w:val="1"/>
      <w:marLeft w:val="0"/>
      <w:marRight w:val="0"/>
      <w:marTop w:val="0"/>
      <w:marBottom w:val="0"/>
      <w:divBdr>
        <w:top w:val="none" w:sz="0" w:space="0" w:color="auto"/>
        <w:left w:val="none" w:sz="0" w:space="0" w:color="auto"/>
        <w:bottom w:val="none" w:sz="0" w:space="0" w:color="auto"/>
        <w:right w:val="none" w:sz="0" w:space="0" w:color="auto"/>
      </w:divBdr>
    </w:div>
    <w:div w:id="599803169">
      <w:bodyDiv w:val="1"/>
      <w:marLeft w:val="0"/>
      <w:marRight w:val="0"/>
      <w:marTop w:val="0"/>
      <w:marBottom w:val="0"/>
      <w:divBdr>
        <w:top w:val="none" w:sz="0" w:space="0" w:color="auto"/>
        <w:left w:val="none" w:sz="0" w:space="0" w:color="auto"/>
        <w:bottom w:val="none" w:sz="0" w:space="0" w:color="auto"/>
        <w:right w:val="none" w:sz="0" w:space="0" w:color="auto"/>
      </w:divBdr>
    </w:div>
    <w:div w:id="600069390">
      <w:bodyDiv w:val="1"/>
      <w:marLeft w:val="0"/>
      <w:marRight w:val="0"/>
      <w:marTop w:val="0"/>
      <w:marBottom w:val="0"/>
      <w:divBdr>
        <w:top w:val="none" w:sz="0" w:space="0" w:color="auto"/>
        <w:left w:val="none" w:sz="0" w:space="0" w:color="auto"/>
        <w:bottom w:val="none" w:sz="0" w:space="0" w:color="auto"/>
        <w:right w:val="none" w:sz="0" w:space="0" w:color="auto"/>
      </w:divBdr>
    </w:div>
    <w:div w:id="605233986">
      <w:bodyDiv w:val="1"/>
      <w:marLeft w:val="0"/>
      <w:marRight w:val="0"/>
      <w:marTop w:val="0"/>
      <w:marBottom w:val="0"/>
      <w:divBdr>
        <w:top w:val="none" w:sz="0" w:space="0" w:color="auto"/>
        <w:left w:val="none" w:sz="0" w:space="0" w:color="auto"/>
        <w:bottom w:val="none" w:sz="0" w:space="0" w:color="auto"/>
        <w:right w:val="none" w:sz="0" w:space="0" w:color="auto"/>
      </w:divBdr>
    </w:div>
    <w:div w:id="605577543">
      <w:bodyDiv w:val="1"/>
      <w:marLeft w:val="0"/>
      <w:marRight w:val="0"/>
      <w:marTop w:val="0"/>
      <w:marBottom w:val="0"/>
      <w:divBdr>
        <w:top w:val="none" w:sz="0" w:space="0" w:color="auto"/>
        <w:left w:val="none" w:sz="0" w:space="0" w:color="auto"/>
        <w:bottom w:val="none" w:sz="0" w:space="0" w:color="auto"/>
        <w:right w:val="none" w:sz="0" w:space="0" w:color="auto"/>
      </w:divBdr>
    </w:div>
    <w:div w:id="606887306">
      <w:bodyDiv w:val="1"/>
      <w:marLeft w:val="0"/>
      <w:marRight w:val="0"/>
      <w:marTop w:val="0"/>
      <w:marBottom w:val="0"/>
      <w:divBdr>
        <w:top w:val="none" w:sz="0" w:space="0" w:color="auto"/>
        <w:left w:val="none" w:sz="0" w:space="0" w:color="auto"/>
        <w:bottom w:val="none" w:sz="0" w:space="0" w:color="auto"/>
        <w:right w:val="none" w:sz="0" w:space="0" w:color="auto"/>
      </w:divBdr>
    </w:div>
    <w:div w:id="609052332">
      <w:bodyDiv w:val="1"/>
      <w:marLeft w:val="0"/>
      <w:marRight w:val="0"/>
      <w:marTop w:val="0"/>
      <w:marBottom w:val="0"/>
      <w:divBdr>
        <w:top w:val="none" w:sz="0" w:space="0" w:color="auto"/>
        <w:left w:val="none" w:sz="0" w:space="0" w:color="auto"/>
        <w:bottom w:val="none" w:sz="0" w:space="0" w:color="auto"/>
        <w:right w:val="none" w:sz="0" w:space="0" w:color="auto"/>
      </w:divBdr>
    </w:div>
    <w:div w:id="610360357">
      <w:bodyDiv w:val="1"/>
      <w:marLeft w:val="0"/>
      <w:marRight w:val="0"/>
      <w:marTop w:val="0"/>
      <w:marBottom w:val="0"/>
      <w:divBdr>
        <w:top w:val="none" w:sz="0" w:space="0" w:color="auto"/>
        <w:left w:val="none" w:sz="0" w:space="0" w:color="auto"/>
        <w:bottom w:val="none" w:sz="0" w:space="0" w:color="auto"/>
        <w:right w:val="none" w:sz="0" w:space="0" w:color="auto"/>
      </w:divBdr>
    </w:div>
    <w:div w:id="616713881">
      <w:bodyDiv w:val="1"/>
      <w:marLeft w:val="0"/>
      <w:marRight w:val="0"/>
      <w:marTop w:val="0"/>
      <w:marBottom w:val="0"/>
      <w:divBdr>
        <w:top w:val="none" w:sz="0" w:space="0" w:color="auto"/>
        <w:left w:val="none" w:sz="0" w:space="0" w:color="auto"/>
        <w:bottom w:val="none" w:sz="0" w:space="0" w:color="auto"/>
        <w:right w:val="none" w:sz="0" w:space="0" w:color="auto"/>
      </w:divBdr>
    </w:div>
    <w:div w:id="617445134">
      <w:bodyDiv w:val="1"/>
      <w:marLeft w:val="0"/>
      <w:marRight w:val="0"/>
      <w:marTop w:val="0"/>
      <w:marBottom w:val="0"/>
      <w:divBdr>
        <w:top w:val="none" w:sz="0" w:space="0" w:color="auto"/>
        <w:left w:val="none" w:sz="0" w:space="0" w:color="auto"/>
        <w:bottom w:val="none" w:sz="0" w:space="0" w:color="auto"/>
        <w:right w:val="none" w:sz="0" w:space="0" w:color="auto"/>
      </w:divBdr>
    </w:div>
    <w:div w:id="618492713">
      <w:bodyDiv w:val="1"/>
      <w:marLeft w:val="0"/>
      <w:marRight w:val="0"/>
      <w:marTop w:val="0"/>
      <w:marBottom w:val="0"/>
      <w:divBdr>
        <w:top w:val="none" w:sz="0" w:space="0" w:color="auto"/>
        <w:left w:val="none" w:sz="0" w:space="0" w:color="auto"/>
        <w:bottom w:val="none" w:sz="0" w:space="0" w:color="auto"/>
        <w:right w:val="none" w:sz="0" w:space="0" w:color="auto"/>
      </w:divBdr>
    </w:div>
    <w:div w:id="619386720">
      <w:bodyDiv w:val="1"/>
      <w:marLeft w:val="0"/>
      <w:marRight w:val="0"/>
      <w:marTop w:val="0"/>
      <w:marBottom w:val="0"/>
      <w:divBdr>
        <w:top w:val="none" w:sz="0" w:space="0" w:color="auto"/>
        <w:left w:val="none" w:sz="0" w:space="0" w:color="auto"/>
        <w:bottom w:val="none" w:sz="0" w:space="0" w:color="auto"/>
        <w:right w:val="none" w:sz="0" w:space="0" w:color="auto"/>
      </w:divBdr>
    </w:div>
    <w:div w:id="622346792">
      <w:bodyDiv w:val="1"/>
      <w:marLeft w:val="0"/>
      <w:marRight w:val="0"/>
      <w:marTop w:val="0"/>
      <w:marBottom w:val="0"/>
      <w:divBdr>
        <w:top w:val="none" w:sz="0" w:space="0" w:color="auto"/>
        <w:left w:val="none" w:sz="0" w:space="0" w:color="auto"/>
        <w:bottom w:val="none" w:sz="0" w:space="0" w:color="auto"/>
        <w:right w:val="none" w:sz="0" w:space="0" w:color="auto"/>
      </w:divBdr>
    </w:div>
    <w:div w:id="623972315">
      <w:bodyDiv w:val="1"/>
      <w:marLeft w:val="0"/>
      <w:marRight w:val="0"/>
      <w:marTop w:val="0"/>
      <w:marBottom w:val="0"/>
      <w:divBdr>
        <w:top w:val="none" w:sz="0" w:space="0" w:color="auto"/>
        <w:left w:val="none" w:sz="0" w:space="0" w:color="auto"/>
        <w:bottom w:val="none" w:sz="0" w:space="0" w:color="auto"/>
        <w:right w:val="none" w:sz="0" w:space="0" w:color="auto"/>
      </w:divBdr>
    </w:div>
    <w:div w:id="625619394">
      <w:bodyDiv w:val="1"/>
      <w:marLeft w:val="0"/>
      <w:marRight w:val="0"/>
      <w:marTop w:val="0"/>
      <w:marBottom w:val="0"/>
      <w:divBdr>
        <w:top w:val="none" w:sz="0" w:space="0" w:color="auto"/>
        <w:left w:val="none" w:sz="0" w:space="0" w:color="auto"/>
        <w:bottom w:val="none" w:sz="0" w:space="0" w:color="auto"/>
        <w:right w:val="none" w:sz="0" w:space="0" w:color="auto"/>
      </w:divBdr>
    </w:div>
    <w:div w:id="627248894">
      <w:bodyDiv w:val="1"/>
      <w:marLeft w:val="0"/>
      <w:marRight w:val="0"/>
      <w:marTop w:val="0"/>
      <w:marBottom w:val="0"/>
      <w:divBdr>
        <w:top w:val="none" w:sz="0" w:space="0" w:color="auto"/>
        <w:left w:val="none" w:sz="0" w:space="0" w:color="auto"/>
        <w:bottom w:val="none" w:sz="0" w:space="0" w:color="auto"/>
        <w:right w:val="none" w:sz="0" w:space="0" w:color="auto"/>
      </w:divBdr>
    </w:div>
    <w:div w:id="629284227">
      <w:bodyDiv w:val="1"/>
      <w:marLeft w:val="0"/>
      <w:marRight w:val="0"/>
      <w:marTop w:val="0"/>
      <w:marBottom w:val="0"/>
      <w:divBdr>
        <w:top w:val="none" w:sz="0" w:space="0" w:color="auto"/>
        <w:left w:val="none" w:sz="0" w:space="0" w:color="auto"/>
        <w:bottom w:val="none" w:sz="0" w:space="0" w:color="auto"/>
        <w:right w:val="none" w:sz="0" w:space="0" w:color="auto"/>
      </w:divBdr>
    </w:div>
    <w:div w:id="630480058">
      <w:bodyDiv w:val="1"/>
      <w:marLeft w:val="0"/>
      <w:marRight w:val="0"/>
      <w:marTop w:val="0"/>
      <w:marBottom w:val="0"/>
      <w:divBdr>
        <w:top w:val="none" w:sz="0" w:space="0" w:color="auto"/>
        <w:left w:val="none" w:sz="0" w:space="0" w:color="auto"/>
        <w:bottom w:val="none" w:sz="0" w:space="0" w:color="auto"/>
        <w:right w:val="none" w:sz="0" w:space="0" w:color="auto"/>
      </w:divBdr>
    </w:div>
    <w:div w:id="632105365">
      <w:bodyDiv w:val="1"/>
      <w:marLeft w:val="0"/>
      <w:marRight w:val="0"/>
      <w:marTop w:val="0"/>
      <w:marBottom w:val="0"/>
      <w:divBdr>
        <w:top w:val="none" w:sz="0" w:space="0" w:color="auto"/>
        <w:left w:val="none" w:sz="0" w:space="0" w:color="auto"/>
        <w:bottom w:val="none" w:sz="0" w:space="0" w:color="auto"/>
        <w:right w:val="none" w:sz="0" w:space="0" w:color="auto"/>
      </w:divBdr>
    </w:div>
    <w:div w:id="632906723">
      <w:bodyDiv w:val="1"/>
      <w:marLeft w:val="0"/>
      <w:marRight w:val="0"/>
      <w:marTop w:val="0"/>
      <w:marBottom w:val="0"/>
      <w:divBdr>
        <w:top w:val="none" w:sz="0" w:space="0" w:color="auto"/>
        <w:left w:val="none" w:sz="0" w:space="0" w:color="auto"/>
        <w:bottom w:val="none" w:sz="0" w:space="0" w:color="auto"/>
        <w:right w:val="none" w:sz="0" w:space="0" w:color="auto"/>
      </w:divBdr>
    </w:div>
    <w:div w:id="637759524">
      <w:bodyDiv w:val="1"/>
      <w:marLeft w:val="0"/>
      <w:marRight w:val="0"/>
      <w:marTop w:val="0"/>
      <w:marBottom w:val="0"/>
      <w:divBdr>
        <w:top w:val="none" w:sz="0" w:space="0" w:color="auto"/>
        <w:left w:val="none" w:sz="0" w:space="0" w:color="auto"/>
        <w:bottom w:val="none" w:sz="0" w:space="0" w:color="auto"/>
        <w:right w:val="none" w:sz="0" w:space="0" w:color="auto"/>
      </w:divBdr>
    </w:div>
    <w:div w:id="639532922">
      <w:bodyDiv w:val="1"/>
      <w:marLeft w:val="0"/>
      <w:marRight w:val="0"/>
      <w:marTop w:val="0"/>
      <w:marBottom w:val="0"/>
      <w:divBdr>
        <w:top w:val="none" w:sz="0" w:space="0" w:color="auto"/>
        <w:left w:val="none" w:sz="0" w:space="0" w:color="auto"/>
        <w:bottom w:val="none" w:sz="0" w:space="0" w:color="auto"/>
        <w:right w:val="none" w:sz="0" w:space="0" w:color="auto"/>
      </w:divBdr>
    </w:div>
    <w:div w:id="646324485">
      <w:bodyDiv w:val="1"/>
      <w:marLeft w:val="0"/>
      <w:marRight w:val="0"/>
      <w:marTop w:val="0"/>
      <w:marBottom w:val="0"/>
      <w:divBdr>
        <w:top w:val="none" w:sz="0" w:space="0" w:color="auto"/>
        <w:left w:val="none" w:sz="0" w:space="0" w:color="auto"/>
        <w:bottom w:val="none" w:sz="0" w:space="0" w:color="auto"/>
        <w:right w:val="none" w:sz="0" w:space="0" w:color="auto"/>
      </w:divBdr>
    </w:div>
    <w:div w:id="647825317">
      <w:bodyDiv w:val="1"/>
      <w:marLeft w:val="0"/>
      <w:marRight w:val="0"/>
      <w:marTop w:val="0"/>
      <w:marBottom w:val="0"/>
      <w:divBdr>
        <w:top w:val="none" w:sz="0" w:space="0" w:color="auto"/>
        <w:left w:val="none" w:sz="0" w:space="0" w:color="auto"/>
        <w:bottom w:val="none" w:sz="0" w:space="0" w:color="auto"/>
        <w:right w:val="none" w:sz="0" w:space="0" w:color="auto"/>
      </w:divBdr>
    </w:div>
    <w:div w:id="656298898">
      <w:bodyDiv w:val="1"/>
      <w:marLeft w:val="0"/>
      <w:marRight w:val="0"/>
      <w:marTop w:val="0"/>
      <w:marBottom w:val="0"/>
      <w:divBdr>
        <w:top w:val="none" w:sz="0" w:space="0" w:color="auto"/>
        <w:left w:val="none" w:sz="0" w:space="0" w:color="auto"/>
        <w:bottom w:val="none" w:sz="0" w:space="0" w:color="auto"/>
        <w:right w:val="none" w:sz="0" w:space="0" w:color="auto"/>
      </w:divBdr>
    </w:div>
    <w:div w:id="660737312">
      <w:bodyDiv w:val="1"/>
      <w:marLeft w:val="0"/>
      <w:marRight w:val="0"/>
      <w:marTop w:val="0"/>
      <w:marBottom w:val="0"/>
      <w:divBdr>
        <w:top w:val="none" w:sz="0" w:space="0" w:color="auto"/>
        <w:left w:val="none" w:sz="0" w:space="0" w:color="auto"/>
        <w:bottom w:val="none" w:sz="0" w:space="0" w:color="auto"/>
        <w:right w:val="none" w:sz="0" w:space="0" w:color="auto"/>
      </w:divBdr>
    </w:div>
    <w:div w:id="661736888">
      <w:bodyDiv w:val="1"/>
      <w:marLeft w:val="0"/>
      <w:marRight w:val="0"/>
      <w:marTop w:val="0"/>
      <w:marBottom w:val="0"/>
      <w:divBdr>
        <w:top w:val="none" w:sz="0" w:space="0" w:color="auto"/>
        <w:left w:val="none" w:sz="0" w:space="0" w:color="auto"/>
        <w:bottom w:val="none" w:sz="0" w:space="0" w:color="auto"/>
        <w:right w:val="none" w:sz="0" w:space="0" w:color="auto"/>
      </w:divBdr>
    </w:div>
    <w:div w:id="662006580">
      <w:bodyDiv w:val="1"/>
      <w:marLeft w:val="0"/>
      <w:marRight w:val="0"/>
      <w:marTop w:val="0"/>
      <w:marBottom w:val="0"/>
      <w:divBdr>
        <w:top w:val="none" w:sz="0" w:space="0" w:color="auto"/>
        <w:left w:val="none" w:sz="0" w:space="0" w:color="auto"/>
        <w:bottom w:val="none" w:sz="0" w:space="0" w:color="auto"/>
        <w:right w:val="none" w:sz="0" w:space="0" w:color="auto"/>
      </w:divBdr>
    </w:div>
    <w:div w:id="663584627">
      <w:bodyDiv w:val="1"/>
      <w:marLeft w:val="0"/>
      <w:marRight w:val="0"/>
      <w:marTop w:val="0"/>
      <w:marBottom w:val="0"/>
      <w:divBdr>
        <w:top w:val="none" w:sz="0" w:space="0" w:color="auto"/>
        <w:left w:val="none" w:sz="0" w:space="0" w:color="auto"/>
        <w:bottom w:val="none" w:sz="0" w:space="0" w:color="auto"/>
        <w:right w:val="none" w:sz="0" w:space="0" w:color="auto"/>
      </w:divBdr>
    </w:div>
    <w:div w:id="667631564">
      <w:bodyDiv w:val="1"/>
      <w:marLeft w:val="0"/>
      <w:marRight w:val="0"/>
      <w:marTop w:val="0"/>
      <w:marBottom w:val="0"/>
      <w:divBdr>
        <w:top w:val="none" w:sz="0" w:space="0" w:color="auto"/>
        <w:left w:val="none" w:sz="0" w:space="0" w:color="auto"/>
        <w:bottom w:val="none" w:sz="0" w:space="0" w:color="auto"/>
        <w:right w:val="none" w:sz="0" w:space="0" w:color="auto"/>
      </w:divBdr>
    </w:div>
    <w:div w:id="669334655">
      <w:bodyDiv w:val="1"/>
      <w:marLeft w:val="0"/>
      <w:marRight w:val="0"/>
      <w:marTop w:val="0"/>
      <w:marBottom w:val="0"/>
      <w:divBdr>
        <w:top w:val="none" w:sz="0" w:space="0" w:color="auto"/>
        <w:left w:val="none" w:sz="0" w:space="0" w:color="auto"/>
        <w:bottom w:val="none" w:sz="0" w:space="0" w:color="auto"/>
        <w:right w:val="none" w:sz="0" w:space="0" w:color="auto"/>
      </w:divBdr>
    </w:div>
    <w:div w:id="672683926">
      <w:bodyDiv w:val="1"/>
      <w:marLeft w:val="0"/>
      <w:marRight w:val="0"/>
      <w:marTop w:val="0"/>
      <w:marBottom w:val="0"/>
      <w:divBdr>
        <w:top w:val="none" w:sz="0" w:space="0" w:color="auto"/>
        <w:left w:val="none" w:sz="0" w:space="0" w:color="auto"/>
        <w:bottom w:val="none" w:sz="0" w:space="0" w:color="auto"/>
        <w:right w:val="none" w:sz="0" w:space="0" w:color="auto"/>
      </w:divBdr>
    </w:div>
    <w:div w:id="672992908">
      <w:bodyDiv w:val="1"/>
      <w:marLeft w:val="0"/>
      <w:marRight w:val="0"/>
      <w:marTop w:val="0"/>
      <w:marBottom w:val="0"/>
      <w:divBdr>
        <w:top w:val="none" w:sz="0" w:space="0" w:color="auto"/>
        <w:left w:val="none" w:sz="0" w:space="0" w:color="auto"/>
        <w:bottom w:val="none" w:sz="0" w:space="0" w:color="auto"/>
        <w:right w:val="none" w:sz="0" w:space="0" w:color="auto"/>
      </w:divBdr>
    </w:div>
    <w:div w:id="673610777">
      <w:bodyDiv w:val="1"/>
      <w:marLeft w:val="0"/>
      <w:marRight w:val="0"/>
      <w:marTop w:val="0"/>
      <w:marBottom w:val="0"/>
      <w:divBdr>
        <w:top w:val="none" w:sz="0" w:space="0" w:color="auto"/>
        <w:left w:val="none" w:sz="0" w:space="0" w:color="auto"/>
        <w:bottom w:val="none" w:sz="0" w:space="0" w:color="auto"/>
        <w:right w:val="none" w:sz="0" w:space="0" w:color="auto"/>
      </w:divBdr>
    </w:div>
    <w:div w:id="677391275">
      <w:bodyDiv w:val="1"/>
      <w:marLeft w:val="0"/>
      <w:marRight w:val="0"/>
      <w:marTop w:val="0"/>
      <w:marBottom w:val="0"/>
      <w:divBdr>
        <w:top w:val="none" w:sz="0" w:space="0" w:color="auto"/>
        <w:left w:val="none" w:sz="0" w:space="0" w:color="auto"/>
        <w:bottom w:val="none" w:sz="0" w:space="0" w:color="auto"/>
        <w:right w:val="none" w:sz="0" w:space="0" w:color="auto"/>
      </w:divBdr>
    </w:div>
    <w:div w:id="679039437">
      <w:bodyDiv w:val="1"/>
      <w:marLeft w:val="0"/>
      <w:marRight w:val="0"/>
      <w:marTop w:val="0"/>
      <w:marBottom w:val="0"/>
      <w:divBdr>
        <w:top w:val="none" w:sz="0" w:space="0" w:color="auto"/>
        <w:left w:val="none" w:sz="0" w:space="0" w:color="auto"/>
        <w:bottom w:val="none" w:sz="0" w:space="0" w:color="auto"/>
        <w:right w:val="none" w:sz="0" w:space="0" w:color="auto"/>
      </w:divBdr>
    </w:div>
    <w:div w:id="679740672">
      <w:bodyDiv w:val="1"/>
      <w:marLeft w:val="0"/>
      <w:marRight w:val="0"/>
      <w:marTop w:val="0"/>
      <w:marBottom w:val="0"/>
      <w:divBdr>
        <w:top w:val="none" w:sz="0" w:space="0" w:color="auto"/>
        <w:left w:val="none" w:sz="0" w:space="0" w:color="auto"/>
        <w:bottom w:val="none" w:sz="0" w:space="0" w:color="auto"/>
        <w:right w:val="none" w:sz="0" w:space="0" w:color="auto"/>
      </w:divBdr>
    </w:div>
    <w:div w:id="683550911">
      <w:bodyDiv w:val="1"/>
      <w:marLeft w:val="0"/>
      <w:marRight w:val="0"/>
      <w:marTop w:val="0"/>
      <w:marBottom w:val="0"/>
      <w:divBdr>
        <w:top w:val="none" w:sz="0" w:space="0" w:color="auto"/>
        <w:left w:val="none" w:sz="0" w:space="0" w:color="auto"/>
        <w:bottom w:val="none" w:sz="0" w:space="0" w:color="auto"/>
        <w:right w:val="none" w:sz="0" w:space="0" w:color="auto"/>
      </w:divBdr>
    </w:div>
    <w:div w:id="688873522">
      <w:bodyDiv w:val="1"/>
      <w:marLeft w:val="0"/>
      <w:marRight w:val="0"/>
      <w:marTop w:val="0"/>
      <w:marBottom w:val="0"/>
      <w:divBdr>
        <w:top w:val="none" w:sz="0" w:space="0" w:color="auto"/>
        <w:left w:val="none" w:sz="0" w:space="0" w:color="auto"/>
        <w:bottom w:val="none" w:sz="0" w:space="0" w:color="auto"/>
        <w:right w:val="none" w:sz="0" w:space="0" w:color="auto"/>
      </w:divBdr>
    </w:div>
    <w:div w:id="689335955">
      <w:bodyDiv w:val="1"/>
      <w:marLeft w:val="0"/>
      <w:marRight w:val="0"/>
      <w:marTop w:val="0"/>
      <w:marBottom w:val="0"/>
      <w:divBdr>
        <w:top w:val="none" w:sz="0" w:space="0" w:color="auto"/>
        <w:left w:val="none" w:sz="0" w:space="0" w:color="auto"/>
        <w:bottom w:val="none" w:sz="0" w:space="0" w:color="auto"/>
        <w:right w:val="none" w:sz="0" w:space="0" w:color="auto"/>
      </w:divBdr>
    </w:div>
    <w:div w:id="693574976">
      <w:bodyDiv w:val="1"/>
      <w:marLeft w:val="0"/>
      <w:marRight w:val="0"/>
      <w:marTop w:val="0"/>
      <w:marBottom w:val="0"/>
      <w:divBdr>
        <w:top w:val="none" w:sz="0" w:space="0" w:color="auto"/>
        <w:left w:val="none" w:sz="0" w:space="0" w:color="auto"/>
        <w:bottom w:val="none" w:sz="0" w:space="0" w:color="auto"/>
        <w:right w:val="none" w:sz="0" w:space="0" w:color="auto"/>
      </w:divBdr>
    </w:div>
    <w:div w:id="699359390">
      <w:bodyDiv w:val="1"/>
      <w:marLeft w:val="0"/>
      <w:marRight w:val="0"/>
      <w:marTop w:val="0"/>
      <w:marBottom w:val="0"/>
      <w:divBdr>
        <w:top w:val="none" w:sz="0" w:space="0" w:color="auto"/>
        <w:left w:val="none" w:sz="0" w:space="0" w:color="auto"/>
        <w:bottom w:val="none" w:sz="0" w:space="0" w:color="auto"/>
        <w:right w:val="none" w:sz="0" w:space="0" w:color="auto"/>
      </w:divBdr>
    </w:div>
    <w:div w:id="699627309">
      <w:bodyDiv w:val="1"/>
      <w:marLeft w:val="0"/>
      <w:marRight w:val="0"/>
      <w:marTop w:val="0"/>
      <w:marBottom w:val="0"/>
      <w:divBdr>
        <w:top w:val="none" w:sz="0" w:space="0" w:color="auto"/>
        <w:left w:val="none" w:sz="0" w:space="0" w:color="auto"/>
        <w:bottom w:val="none" w:sz="0" w:space="0" w:color="auto"/>
        <w:right w:val="none" w:sz="0" w:space="0" w:color="auto"/>
      </w:divBdr>
    </w:div>
    <w:div w:id="701780868">
      <w:bodyDiv w:val="1"/>
      <w:marLeft w:val="0"/>
      <w:marRight w:val="0"/>
      <w:marTop w:val="0"/>
      <w:marBottom w:val="0"/>
      <w:divBdr>
        <w:top w:val="none" w:sz="0" w:space="0" w:color="auto"/>
        <w:left w:val="none" w:sz="0" w:space="0" w:color="auto"/>
        <w:bottom w:val="none" w:sz="0" w:space="0" w:color="auto"/>
        <w:right w:val="none" w:sz="0" w:space="0" w:color="auto"/>
      </w:divBdr>
    </w:div>
    <w:div w:id="701789522">
      <w:bodyDiv w:val="1"/>
      <w:marLeft w:val="0"/>
      <w:marRight w:val="0"/>
      <w:marTop w:val="0"/>
      <w:marBottom w:val="0"/>
      <w:divBdr>
        <w:top w:val="none" w:sz="0" w:space="0" w:color="auto"/>
        <w:left w:val="none" w:sz="0" w:space="0" w:color="auto"/>
        <w:bottom w:val="none" w:sz="0" w:space="0" w:color="auto"/>
        <w:right w:val="none" w:sz="0" w:space="0" w:color="auto"/>
      </w:divBdr>
    </w:div>
    <w:div w:id="701903053">
      <w:bodyDiv w:val="1"/>
      <w:marLeft w:val="0"/>
      <w:marRight w:val="0"/>
      <w:marTop w:val="0"/>
      <w:marBottom w:val="0"/>
      <w:divBdr>
        <w:top w:val="none" w:sz="0" w:space="0" w:color="auto"/>
        <w:left w:val="none" w:sz="0" w:space="0" w:color="auto"/>
        <w:bottom w:val="none" w:sz="0" w:space="0" w:color="auto"/>
        <w:right w:val="none" w:sz="0" w:space="0" w:color="auto"/>
      </w:divBdr>
    </w:div>
    <w:div w:id="702630147">
      <w:bodyDiv w:val="1"/>
      <w:marLeft w:val="0"/>
      <w:marRight w:val="0"/>
      <w:marTop w:val="0"/>
      <w:marBottom w:val="0"/>
      <w:divBdr>
        <w:top w:val="none" w:sz="0" w:space="0" w:color="auto"/>
        <w:left w:val="none" w:sz="0" w:space="0" w:color="auto"/>
        <w:bottom w:val="none" w:sz="0" w:space="0" w:color="auto"/>
        <w:right w:val="none" w:sz="0" w:space="0" w:color="auto"/>
      </w:divBdr>
    </w:div>
    <w:div w:id="702829002">
      <w:bodyDiv w:val="1"/>
      <w:marLeft w:val="0"/>
      <w:marRight w:val="0"/>
      <w:marTop w:val="0"/>
      <w:marBottom w:val="0"/>
      <w:divBdr>
        <w:top w:val="none" w:sz="0" w:space="0" w:color="auto"/>
        <w:left w:val="none" w:sz="0" w:space="0" w:color="auto"/>
        <w:bottom w:val="none" w:sz="0" w:space="0" w:color="auto"/>
        <w:right w:val="none" w:sz="0" w:space="0" w:color="auto"/>
      </w:divBdr>
    </w:div>
    <w:div w:id="703872248">
      <w:bodyDiv w:val="1"/>
      <w:marLeft w:val="0"/>
      <w:marRight w:val="0"/>
      <w:marTop w:val="0"/>
      <w:marBottom w:val="0"/>
      <w:divBdr>
        <w:top w:val="none" w:sz="0" w:space="0" w:color="auto"/>
        <w:left w:val="none" w:sz="0" w:space="0" w:color="auto"/>
        <w:bottom w:val="none" w:sz="0" w:space="0" w:color="auto"/>
        <w:right w:val="none" w:sz="0" w:space="0" w:color="auto"/>
      </w:divBdr>
    </w:div>
    <w:div w:id="707265442">
      <w:bodyDiv w:val="1"/>
      <w:marLeft w:val="0"/>
      <w:marRight w:val="0"/>
      <w:marTop w:val="0"/>
      <w:marBottom w:val="0"/>
      <w:divBdr>
        <w:top w:val="none" w:sz="0" w:space="0" w:color="auto"/>
        <w:left w:val="none" w:sz="0" w:space="0" w:color="auto"/>
        <w:bottom w:val="none" w:sz="0" w:space="0" w:color="auto"/>
        <w:right w:val="none" w:sz="0" w:space="0" w:color="auto"/>
      </w:divBdr>
    </w:div>
    <w:div w:id="707797610">
      <w:bodyDiv w:val="1"/>
      <w:marLeft w:val="0"/>
      <w:marRight w:val="0"/>
      <w:marTop w:val="0"/>
      <w:marBottom w:val="0"/>
      <w:divBdr>
        <w:top w:val="none" w:sz="0" w:space="0" w:color="auto"/>
        <w:left w:val="none" w:sz="0" w:space="0" w:color="auto"/>
        <w:bottom w:val="none" w:sz="0" w:space="0" w:color="auto"/>
        <w:right w:val="none" w:sz="0" w:space="0" w:color="auto"/>
      </w:divBdr>
    </w:div>
    <w:div w:id="709301381">
      <w:bodyDiv w:val="1"/>
      <w:marLeft w:val="0"/>
      <w:marRight w:val="0"/>
      <w:marTop w:val="0"/>
      <w:marBottom w:val="0"/>
      <w:divBdr>
        <w:top w:val="none" w:sz="0" w:space="0" w:color="auto"/>
        <w:left w:val="none" w:sz="0" w:space="0" w:color="auto"/>
        <w:bottom w:val="none" w:sz="0" w:space="0" w:color="auto"/>
        <w:right w:val="none" w:sz="0" w:space="0" w:color="auto"/>
      </w:divBdr>
    </w:div>
    <w:div w:id="712463976">
      <w:bodyDiv w:val="1"/>
      <w:marLeft w:val="0"/>
      <w:marRight w:val="0"/>
      <w:marTop w:val="0"/>
      <w:marBottom w:val="0"/>
      <w:divBdr>
        <w:top w:val="none" w:sz="0" w:space="0" w:color="auto"/>
        <w:left w:val="none" w:sz="0" w:space="0" w:color="auto"/>
        <w:bottom w:val="none" w:sz="0" w:space="0" w:color="auto"/>
        <w:right w:val="none" w:sz="0" w:space="0" w:color="auto"/>
      </w:divBdr>
    </w:div>
    <w:div w:id="719984010">
      <w:bodyDiv w:val="1"/>
      <w:marLeft w:val="0"/>
      <w:marRight w:val="0"/>
      <w:marTop w:val="0"/>
      <w:marBottom w:val="0"/>
      <w:divBdr>
        <w:top w:val="none" w:sz="0" w:space="0" w:color="auto"/>
        <w:left w:val="none" w:sz="0" w:space="0" w:color="auto"/>
        <w:bottom w:val="none" w:sz="0" w:space="0" w:color="auto"/>
        <w:right w:val="none" w:sz="0" w:space="0" w:color="auto"/>
      </w:divBdr>
    </w:div>
    <w:div w:id="720442944">
      <w:bodyDiv w:val="1"/>
      <w:marLeft w:val="0"/>
      <w:marRight w:val="0"/>
      <w:marTop w:val="0"/>
      <w:marBottom w:val="0"/>
      <w:divBdr>
        <w:top w:val="none" w:sz="0" w:space="0" w:color="auto"/>
        <w:left w:val="none" w:sz="0" w:space="0" w:color="auto"/>
        <w:bottom w:val="none" w:sz="0" w:space="0" w:color="auto"/>
        <w:right w:val="none" w:sz="0" w:space="0" w:color="auto"/>
      </w:divBdr>
    </w:div>
    <w:div w:id="722677708">
      <w:bodyDiv w:val="1"/>
      <w:marLeft w:val="0"/>
      <w:marRight w:val="0"/>
      <w:marTop w:val="0"/>
      <w:marBottom w:val="0"/>
      <w:divBdr>
        <w:top w:val="none" w:sz="0" w:space="0" w:color="auto"/>
        <w:left w:val="none" w:sz="0" w:space="0" w:color="auto"/>
        <w:bottom w:val="none" w:sz="0" w:space="0" w:color="auto"/>
        <w:right w:val="none" w:sz="0" w:space="0" w:color="auto"/>
      </w:divBdr>
    </w:div>
    <w:div w:id="727189829">
      <w:bodyDiv w:val="1"/>
      <w:marLeft w:val="0"/>
      <w:marRight w:val="0"/>
      <w:marTop w:val="0"/>
      <w:marBottom w:val="0"/>
      <w:divBdr>
        <w:top w:val="none" w:sz="0" w:space="0" w:color="auto"/>
        <w:left w:val="none" w:sz="0" w:space="0" w:color="auto"/>
        <w:bottom w:val="none" w:sz="0" w:space="0" w:color="auto"/>
        <w:right w:val="none" w:sz="0" w:space="0" w:color="auto"/>
      </w:divBdr>
    </w:div>
    <w:div w:id="729813621">
      <w:bodyDiv w:val="1"/>
      <w:marLeft w:val="0"/>
      <w:marRight w:val="0"/>
      <w:marTop w:val="0"/>
      <w:marBottom w:val="0"/>
      <w:divBdr>
        <w:top w:val="none" w:sz="0" w:space="0" w:color="auto"/>
        <w:left w:val="none" w:sz="0" w:space="0" w:color="auto"/>
        <w:bottom w:val="none" w:sz="0" w:space="0" w:color="auto"/>
        <w:right w:val="none" w:sz="0" w:space="0" w:color="auto"/>
      </w:divBdr>
    </w:div>
    <w:div w:id="732196328">
      <w:bodyDiv w:val="1"/>
      <w:marLeft w:val="0"/>
      <w:marRight w:val="0"/>
      <w:marTop w:val="0"/>
      <w:marBottom w:val="0"/>
      <w:divBdr>
        <w:top w:val="none" w:sz="0" w:space="0" w:color="auto"/>
        <w:left w:val="none" w:sz="0" w:space="0" w:color="auto"/>
        <w:bottom w:val="none" w:sz="0" w:space="0" w:color="auto"/>
        <w:right w:val="none" w:sz="0" w:space="0" w:color="auto"/>
      </w:divBdr>
    </w:div>
    <w:div w:id="734352206">
      <w:bodyDiv w:val="1"/>
      <w:marLeft w:val="0"/>
      <w:marRight w:val="0"/>
      <w:marTop w:val="0"/>
      <w:marBottom w:val="0"/>
      <w:divBdr>
        <w:top w:val="none" w:sz="0" w:space="0" w:color="auto"/>
        <w:left w:val="none" w:sz="0" w:space="0" w:color="auto"/>
        <w:bottom w:val="none" w:sz="0" w:space="0" w:color="auto"/>
        <w:right w:val="none" w:sz="0" w:space="0" w:color="auto"/>
      </w:divBdr>
    </w:div>
    <w:div w:id="738018513">
      <w:bodyDiv w:val="1"/>
      <w:marLeft w:val="0"/>
      <w:marRight w:val="0"/>
      <w:marTop w:val="0"/>
      <w:marBottom w:val="0"/>
      <w:divBdr>
        <w:top w:val="none" w:sz="0" w:space="0" w:color="auto"/>
        <w:left w:val="none" w:sz="0" w:space="0" w:color="auto"/>
        <w:bottom w:val="none" w:sz="0" w:space="0" w:color="auto"/>
        <w:right w:val="none" w:sz="0" w:space="0" w:color="auto"/>
      </w:divBdr>
    </w:div>
    <w:div w:id="743450866">
      <w:bodyDiv w:val="1"/>
      <w:marLeft w:val="0"/>
      <w:marRight w:val="0"/>
      <w:marTop w:val="0"/>
      <w:marBottom w:val="0"/>
      <w:divBdr>
        <w:top w:val="none" w:sz="0" w:space="0" w:color="auto"/>
        <w:left w:val="none" w:sz="0" w:space="0" w:color="auto"/>
        <w:bottom w:val="none" w:sz="0" w:space="0" w:color="auto"/>
        <w:right w:val="none" w:sz="0" w:space="0" w:color="auto"/>
      </w:divBdr>
    </w:div>
    <w:div w:id="743526756">
      <w:bodyDiv w:val="1"/>
      <w:marLeft w:val="0"/>
      <w:marRight w:val="0"/>
      <w:marTop w:val="0"/>
      <w:marBottom w:val="0"/>
      <w:divBdr>
        <w:top w:val="none" w:sz="0" w:space="0" w:color="auto"/>
        <w:left w:val="none" w:sz="0" w:space="0" w:color="auto"/>
        <w:bottom w:val="none" w:sz="0" w:space="0" w:color="auto"/>
        <w:right w:val="none" w:sz="0" w:space="0" w:color="auto"/>
      </w:divBdr>
    </w:div>
    <w:div w:id="751972892">
      <w:bodyDiv w:val="1"/>
      <w:marLeft w:val="0"/>
      <w:marRight w:val="0"/>
      <w:marTop w:val="0"/>
      <w:marBottom w:val="0"/>
      <w:divBdr>
        <w:top w:val="none" w:sz="0" w:space="0" w:color="auto"/>
        <w:left w:val="none" w:sz="0" w:space="0" w:color="auto"/>
        <w:bottom w:val="none" w:sz="0" w:space="0" w:color="auto"/>
        <w:right w:val="none" w:sz="0" w:space="0" w:color="auto"/>
      </w:divBdr>
    </w:div>
    <w:div w:id="754937237">
      <w:bodyDiv w:val="1"/>
      <w:marLeft w:val="0"/>
      <w:marRight w:val="0"/>
      <w:marTop w:val="0"/>
      <w:marBottom w:val="0"/>
      <w:divBdr>
        <w:top w:val="none" w:sz="0" w:space="0" w:color="auto"/>
        <w:left w:val="none" w:sz="0" w:space="0" w:color="auto"/>
        <w:bottom w:val="none" w:sz="0" w:space="0" w:color="auto"/>
        <w:right w:val="none" w:sz="0" w:space="0" w:color="auto"/>
      </w:divBdr>
    </w:div>
    <w:div w:id="756825831">
      <w:bodyDiv w:val="1"/>
      <w:marLeft w:val="0"/>
      <w:marRight w:val="0"/>
      <w:marTop w:val="0"/>
      <w:marBottom w:val="0"/>
      <w:divBdr>
        <w:top w:val="none" w:sz="0" w:space="0" w:color="auto"/>
        <w:left w:val="none" w:sz="0" w:space="0" w:color="auto"/>
        <w:bottom w:val="none" w:sz="0" w:space="0" w:color="auto"/>
        <w:right w:val="none" w:sz="0" w:space="0" w:color="auto"/>
      </w:divBdr>
    </w:div>
    <w:div w:id="757143684">
      <w:bodyDiv w:val="1"/>
      <w:marLeft w:val="0"/>
      <w:marRight w:val="0"/>
      <w:marTop w:val="0"/>
      <w:marBottom w:val="0"/>
      <w:divBdr>
        <w:top w:val="none" w:sz="0" w:space="0" w:color="auto"/>
        <w:left w:val="none" w:sz="0" w:space="0" w:color="auto"/>
        <w:bottom w:val="none" w:sz="0" w:space="0" w:color="auto"/>
        <w:right w:val="none" w:sz="0" w:space="0" w:color="auto"/>
      </w:divBdr>
    </w:div>
    <w:div w:id="760681703">
      <w:bodyDiv w:val="1"/>
      <w:marLeft w:val="0"/>
      <w:marRight w:val="0"/>
      <w:marTop w:val="0"/>
      <w:marBottom w:val="0"/>
      <w:divBdr>
        <w:top w:val="none" w:sz="0" w:space="0" w:color="auto"/>
        <w:left w:val="none" w:sz="0" w:space="0" w:color="auto"/>
        <w:bottom w:val="none" w:sz="0" w:space="0" w:color="auto"/>
        <w:right w:val="none" w:sz="0" w:space="0" w:color="auto"/>
      </w:divBdr>
    </w:div>
    <w:div w:id="760839623">
      <w:bodyDiv w:val="1"/>
      <w:marLeft w:val="0"/>
      <w:marRight w:val="0"/>
      <w:marTop w:val="0"/>
      <w:marBottom w:val="0"/>
      <w:divBdr>
        <w:top w:val="none" w:sz="0" w:space="0" w:color="auto"/>
        <w:left w:val="none" w:sz="0" w:space="0" w:color="auto"/>
        <w:bottom w:val="none" w:sz="0" w:space="0" w:color="auto"/>
        <w:right w:val="none" w:sz="0" w:space="0" w:color="auto"/>
      </w:divBdr>
    </w:div>
    <w:div w:id="760956165">
      <w:bodyDiv w:val="1"/>
      <w:marLeft w:val="0"/>
      <w:marRight w:val="0"/>
      <w:marTop w:val="0"/>
      <w:marBottom w:val="0"/>
      <w:divBdr>
        <w:top w:val="none" w:sz="0" w:space="0" w:color="auto"/>
        <w:left w:val="none" w:sz="0" w:space="0" w:color="auto"/>
        <w:bottom w:val="none" w:sz="0" w:space="0" w:color="auto"/>
        <w:right w:val="none" w:sz="0" w:space="0" w:color="auto"/>
      </w:divBdr>
    </w:div>
    <w:div w:id="766265468">
      <w:bodyDiv w:val="1"/>
      <w:marLeft w:val="0"/>
      <w:marRight w:val="0"/>
      <w:marTop w:val="0"/>
      <w:marBottom w:val="0"/>
      <w:divBdr>
        <w:top w:val="none" w:sz="0" w:space="0" w:color="auto"/>
        <w:left w:val="none" w:sz="0" w:space="0" w:color="auto"/>
        <w:bottom w:val="none" w:sz="0" w:space="0" w:color="auto"/>
        <w:right w:val="none" w:sz="0" w:space="0" w:color="auto"/>
      </w:divBdr>
    </w:div>
    <w:div w:id="767043024">
      <w:bodyDiv w:val="1"/>
      <w:marLeft w:val="0"/>
      <w:marRight w:val="0"/>
      <w:marTop w:val="0"/>
      <w:marBottom w:val="0"/>
      <w:divBdr>
        <w:top w:val="none" w:sz="0" w:space="0" w:color="auto"/>
        <w:left w:val="none" w:sz="0" w:space="0" w:color="auto"/>
        <w:bottom w:val="none" w:sz="0" w:space="0" w:color="auto"/>
        <w:right w:val="none" w:sz="0" w:space="0" w:color="auto"/>
      </w:divBdr>
    </w:div>
    <w:div w:id="767694144">
      <w:bodyDiv w:val="1"/>
      <w:marLeft w:val="0"/>
      <w:marRight w:val="0"/>
      <w:marTop w:val="0"/>
      <w:marBottom w:val="0"/>
      <w:divBdr>
        <w:top w:val="none" w:sz="0" w:space="0" w:color="auto"/>
        <w:left w:val="none" w:sz="0" w:space="0" w:color="auto"/>
        <w:bottom w:val="none" w:sz="0" w:space="0" w:color="auto"/>
        <w:right w:val="none" w:sz="0" w:space="0" w:color="auto"/>
      </w:divBdr>
    </w:div>
    <w:div w:id="773866722">
      <w:bodyDiv w:val="1"/>
      <w:marLeft w:val="0"/>
      <w:marRight w:val="0"/>
      <w:marTop w:val="0"/>
      <w:marBottom w:val="0"/>
      <w:divBdr>
        <w:top w:val="none" w:sz="0" w:space="0" w:color="auto"/>
        <w:left w:val="none" w:sz="0" w:space="0" w:color="auto"/>
        <w:bottom w:val="none" w:sz="0" w:space="0" w:color="auto"/>
        <w:right w:val="none" w:sz="0" w:space="0" w:color="auto"/>
      </w:divBdr>
    </w:div>
    <w:div w:id="774903307">
      <w:bodyDiv w:val="1"/>
      <w:marLeft w:val="0"/>
      <w:marRight w:val="0"/>
      <w:marTop w:val="0"/>
      <w:marBottom w:val="0"/>
      <w:divBdr>
        <w:top w:val="none" w:sz="0" w:space="0" w:color="auto"/>
        <w:left w:val="none" w:sz="0" w:space="0" w:color="auto"/>
        <w:bottom w:val="none" w:sz="0" w:space="0" w:color="auto"/>
        <w:right w:val="none" w:sz="0" w:space="0" w:color="auto"/>
      </w:divBdr>
    </w:div>
    <w:div w:id="778447095">
      <w:bodyDiv w:val="1"/>
      <w:marLeft w:val="0"/>
      <w:marRight w:val="0"/>
      <w:marTop w:val="0"/>
      <w:marBottom w:val="0"/>
      <w:divBdr>
        <w:top w:val="none" w:sz="0" w:space="0" w:color="auto"/>
        <w:left w:val="none" w:sz="0" w:space="0" w:color="auto"/>
        <w:bottom w:val="none" w:sz="0" w:space="0" w:color="auto"/>
        <w:right w:val="none" w:sz="0" w:space="0" w:color="auto"/>
      </w:divBdr>
    </w:div>
    <w:div w:id="779297905">
      <w:bodyDiv w:val="1"/>
      <w:marLeft w:val="0"/>
      <w:marRight w:val="0"/>
      <w:marTop w:val="0"/>
      <w:marBottom w:val="0"/>
      <w:divBdr>
        <w:top w:val="none" w:sz="0" w:space="0" w:color="auto"/>
        <w:left w:val="none" w:sz="0" w:space="0" w:color="auto"/>
        <w:bottom w:val="none" w:sz="0" w:space="0" w:color="auto"/>
        <w:right w:val="none" w:sz="0" w:space="0" w:color="auto"/>
      </w:divBdr>
    </w:div>
    <w:div w:id="780345581">
      <w:bodyDiv w:val="1"/>
      <w:marLeft w:val="0"/>
      <w:marRight w:val="0"/>
      <w:marTop w:val="0"/>
      <w:marBottom w:val="0"/>
      <w:divBdr>
        <w:top w:val="none" w:sz="0" w:space="0" w:color="auto"/>
        <w:left w:val="none" w:sz="0" w:space="0" w:color="auto"/>
        <w:bottom w:val="none" w:sz="0" w:space="0" w:color="auto"/>
        <w:right w:val="none" w:sz="0" w:space="0" w:color="auto"/>
      </w:divBdr>
    </w:div>
    <w:div w:id="780808529">
      <w:bodyDiv w:val="1"/>
      <w:marLeft w:val="0"/>
      <w:marRight w:val="0"/>
      <w:marTop w:val="0"/>
      <w:marBottom w:val="0"/>
      <w:divBdr>
        <w:top w:val="none" w:sz="0" w:space="0" w:color="auto"/>
        <w:left w:val="none" w:sz="0" w:space="0" w:color="auto"/>
        <w:bottom w:val="none" w:sz="0" w:space="0" w:color="auto"/>
        <w:right w:val="none" w:sz="0" w:space="0" w:color="auto"/>
      </w:divBdr>
    </w:div>
    <w:div w:id="783811488">
      <w:bodyDiv w:val="1"/>
      <w:marLeft w:val="0"/>
      <w:marRight w:val="0"/>
      <w:marTop w:val="0"/>
      <w:marBottom w:val="0"/>
      <w:divBdr>
        <w:top w:val="none" w:sz="0" w:space="0" w:color="auto"/>
        <w:left w:val="none" w:sz="0" w:space="0" w:color="auto"/>
        <w:bottom w:val="none" w:sz="0" w:space="0" w:color="auto"/>
        <w:right w:val="none" w:sz="0" w:space="0" w:color="auto"/>
      </w:divBdr>
    </w:div>
    <w:div w:id="784734944">
      <w:bodyDiv w:val="1"/>
      <w:marLeft w:val="0"/>
      <w:marRight w:val="0"/>
      <w:marTop w:val="0"/>
      <w:marBottom w:val="0"/>
      <w:divBdr>
        <w:top w:val="none" w:sz="0" w:space="0" w:color="auto"/>
        <w:left w:val="none" w:sz="0" w:space="0" w:color="auto"/>
        <w:bottom w:val="none" w:sz="0" w:space="0" w:color="auto"/>
        <w:right w:val="none" w:sz="0" w:space="0" w:color="auto"/>
      </w:divBdr>
    </w:div>
    <w:div w:id="786041811">
      <w:bodyDiv w:val="1"/>
      <w:marLeft w:val="0"/>
      <w:marRight w:val="0"/>
      <w:marTop w:val="0"/>
      <w:marBottom w:val="0"/>
      <w:divBdr>
        <w:top w:val="none" w:sz="0" w:space="0" w:color="auto"/>
        <w:left w:val="none" w:sz="0" w:space="0" w:color="auto"/>
        <w:bottom w:val="none" w:sz="0" w:space="0" w:color="auto"/>
        <w:right w:val="none" w:sz="0" w:space="0" w:color="auto"/>
      </w:divBdr>
    </w:div>
    <w:div w:id="787823601">
      <w:bodyDiv w:val="1"/>
      <w:marLeft w:val="0"/>
      <w:marRight w:val="0"/>
      <w:marTop w:val="0"/>
      <w:marBottom w:val="0"/>
      <w:divBdr>
        <w:top w:val="none" w:sz="0" w:space="0" w:color="auto"/>
        <w:left w:val="none" w:sz="0" w:space="0" w:color="auto"/>
        <w:bottom w:val="none" w:sz="0" w:space="0" w:color="auto"/>
        <w:right w:val="none" w:sz="0" w:space="0" w:color="auto"/>
      </w:divBdr>
    </w:div>
    <w:div w:id="792334565">
      <w:bodyDiv w:val="1"/>
      <w:marLeft w:val="0"/>
      <w:marRight w:val="0"/>
      <w:marTop w:val="0"/>
      <w:marBottom w:val="0"/>
      <w:divBdr>
        <w:top w:val="none" w:sz="0" w:space="0" w:color="auto"/>
        <w:left w:val="none" w:sz="0" w:space="0" w:color="auto"/>
        <w:bottom w:val="none" w:sz="0" w:space="0" w:color="auto"/>
        <w:right w:val="none" w:sz="0" w:space="0" w:color="auto"/>
      </w:divBdr>
    </w:div>
    <w:div w:id="796140320">
      <w:bodyDiv w:val="1"/>
      <w:marLeft w:val="0"/>
      <w:marRight w:val="0"/>
      <w:marTop w:val="0"/>
      <w:marBottom w:val="0"/>
      <w:divBdr>
        <w:top w:val="none" w:sz="0" w:space="0" w:color="auto"/>
        <w:left w:val="none" w:sz="0" w:space="0" w:color="auto"/>
        <w:bottom w:val="none" w:sz="0" w:space="0" w:color="auto"/>
        <w:right w:val="none" w:sz="0" w:space="0" w:color="auto"/>
      </w:divBdr>
    </w:div>
    <w:div w:id="796145522">
      <w:bodyDiv w:val="1"/>
      <w:marLeft w:val="0"/>
      <w:marRight w:val="0"/>
      <w:marTop w:val="0"/>
      <w:marBottom w:val="0"/>
      <w:divBdr>
        <w:top w:val="none" w:sz="0" w:space="0" w:color="auto"/>
        <w:left w:val="none" w:sz="0" w:space="0" w:color="auto"/>
        <w:bottom w:val="none" w:sz="0" w:space="0" w:color="auto"/>
        <w:right w:val="none" w:sz="0" w:space="0" w:color="auto"/>
      </w:divBdr>
    </w:div>
    <w:div w:id="797526413">
      <w:bodyDiv w:val="1"/>
      <w:marLeft w:val="0"/>
      <w:marRight w:val="0"/>
      <w:marTop w:val="0"/>
      <w:marBottom w:val="0"/>
      <w:divBdr>
        <w:top w:val="none" w:sz="0" w:space="0" w:color="auto"/>
        <w:left w:val="none" w:sz="0" w:space="0" w:color="auto"/>
        <w:bottom w:val="none" w:sz="0" w:space="0" w:color="auto"/>
        <w:right w:val="none" w:sz="0" w:space="0" w:color="auto"/>
      </w:divBdr>
    </w:div>
    <w:div w:id="801922077">
      <w:bodyDiv w:val="1"/>
      <w:marLeft w:val="0"/>
      <w:marRight w:val="0"/>
      <w:marTop w:val="0"/>
      <w:marBottom w:val="0"/>
      <w:divBdr>
        <w:top w:val="none" w:sz="0" w:space="0" w:color="auto"/>
        <w:left w:val="none" w:sz="0" w:space="0" w:color="auto"/>
        <w:bottom w:val="none" w:sz="0" w:space="0" w:color="auto"/>
        <w:right w:val="none" w:sz="0" w:space="0" w:color="auto"/>
      </w:divBdr>
    </w:div>
    <w:div w:id="805052941">
      <w:bodyDiv w:val="1"/>
      <w:marLeft w:val="0"/>
      <w:marRight w:val="0"/>
      <w:marTop w:val="0"/>
      <w:marBottom w:val="0"/>
      <w:divBdr>
        <w:top w:val="none" w:sz="0" w:space="0" w:color="auto"/>
        <w:left w:val="none" w:sz="0" w:space="0" w:color="auto"/>
        <w:bottom w:val="none" w:sz="0" w:space="0" w:color="auto"/>
        <w:right w:val="none" w:sz="0" w:space="0" w:color="auto"/>
      </w:divBdr>
    </w:div>
    <w:div w:id="807211271">
      <w:bodyDiv w:val="1"/>
      <w:marLeft w:val="0"/>
      <w:marRight w:val="0"/>
      <w:marTop w:val="0"/>
      <w:marBottom w:val="0"/>
      <w:divBdr>
        <w:top w:val="none" w:sz="0" w:space="0" w:color="auto"/>
        <w:left w:val="none" w:sz="0" w:space="0" w:color="auto"/>
        <w:bottom w:val="none" w:sz="0" w:space="0" w:color="auto"/>
        <w:right w:val="none" w:sz="0" w:space="0" w:color="auto"/>
      </w:divBdr>
    </w:div>
    <w:div w:id="810050507">
      <w:bodyDiv w:val="1"/>
      <w:marLeft w:val="0"/>
      <w:marRight w:val="0"/>
      <w:marTop w:val="0"/>
      <w:marBottom w:val="0"/>
      <w:divBdr>
        <w:top w:val="none" w:sz="0" w:space="0" w:color="auto"/>
        <w:left w:val="none" w:sz="0" w:space="0" w:color="auto"/>
        <w:bottom w:val="none" w:sz="0" w:space="0" w:color="auto"/>
        <w:right w:val="none" w:sz="0" w:space="0" w:color="auto"/>
      </w:divBdr>
    </w:div>
    <w:div w:id="813065658">
      <w:bodyDiv w:val="1"/>
      <w:marLeft w:val="0"/>
      <w:marRight w:val="0"/>
      <w:marTop w:val="0"/>
      <w:marBottom w:val="0"/>
      <w:divBdr>
        <w:top w:val="none" w:sz="0" w:space="0" w:color="auto"/>
        <w:left w:val="none" w:sz="0" w:space="0" w:color="auto"/>
        <w:bottom w:val="none" w:sz="0" w:space="0" w:color="auto"/>
        <w:right w:val="none" w:sz="0" w:space="0" w:color="auto"/>
      </w:divBdr>
    </w:div>
    <w:div w:id="814372748">
      <w:bodyDiv w:val="1"/>
      <w:marLeft w:val="0"/>
      <w:marRight w:val="0"/>
      <w:marTop w:val="0"/>
      <w:marBottom w:val="0"/>
      <w:divBdr>
        <w:top w:val="none" w:sz="0" w:space="0" w:color="auto"/>
        <w:left w:val="none" w:sz="0" w:space="0" w:color="auto"/>
        <w:bottom w:val="none" w:sz="0" w:space="0" w:color="auto"/>
        <w:right w:val="none" w:sz="0" w:space="0" w:color="auto"/>
      </w:divBdr>
    </w:div>
    <w:div w:id="815955632">
      <w:bodyDiv w:val="1"/>
      <w:marLeft w:val="0"/>
      <w:marRight w:val="0"/>
      <w:marTop w:val="0"/>
      <w:marBottom w:val="0"/>
      <w:divBdr>
        <w:top w:val="none" w:sz="0" w:space="0" w:color="auto"/>
        <w:left w:val="none" w:sz="0" w:space="0" w:color="auto"/>
        <w:bottom w:val="none" w:sz="0" w:space="0" w:color="auto"/>
        <w:right w:val="none" w:sz="0" w:space="0" w:color="auto"/>
      </w:divBdr>
    </w:div>
    <w:div w:id="823207189">
      <w:bodyDiv w:val="1"/>
      <w:marLeft w:val="0"/>
      <w:marRight w:val="0"/>
      <w:marTop w:val="0"/>
      <w:marBottom w:val="0"/>
      <w:divBdr>
        <w:top w:val="none" w:sz="0" w:space="0" w:color="auto"/>
        <w:left w:val="none" w:sz="0" w:space="0" w:color="auto"/>
        <w:bottom w:val="none" w:sz="0" w:space="0" w:color="auto"/>
        <w:right w:val="none" w:sz="0" w:space="0" w:color="auto"/>
      </w:divBdr>
    </w:div>
    <w:div w:id="824316879">
      <w:bodyDiv w:val="1"/>
      <w:marLeft w:val="0"/>
      <w:marRight w:val="0"/>
      <w:marTop w:val="0"/>
      <w:marBottom w:val="0"/>
      <w:divBdr>
        <w:top w:val="none" w:sz="0" w:space="0" w:color="auto"/>
        <w:left w:val="none" w:sz="0" w:space="0" w:color="auto"/>
        <w:bottom w:val="none" w:sz="0" w:space="0" w:color="auto"/>
        <w:right w:val="none" w:sz="0" w:space="0" w:color="auto"/>
      </w:divBdr>
      <w:divsChild>
        <w:div w:id="1787045341">
          <w:marLeft w:val="0"/>
          <w:marRight w:val="0"/>
          <w:marTop w:val="0"/>
          <w:marBottom w:val="0"/>
          <w:divBdr>
            <w:top w:val="none" w:sz="0" w:space="0" w:color="auto"/>
            <w:left w:val="none" w:sz="0" w:space="0" w:color="auto"/>
            <w:bottom w:val="none" w:sz="0" w:space="0" w:color="auto"/>
            <w:right w:val="none" w:sz="0" w:space="0" w:color="auto"/>
          </w:divBdr>
          <w:divsChild>
            <w:div w:id="97302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976394">
      <w:bodyDiv w:val="1"/>
      <w:marLeft w:val="0"/>
      <w:marRight w:val="0"/>
      <w:marTop w:val="0"/>
      <w:marBottom w:val="0"/>
      <w:divBdr>
        <w:top w:val="none" w:sz="0" w:space="0" w:color="auto"/>
        <w:left w:val="none" w:sz="0" w:space="0" w:color="auto"/>
        <w:bottom w:val="none" w:sz="0" w:space="0" w:color="auto"/>
        <w:right w:val="none" w:sz="0" w:space="0" w:color="auto"/>
      </w:divBdr>
    </w:div>
    <w:div w:id="829566699">
      <w:bodyDiv w:val="1"/>
      <w:marLeft w:val="0"/>
      <w:marRight w:val="0"/>
      <w:marTop w:val="0"/>
      <w:marBottom w:val="0"/>
      <w:divBdr>
        <w:top w:val="none" w:sz="0" w:space="0" w:color="auto"/>
        <w:left w:val="none" w:sz="0" w:space="0" w:color="auto"/>
        <w:bottom w:val="none" w:sz="0" w:space="0" w:color="auto"/>
        <w:right w:val="none" w:sz="0" w:space="0" w:color="auto"/>
      </w:divBdr>
    </w:div>
    <w:div w:id="830364941">
      <w:bodyDiv w:val="1"/>
      <w:marLeft w:val="0"/>
      <w:marRight w:val="0"/>
      <w:marTop w:val="0"/>
      <w:marBottom w:val="0"/>
      <w:divBdr>
        <w:top w:val="none" w:sz="0" w:space="0" w:color="auto"/>
        <w:left w:val="none" w:sz="0" w:space="0" w:color="auto"/>
        <w:bottom w:val="none" w:sz="0" w:space="0" w:color="auto"/>
        <w:right w:val="none" w:sz="0" w:space="0" w:color="auto"/>
      </w:divBdr>
    </w:div>
    <w:div w:id="831725107">
      <w:bodyDiv w:val="1"/>
      <w:marLeft w:val="0"/>
      <w:marRight w:val="0"/>
      <w:marTop w:val="0"/>
      <w:marBottom w:val="0"/>
      <w:divBdr>
        <w:top w:val="none" w:sz="0" w:space="0" w:color="auto"/>
        <w:left w:val="none" w:sz="0" w:space="0" w:color="auto"/>
        <w:bottom w:val="none" w:sz="0" w:space="0" w:color="auto"/>
        <w:right w:val="none" w:sz="0" w:space="0" w:color="auto"/>
      </w:divBdr>
    </w:div>
    <w:div w:id="835808753">
      <w:bodyDiv w:val="1"/>
      <w:marLeft w:val="0"/>
      <w:marRight w:val="0"/>
      <w:marTop w:val="0"/>
      <w:marBottom w:val="0"/>
      <w:divBdr>
        <w:top w:val="none" w:sz="0" w:space="0" w:color="auto"/>
        <w:left w:val="none" w:sz="0" w:space="0" w:color="auto"/>
        <w:bottom w:val="none" w:sz="0" w:space="0" w:color="auto"/>
        <w:right w:val="none" w:sz="0" w:space="0" w:color="auto"/>
      </w:divBdr>
    </w:div>
    <w:div w:id="838152030">
      <w:bodyDiv w:val="1"/>
      <w:marLeft w:val="0"/>
      <w:marRight w:val="0"/>
      <w:marTop w:val="0"/>
      <w:marBottom w:val="0"/>
      <w:divBdr>
        <w:top w:val="none" w:sz="0" w:space="0" w:color="auto"/>
        <w:left w:val="none" w:sz="0" w:space="0" w:color="auto"/>
        <w:bottom w:val="none" w:sz="0" w:space="0" w:color="auto"/>
        <w:right w:val="none" w:sz="0" w:space="0" w:color="auto"/>
      </w:divBdr>
    </w:div>
    <w:div w:id="839272141">
      <w:bodyDiv w:val="1"/>
      <w:marLeft w:val="0"/>
      <w:marRight w:val="0"/>
      <w:marTop w:val="0"/>
      <w:marBottom w:val="0"/>
      <w:divBdr>
        <w:top w:val="none" w:sz="0" w:space="0" w:color="auto"/>
        <w:left w:val="none" w:sz="0" w:space="0" w:color="auto"/>
        <w:bottom w:val="none" w:sz="0" w:space="0" w:color="auto"/>
        <w:right w:val="none" w:sz="0" w:space="0" w:color="auto"/>
      </w:divBdr>
    </w:div>
    <w:div w:id="839320108">
      <w:bodyDiv w:val="1"/>
      <w:marLeft w:val="0"/>
      <w:marRight w:val="0"/>
      <w:marTop w:val="0"/>
      <w:marBottom w:val="0"/>
      <w:divBdr>
        <w:top w:val="none" w:sz="0" w:space="0" w:color="auto"/>
        <w:left w:val="none" w:sz="0" w:space="0" w:color="auto"/>
        <w:bottom w:val="none" w:sz="0" w:space="0" w:color="auto"/>
        <w:right w:val="none" w:sz="0" w:space="0" w:color="auto"/>
      </w:divBdr>
    </w:div>
    <w:div w:id="840126450">
      <w:bodyDiv w:val="1"/>
      <w:marLeft w:val="0"/>
      <w:marRight w:val="0"/>
      <w:marTop w:val="0"/>
      <w:marBottom w:val="0"/>
      <w:divBdr>
        <w:top w:val="none" w:sz="0" w:space="0" w:color="auto"/>
        <w:left w:val="none" w:sz="0" w:space="0" w:color="auto"/>
        <w:bottom w:val="none" w:sz="0" w:space="0" w:color="auto"/>
        <w:right w:val="none" w:sz="0" w:space="0" w:color="auto"/>
      </w:divBdr>
    </w:div>
    <w:div w:id="841357074">
      <w:bodyDiv w:val="1"/>
      <w:marLeft w:val="0"/>
      <w:marRight w:val="0"/>
      <w:marTop w:val="0"/>
      <w:marBottom w:val="0"/>
      <w:divBdr>
        <w:top w:val="none" w:sz="0" w:space="0" w:color="auto"/>
        <w:left w:val="none" w:sz="0" w:space="0" w:color="auto"/>
        <w:bottom w:val="none" w:sz="0" w:space="0" w:color="auto"/>
        <w:right w:val="none" w:sz="0" w:space="0" w:color="auto"/>
      </w:divBdr>
    </w:div>
    <w:div w:id="842666138">
      <w:bodyDiv w:val="1"/>
      <w:marLeft w:val="0"/>
      <w:marRight w:val="0"/>
      <w:marTop w:val="0"/>
      <w:marBottom w:val="0"/>
      <w:divBdr>
        <w:top w:val="none" w:sz="0" w:space="0" w:color="auto"/>
        <w:left w:val="none" w:sz="0" w:space="0" w:color="auto"/>
        <w:bottom w:val="none" w:sz="0" w:space="0" w:color="auto"/>
        <w:right w:val="none" w:sz="0" w:space="0" w:color="auto"/>
      </w:divBdr>
    </w:div>
    <w:div w:id="842815483">
      <w:bodyDiv w:val="1"/>
      <w:marLeft w:val="0"/>
      <w:marRight w:val="0"/>
      <w:marTop w:val="0"/>
      <w:marBottom w:val="0"/>
      <w:divBdr>
        <w:top w:val="none" w:sz="0" w:space="0" w:color="auto"/>
        <w:left w:val="none" w:sz="0" w:space="0" w:color="auto"/>
        <w:bottom w:val="none" w:sz="0" w:space="0" w:color="auto"/>
        <w:right w:val="none" w:sz="0" w:space="0" w:color="auto"/>
      </w:divBdr>
    </w:div>
    <w:div w:id="843278425">
      <w:bodyDiv w:val="1"/>
      <w:marLeft w:val="0"/>
      <w:marRight w:val="0"/>
      <w:marTop w:val="0"/>
      <w:marBottom w:val="0"/>
      <w:divBdr>
        <w:top w:val="none" w:sz="0" w:space="0" w:color="auto"/>
        <w:left w:val="none" w:sz="0" w:space="0" w:color="auto"/>
        <w:bottom w:val="none" w:sz="0" w:space="0" w:color="auto"/>
        <w:right w:val="none" w:sz="0" w:space="0" w:color="auto"/>
      </w:divBdr>
    </w:div>
    <w:div w:id="851338372">
      <w:bodyDiv w:val="1"/>
      <w:marLeft w:val="0"/>
      <w:marRight w:val="0"/>
      <w:marTop w:val="0"/>
      <w:marBottom w:val="0"/>
      <w:divBdr>
        <w:top w:val="none" w:sz="0" w:space="0" w:color="auto"/>
        <w:left w:val="none" w:sz="0" w:space="0" w:color="auto"/>
        <w:bottom w:val="none" w:sz="0" w:space="0" w:color="auto"/>
        <w:right w:val="none" w:sz="0" w:space="0" w:color="auto"/>
      </w:divBdr>
    </w:div>
    <w:div w:id="852188163">
      <w:bodyDiv w:val="1"/>
      <w:marLeft w:val="0"/>
      <w:marRight w:val="0"/>
      <w:marTop w:val="0"/>
      <w:marBottom w:val="0"/>
      <w:divBdr>
        <w:top w:val="none" w:sz="0" w:space="0" w:color="auto"/>
        <w:left w:val="none" w:sz="0" w:space="0" w:color="auto"/>
        <w:bottom w:val="none" w:sz="0" w:space="0" w:color="auto"/>
        <w:right w:val="none" w:sz="0" w:space="0" w:color="auto"/>
      </w:divBdr>
    </w:div>
    <w:div w:id="854002279">
      <w:bodyDiv w:val="1"/>
      <w:marLeft w:val="0"/>
      <w:marRight w:val="0"/>
      <w:marTop w:val="0"/>
      <w:marBottom w:val="0"/>
      <w:divBdr>
        <w:top w:val="none" w:sz="0" w:space="0" w:color="auto"/>
        <w:left w:val="none" w:sz="0" w:space="0" w:color="auto"/>
        <w:bottom w:val="none" w:sz="0" w:space="0" w:color="auto"/>
        <w:right w:val="none" w:sz="0" w:space="0" w:color="auto"/>
      </w:divBdr>
    </w:div>
    <w:div w:id="855581645">
      <w:bodyDiv w:val="1"/>
      <w:marLeft w:val="0"/>
      <w:marRight w:val="0"/>
      <w:marTop w:val="0"/>
      <w:marBottom w:val="0"/>
      <w:divBdr>
        <w:top w:val="none" w:sz="0" w:space="0" w:color="auto"/>
        <w:left w:val="none" w:sz="0" w:space="0" w:color="auto"/>
        <w:bottom w:val="none" w:sz="0" w:space="0" w:color="auto"/>
        <w:right w:val="none" w:sz="0" w:space="0" w:color="auto"/>
      </w:divBdr>
    </w:div>
    <w:div w:id="857352223">
      <w:bodyDiv w:val="1"/>
      <w:marLeft w:val="0"/>
      <w:marRight w:val="0"/>
      <w:marTop w:val="0"/>
      <w:marBottom w:val="0"/>
      <w:divBdr>
        <w:top w:val="none" w:sz="0" w:space="0" w:color="auto"/>
        <w:left w:val="none" w:sz="0" w:space="0" w:color="auto"/>
        <w:bottom w:val="none" w:sz="0" w:space="0" w:color="auto"/>
        <w:right w:val="none" w:sz="0" w:space="0" w:color="auto"/>
      </w:divBdr>
    </w:div>
    <w:div w:id="859124955">
      <w:bodyDiv w:val="1"/>
      <w:marLeft w:val="0"/>
      <w:marRight w:val="0"/>
      <w:marTop w:val="0"/>
      <w:marBottom w:val="0"/>
      <w:divBdr>
        <w:top w:val="none" w:sz="0" w:space="0" w:color="auto"/>
        <w:left w:val="none" w:sz="0" w:space="0" w:color="auto"/>
        <w:bottom w:val="none" w:sz="0" w:space="0" w:color="auto"/>
        <w:right w:val="none" w:sz="0" w:space="0" w:color="auto"/>
      </w:divBdr>
    </w:div>
    <w:div w:id="861435443">
      <w:bodyDiv w:val="1"/>
      <w:marLeft w:val="0"/>
      <w:marRight w:val="0"/>
      <w:marTop w:val="0"/>
      <w:marBottom w:val="0"/>
      <w:divBdr>
        <w:top w:val="none" w:sz="0" w:space="0" w:color="auto"/>
        <w:left w:val="none" w:sz="0" w:space="0" w:color="auto"/>
        <w:bottom w:val="none" w:sz="0" w:space="0" w:color="auto"/>
        <w:right w:val="none" w:sz="0" w:space="0" w:color="auto"/>
      </w:divBdr>
    </w:div>
    <w:div w:id="861894081">
      <w:bodyDiv w:val="1"/>
      <w:marLeft w:val="0"/>
      <w:marRight w:val="0"/>
      <w:marTop w:val="0"/>
      <w:marBottom w:val="0"/>
      <w:divBdr>
        <w:top w:val="none" w:sz="0" w:space="0" w:color="auto"/>
        <w:left w:val="none" w:sz="0" w:space="0" w:color="auto"/>
        <w:bottom w:val="none" w:sz="0" w:space="0" w:color="auto"/>
        <w:right w:val="none" w:sz="0" w:space="0" w:color="auto"/>
      </w:divBdr>
    </w:div>
    <w:div w:id="862790311">
      <w:bodyDiv w:val="1"/>
      <w:marLeft w:val="0"/>
      <w:marRight w:val="0"/>
      <w:marTop w:val="0"/>
      <w:marBottom w:val="0"/>
      <w:divBdr>
        <w:top w:val="none" w:sz="0" w:space="0" w:color="auto"/>
        <w:left w:val="none" w:sz="0" w:space="0" w:color="auto"/>
        <w:bottom w:val="none" w:sz="0" w:space="0" w:color="auto"/>
        <w:right w:val="none" w:sz="0" w:space="0" w:color="auto"/>
      </w:divBdr>
    </w:div>
    <w:div w:id="863250276">
      <w:bodyDiv w:val="1"/>
      <w:marLeft w:val="0"/>
      <w:marRight w:val="0"/>
      <w:marTop w:val="0"/>
      <w:marBottom w:val="0"/>
      <w:divBdr>
        <w:top w:val="none" w:sz="0" w:space="0" w:color="auto"/>
        <w:left w:val="none" w:sz="0" w:space="0" w:color="auto"/>
        <w:bottom w:val="none" w:sz="0" w:space="0" w:color="auto"/>
        <w:right w:val="none" w:sz="0" w:space="0" w:color="auto"/>
      </w:divBdr>
    </w:div>
    <w:div w:id="866020714">
      <w:bodyDiv w:val="1"/>
      <w:marLeft w:val="0"/>
      <w:marRight w:val="0"/>
      <w:marTop w:val="0"/>
      <w:marBottom w:val="0"/>
      <w:divBdr>
        <w:top w:val="none" w:sz="0" w:space="0" w:color="auto"/>
        <w:left w:val="none" w:sz="0" w:space="0" w:color="auto"/>
        <w:bottom w:val="none" w:sz="0" w:space="0" w:color="auto"/>
        <w:right w:val="none" w:sz="0" w:space="0" w:color="auto"/>
      </w:divBdr>
    </w:div>
    <w:div w:id="867371835">
      <w:bodyDiv w:val="1"/>
      <w:marLeft w:val="0"/>
      <w:marRight w:val="0"/>
      <w:marTop w:val="0"/>
      <w:marBottom w:val="0"/>
      <w:divBdr>
        <w:top w:val="none" w:sz="0" w:space="0" w:color="auto"/>
        <w:left w:val="none" w:sz="0" w:space="0" w:color="auto"/>
        <w:bottom w:val="none" w:sz="0" w:space="0" w:color="auto"/>
        <w:right w:val="none" w:sz="0" w:space="0" w:color="auto"/>
      </w:divBdr>
    </w:div>
    <w:div w:id="867448194">
      <w:bodyDiv w:val="1"/>
      <w:marLeft w:val="0"/>
      <w:marRight w:val="0"/>
      <w:marTop w:val="0"/>
      <w:marBottom w:val="0"/>
      <w:divBdr>
        <w:top w:val="none" w:sz="0" w:space="0" w:color="auto"/>
        <w:left w:val="none" w:sz="0" w:space="0" w:color="auto"/>
        <w:bottom w:val="none" w:sz="0" w:space="0" w:color="auto"/>
        <w:right w:val="none" w:sz="0" w:space="0" w:color="auto"/>
      </w:divBdr>
    </w:div>
    <w:div w:id="869681432">
      <w:bodyDiv w:val="1"/>
      <w:marLeft w:val="0"/>
      <w:marRight w:val="0"/>
      <w:marTop w:val="0"/>
      <w:marBottom w:val="0"/>
      <w:divBdr>
        <w:top w:val="none" w:sz="0" w:space="0" w:color="auto"/>
        <w:left w:val="none" w:sz="0" w:space="0" w:color="auto"/>
        <w:bottom w:val="none" w:sz="0" w:space="0" w:color="auto"/>
        <w:right w:val="none" w:sz="0" w:space="0" w:color="auto"/>
      </w:divBdr>
    </w:div>
    <w:div w:id="871578425">
      <w:bodyDiv w:val="1"/>
      <w:marLeft w:val="0"/>
      <w:marRight w:val="0"/>
      <w:marTop w:val="0"/>
      <w:marBottom w:val="0"/>
      <w:divBdr>
        <w:top w:val="none" w:sz="0" w:space="0" w:color="auto"/>
        <w:left w:val="none" w:sz="0" w:space="0" w:color="auto"/>
        <w:bottom w:val="none" w:sz="0" w:space="0" w:color="auto"/>
        <w:right w:val="none" w:sz="0" w:space="0" w:color="auto"/>
      </w:divBdr>
    </w:div>
    <w:div w:id="871655296">
      <w:bodyDiv w:val="1"/>
      <w:marLeft w:val="0"/>
      <w:marRight w:val="0"/>
      <w:marTop w:val="0"/>
      <w:marBottom w:val="0"/>
      <w:divBdr>
        <w:top w:val="none" w:sz="0" w:space="0" w:color="auto"/>
        <w:left w:val="none" w:sz="0" w:space="0" w:color="auto"/>
        <w:bottom w:val="none" w:sz="0" w:space="0" w:color="auto"/>
        <w:right w:val="none" w:sz="0" w:space="0" w:color="auto"/>
      </w:divBdr>
    </w:div>
    <w:div w:id="871697592">
      <w:bodyDiv w:val="1"/>
      <w:marLeft w:val="0"/>
      <w:marRight w:val="0"/>
      <w:marTop w:val="0"/>
      <w:marBottom w:val="0"/>
      <w:divBdr>
        <w:top w:val="none" w:sz="0" w:space="0" w:color="auto"/>
        <w:left w:val="none" w:sz="0" w:space="0" w:color="auto"/>
        <w:bottom w:val="none" w:sz="0" w:space="0" w:color="auto"/>
        <w:right w:val="none" w:sz="0" w:space="0" w:color="auto"/>
      </w:divBdr>
    </w:div>
    <w:div w:id="878594574">
      <w:bodyDiv w:val="1"/>
      <w:marLeft w:val="0"/>
      <w:marRight w:val="0"/>
      <w:marTop w:val="0"/>
      <w:marBottom w:val="0"/>
      <w:divBdr>
        <w:top w:val="none" w:sz="0" w:space="0" w:color="auto"/>
        <w:left w:val="none" w:sz="0" w:space="0" w:color="auto"/>
        <w:bottom w:val="none" w:sz="0" w:space="0" w:color="auto"/>
        <w:right w:val="none" w:sz="0" w:space="0" w:color="auto"/>
      </w:divBdr>
    </w:div>
    <w:div w:id="878736045">
      <w:bodyDiv w:val="1"/>
      <w:marLeft w:val="0"/>
      <w:marRight w:val="0"/>
      <w:marTop w:val="0"/>
      <w:marBottom w:val="0"/>
      <w:divBdr>
        <w:top w:val="none" w:sz="0" w:space="0" w:color="auto"/>
        <w:left w:val="none" w:sz="0" w:space="0" w:color="auto"/>
        <w:bottom w:val="none" w:sz="0" w:space="0" w:color="auto"/>
        <w:right w:val="none" w:sz="0" w:space="0" w:color="auto"/>
      </w:divBdr>
    </w:div>
    <w:div w:id="878860460">
      <w:bodyDiv w:val="1"/>
      <w:marLeft w:val="0"/>
      <w:marRight w:val="0"/>
      <w:marTop w:val="0"/>
      <w:marBottom w:val="0"/>
      <w:divBdr>
        <w:top w:val="none" w:sz="0" w:space="0" w:color="auto"/>
        <w:left w:val="none" w:sz="0" w:space="0" w:color="auto"/>
        <w:bottom w:val="none" w:sz="0" w:space="0" w:color="auto"/>
        <w:right w:val="none" w:sz="0" w:space="0" w:color="auto"/>
      </w:divBdr>
    </w:div>
    <w:div w:id="879709156">
      <w:bodyDiv w:val="1"/>
      <w:marLeft w:val="0"/>
      <w:marRight w:val="0"/>
      <w:marTop w:val="0"/>
      <w:marBottom w:val="0"/>
      <w:divBdr>
        <w:top w:val="none" w:sz="0" w:space="0" w:color="auto"/>
        <w:left w:val="none" w:sz="0" w:space="0" w:color="auto"/>
        <w:bottom w:val="none" w:sz="0" w:space="0" w:color="auto"/>
        <w:right w:val="none" w:sz="0" w:space="0" w:color="auto"/>
      </w:divBdr>
    </w:div>
    <w:div w:id="881481876">
      <w:bodyDiv w:val="1"/>
      <w:marLeft w:val="0"/>
      <w:marRight w:val="0"/>
      <w:marTop w:val="0"/>
      <w:marBottom w:val="0"/>
      <w:divBdr>
        <w:top w:val="none" w:sz="0" w:space="0" w:color="auto"/>
        <w:left w:val="none" w:sz="0" w:space="0" w:color="auto"/>
        <w:bottom w:val="none" w:sz="0" w:space="0" w:color="auto"/>
        <w:right w:val="none" w:sz="0" w:space="0" w:color="auto"/>
      </w:divBdr>
    </w:div>
    <w:div w:id="883440858">
      <w:bodyDiv w:val="1"/>
      <w:marLeft w:val="0"/>
      <w:marRight w:val="0"/>
      <w:marTop w:val="0"/>
      <w:marBottom w:val="0"/>
      <w:divBdr>
        <w:top w:val="none" w:sz="0" w:space="0" w:color="auto"/>
        <w:left w:val="none" w:sz="0" w:space="0" w:color="auto"/>
        <w:bottom w:val="none" w:sz="0" w:space="0" w:color="auto"/>
        <w:right w:val="none" w:sz="0" w:space="0" w:color="auto"/>
      </w:divBdr>
    </w:div>
    <w:div w:id="884605765">
      <w:bodyDiv w:val="1"/>
      <w:marLeft w:val="0"/>
      <w:marRight w:val="0"/>
      <w:marTop w:val="0"/>
      <w:marBottom w:val="0"/>
      <w:divBdr>
        <w:top w:val="none" w:sz="0" w:space="0" w:color="auto"/>
        <w:left w:val="none" w:sz="0" w:space="0" w:color="auto"/>
        <w:bottom w:val="none" w:sz="0" w:space="0" w:color="auto"/>
        <w:right w:val="none" w:sz="0" w:space="0" w:color="auto"/>
      </w:divBdr>
    </w:div>
    <w:div w:id="885064744">
      <w:bodyDiv w:val="1"/>
      <w:marLeft w:val="0"/>
      <w:marRight w:val="0"/>
      <w:marTop w:val="0"/>
      <w:marBottom w:val="0"/>
      <w:divBdr>
        <w:top w:val="none" w:sz="0" w:space="0" w:color="auto"/>
        <w:left w:val="none" w:sz="0" w:space="0" w:color="auto"/>
        <w:bottom w:val="none" w:sz="0" w:space="0" w:color="auto"/>
        <w:right w:val="none" w:sz="0" w:space="0" w:color="auto"/>
      </w:divBdr>
    </w:div>
    <w:div w:id="885725328">
      <w:bodyDiv w:val="1"/>
      <w:marLeft w:val="0"/>
      <w:marRight w:val="0"/>
      <w:marTop w:val="0"/>
      <w:marBottom w:val="0"/>
      <w:divBdr>
        <w:top w:val="none" w:sz="0" w:space="0" w:color="auto"/>
        <w:left w:val="none" w:sz="0" w:space="0" w:color="auto"/>
        <w:bottom w:val="none" w:sz="0" w:space="0" w:color="auto"/>
        <w:right w:val="none" w:sz="0" w:space="0" w:color="auto"/>
      </w:divBdr>
    </w:div>
    <w:div w:id="886138695">
      <w:bodyDiv w:val="1"/>
      <w:marLeft w:val="0"/>
      <w:marRight w:val="0"/>
      <w:marTop w:val="0"/>
      <w:marBottom w:val="0"/>
      <w:divBdr>
        <w:top w:val="none" w:sz="0" w:space="0" w:color="auto"/>
        <w:left w:val="none" w:sz="0" w:space="0" w:color="auto"/>
        <w:bottom w:val="none" w:sz="0" w:space="0" w:color="auto"/>
        <w:right w:val="none" w:sz="0" w:space="0" w:color="auto"/>
      </w:divBdr>
    </w:div>
    <w:div w:id="888030179">
      <w:bodyDiv w:val="1"/>
      <w:marLeft w:val="0"/>
      <w:marRight w:val="0"/>
      <w:marTop w:val="0"/>
      <w:marBottom w:val="0"/>
      <w:divBdr>
        <w:top w:val="none" w:sz="0" w:space="0" w:color="auto"/>
        <w:left w:val="none" w:sz="0" w:space="0" w:color="auto"/>
        <w:bottom w:val="none" w:sz="0" w:space="0" w:color="auto"/>
        <w:right w:val="none" w:sz="0" w:space="0" w:color="auto"/>
      </w:divBdr>
    </w:div>
    <w:div w:id="889457626">
      <w:bodyDiv w:val="1"/>
      <w:marLeft w:val="0"/>
      <w:marRight w:val="0"/>
      <w:marTop w:val="0"/>
      <w:marBottom w:val="0"/>
      <w:divBdr>
        <w:top w:val="none" w:sz="0" w:space="0" w:color="auto"/>
        <w:left w:val="none" w:sz="0" w:space="0" w:color="auto"/>
        <w:bottom w:val="none" w:sz="0" w:space="0" w:color="auto"/>
        <w:right w:val="none" w:sz="0" w:space="0" w:color="auto"/>
      </w:divBdr>
    </w:div>
    <w:div w:id="890533245">
      <w:bodyDiv w:val="1"/>
      <w:marLeft w:val="0"/>
      <w:marRight w:val="0"/>
      <w:marTop w:val="0"/>
      <w:marBottom w:val="0"/>
      <w:divBdr>
        <w:top w:val="none" w:sz="0" w:space="0" w:color="auto"/>
        <w:left w:val="none" w:sz="0" w:space="0" w:color="auto"/>
        <w:bottom w:val="none" w:sz="0" w:space="0" w:color="auto"/>
        <w:right w:val="none" w:sz="0" w:space="0" w:color="auto"/>
      </w:divBdr>
    </w:div>
    <w:div w:id="890727692">
      <w:bodyDiv w:val="1"/>
      <w:marLeft w:val="0"/>
      <w:marRight w:val="0"/>
      <w:marTop w:val="0"/>
      <w:marBottom w:val="0"/>
      <w:divBdr>
        <w:top w:val="none" w:sz="0" w:space="0" w:color="auto"/>
        <w:left w:val="none" w:sz="0" w:space="0" w:color="auto"/>
        <w:bottom w:val="none" w:sz="0" w:space="0" w:color="auto"/>
        <w:right w:val="none" w:sz="0" w:space="0" w:color="auto"/>
      </w:divBdr>
      <w:divsChild>
        <w:div w:id="230233658">
          <w:marLeft w:val="0"/>
          <w:marRight w:val="0"/>
          <w:marTop w:val="0"/>
          <w:marBottom w:val="0"/>
          <w:divBdr>
            <w:top w:val="none" w:sz="0" w:space="0" w:color="auto"/>
            <w:left w:val="none" w:sz="0" w:space="0" w:color="auto"/>
            <w:bottom w:val="none" w:sz="0" w:space="0" w:color="auto"/>
            <w:right w:val="none" w:sz="0" w:space="0" w:color="auto"/>
          </w:divBdr>
        </w:div>
      </w:divsChild>
    </w:div>
    <w:div w:id="895631657">
      <w:bodyDiv w:val="1"/>
      <w:marLeft w:val="0"/>
      <w:marRight w:val="0"/>
      <w:marTop w:val="0"/>
      <w:marBottom w:val="0"/>
      <w:divBdr>
        <w:top w:val="none" w:sz="0" w:space="0" w:color="auto"/>
        <w:left w:val="none" w:sz="0" w:space="0" w:color="auto"/>
        <w:bottom w:val="none" w:sz="0" w:space="0" w:color="auto"/>
        <w:right w:val="none" w:sz="0" w:space="0" w:color="auto"/>
      </w:divBdr>
    </w:div>
    <w:div w:id="895774162">
      <w:bodyDiv w:val="1"/>
      <w:marLeft w:val="0"/>
      <w:marRight w:val="0"/>
      <w:marTop w:val="0"/>
      <w:marBottom w:val="0"/>
      <w:divBdr>
        <w:top w:val="none" w:sz="0" w:space="0" w:color="auto"/>
        <w:left w:val="none" w:sz="0" w:space="0" w:color="auto"/>
        <w:bottom w:val="none" w:sz="0" w:space="0" w:color="auto"/>
        <w:right w:val="none" w:sz="0" w:space="0" w:color="auto"/>
      </w:divBdr>
    </w:div>
    <w:div w:id="900094067">
      <w:bodyDiv w:val="1"/>
      <w:marLeft w:val="0"/>
      <w:marRight w:val="0"/>
      <w:marTop w:val="0"/>
      <w:marBottom w:val="0"/>
      <w:divBdr>
        <w:top w:val="none" w:sz="0" w:space="0" w:color="auto"/>
        <w:left w:val="none" w:sz="0" w:space="0" w:color="auto"/>
        <w:bottom w:val="none" w:sz="0" w:space="0" w:color="auto"/>
        <w:right w:val="none" w:sz="0" w:space="0" w:color="auto"/>
      </w:divBdr>
    </w:div>
    <w:div w:id="900336188">
      <w:bodyDiv w:val="1"/>
      <w:marLeft w:val="0"/>
      <w:marRight w:val="0"/>
      <w:marTop w:val="0"/>
      <w:marBottom w:val="0"/>
      <w:divBdr>
        <w:top w:val="none" w:sz="0" w:space="0" w:color="auto"/>
        <w:left w:val="none" w:sz="0" w:space="0" w:color="auto"/>
        <w:bottom w:val="none" w:sz="0" w:space="0" w:color="auto"/>
        <w:right w:val="none" w:sz="0" w:space="0" w:color="auto"/>
      </w:divBdr>
    </w:div>
    <w:div w:id="904951688">
      <w:bodyDiv w:val="1"/>
      <w:marLeft w:val="0"/>
      <w:marRight w:val="0"/>
      <w:marTop w:val="0"/>
      <w:marBottom w:val="0"/>
      <w:divBdr>
        <w:top w:val="none" w:sz="0" w:space="0" w:color="auto"/>
        <w:left w:val="none" w:sz="0" w:space="0" w:color="auto"/>
        <w:bottom w:val="none" w:sz="0" w:space="0" w:color="auto"/>
        <w:right w:val="none" w:sz="0" w:space="0" w:color="auto"/>
      </w:divBdr>
    </w:div>
    <w:div w:id="908811968">
      <w:bodyDiv w:val="1"/>
      <w:marLeft w:val="0"/>
      <w:marRight w:val="0"/>
      <w:marTop w:val="0"/>
      <w:marBottom w:val="0"/>
      <w:divBdr>
        <w:top w:val="none" w:sz="0" w:space="0" w:color="auto"/>
        <w:left w:val="none" w:sz="0" w:space="0" w:color="auto"/>
        <w:bottom w:val="none" w:sz="0" w:space="0" w:color="auto"/>
        <w:right w:val="none" w:sz="0" w:space="0" w:color="auto"/>
      </w:divBdr>
    </w:div>
    <w:div w:id="909732305">
      <w:bodyDiv w:val="1"/>
      <w:marLeft w:val="0"/>
      <w:marRight w:val="0"/>
      <w:marTop w:val="0"/>
      <w:marBottom w:val="0"/>
      <w:divBdr>
        <w:top w:val="none" w:sz="0" w:space="0" w:color="auto"/>
        <w:left w:val="none" w:sz="0" w:space="0" w:color="auto"/>
        <w:bottom w:val="none" w:sz="0" w:space="0" w:color="auto"/>
        <w:right w:val="none" w:sz="0" w:space="0" w:color="auto"/>
      </w:divBdr>
    </w:div>
    <w:div w:id="910458636">
      <w:bodyDiv w:val="1"/>
      <w:marLeft w:val="0"/>
      <w:marRight w:val="0"/>
      <w:marTop w:val="0"/>
      <w:marBottom w:val="0"/>
      <w:divBdr>
        <w:top w:val="none" w:sz="0" w:space="0" w:color="auto"/>
        <w:left w:val="none" w:sz="0" w:space="0" w:color="auto"/>
        <w:bottom w:val="none" w:sz="0" w:space="0" w:color="auto"/>
        <w:right w:val="none" w:sz="0" w:space="0" w:color="auto"/>
      </w:divBdr>
    </w:div>
    <w:div w:id="911236267">
      <w:bodyDiv w:val="1"/>
      <w:marLeft w:val="0"/>
      <w:marRight w:val="0"/>
      <w:marTop w:val="0"/>
      <w:marBottom w:val="0"/>
      <w:divBdr>
        <w:top w:val="none" w:sz="0" w:space="0" w:color="auto"/>
        <w:left w:val="none" w:sz="0" w:space="0" w:color="auto"/>
        <w:bottom w:val="none" w:sz="0" w:space="0" w:color="auto"/>
        <w:right w:val="none" w:sz="0" w:space="0" w:color="auto"/>
      </w:divBdr>
    </w:div>
    <w:div w:id="913852008">
      <w:bodyDiv w:val="1"/>
      <w:marLeft w:val="0"/>
      <w:marRight w:val="0"/>
      <w:marTop w:val="0"/>
      <w:marBottom w:val="0"/>
      <w:divBdr>
        <w:top w:val="none" w:sz="0" w:space="0" w:color="auto"/>
        <w:left w:val="none" w:sz="0" w:space="0" w:color="auto"/>
        <w:bottom w:val="none" w:sz="0" w:space="0" w:color="auto"/>
        <w:right w:val="none" w:sz="0" w:space="0" w:color="auto"/>
      </w:divBdr>
    </w:div>
    <w:div w:id="919214429">
      <w:bodyDiv w:val="1"/>
      <w:marLeft w:val="0"/>
      <w:marRight w:val="0"/>
      <w:marTop w:val="0"/>
      <w:marBottom w:val="0"/>
      <w:divBdr>
        <w:top w:val="none" w:sz="0" w:space="0" w:color="auto"/>
        <w:left w:val="none" w:sz="0" w:space="0" w:color="auto"/>
        <w:bottom w:val="none" w:sz="0" w:space="0" w:color="auto"/>
        <w:right w:val="none" w:sz="0" w:space="0" w:color="auto"/>
      </w:divBdr>
    </w:div>
    <w:div w:id="919217676">
      <w:bodyDiv w:val="1"/>
      <w:marLeft w:val="0"/>
      <w:marRight w:val="0"/>
      <w:marTop w:val="0"/>
      <w:marBottom w:val="0"/>
      <w:divBdr>
        <w:top w:val="none" w:sz="0" w:space="0" w:color="auto"/>
        <w:left w:val="none" w:sz="0" w:space="0" w:color="auto"/>
        <w:bottom w:val="none" w:sz="0" w:space="0" w:color="auto"/>
        <w:right w:val="none" w:sz="0" w:space="0" w:color="auto"/>
      </w:divBdr>
    </w:div>
    <w:div w:id="919751794">
      <w:bodyDiv w:val="1"/>
      <w:marLeft w:val="0"/>
      <w:marRight w:val="0"/>
      <w:marTop w:val="0"/>
      <w:marBottom w:val="0"/>
      <w:divBdr>
        <w:top w:val="none" w:sz="0" w:space="0" w:color="auto"/>
        <w:left w:val="none" w:sz="0" w:space="0" w:color="auto"/>
        <w:bottom w:val="none" w:sz="0" w:space="0" w:color="auto"/>
        <w:right w:val="none" w:sz="0" w:space="0" w:color="auto"/>
      </w:divBdr>
    </w:div>
    <w:div w:id="923997299">
      <w:bodyDiv w:val="1"/>
      <w:marLeft w:val="0"/>
      <w:marRight w:val="0"/>
      <w:marTop w:val="0"/>
      <w:marBottom w:val="0"/>
      <w:divBdr>
        <w:top w:val="none" w:sz="0" w:space="0" w:color="auto"/>
        <w:left w:val="none" w:sz="0" w:space="0" w:color="auto"/>
        <w:bottom w:val="none" w:sz="0" w:space="0" w:color="auto"/>
        <w:right w:val="none" w:sz="0" w:space="0" w:color="auto"/>
      </w:divBdr>
    </w:div>
    <w:div w:id="929236740">
      <w:bodyDiv w:val="1"/>
      <w:marLeft w:val="0"/>
      <w:marRight w:val="0"/>
      <w:marTop w:val="0"/>
      <w:marBottom w:val="0"/>
      <w:divBdr>
        <w:top w:val="none" w:sz="0" w:space="0" w:color="auto"/>
        <w:left w:val="none" w:sz="0" w:space="0" w:color="auto"/>
        <w:bottom w:val="none" w:sz="0" w:space="0" w:color="auto"/>
        <w:right w:val="none" w:sz="0" w:space="0" w:color="auto"/>
      </w:divBdr>
    </w:div>
    <w:div w:id="933367484">
      <w:bodyDiv w:val="1"/>
      <w:marLeft w:val="0"/>
      <w:marRight w:val="0"/>
      <w:marTop w:val="0"/>
      <w:marBottom w:val="0"/>
      <w:divBdr>
        <w:top w:val="none" w:sz="0" w:space="0" w:color="auto"/>
        <w:left w:val="none" w:sz="0" w:space="0" w:color="auto"/>
        <w:bottom w:val="none" w:sz="0" w:space="0" w:color="auto"/>
        <w:right w:val="none" w:sz="0" w:space="0" w:color="auto"/>
      </w:divBdr>
    </w:div>
    <w:div w:id="935334244">
      <w:bodyDiv w:val="1"/>
      <w:marLeft w:val="0"/>
      <w:marRight w:val="0"/>
      <w:marTop w:val="0"/>
      <w:marBottom w:val="0"/>
      <w:divBdr>
        <w:top w:val="none" w:sz="0" w:space="0" w:color="auto"/>
        <w:left w:val="none" w:sz="0" w:space="0" w:color="auto"/>
        <w:bottom w:val="none" w:sz="0" w:space="0" w:color="auto"/>
        <w:right w:val="none" w:sz="0" w:space="0" w:color="auto"/>
      </w:divBdr>
    </w:div>
    <w:div w:id="938415518">
      <w:bodyDiv w:val="1"/>
      <w:marLeft w:val="0"/>
      <w:marRight w:val="0"/>
      <w:marTop w:val="0"/>
      <w:marBottom w:val="0"/>
      <w:divBdr>
        <w:top w:val="none" w:sz="0" w:space="0" w:color="auto"/>
        <w:left w:val="none" w:sz="0" w:space="0" w:color="auto"/>
        <w:bottom w:val="none" w:sz="0" w:space="0" w:color="auto"/>
        <w:right w:val="none" w:sz="0" w:space="0" w:color="auto"/>
      </w:divBdr>
    </w:div>
    <w:div w:id="940725879">
      <w:bodyDiv w:val="1"/>
      <w:marLeft w:val="0"/>
      <w:marRight w:val="0"/>
      <w:marTop w:val="0"/>
      <w:marBottom w:val="0"/>
      <w:divBdr>
        <w:top w:val="none" w:sz="0" w:space="0" w:color="auto"/>
        <w:left w:val="none" w:sz="0" w:space="0" w:color="auto"/>
        <w:bottom w:val="none" w:sz="0" w:space="0" w:color="auto"/>
        <w:right w:val="none" w:sz="0" w:space="0" w:color="auto"/>
      </w:divBdr>
    </w:div>
    <w:div w:id="943223909">
      <w:bodyDiv w:val="1"/>
      <w:marLeft w:val="0"/>
      <w:marRight w:val="0"/>
      <w:marTop w:val="0"/>
      <w:marBottom w:val="0"/>
      <w:divBdr>
        <w:top w:val="none" w:sz="0" w:space="0" w:color="auto"/>
        <w:left w:val="none" w:sz="0" w:space="0" w:color="auto"/>
        <w:bottom w:val="none" w:sz="0" w:space="0" w:color="auto"/>
        <w:right w:val="none" w:sz="0" w:space="0" w:color="auto"/>
      </w:divBdr>
    </w:div>
    <w:div w:id="944456640">
      <w:bodyDiv w:val="1"/>
      <w:marLeft w:val="0"/>
      <w:marRight w:val="0"/>
      <w:marTop w:val="0"/>
      <w:marBottom w:val="0"/>
      <w:divBdr>
        <w:top w:val="none" w:sz="0" w:space="0" w:color="auto"/>
        <w:left w:val="none" w:sz="0" w:space="0" w:color="auto"/>
        <w:bottom w:val="none" w:sz="0" w:space="0" w:color="auto"/>
        <w:right w:val="none" w:sz="0" w:space="0" w:color="auto"/>
      </w:divBdr>
    </w:div>
    <w:div w:id="947811717">
      <w:bodyDiv w:val="1"/>
      <w:marLeft w:val="0"/>
      <w:marRight w:val="0"/>
      <w:marTop w:val="0"/>
      <w:marBottom w:val="0"/>
      <w:divBdr>
        <w:top w:val="none" w:sz="0" w:space="0" w:color="auto"/>
        <w:left w:val="none" w:sz="0" w:space="0" w:color="auto"/>
        <w:bottom w:val="none" w:sz="0" w:space="0" w:color="auto"/>
        <w:right w:val="none" w:sz="0" w:space="0" w:color="auto"/>
      </w:divBdr>
    </w:div>
    <w:div w:id="948044108">
      <w:bodyDiv w:val="1"/>
      <w:marLeft w:val="0"/>
      <w:marRight w:val="0"/>
      <w:marTop w:val="0"/>
      <w:marBottom w:val="0"/>
      <w:divBdr>
        <w:top w:val="none" w:sz="0" w:space="0" w:color="auto"/>
        <w:left w:val="none" w:sz="0" w:space="0" w:color="auto"/>
        <w:bottom w:val="none" w:sz="0" w:space="0" w:color="auto"/>
        <w:right w:val="none" w:sz="0" w:space="0" w:color="auto"/>
      </w:divBdr>
    </w:div>
    <w:div w:id="950237889">
      <w:bodyDiv w:val="1"/>
      <w:marLeft w:val="0"/>
      <w:marRight w:val="0"/>
      <w:marTop w:val="0"/>
      <w:marBottom w:val="0"/>
      <w:divBdr>
        <w:top w:val="none" w:sz="0" w:space="0" w:color="auto"/>
        <w:left w:val="none" w:sz="0" w:space="0" w:color="auto"/>
        <w:bottom w:val="none" w:sz="0" w:space="0" w:color="auto"/>
        <w:right w:val="none" w:sz="0" w:space="0" w:color="auto"/>
      </w:divBdr>
    </w:div>
    <w:div w:id="950361408">
      <w:bodyDiv w:val="1"/>
      <w:marLeft w:val="0"/>
      <w:marRight w:val="0"/>
      <w:marTop w:val="0"/>
      <w:marBottom w:val="0"/>
      <w:divBdr>
        <w:top w:val="none" w:sz="0" w:space="0" w:color="auto"/>
        <w:left w:val="none" w:sz="0" w:space="0" w:color="auto"/>
        <w:bottom w:val="none" w:sz="0" w:space="0" w:color="auto"/>
        <w:right w:val="none" w:sz="0" w:space="0" w:color="auto"/>
      </w:divBdr>
    </w:div>
    <w:div w:id="952828315">
      <w:bodyDiv w:val="1"/>
      <w:marLeft w:val="0"/>
      <w:marRight w:val="0"/>
      <w:marTop w:val="0"/>
      <w:marBottom w:val="0"/>
      <w:divBdr>
        <w:top w:val="none" w:sz="0" w:space="0" w:color="auto"/>
        <w:left w:val="none" w:sz="0" w:space="0" w:color="auto"/>
        <w:bottom w:val="none" w:sz="0" w:space="0" w:color="auto"/>
        <w:right w:val="none" w:sz="0" w:space="0" w:color="auto"/>
      </w:divBdr>
    </w:div>
    <w:div w:id="954749230">
      <w:bodyDiv w:val="1"/>
      <w:marLeft w:val="0"/>
      <w:marRight w:val="0"/>
      <w:marTop w:val="0"/>
      <w:marBottom w:val="0"/>
      <w:divBdr>
        <w:top w:val="none" w:sz="0" w:space="0" w:color="auto"/>
        <w:left w:val="none" w:sz="0" w:space="0" w:color="auto"/>
        <w:bottom w:val="none" w:sz="0" w:space="0" w:color="auto"/>
        <w:right w:val="none" w:sz="0" w:space="0" w:color="auto"/>
      </w:divBdr>
    </w:div>
    <w:div w:id="954865608">
      <w:bodyDiv w:val="1"/>
      <w:marLeft w:val="0"/>
      <w:marRight w:val="0"/>
      <w:marTop w:val="0"/>
      <w:marBottom w:val="0"/>
      <w:divBdr>
        <w:top w:val="none" w:sz="0" w:space="0" w:color="auto"/>
        <w:left w:val="none" w:sz="0" w:space="0" w:color="auto"/>
        <w:bottom w:val="none" w:sz="0" w:space="0" w:color="auto"/>
        <w:right w:val="none" w:sz="0" w:space="0" w:color="auto"/>
      </w:divBdr>
    </w:div>
    <w:div w:id="954949812">
      <w:bodyDiv w:val="1"/>
      <w:marLeft w:val="0"/>
      <w:marRight w:val="0"/>
      <w:marTop w:val="0"/>
      <w:marBottom w:val="0"/>
      <w:divBdr>
        <w:top w:val="none" w:sz="0" w:space="0" w:color="auto"/>
        <w:left w:val="none" w:sz="0" w:space="0" w:color="auto"/>
        <w:bottom w:val="none" w:sz="0" w:space="0" w:color="auto"/>
        <w:right w:val="none" w:sz="0" w:space="0" w:color="auto"/>
      </w:divBdr>
    </w:div>
    <w:div w:id="955327196">
      <w:bodyDiv w:val="1"/>
      <w:marLeft w:val="0"/>
      <w:marRight w:val="0"/>
      <w:marTop w:val="0"/>
      <w:marBottom w:val="0"/>
      <w:divBdr>
        <w:top w:val="none" w:sz="0" w:space="0" w:color="auto"/>
        <w:left w:val="none" w:sz="0" w:space="0" w:color="auto"/>
        <w:bottom w:val="none" w:sz="0" w:space="0" w:color="auto"/>
        <w:right w:val="none" w:sz="0" w:space="0" w:color="auto"/>
      </w:divBdr>
    </w:div>
    <w:div w:id="962419610">
      <w:bodyDiv w:val="1"/>
      <w:marLeft w:val="0"/>
      <w:marRight w:val="0"/>
      <w:marTop w:val="0"/>
      <w:marBottom w:val="0"/>
      <w:divBdr>
        <w:top w:val="none" w:sz="0" w:space="0" w:color="auto"/>
        <w:left w:val="none" w:sz="0" w:space="0" w:color="auto"/>
        <w:bottom w:val="none" w:sz="0" w:space="0" w:color="auto"/>
        <w:right w:val="none" w:sz="0" w:space="0" w:color="auto"/>
      </w:divBdr>
    </w:div>
    <w:div w:id="963194039">
      <w:bodyDiv w:val="1"/>
      <w:marLeft w:val="0"/>
      <w:marRight w:val="0"/>
      <w:marTop w:val="0"/>
      <w:marBottom w:val="0"/>
      <w:divBdr>
        <w:top w:val="none" w:sz="0" w:space="0" w:color="auto"/>
        <w:left w:val="none" w:sz="0" w:space="0" w:color="auto"/>
        <w:bottom w:val="none" w:sz="0" w:space="0" w:color="auto"/>
        <w:right w:val="none" w:sz="0" w:space="0" w:color="auto"/>
      </w:divBdr>
    </w:div>
    <w:div w:id="963850966">
      <w:bodyDiv w:val="1"/>
      <w:marLeft w:val="0"/>
      <w:marRight w:val="0"/>
      <w:marTop w:val="0"/>
      <w:marBottom w:val="0"/>
      <w:divBdr>
        <w:top w:val="none" w:sz="0" w:space="0" w:color="auto"/>
        <w:left w:val="none" w:sz="0" w:space="0" w:color="auto"/>
        <w:bottom w:val="none" w:sz="0" w:space="0" w:color="auto"/>
        <w:right w:val="none" w:sz="0" w:space="0" w:color="auto"/>
      </w:divBdr>
    </w:div>
    <w:div w:id="970478918">
      <w:bodyDiv w:val="1"/>
      <w:marLeft w:val="0"/>
      <w:marRight w:val="0"/>
      <w:marTop w:val="0"/>
      <w:marBottom w:val="0"/>
      <w:divBdr>
        <w:top w:val="none" w:sz="0" w:space="0" w:color="auto"/>
        <w:left w:val="none" w:sz="0" w:space="0" w:color="auto"/>
        <w:bottom w:val="none" w:sz="0" w:space="0" w:color="auto"/>
        <w:right w:val="none" w:sz="0" w:space="0" w:color="auto"/>
      </w:divBdr>
    </w:div>
    <w:div w:id="975836317">
      <w:bodyDiv w:val="1"/>
      <w:marLeft w:val="0"/>
      <w:marRight w:val="0"/>
      <w:marTop w:val="0"/>
      <w:marBottom w:val="0"/>
      <w:divBdr>
        <w:top w:val="none" w:sz="0" w:space="0" w:color="auto"/>
        <w:left w:val="none" w:sz="0" w:space="0" w:color="auto"/>
        <w:bottom w:val="none" w:sz="0" w:space="0" w:color="auto"/>
        <w:right w:val="none" w:sz="0" w:space="0" w:color="auto"/>
      </w:divBdr>
    </w:div>
    <w:div w:id="976028037">
      <w:bodyDiv w:val="1"/>
      <w:marLeft w:val="0"/>
      <w:marRight w:val="0"/>
      <w:marTop w:val="0"/>
      <w:marBottom w:val="0"/>
      <w:divBdr>
        <w:top w:val="none" w:sz="0" w:space="0" w:color="auto"/>
        <w:left w:val="none" w:sz="0" w:space="0" w:color="auto"/>
        <w:bottom w:val="none" w:sz="0" w:space="0" w:color="auto"/>
        <w:right w:val="none" w:sz="0" w:space="0" w:color="auto"/>
      </w:divBdr>
    </w:div>
    <w:div w:id="976034874">
      <w:bodyDiv w:val="1"/>
      <w:marLeft w:val="0"/>
      <w:marRight w:val="0"/>
      <w:marTop w:val="0"/>
      <w:marBottom w:val="0"/>
      <w:divBdr>
        <w:top w:val="none" w:sz="0" w:space="0" w:color="auto"/>
        <w:left w:val="none" w:sz="0" w:space="0" w:color="auto"/>
        <w:bottom w:val="none" w:sz="0" w:space="0" w:color="auto"/>
        <w:right w:val="none" w:sz="0" w:space="0" w:color="auto"/>
      </w:divBdr>
    </w:div>
    <w:div w:id="977226241">
      <w:bodyDiv w:val="1"/>
      <w:marLeft w:val="0"/>
      <w:marRight w:val="0"/>
      <w:marTop w:val="0"/>
      <w:marBottom w:val="0"/>
      <w:divBdr>
        <w:top w:val="none" w:sz="0" w:space="0" w:color="auto"/>
        <w:left w:val="none" w:sz="0" w:space="0" w:color="auto"/>
        <w:bottom w:val="none" w:sz="0" w:space="0" w:color="auto"/>
        <w:right w:val="none" w:sz="0" w:space="0" w:color="auto"/>
      </w:divBdr>
    </w:div>
    <w:div w:id="978419352">
      <w:bodyDiv w:val="1"/>
      <w:marLeft w:val="0"/>
      <w:marRight w:val="0"/>
      <w:marTop w:val="0"/>
      <w:marBottom w:val="0"/>
      <w:divBdr>
        <w:top w:val="none" w:sz="0" w:space="0" w:color="auto"/>
        <w:left w:val="none" w:sz="0" w:space="0" w:color="auto"/>
        <w:bottom w:val="none" w:sz="0" w:space="0" w:color="auto"/>
        <w:right w:val="none" w:sz="0" w:space="0" w:color="auto"/>
      </w:divBdr>
    </w:div>
    <w:div w:id="979067962">
      <w:bodyDiv w:val="1"/>
      <w:marLeft w:val="0"/>
      <w:marRight w:val="0"/>
      <w:marTop w:val="0"/>
      <w:marBottom w:val="0"/>
      <w:divBdr>
        <w:top w:val="none" w:sz="0" w:space="0" w:color="auto"/>
        <w:left w:val="none" w:sz="0" w:space="0" w:color="auto"/>
        <w:bottom w:val="none" w:sz="0" w:space="0" w:color="auto"/>
        <w:right w:val="none" w:sz="0" w:space="0" w:color="auto"/>
      </w:divBdr>
    </w:div>
    <w:div w:id="980622547">
      <w:bodyDiv w:val="1"/>
      <w:marLeft w:val="0"/>
      <w:marRight w:val="0"/>
      <w:marTop w:val="0"/>
      <w:marBottom w:val="0"/>
      <w:divBdr>
        <w:top w:val="none" w:sz="0" w:space="0" w:color="auto"/>
        <w:left w:val="none" w:sz="0" w:space="0" w:color="auto"/>
        <w:bottom w:val="none" w:sz="0" w:space="0" w:color="auto"/>
        <w:right w:val="none" w:sz="0" w:space="0" w:color="auto"/>
      </w:divBdr>
    </w:div>
    <w:div w:id="980691140">
      <w:bodyDiv w:val="1"/>
      <w:marLeft w:val="0"/>
      <w:marRight w:val="0"/>
      <w:marTop w:val="0"/>
      <w:marBottom w:val="0"/>
      <w:divBdr>
        <w:top w:val="none" w:sz="0" w:space="0" w:color="auto"/>
        <w:left w:val="none" w:sz="0" w:space="0" w:color="auto"/>
        <w:bottom w:val="none" w:sz="0" w:space="0" w:color="auto"/>
        <w:right w:val="none" w:sz="0" w:space="0" w:color="auto"/>
      </w:divBdr>
    </w:div>
    <w:div w:id="981157794">
      <w:bodyDiv w:val="1"/>
      <w:marLeft w:val="0"/>
      <w:marRight w:val="0"/>
      <w:marTop w:val="0"/>
      <w:marBottom w:val="0"/>
      <w:divBdr>
        <w:top w:val="none" w:sz="0" w:space="0" w:color="auto"/>
        <w:left w:val="none" w:sz="0" w:space="0" w:color="auto"/>
        <w:bottom w:val="none" w:sz="0" w:space="0" w:color="auto"/>
        <w:right w:val="none" w:sz="0" w:space="0" w:color="auto"/>
      </w:divBdr>
    </w:div>
    <w:div w:id="981732470">
      <w:bodyDiv w:val="1"/>
      <w:marLeft w:val="0"/>
      <w:marRight w:val="0"/>
      <w:marTop w:val="0"/>
      <w:marBottom w:val="0"/>
      <w:divBdr>
        <w:top w:val="none" w:sz="0" w:space="0" w:color="auto"/>
        <w:left w:val="none" w:sz="0" w:space="0" w:color="auto"/>
        <w:bottom w:val="none" w:sz="0" w:space="0" w:color="auto"/>
        <w:right w:val="none" w:sz="0" w:space="0" w:color="auto"/>
      </w:divBdr>
    </w:div>
    <w:div w:id="985284518">
      <w:bodyDiv w:val="1"/>
      <w:marLeft w:val="0"/>
      <w:marRight w:val="0"/>
      <w:marTop w:val="0"/>
      <w:marBottom w:val="0"/>
      <w:divBdr>
        <w:top w:val="none" w:sz="0" w:space="0" w:color="auto"/>
        <w:left w:val="none" w:sz="0" w:space="0" w:color="auto"/>
        <w:bottom w:val="none" w:sz="0" w:space="0" w:color="auto"/>
        <w:right w:val="none" w:sz="0" w:space="0" w:color="auto"/>
      </w:divBdr>
    </w:div>
    <w:div w:id="985355821">
      <w:bodyDiv w:val="1"/>
      <w:marLeft w:val="0"/>
      <w:marRight w:val="0"/>
      <w:marTop w:val="0"/>
      <w:marBottom w:val="0"/>
      <w:divBdr>
        <w:top w:val="none" w:sz="0" w:space="0" w:color="auto"/>
        <w:left w:val="none" w:sz="0" w:space="0" w:color="auto"/>
        <w:bottom w:val="none" w:sz="0" w:space="0" w:color="auto"/>
        <w:right w:val="none" w:sz="0" w:space="0" w:color="auto"/>
      </w:divBdr>
    </w:div>
    <w:div w:id="985403591">
      <w:bodyDiv w:val="1"/>
      <w:marLeft w:val="0"/>
      <w:marRight w:val="0"/>
      <w:marTop w:val="0"/>
      <w:marBottom w:val="0"/>
      <w:divBdr>
        <w:top w:val="none" w:sz="0" w:space="0" w:color="auto"/>
        <w:left w:val="none" w:sz="0" w:space="0" w:color="auto"/>
        <w:bottom w:val="none" w:sz="0" w:space="0" w:color="auto"/>
        <w:right w:val="none" w:sz="0" w:space="0" w:color="auto"/>
      </w:divBdr>
    </w:div>
    <w:div w:id="986780898">
      <w:bodyDiv w:val="1"/>
      <w:marLeft w:val="0"/>
      <w:marRight w:val="0"/>
      <w:marTop w:val="0"/>
      <w:marBottom w:val="0"/>
      <w:divBdr>
        <w:top w:val="none" w:sz="0" w:space="0" w:color="auto"/>
        <w:left w:val="none" w:sz="0" w:space="0" w:color="auto"/>
        <w:bottom w:val="none" w:sz="0" w:space="0" w:color="auto"/>
        <w:right w:val="none" w:sz="0" w:space="0" w:color="auto"/>
      </w:divBdr>
    </w:div>
    <w:div w:id="989554801">
      <w:bodyDiv w:val="1"/>
      <w:marLeft w:val="0"/>
      <w:marRight w:val="0"/>
      <w:marTop w:val="0"/>
      <w:marBottom w:val="0"/>
      <w:divBdr>
        <w:top w:val="none" w:sz="0" w:space="0" w:color="auto"/>
        <w:left w:val="none" w:sz="0" w:space="0" w:color="auto"/>
        <w:bottom w:val="none" w:sz="0" w:space="0" w:color="auto"/>
        <w:right w:val="none" w:sz="0" w:space="0" w:color="auto"/>
      </w:divBdr>
    </w:div>
    <w:div w:id="992562140">
      <w:bodyDiv w:val="1"/>
      <w:marLeft w:val="0"/>
      <w:marRight w:val="0"/>
      <w:marTop w:val="0"/>
      <w:marBottom w:val="0"/>
      <w:divBdr>
        <w:top w:val="none" w:sz="0" w:space="0" w:color="auto"/>
        <w:left w:val="none" w:sz="0" w:space="0" w:color="auto"/>
        <w:bottom w:val="none" w:sz="0" w:space="0" w:color="auto"/>
        <w:right w:val="none" w:sz="0" w:space="0" w:color="auto"/>
      </w:divBdr>
    </w:div>
    <w:div w:id="994800660">
      <w:bodyDiv w:val="1"/>
      <w:marLeft w:val="0"/>
      <w:marRight w:val="0"/>
      <w:marTop w:val="0"/>
      <w:marBottom w:val="0"/>
      <w:divBdr>
        <w:top w:val="none" w:sz="0" w:space="0" w:color="auto"/>
        <w:left w:val="none" w:sz="0" w:space="0" w:color="auto"/>
        <w:bottom w:val="none" w:sz="0" w:space="0" w:color="auto"/>
        <w:right w:val="none" w:sz="0" w:space="0" w:color="auto"/>
      </w:divBdr>
    </w:div>
    <w:div w:id="996615404">
      <w:bodyDiv w:val="1"/>
      <w:marLeft w:val="0"/>
      <w:marRight w:val="0"/>
      <w:marTop w:val="0"/>
      <w:marBottom w:val="0"/>
      <w:divBdr>
        <w:top w:val="none" w:sz="0" w:space="0" w:color="auto"/>
        <w:left w:val="none" w:sz="0" w:space="0" w:color="auto"/>
        <w:bottom w:val="none" w:sz="0" w:space="0" w:color="auto"/>
        <w:right w:val="none" w:sz="0" w:space="0" w:color="auto"/>
      </w:divBdr>
    </w:div>
    <w:div w:id="1000082881">
      <w:bodyDiv w:val="1"/>
      <w:marLeft w:val="0"/>
      <w:marRight w:val="0"/>
      <w:marTop w:val="0"/>
      <w:marBottom w:val="0"/>
      <w:divBdr>
        <w:top w:val="none" w:sz="0" w:space="0" w:color="auto"/>
        <w:left w:val="none" w:sz="0" w:space="0" w:color="auto"/>
        <w:bottom w:val="none" w:sz="0" w:space="0" w:color="auto"/>
        <w:right w:val="none" w:sz="0" w:space="0" w:color="auto"/>
      </w:divBdr>
    </w:div>
    <w:div w:id="1004625268">
      <w:bodyDiv w:val="1"/>
      <w:marLeft w:val="0"/>
      <w:marRight w:val="0"/>
      <w:marTop w:val="0"/>
      <w:marBottom w:val="0"/>
      <w:divBdr>
        <w:top w:val="none" w:sz="0" w:space="0" w:color="auto"/>
        <w:left w:val="none" w:sz="0" w:space="0" w:color="auto"/>
        <w:bottom w:val="none" w:sz="0" w:space="0" w:color="auto"/>
        <w:right w:val="none" w:sz="0" w:space="0" w:color="auto"/>
      </w:divBdr>
    </w:div>
    <w:div w:id="1005672462">
      <w:bodyDiv w:val="1"/>
      <w:marLeft w:val="0"/>
      <w:marRight w:val="0"/>
      <w:marTop w:val="0"/>
      <w:marBottom w:val="0"/>
      <w:divBdr>
        <w:top w:val="none" w:sz="0" w:space="0" w:color="auto"/>
        <w:left w:val="none" w:sz="0" w:space="0" w:color="auto"/>
        <w:bottom w:val="none" w:sz="0" w:space="0" w:color="auto"/>
        <w:right w:val="none" w:sz="0" w:space="0" w:color="auto"/>
      </w:divBdr>
    </w:div>
    <w:div w:id="1006061056">
      <w:bodyDiv w:val="1"/>
      <w:marLeft w:val="0"/>
      <w:marRight w:val="0"/>
      <w:marTop w:val="0"/>
      <w:marBottom w:val="0"/>
      <w:divBdr>
        <w:top w:val="none" w:sz="0" w:space="0" w:color="auto"/>
        <w:left w:val="none" w:sz="0" w:space="0" w:color="auto"/>
        <w:bottom w:val="none" w:sz="0" w:space="0" w:color="auto"/>
        <w:right w:val="none" w:sz="0" w:space="0" w:color="auto"/>
      </w:divBdr>
    </w:div>
    <w:div w:id="1006442935">
      <w:bodyDiv w:val="1"/>
      <w:marLeft w:val="0"/>
      <w:marRight w:val="0"/>
      <w:marTop w:val="0"/>
      <w:marBottom w:val="0"/>
      <w:divBdr>
        <w:top w:val="none" w:sz="0" w:space="0" w:color="auto"/>
        <w:left w:val="none" w:sz="0" w:space="0" w:color="auto"/>
        <w:bottom w:val="none" w:sz="0" w:space="0" w:color="auto"/>
        <w:right w:val="none" w:sz="0" w:space="0" w:color="auto"/>
      </w:divBdr>
    </w:div>
    <w:div w:id="1011683200">
      <w:bodyDiv w:val="1"/>
      <w:marLeft w:val="0"/>
      <w:marRight w:val="0"/>
      <w:marTop w:val="0"/>
      <w:marBottom w:val="0"/>
      <w:divBdr>
        <w:top w:val="none" w:sz="0" w:space="0" w:color="auto"/>
        <w:left w:val="none" w:sz="0" w:space="0" w:color="auto"/>
        <w:bottom w:val="none" w:sz="0" w:space="0" w:color="auto"/>
        <w:right w:val="none" w:sz="0" w:space="0" w:color="auto"/>
      </w:divBdr>
    </w:div>
    <w:div w:id="1012999544">
      <w:bodyDiv w:val="1"/>
      <w:marLeft w:val="0"/>
      <w:marRight w:val="0"/>
      <w:marTop w:val="0"/>
      <w:marBottom w:val="0"/>
      <w:divBdr>
        <w:top w:val="none" w:sz="0" w:space="0" w:color="auto"/>
        <w:left w:val="none" w:sz="0" w:space="0" w:color="auto"/>
        <w:bottom w:val="none" w:sz="0" w:space="0" w:color="auto"/>
        <w:right w:val="none" w:sz="0" w:space="0" w:color="auto"/>
      </w:divBdr>
    </w:div>
    <w:div w:id="1014188313">
      <w:bodyDiv w:val="1"/>
      <w:marLeft w:val="0"/>
      <w:marRight w:val="0"/>
      <w:marTop w:val="0"/>
      <w:marBottom w:val="0"/>
      <w:divBdr>
        <w:top w:val="none" w:sz="0" w:space="0" w:color="auto"/>
        <w:left w:val="none" w:sz="0" w:space="0" w:color="auto"/>
        <w:bottom w:val="none" w:sz="0" w:space="0" w:color="auto"/>
        <w:right w:val="none" w:sz="0" w:space="0" w:color="auto"/>
      </w:divBdr>
    </w:div>
    <w:div w:id="1015183571">
      <w:bodyDiv w:val="1"/>
      <w:marLeft w:val="0"/>
      <w:marRight w:val="0"/>
      <w:marTop w:val="0"/>
      <w:marBottom w:val="0"/>
      <w:divBdr>
        <w:top w:val="none" w:sz="0" w:space="0" w:color="auto"/>
        <w:left w:val="none" w:sz="0" w:space="0" w:color="auto"/>
        <w:bottom w:val="none" w:sz="0" w:space="0" w:color="auto"/>
        <w:right w:val="none" w:sz="0" w:space="0" w:color="auto"/>
      </w:divBdr>
    </w:div>
    <w:div w:id="1015501995">
      <w:bodyDiv w:val="1"/>
      <w:marLeft w:val="0"/>
      <w:marRight w:val="0"/>
      <w:marTop w:val="0"/>
      <w:marBottom w:val="0"/>
      <w:divBdr>
        <w:top w:val="none" w:sz="0" w:space="0" w:color="auto"/>
        <w:left w:val="none" w:sz="0" w:space="0" w:color="auto"/>
        <w:bottom w:val="none" w:sz="0" w:space="0" w:color="auto"/>
        <w:right w:val="none" w:sz="0" w:space="0" w:color="auto"/>
      </w:divBdr>
    </w:div>
    <w:div w:id="1016006365">
      <w:bodyDiv w:val="1"/>
      <w:marLeft w:val="0"/>
      <w:marRight w:val="0"/>
      <w:marTop w:val="0"/>
      <w:marBottom w:val="0"/>
      <w:divBdr>
        <w:top w:val="none" w:sz="0" w:space="0" w:color="auto"/>
        <w:left w:val="none" w:sz="0" w:space="0" w:color="auto"/>
        <w:bottom w:val="none" w:sz="0" w:space="0" w:color="auto"/>
        <w:right w:val="none" w:sz="0" w:space="0" w:color="auto"/>
      </w:divBdr>
    </w:div>
    <w:div w:id="1016688782">
      <w:bodyDiv w:val="1"/>
      <w:marLeft w:val="0"/>
      <w:marRight w:val="0"/>
      <w:marTop w:val="0"/>
      <w:marBottom w:val="0"/>
      <w:divBdr>
        <w:top w:val="none" w:sz="0" w:space="0" w:color="auto"/>
        <w:left w:val="none" w:sz="0" w:space="0" w:color="auto"/>
        <w:bottom w:val="none" w:sz="0" w:space="0" w:color="auto"/>
        <w:right w:val="none" w:sz="0" w:space="0" w:color="auto"/>
      </w:divBdr>
    </w:div>
    <w:div w:id="1018237930">
      <w:bodyDiv w:val="1"/>
      <w:marLeft w:val="0"/>
      <w:marRight w:val="0"/>
      <w:marTop w:val="0"/>
      <w:marBottom w:val="0"/>
      <w:divBdr>
        <w:top w:val="none" w:sz="0" w:space="0" w:color="auto"/>
        <w:left w:val="none" w:sz="0" w:space="0" w:color="auto"/>
        <w:bottom w:val="none" w:sz="0" w:space="0" w:color="auto"/>
        <w:right w:val="none" w:sz="0" w:space="0" w:color="auto"/>
      </w:divBdr>
    </w:div>
    <w:div w:id="1018776788">
      <w:bodyDiv w:val="1"/>
      <w:marLeft w:val="0"/>
      <w:marRight w:val="0"/>
      <w:marTop w:val="0"/>
      <w:marBottom w:val="0"/>
      <w:divBdr>
        <w:top w:val="none" w:sz="0" w:space="0" w:color="auto"/>
        <w:left w:val="none" w:sz="0" w:space="0" w:color="auto"/>
        <w:bottom w:val="none" w:sz="0" w:space="0" w:color="auto"/>
        <w:right w:val="none" w:sz="0" w:space="0" w:color="auto"/>
      </w:divBdr>
    </w:div>
    <w:div w:id="1019816936">
      <w:bodyDiv w:val="1"/>
      <w:marLeft w:val="0"/>
      <w:marRight w:val="0"/>
      <w:marTop w:val="0"/>
      <w:marBottom w:val="0"/>
      <w:divBdr>
        <w:top w:val="none" w:sz="0" w:space="0" w:color="auto"/>
        <w:left w:val="none" w:sz="0" w:space="0" w:color="auto"/>
        <w:bottom w:val="none" w:sz="0" w:space="0" w:color="auto"/>
        <w:right w:val="none" w:sz="0" w:space="0" w:color="auto"/>
      </w:divBdr>
    </w:div>
    <w:div w:id="1023093745">
      <w:bodyDiv w:val="1"/>
      <w:marLeft w:val="0"/>
      <w:marRight w:val="0"/>
      <w:marTop w:val="0"/>
      <w:marBottom w:val="0"/>
      <w:divBdr>
        <w:top w:val="none" w:sz="0" w:space="0" w:color="auto"/>
        <w:left w:val="none" w:sz="0" w:space="0" w:color="auto"/>
        <w:bottom w:val="none" w:sz="0" w:space="0" w:color="auto"/>
        <w:right w:val="none" w:sz="0" w:space="0" w:color="auto"/>
      </w:divBdr>
    </w:div>
    <w:div w:id="1023828477">
      <w:bodyDiv w:val="1"/>
      <w:marLeft w:val="0"/>
      <w:marRight w:val="0"/>
      <w:marTop w:val="0"/>
      <w:marBottom w:val="0"/>
      <w:divBdr>
        <w:top w:val="none" w:sz="0" w:space="0" w:color="auto"/>
        <w:left w:val="none" w:sz="0" w:space="0" w:color="auto"/>
        <w:bottom w:val="none" w:sz="0" w:space="0" w:color="auto"/>
        <w:right w:val="none" w:sz="0" w:space="0" w:color="auto"/>
      </w:divBdr>
    </w:div>
    <w:div w:id="1024014725">
      <w:bodyDiv w:val="1"/>
      <w:marLeft w:val="0"/>
      <w:marRight w:val="0"/>
      <w:marTop w:val="0"/>
      <w:marBottom w:val="0"/>
      <w:divBdr>
        <w:top w:val="none" w:sz="0" w:space="0" w:color="auto"/>
        <w:left w:val="none" w:sz="0" w:space="0" w:color="auto"/>
        <w:bottom w:val="none" w:sz="0" w:space="0" w:color="auto"/>
        <w:right w:val="none" w:sz="0" w:space="0" w:color="auto"/>
      </w:divBdr>
    </w:div>
    <w:div w:id="1025639688">
      <w:bodyDiv w:val="1"/>
      <w:marLeft w:val="0"/>
      <w:marRight w:val="0"/>
      <w:marTop w:val="0"/>
      <w:marBottom w:val="0"/>
      <w:divBdr>
        <w:top w:val="none" w:sz="0" w:space="0" w:color="auto"/>
        <w:left w:val="none" w:sz="0" w:space="0" w:color="auto"/>
        <w:bottom w:val="none" w:sz="0" w:space="0" w:color="auto"/>
        <w:right w:val="none" w:sz="0" w:space="0" w:color="auto"/>
      </w:divBdr>
    </w:div>
    <w:div w:id="1026715451">
      <w:bodyDiv w:val="1"/>
      <w:marLeft w:val="0"/>
      <w:marRight w:val="0"/>
      <w:marTop w:val="0"/>
      <w:marBottom w:val="0"/>
      <w:divBdr>
        <w:top w:val="none" w:sz="0" w:space="0" w:color="auto"/>
        <w:left w:val="none" w:sz="0" w:space="0" w:color="auto"/>
        <w:bottom w:val="none" w:sz="0" w:space="0" w:color="auto"/>
        <w:right w:val="none" w:sz="0" w:space="0" w:color="auto"/>
      </w:divBdr>
    </w:div>
    <w:div w:id="1027680036">
      <w:bodyDiv w:val="1"/>
      <w:marLeft w:val="0"/>
      <w:marRight w:val="0"/>
      <w:marTop w:val="0"/>
      <w:marBottom w:val="0"/>
      <w:divBdr>
        <w:top w:val="none" w:sz="0" w:space="0" w:color="auto"/>
        <w:left w:val="none" w:sz="0" w:space="0" w:color="auto"/>
        <w:bottom w:val="none" w:sz="0" w:space="0" w:color="auto"/>
        <w:right w:val="none" w:sz="0" w:space="0" w:color="auto"/>
      </w:divBdr>
    </w:div>
    <w:div w:id="1027950734">
      <w:bodyDiv w:val="1"/>
      <w:marLeft w:val="0"/>
      <w:marRight w:val="0"/>
      <w:marTop w:val="0"/>
      <w:marBottom w:val="0"/>
      <w:divBdr>
        <w:top w:val="none" w:sz="0" w:space="0" w:color="auto"/>
        <w:left w:val="none" w:sz="0" w:space="0" w:color="auto"/>
        <w:bottom w:val="none" w:sz="0" w:space="0" w:color="auto"/>
        <w:right w:val="none" w:sz="0" w:space="0" w:color="auto"/>
      </w:divBdr>
    </w:div>
    <w:div w:id="1029532517">
      <w:bodyDiv w:val="1"/>
      <w:marLeft w:val="0"/>
      <w:marRight w:val="0"/>
      <w:marTop w:val="0"/>
      <w:marBottom w:val="0"/>
      <w:divBdr>
        <w:top w:val="none" w:sz="0" w:space="0" w:color="auto"/>
        <w:left w:val="none" w:sz="0" w:space="0" w:color="auto"/>
        <w:bottom w:val="none" w:sz="0" w:space="0" w:color="auto"/>
        <w:right w:val="none" w:sz="0" w:space="0" w:color="auto"/>
      </w:divBdr>
    </w:div>
    <w:div w:id="1030451384">
      <w:bodyDiv w:val="1"/>
      <w:marLeft w:val="0"/>
      <w:marRight w:val="0"/>
      <w:marTop w:val="0"/>
      <w:marBottom w:val="0"/>
      <w:divBdr>
        <w:top w:val="none" w:sz="0" w:space="0" w:color="auto"/>
        <w:left w:val="none" w:sz="0" w:space="0" w:color="auto"/>
        <w:bottom w:val="none" w:sz="0" w:space="0" w:color="auto"/>
        <w:right w:val="none" w:sz="0" w:space="0" w:color="auto"/>
      </w:divBdr>
    </w:div>
    <w:div w:id="1038091769">
      <w:bodyDiv w:val="1"/>
      <w:marLeft w:val="0"/>
      <w:marRight w:val="0"/>
      <w:marTop w:val="0"/>
      <w:marBottom w:val="0"/>
      <w:divBdr>
        <w:top w:val="none" w:sz="0" w:space="0" w:color="auto"/>
        <w:left w:val="none" w:sz="0" w:space="0" w:color="auto"/>
        <w:bottom w:val="none" w:sz="0" w:space="0" w:color="auto"/>
        <w:right w:val="none" w:sz="0" w:space="0" w:color="auto"/>
      </w:divBdr>
    </w:div>
    <w:div w:id="1038818153">
      <w:bodyDiv w:val="1"/>
      <w:marLeft w:val="0"/>
      <w:marRight w:val="0"/>
      <w:marTop w:val="0"/>
      <w:marBottom w:val="0"/>
      <w:divBdr>
        <w:top w:val="none" w:sz="0" w:space="0" w:color="auto"/>
        <w:left w:val="none" w:sz="0" w:space="0" w:color="auto"/>
        <w:bottom w:val="none" w:sz="0" w:space="0" w:color="auto"/>
        <w:right w:val="none" w:sz="0" w:space="0" w:color="auto"/>
      </w:divBdr>
    </w:div>
    <w:div w:id="1040787509">
      <w:bodyDiv w:val="1"/>
      <w:marLeft w:val="0"/>
      <w:marRight w:val="0"/>
      <w:marTop w:val="0"/>
      <w:marBottom w:val="0"/>
      <w:divBdr>
        <w:top w:val="none" w:sz="0" w:space="0" w:color="auto"/>
        <w:left w:val="none" w:sz="0" w:space="0" w:color="auto"/>
        <w:bottom w:val="none" w:sz="0" w:space="0" w:color="auto"/>
        <w:right w:val="none" w:sz="0" w:space="0" w:color="auto"/>
      </w:divBdr>
    </w:div>
    <w:div w:id="1045300261">
      <w:bodyDiv w:val="1"/>
      <w:marLeft w:val="0"/>
      <w:marRight w:val="0"/>
      <w:marTop w:val="0"/>
      <w:marBottom w:val="0"/>
      <w:divBdr>
        <w:top w:val="none" w:sz="0" w:space="0" w:color="auto"/>
        <w:left w:val="none" w:sz="0" w:space="0" w:color="auto"/>
        <w:bottom w:val="none" w:sz="0" w:space="0" w:color="auto"/>
        <w:right w:val="none" w:sz="0" w:space="0" w:color="auto"/>
      </w:divBdr>
    </w:div>
    <w:div w:id="1045301714">
      <w:bodyDiv w:val="1"/>
      <w:marLeft w:val="0"/>
      <w:marRight w:val="0"/>
      <w:marTop w:val="0"/>
      <w:marBottom w:val="0"/>
      <w:divBdr>
        <w:top w:val="none" w:sz="0" w:space="0" w:color="auto"/>
        <w:left w:val="none" w:sz="0" w:space="0" w:color="auto"/>
        <w:bottom w:val="none" w:sz="0" w:space="0" w:color="auto"/>
        <w:right w:val="none" w:sz="0" w:space="0" w:color="auto"/>
      </w:divBdr>
    </w:div>
    <w:div w:id="1046759077">
      <w:bodyDiv w:val="1"/>
      <w:marLeft w:val="0"/>
      <w:marRight w:val="0"/>
      <w:marTop w:val="0"/>
      <w:marBottom w:val="0"/>
      <w:divBdr>
        <w:top w:val="none" w:sz="0" w:space="0" w:color="auto"/>
        <w:left w:val="none" w:sz="0" w:space="0" w:color="auto"/>
        <w:bottom w:val="none" w:sz="0" w:space="0" w:color="auto"/>
        <w:right w:val="none" w:sz="0" w:space="0" w:color="auto"/>
      </w:divBdr>
    </w:div>
    <w:div w:id="1046832036">
      <w:bodyDiv w:val="1"/>
      <w:marLeft w:val="0"/>
      <w:marRight w:val="0"/>
      <w:marTop w:val="0"/>
      <w:marBottom w:val="0"/>
      <w:divBdr>
        <w:top w:val="none" w:sz="0" w:space="0" w:color="auto"/>
        <w:left w:val="none" w:sz="0" w:space="0" w:color="auto"/>
        <w:bottom w:val="none" w:sz="0" w:space="0" w:color="auto"/>
        <w:right w:val="none" w:sz="0" w:space="0" w:color="auto"/>
      </w:divBdr>
    </w:div>
    <w:div w:id="1054163161">
      <w:bodyDiv w:val="1"/>
      <w:marLeft w:val="0"/>
      <w:marRight w:val="0"/>
      <w:marTop w:val="0"/>
      <w:marBottom w:val="0"/>
      <w:divBdr>
        <w:top w:val="none" w:sz="0" w:space="0" w:color="auto"/>
        <w:left w:val="none" w:sz="0" w:space="0" w:color="auto"/>
        <w:bottom w:val="none" w:sz="0" w:space="0" w:color="auto"/>
        <w:right w:val="none" w:sz="0" w:space="0" w:color="auto"/>
      </w:divBdr>
    </w:div>
    <w:div w:id="1055735233">
      <w:bodyDiv w:val="1"/>
      <w:marLeft w:val="0"/>
      <w:marRight w:val="0"/>
      <w:marTop w:val="0"/>
      <w:marBottom w:val="0"/>
      <w:divBdr>
        <w:top w:val="none" w:sz="0" w:space="0" w:color="auto"/>
        <w:left w:val="none" w:sz="0" w:space="0" w:color="auto"/>
        <w:bottom w:val="none" w:sz="0" w:space="0" w:color="auto"/>
        <w:right w:val="none" w:sz="0" w:space="0" w:color="auto"/>
      </w:divBdr>
    </w:div>
    <w:div w:id="1056196534">
      <w:bodyDiv w:val="1"/>
      <w:marLeft w:val="0"/>
      <w:marRight w:val="0"/>
      <w:marTop w:val="0"/>
      <w:marBottom w:val="0"/>
      <w:divBdr>
        <w:top w:val="none" w:sz="0" w:space="0" w:color="auto"/>
        <w:left w:val="none" w:sz="0" w:space="0" w:color="auto"/>
        <w:bottom w:val="none" w:sz="0" w:space="0" w:color="auto"/>
        <w:right w:val="none" w:sz="0" w:space="0" w:color="auto"/>
      </w:divBdr>
    </w:div>
    <w:div w:id="1056472356">
      <w:bodyDiv w:val="1"/>
      <w:marLeft w:val="0"/>
      <w:marRight w:val="0"/>
      <w:marTop w:val="0"/>
      <w:marBottom w:val="0"/>
      <w:divBdr>
        <w:top w:val="none" w:sz="0" w:space="0" w:color="auto"/>
        <w:left w:val="none" w:sz="0" w:space="0" w:color="auto"/>
        <w:bottom w:val="none" w:sz="0" w:space="0" w:color="auto"/>
        <w:right w:val="none" w:sz="0" w:space="0" w:color="auto"/>
      </w:divBdr>
    </w:div>
    <w:div w:id="1059134516">
      <w:bodyDiv w:val="1"/>
      <w:marLeft w:val="0"/>
      <w:marRight w:val="0"/>
      <w:marTop w:val="0"/>
      <w:marBottom w:val="0"/>
      <w:divBdr>
        <w:top w:val="none" w:sz="0" w:space="0" w:color="auto"/>
        <w:left w:val="none" w:sz="0" w:space="0" w:color="auto"/>
        <w:bottom w:val="none" w:sz="0" w:space="0" w:color="auto"/>
        <w:right w:val="none" w:sz="0" w:space="0" w:color="auto"/>
      </w:divBdr>
    </w:div>
    <w:div w:id="1059551344">
      <w:bodyDiv w:val="1"/>
      <w:marLeft w:val="0"/>
      <w:marRight w:val="0"/>
      <w:marTop w:val="0"/>
      <w:marBottom w:val="0"/>
      <w:divBdr>
        <w:top w:val="none" w:sz="0" w:space="0" w:color="auto"/>
        <w:left w:val="none" w:sz="0" w:space="0" w:color="auto"/>
        <w:bottom w:val="none" w:sz="0" w:space="0" w:color="auto"/>
        <w:right w:val="none" w:sz="0" w:space="0" w:color="auto"/>
      </w:divBdr>
    </w:div>
    <w:div w:id="1060978310">
      <w:bodyDiv w:val="1"/>
      <w:marLeft w:val="0"/>
      <w:marRight w:val="0"/>
      <w:marTop w:val="0"/>
      <w:marBottom w:val="0"/>
      <w:divBdr>
        <w:top w:val="none" w:sz="0" w:space="0" w:color="auto"/>
        <w:left w:val="none" w:sz="0" w:space="0" w:color="auto"/>
        <w:bottom w:val="none" w:sz="0" w:space="0" w:color="auto"/>
        <w:right w:val="none" w:sz="0" w:space="0" w:color="auto"/>
      </w:divBdr>
    </w:div>
    <w:div w:id="1061751219">
      <w:bodyDiv w:val="1"/>
      <w:marLeft w:val="0"/>
      <w:marRight w:val="0"/>
      <w:marTop w:val="0"/>
      <w:marBottom w:val="0"/>
      <w:divBdr>
        <w:top w:val="none" w:sz="0" w:space="0" w:color="auto"/>
        <w:left w:val="none" w:sz="0" w:space="0" w:color="auto"/>
        <w:bottom w:val="none" w:sz="0" w:space="0" w:color="auto"/>
        <w:right w:val="none" w:sz="0" w:space="0" w:color="auto"/>
      </w:divBdr>
    </w:div>
    <w:div w:id="1064568930">
      <w:bodyDiv w:val="1"/>
      <w:marLeft w:val="0"/>
      <w:marRight w:val="0"/>
      <w:marTop w:val="0"/>
      <w:marBottom w:val="0"/>
      <w:divBdr>
        <w:top w:val="none" w:sz="0" w:space="0" w:color="auto"/>
        <w:left w:val="none" w:sz="0" w:space="0" w:color="auto"/>
        <w:bottom w:val="none" w:sz="0" w:space="0" w:color="auto"/>
        <w:right w:val="none" w:sz="0" w:space="0" w:color="auto"/>
      </w:divBdr>
    </w:div>
    <w:div w:id="1066491373">
      <w:bodyDiv w:val="1"/>
      <w:marLeft w:val="0"/>
      <w:marRight w:val="0"/>
      <w:marTop w:val="0"/>
      <w:marBottom w:val="0"/>
      <w:divBdr>
        <w:top w:val="none" w:sz="0" w:space="0" w:color="auto"/>
        <w:left w:val="none" w:sz="0" w:space="0" w:color="auto"/>
        <w:bottom w:val="none" w:sz="0" w:space="0" w:color="auto"/>
        <w:right w:val="none" w:sz="0" w:space="0" w:color="auto"/>
      </w:divBdr>
    </w:div>
    <w:div w:id="1071121711">
      <w:bodyDiv w:val="1"/>
      <w:marLeft w:val="0"/>
      <w:marRight w:val="0"/>
      <w:marTop w:val="0"/>
      <w:marBottom w:val="0"/>
      <w:divBdr>
        <w:top w:val="none" w:sz="0" w:space="0" w:color="auto"/>
        <w:left w:val="none" w:sz="0" w:space="0" w:color="auto"/>
        <w:bottom w:val="none" w:sz="0" w:space="0" w:color="auto"/>
        <w:right w:val="none" w:sz="0" w:space="0" w:color="auto"/>
      </w:divBdr>
    </w:div>
    <w:div w:id="1071581279">
      <w:bodyDiv w:val="1"/>
      <w:marLeft w:val="0"/>
      <w:marRight w:val="0"/>
      <w:marTop w:val="0"/>
      <w:marBottom w:val="0"/>
      <w:divBdr>
        <w:top w:val="none" w:sz="0" w:space="0" w:color="auto"/>
        <w:left w:val="none" w:sz="0" w:space="0" w:color="auto"/>
        <w:bottom w:val="none" w:sz="0" w:space="0" w:color="auto"/>
        <w:right w:val="none" w:sz="0" w:space="0" w:color="auto"/>
      </w:divBdr>
    </w:div>
    <w:div w:id="1073236647">
      <w:bodyDiv w:val="1"/>
      <w:marLeft w:val="0"/>
      <w:marRight w:val="0"/>
      <w:marTop w:val="0"/>
      <w:marBottom w:val="0"/>
      <w:divBdr>
        <w:top w:val="none" w:sz="0" w:space="0" w:color="auto"/>
        <w:left w:val="none" w:sz="0" w:space="0" w:color="auto"/>
        <w:bottom w:val="none" w:sz="0" w:space="0" w:color="auto"/>
        <w:right w:val="none" w:sz="0" w:space="0" w:color="auto"/>
      </w:divBdr>
    </w:div>
    <w:div w:id="1074163765">
      <w:bodyDiv w:val="1"/>
      <w:marLeft w:val="0"/>
      <w:marRight w:val="0"/>
      <w:marTop w:val="0"/>
      <w:marBottom w:val="0"/>
      <w:divBdr>
        <w:top w:val="none" w:sz="0" w:space="0" w:color="auto"/>
        <w:left w:val="none" w:sz="0" w:space="0" w:color="auto"/>
        <w:bottom w:val="none" w:sz="0" w:space="0" w:color="auto"/>
        <w:right w:val="none" w:sz="0" w:space="0" w:color="auto"/>
      </w:divBdr>
    </w:div>
    <w:div w:id="1076321329">
      <w:bodyDiv w:val="1"/>
      <w:marLeft w:val="0"/>
      <w:marRight w:val="0"/>
      <w:marTop w:val="0"/>
      <w:marBottom w:val="0"/>
      <w:divBdr>
        <w:top w:val="none" w:sz="0" w:space="0" w:color="auto"/>
        <w:left w:val="none" w:sz="0" w:space="0" w:color="auto"/>
        <w:bottom w:val="none" w:sz="0" w:space="0" w:color="auto"/>
        <w:right w:val="none" w:sz="0" w:space="0" w:color="auto"/>
      </w:divBdr>
    </w:div>
    <w:div w:id="1080325609">
      <w:bodyDiv w:val="1"/>
      <w:marLeft w:val="0"/>
      <w:marRight w:val="0"/>
      <w:marTop w:val="0"/>
      <w:marBottom w:val="0"/>
      <w:divBdr>
        <w:top w:val="none" w:sz="0" w:space="0" w:color="auto"/>
        <w:left w:val="none" w:sz="0" w:space="0" w:color="auto"/>
        <w:bottom w:val="none" w:sz="0" w:space="0" w:color="auto"/>
        <w:right w:val="none" w:sz="0" w:space="0" w:color="auto"/>
      </w:divBdr>
    </w:div>
    <w:div w:id="1083064372">
      <w:bodyDiv w:val="1"/>
      <w:marLeft w:val="0"/>
      <w:marRight w:val="0"/>
      <w:marTop w:val="0"/>
      <w:marBottom w:val="0"/>
      <w:divBdr>
        <w:top w:val="none" w:sz="0" w:space="0" w:color="auto"/>
        <w:left w:val="none" w:sz="0" w:space="0" w:color="auto"/>
        <w:bottom w:val="none" w:sz="0" w:space="0" w:color="auto"/>
        <w:right w:val="none" w:sz="0" w:space="0" w:color="auto"/>
      </w:divBdr>
    </w:div>
    <w:div w:id="1084061132">
      <w:bodyDiv w:val="1"/>
      <w:marLeft w:val="0"/>
      <w:marRight w:val="0"/>
      <w:marTop w:val="0"/>
      <w:marBottom w:val="0"/>
      <w:divBdr>
        <w:top w:val="none" w:sz="0" w:space="0" w:color="auto"/>
        <w:left w:val="none" w:sz="0" w:space="0" w:color="auto"/>
        <w:bottom w:val="none" w:sz="0" w:space="0" w:color="auto"/>
        <w:right w:val="none" w:sz="0" w:space="0" w:color="auto"/>
      </w:divBdr>
    </w:div>
    <w:div w:id="1090859278">
      <w:bodyDiv w:val="1"/>
      <w:marLeft w:val="0"/>
      <w:marRight w:val="0"/>
      <w:marTop w:val="0"/>
      <w:marBottom w:val="0"/>
      <w:divBdr>
        <w:top w:val="none" w:sz="0" w:space="0" w:color="auto"/>
        <w:left w:val="none" w:sz="0" w:space="0" w:color="auto"/>
        <w:bottom w:val="none" w:sz="0" w:space="0" w:color="auto"/>
        <w:right w:val="none" w:sz="0" w:space="0" w:color="auto"/>
      </w:divBdr>
    </w:div>
    <w:div w:id="1091318600">
      <w:bodyDiv w:val="1"/>
      <w:marLeft w:val="0"/>
      <w:marRight w:val="0"/>
      <w:marTop w:val="0"/>
      <w:marBottom w:val="0"/>
      <w:divBdr>
        <w:top w:val="none" w:sz="0" w:space="0" w:color="auto"/>
        <w:left w:val="none" w:sz="0" w:space="0" w:color="auto"/>
        <w:bottom w:val="none" w:sz="0" w:space="0" w:color="auto"/>
        <w:right w:val="none" w:sz="0" w:space="0" w:color="auto"/>
      </w:divBdr>
    </w:div>
    <w:div w:id="1092891842">
      <w:bodyDiv w:val="1"/>
      <w:marLeft w:val="0"/>
      <w:marRight w:val="0"/>
      <w:marTop w:val="0"/>
      <w:marBottom w:val="0"/>
      <w:divBdr>
        <w:top w:val="none" w:sz="0" w:space="0" w:color="auto"/>
        <w:left w:val="none" w:sz="0" w:space="0" w:color="auto"/>
        <w:bottom w:val="none" w:sz="0" w:space="0" w:color="auto"/>
        <w:right w:val="none" w:sz="0" w:space="0" w:color="auto"/>
      </w:divBdr>
    </w:div>
    <w:div w:id="1095982213">
      <w:bodyDiv w:val="1"/>
      <w:marLeft w:val="0"/>
      <w:marRight w:val="0"/>
      <w:marTop w:val="0"/>
      <w:marBottom w:val="0"/>
      <w:divBdr>
        <w:top w:val="none" w:sz="0" w:space="0" w:color="auto"/>
        <w:left w:val="none" w:sz="0" w:space="0" w:color="auto"/>
        <w:bottom w:val="none" w:sz="0" w:space="0" w:color="auto"/>
        <w:right w:val="none" w:sz="0" w:space="0" w:color="auto"/>
      </w:divBdr>
    </w:div>
    <w:div w:id="1099059620">
      <w:bodyDiv w:val="1"/>
      <w:marLeft w:val="0"/>
      <w:marRight w:val="0"/>
      <w:marTop w:val="0"/>
      <w:marBottom w:val="0"/>
      <w:divBdr>
        <w:top w:val="none" w:sz="0" w:space="0" w:color="auto"/>
        <w:left w:val="none" w:sz="0" w:space="0" w:color="auto"/>
        <w:bottom w:val="none" w:sz="0" w:space="0" w:color="auto"/>
        <w:right w:val="none" w:sz="0" w:space="0" w:color="auto"/>
      </w:divBdr>
    </w:div>
    <w:div w:id="1101874750">
      <w:bodyDiv w:val="1"/>
      <w:marLeft w:val="0"/>
      <w:marRight w:val="0"/>
      <w:marTop w:val="0"/>
      <w:marBottom w:val="0"/>
      <w:divBdr>
        <w:top w:val="none" w:sz="0" w:space="0" w:color="auto"/>
        <w:left w:val="none" w:sz="0" w:space="0" w:color="auto"/>
        <w:bottom w:val="none" w:sz="0" w:space="0" w:color="auto"/>
        <w:right w:val="none" w:sz="0" w:space="0" w:color="auto"/>
      </w:divBdr>
    </w:div>
    <w:div w:id="1103956395">
      <w:bodyDiv w:val="1"/>
      <w:marLeft w:val="0"/>
      <w:marRight w:val="0"/>
      <w:marTop w:val="0"/>
      <w:marBottom w:val="0"/>
      <w:divBdr>
        <w:top w:val="none" w:sz="0" w:space="0" w:color="auto"/>
        <w:left w:val="none" w:sz="0" w:space="0" w:color="auto"/>
        <w:bottom w:val="none" w:sz="0" w:space="0" w:color="auto"/>
        <w:right w:val="none" w:sz="0" w:space="0" w:color="auto"/>
      </w:divBdr>
    </w:div>
    <w:div w:id="1113480204">
      <w:bodyDiv w:val="1"/>
      <w:marLeft w:val="0"/>
      <w:marRight w:val="0"/>
      <w:marTop w:val="0"/>
      <w:marBottom w:val="0"/>
      <w:divBdr>
        <w:top w:val="none" w:sz="0" w:space="0" w:color="auto"/>
        <w:left w:val="none" w:sz="0" w:space="0" w:color="auto"/>
        <w:bottom w:val="none" w:sz="0" w:space="0" w:color="auto"/>
        <w:right w:val="none" w:sz="0" w:space="0" w:color="auto"/>
      </w:divBdr>
    </w:div>
    <w:div w:id="1113937703">
      <w:bodyDiv w:val="1"/>
      <w:marLeft w:val="0"/>
      <w:marRight w:val="0"/>
      <w:marTop w:val="0"/>
      <w:marBottom w:val="0"/>
      <w:divBdr>
        <w:top w:val="none" w:sz="0" w:space="0" w:color="auto"/>
        <w:left w:val="none" w:sz="0" w:space="0" w:color="auto"/>
        <w:bottom w:val="none" w:sz="0" w:space="0" w:color="auto"/>
        <w:right w:val="none" w:sz="0" w:space="0" w:color="auto"/>
      </w:divBdr>
    </w:div>
    <w:div w:id="1114053519">
      <w:bodyDiv w:val="1"/>
      <w:marLeft w:val="0"/>
      <w:marRight w:val="0"/>
      <w:marTop w:val="0"/>
      <w:marBottom w:val="0"/>
      <w:divBdr>
        <w:top w:val="none" w:sz="0" w:space="0" w:color="auto"/>
        <w:left w:val="none" w:sz="0" w:space="0" w:color="auto"/>
        <w:bottom w:val="none" w:sz="0" w:space="0" w:color="auto"/>
        <w:right w:val="none" w:sz="0" w:space="0" w:color="auto"/>
      </w:divBdr>
    </w:div>
    <w:div w:id="1115949058">
      <w:bodyDiv w:val="1"/>
      <w:marLeft w:val="0"/>
      <w:marRight w:val="0"/>
      <w:marTop w:val="0"/>
      <w:marBottom w:val="0"/>
      <w:divBdr>
        <w:top w:val="none" w:sz="0" w:space="0" w:color="auto"/>
        <w:left w:val="none" w:sz="0" w:space="0" w:color="auto"/>
        <w:bottom w:val="none" w:sz="0" w:space="0" w:color="auto"/>
        <w:right w:val="none" w:sz="0" w:space="0" w:color="auto"/>
      </w:divBdr>
    </w:div>
    <w:div w:id="1117873252">
      <w:bodyDiv w:val="1"/>
      <w:marLeft w:val="0"/>
      <w:marRight w:val="0"/>
      <w:marTop w:val="0"/>
      <w:marBottom w:val="0"/>
      <w:divBdr>
        <w:top w:val="none" w:sz="0" w:space="0" w:color="auto"/>
        <w:left w:val="none" w:sz="0" w:space="0" w:color="auto"/>
        <w:bottom w:val="none" w:sz="0" w:space="0" w:color="auto"/>
        <w:right w:val="none" w:sz="0" w:space="0" w:color="auto"/>
      </w:divBdr>
    </w:div>
    <w:div w:id="1121681316">
      <w:bodyDiv w:val="1"/>
      <w:marLeft w:val="0"/>
      <w:marRight w:val="0"/>
      <w:marTop w:val="0"/>
      <w:marBottom w:val="0"/>
      <w:divBdr>
        <w:top w:val="none" w:sz="0" w:space="0" w:color="auto"/>
        <w:left w:val="none" w:sz="0" w:space="0" w:color="auto"/>
        <w:bottom w:val="none" w:sz="0" w:space="0" w:color="auto"/>
        <w:right w:val="none" w:sz="0" w:space="0" w:color="auto"/>
      </w:divBdr>
    </w:div>
    <w:div w:id="1123306564">
      <w:bodyDiv w:val="1"/>
      <w:marLeft w:val="0"/>
      <w:marRight w:val="0"/>
      <w:marTop w:val="0"/>
      <w:marBottom w:val="0"/>
      <w:divBdr>
        <w:top w:val="none" w:sz="0" w:space="0" w:color="auto"/>
        <w:left w:val="none" w:sz="0" w:space="0" w:color="auto"/>
        <w:bottom w:val="none" w:sz="0" w:space="0" w:color="auto"/>
        <w:right w:val="none" w:sz="0" w:space="0" w:color="auto"/>
      </w:divBdr>
    </w:div>
    <w:div w:id="1124347706">
      <w:bodyDiv w:val="1"/>
      <w:marLeft w:val="0"/>
      <w:marRight w:val="0"/>
      <w:marTop w:val="0"/>
      <w:marBottom w:val="0"/>
      <w:divBdr>
        <w:top w:val="none" w:sz="0" w:space="0" w:color="auto"/>
        <w:left w:val="none" w:sz="0" w:space="0" w:color="auto"/>
        <w:bottom w:val="none" w:sz="0" w:space="0" w:color="auto"/>
        <w:right w:val="none" w:sz="0" w:space="0" w:color="auto"/>
      </w:divBdr>
    </w:div>
    <w:div w:id="1124496427">
      <w:bodyDiv w:val="1"/>
      <w:marLeft w:val="0"/>
      <w:marRight w:val="0"/>
      <w:marTop w:val="0"/>
      <w:marBottom w:val="0"/>
      <w:divBdr>
        <w:top w:val="none" w:sz="0" w:space="0" w:color="auto"/>
        <w:left w:val="none" w:sz="0" w:space="0" w:color="auto"/>
        <w:bottom w:val="none" w:sz="0" w:space="0" w:color="auto"/>
        <w:right w:val="none" w:sz="0" w:space="0" w:color="auto"/>
      </w:divBdr>
    </w:div>
    <w:div w:id="1134057295">
      <w:bodyDiv w:val="1"/>
      <w:marLeft w:val="0"/>
      <w:marRight w:val="0"/>
      <w:marTop w:val="0"/>
      <w:marBottom w:val="0"/>
      <w:divBdr>
        <w:top w:val="none" w:sz="0" w:space="0" w:color="auto"/>
        <w:left w:val="none" w:sz="0" w:space="0" w:color="auto"/>
        <w:bottom w:val="none" w:sz="0" w:space="0" w:color="auto"/>
        <w:right w:val="none" w:sz="0" w:space="0" w:color="auto"/>
      </w:divBdr>
    </w:div>
    <w:div w:id="1135685508">
      <w:bodyDiv w:val="1"/>
      <w:marLeft w:val="0"/>
      <w:marRight w:val="0"/>
      <w:marTop w:val="0"/>
      <w:marBottom w:val="0"/>
      <w:divBdr>
        <w:top w:val="none" w:sz="0" w:space="0" w:color="auto"/>
        <w:left w:val="none" w:sz="0" w:space="0" w:color="auto"/>
        <w:bottom w:val="none" w:sz="0" w:space="0" w:color="auto"/>
        <w:right w:val="none" w:sz="0" w:space="0" w:color="auto"/>
      </w:divBdr>
    </w:div>
    <w:div w:id="1136683943">
      <w:bodyDiv w:val="1"/>
      <w:marLeft w:val="0"/>
      <w:marRight w:val="0"/>
      <w:marTop w:val="0"/>
      <w:marBottom w:val="0"/>
      <w:divBdr>
        <w:top w:val="none" w:sz="0" w:space="0" w:color="auto"/>
        <w:left w:val="none" w:sz="0" w:space="0" w:color="auto"/>
        <w:bottom w:val="none" w:sz="0" w:space="0" w:color="auto"/>
        <w:right w:val="none" w:sz="0" w:space="0" w:color="auto"/>
      </w:divBdr>
    </w:div>
    <w:div w:id="1137838832">
      <w:bodyDiv w:val="1"/>
      <w:marLeft w:val="0"/>
      <w:marRight w:val="0"/>
      <w:marTop w:val="0"/>
      <w:marBottom w:val="0"/>
      <w:divBdr>
        <w:top w:val="none" w:sz="0" w:space="0" w:color="auto"/>
        <w:left w:val="none" w:sz="0" w:space="0" w:color="auto"/>
        <w:bottom w:val="none" w:sz="0" w:space="0" w:color="auto"/>
        <w:right w:val="none" w:sz="0" w:space="0" w:color="auto"/>
      </w:divBdr>
    </w:div>
    <w:div w:id="1143306412">
      <w:bodyDiv w:val="1"/>
      <w:marLeft w:val="0"/>
      <w:marRight w:val="0"/>
      <w:marTop w:val="0"/>
      <w:marBottom w:val="0"/>
      <w:divBdr>
        <w:top w:val="none" w:sz="0" w:space="0" w:color="auto"/>
        <w:left w:val="none" w:sz="0" w:space="0" w:color="auto"/>
        <w:bottom w:val="none" w:sz="0" w:space="0" w:color="auto"/>
        <w:right w:val="none" w:sz="0" w:space="0" w:color="auto"/>
      </w:divBdr>
    </w:div>
    <w:div w:id="1145126262">
      <w:bodyDiv w:val="1"/>
      <w:marLeft w:val="0"/>
      <w:marRight w:val="0"/>
      <w:marTop w:val="0"/>
      <w:marBottom w:val="0"/>
      <w:divBdr>
        <w:top w:val="none" w:sz="0" w:space="0" w:color="auto"/>
        <w:left w:val="none" w:sz="0" w:space="0" w:color="auto"/>
        <w:bottom w:val="none" w:sz="0" w:space="0" w:color="auto"/>
        <w:right w:val="none" w:sz="0" w:space="0" w:color="auto"/>
      </w:divBdr>
    </w:div>
    <w:div w:id="1145464953">
      <w:bodyDiv w:val="1"/>
      <w:marLeft w:val="0"/>
      <w:marRight w:val="0"/>
      <w:marTop w:val="0"/>
      <w:marBottom w:val="0"/>
      <w:divBdr>
        <w:top w:val="none" w:sz="0" w:space="0" w:color="auto"/>
        <w:left w:val="none" w:sz="0" w:space="0" w:color="auto"/>
        <w:bottom w:val="none" w:sz="0" w:space="0" w:color="auto"/>
        <w:right w:val="none" w:sz="0" w:space="0" w:color="auto"/>
      </w:divBdr>
    </w:div>
    <w:div w:id="1147622608">
      <w:bodyDiv w:val="1"/>
      <w:marLeft w:val="0"/>
      <w:marRight w:val="0"/>
      <w:marTop w:val="0"/>
      <w:marBottom w:val="0"/>
      <w:divBdr>
        <w:top w:val="none" w:sz="0" w:space="0" w:color="auto"/>
        <w:left w:val="none" w:sz="0" w:space="0" w:color="auto"/>
        <w:bottom w:val="none" w:sz="0" w:space="0" w:color="auto"/>
        <w:right w:val="none" w:sz="0" w:space="0" w:color="auto"/>
      </w:divBdr>
    </w:div>
    <w:div w:id="1148472207">
      <w:bodyDiv w:val="1"/>
      <w:marLeft w:val="0"/>
      <w:marRight w:val="0"/>
      <w:marTop w:val="0"/>
      <w:marBottom w:val="0"/>
      <w:divBdr>
        <w:top w:val="none" w:sz="0" w:space="0" w:color="auto"/>
        <w:left w:val="none" w:sz="0" w:space="0" w:color="auto"/>
        <w:bottom w:val="none" w:sz="0" w:space="0" w:color="auto"/>
        <w:right w:val="none" w:sz="0" w:space="0" w:color="auto"/>
      </w:divBdr>
    </w:div>
    <w:div w:id="1151169278">
      <w:bodyDiv w:val="1"/>
      <w:marLeft w:val="0"/>
      <w:marRight w:val="0"/>
      <w:marTop w:val="0"/>
      <w:marBottom w:val="0"/>
      <w:divBdr>
        <w:top w:val="none" w:sz="0" w:space="0" w:color="auto"/>
        <w:left w:val="none" w:sz="0" w:space="0" w:color="auto"/>
        <w:bottom w:val="none" w:sz="0" w:space="0" w:color="auto"/>
        <w:right w:val="none" w:sz="0" w:space="0" w:color="auto"/>
      </w:divBdr>
    </w:div>
    <w:div w:id="1152524886">
      <w:bodyDiv w:val="1"/>
      <w:marLeft w:val="0"/>
      <w:marRight w:val="0"/>
      <w:marTop w:val="0"/>
      <w:marBottom w:val="0"/>
      <w:divBdr>
        <w:top w:val="none" w:sz="0" w:space="0" w:color="auto"/>
        <w:left w:val="none" w:sz="0" w:space="0" w:color="auto"/>
        <w:bottom w:val="none" w:sz="0" w:space="0" w:color="auto"/>
        <w:right w:val="none" w:sz="0" w:space="0" w:color="auto"/>
      </w:divBdr>
    </w:div>
    <w:div w:id="1156143267">
      <w:bodyDiv w:val="1"/>
      <w:marLeft w:val="0"/>
      <w:marRight w:val="0"/>
      <w:marTop w:val="0"/>
      <w:marBottom w:val="0"/>
      <w:divBdr>
        <w:top w:val="none" w:sz="0" w:space="0" w:color="auto"/>
        <w:left w:val="none" w:sz="0" w:space="0" w:color="auto"/>
        <w:bottom w:val="none" w:sz="0" w:space="0" w:color="auto"/>
        <w:right w:val="none" w:sz="0" w:space="0" w:color="auto"/>
      </w:divBdr>
    </w:div>
    <w:div w:id="1158500376">
      <w:bodyDiv w:val="1"/>
      <w:marLeft w:val="0"/>
      <w:marRight w:val="0"/>
      <w:marTop w:val="0"/>
      <w:marBottom w:val="0"/>
      <w:divBdr>
        <w:top w:val="none" w:sz="0" w:space="0" w:color="auto"/>
        <w:left w:val="none" w:sz="0" w:space="0" w:color="auto"/>
        <w:bottom w:val="none" w:sz="0" w:space="0" w:color="auto"/>
        <w:right w:val="none" w:sz="0" w:space="0" w:color="auto"/>
      </w:divBdr>
    </w:div>
    <w:div w:id="1162085289">
      <w:bodyDiv w:val="1"/>
      <w:marLeft w:val="0"/>
      <w:marRight w:val="0"/>
      <w:marTop w:val="0"/>
      <w:marBottom w:val="0"/>
      <w:divBdr>
        <w:top w:val="none" w:sz="0" w:space="0" w:color="auto"/>
        <w:left w:val="none" w:sz="0" w:space="0" w:color="auto"/>
        <w:bottom w:val="none" w:sz="0" w:space="0" w:color="auto"/>
        <w:right w:val="none" w:sz="0" w:space="0" w:color="auto"/>
      </w:divBdr>
    </w:div>
    <w:div w:id="1162817195">
      <w:bodyDiv w:val="1"/>
      <w:marLeft w:val="0"/>
      <w:marRight w:val="0"/>
      <w:marTop w:val="0"/>
      <w:marBottom w:val="0"/>
      <w:divBdr>
        <w:top w:val="none" w:sz="0" w:space="0" w:color="auto"/>
        <w:left w:val="none" w:sz="0" w:space="0" w:color="auto"/>
        <w:bottom w:val="none" w:sz="0" w:space="0" w:color="auto"/>
        <w:right w:val="none" w:sz="0" w:space="0" w:color="auto"/>
      </w:divBdr>
    </w:div>
    <w:div w:id="1166899371">
      <w:bodyDiv w:val="1"/>
      <w:marLeft w:val="0"/>
      <w:marRight w:val="0"/>
      <w:marTop w:val="0"/>
      <w:marBottom w:val="0"/>
      <w:divBdr>
        <w:top w:val="none" w:sz="0" w:space="0" w:color="auto"/>
        <w:left w:val="none" w:sz="0" w:space="0" w:color="auto"/>
        <w:bottom w:val="none" w:sz="0" w:space="0" w:color="auto"/>
        <w:right w:val="none" w:sz="0" w:space="0" w:color="auto"/>
      </w:divBdr>
    </w:div>
    <w:div w:id="1175068418">
      <w:bodyDiv w:val="1"/>
      <w:marLeft w:val="0"/>
      <w:marRight w:val="0"/>
      <w:marTop w:val="0"/>
      <w:marBottom w:val="0"/>
      <w:divBdr>
        <w:top w:val="none" w:sz="0" w:space="0" w:color="auto"/>
        <w:left w:val="none" w:sz="0" w:space="0" w:color="auto"/>
        <w:bottom w:val="none" w:sz="0" w:space="0" w:color="auto"/>
        <w:right w:val="none" w:sz="0" w:space="0" w:color="auto"/>
      </w:divBdr>
    </w:div>
    <w:div w:id="1183277948">
      <w:bodyDiv w:val="1"/>
      <w:marLeft w:val="0"/>
      <w:marRight w:val="0"/>
      <w:marTop w:val="0"/>
      <w:marBottom w:val="0"/>
      <w:divBdr>
        <w:top w:val="none" w:sz="0" w:space="0" w:color="auto"/>
        <w:left w:val="none" w:sz="0" w:space="0" w:color="auto"/>
        <w:bottom w:val="none" w:sz="0" w:space="0" w:color="auto"/>
        <w:right w:val="none" w:sz="0" w:space="0" w:color="auto"/>
      </w:divBdr>
    </w:div>
    <w:div w:id="1184637146">
      <w:bodyDiv w:val="1"/>
      <w:marLeft w:val="0"/>
      <w:marRight w:val="0"/>
      <w:marTop w:val="0"/>
      <w:marBottom w:val="0"/>
      <w:divBdr>
        <w:top w:val="none" w:sz="0" w:space="0" w:color="auto"/>
        <w:left w:val="none" w:sz="0" w:space="0" w:color="auto"/>
        <w:bottom w:val="none" w:sz="0" w:space="0" w:color="auto"/>
        <w:right w:val="none" w:sz="0" w:space="0" w:color="auto"/>
      </w:divBdr>
    </w:div>
    <w:div w:id="1185173375">
      <w:bodyDiv w:val="1"/>
      <w:marLeft w:val="0"/>
      <w:marRight w:val="0"/>
      <w:marTop w:val="0"/>
      <w:marBottom w:val="0"/>
      <w:divBdr>
        <w:top w:val="none" w:sz="0" w:space="0" w:color="auto"/>
        <w:left w:val="none" w:sz="0" w:space="0" w:color="auto"/>
        <w:bottom w:val="none" w:sz="0" w:space="0" w:color="auto"/>
        <w:right w:val="none" w:sz="0" w:space="0" w:color="auto"/>
      </w:divBdr>
    </w:div>
    <w:div w:id="1185629734">
      <w:bodyDiv w:val="1"/>
      <w:marLeft w:val="0"/>
      <w:marRight w:val="0"/>
      <w:marTop w:val="0"/>
      <w:marBottom w:val="0"/>
      <w:divBdr>
        <w:top w:val="none" w:sz="0" w:space="0" w:color="auto"/>
        <w:left w:val="none" w:sz="0" w:space="0" w:color="auto"/>
        <w:bottom w:val="none" w:sz="0" w:space="0" w:color="auto"/>
        <w:right w:val="none" w:sz="0" w:space="0" w:color="auto"/>
      </w:divBdr>
    </w:div>
    <w:div w:id="1186872380">
      <w:bodyDiv w:val="1"/>
      <w:marLeft w:val="0"/>
      <w:marRight w:val="0"/>
      <w:marTop w:val="0"/>
      <w:marBottom w:val="0"/>
      <w:divBdr>
        <w:top w:val="none" w:sz="0" w:space="0" w:color="auto"/>
        <w:left w:val="none" w:sz="0" w:space="0" w:color="auto"/>
        <w:bottom w:val="none" w:sz="0" w:space="0" w:color="auto"/>
        <w:right w:val="none" w:sz="0" w:space="0" w:color="auto"/>
      </w:divBdr>
    </w:div>
    <w:div w:id="1187448234">
      <w:bodyDiv w:val="1"/>
      <w:marLeft w:val="0"/>
      <w:marRight w:val="0"/>
      <w:marTop w:val="0"/>
      <w:marBottom w:val="0"/>
      <w:divBdr>
        <w:top w:val="none" w:sz="0" w:space="0" w:color="auto"/>
        <w:left w:val="none" w:sz="0" w:space="0" w:color="auto"/>
        <w:bottom w:val="none" w:sz="0" w:space="0" w:color="auto"/>
        <w:right w:val="none" w:sz="0" w:space="0" w:color="auto"/>
      </w:divBdr>
    </w:div>
    <w:div w:id="1189610444">
      <w:bodyDiv w:val="1"/>
      <w:marLeft w:val="0"/>
      <w:marRight w:val="0"/>
      <w:marTop w:val="0"/>
      <w:marBottom w:val="0"/>
      <w:divBdr>
        <w:top w:val="none" w:sz="0" w:space="0" w:color="auto"/>
        <w:left w:val="none" w:sz="0" w:space="0" w:color="auto"/>
        <w:bottom w:val="none" w:sz="0" w:space="0" w:color="auto"/>
        <w:right w:val="none" w:sz="0" w:space="0" w:color="auto"/>
      </w:divBdr>
    </w:div>
    <w:div w:id="1190218841">
      <w:bodyDiv w:val="1"/>
      <w:marLeft w:val="0"/>
      <w:marRight w:val="0"/>
      <w:marTop w:val="0"/>
      <w:marBottom w:val="0"/>
      <w:divBdr>
        <w:top w:val="none" w:sz="0" w:space="0" w:color="auto"/>
        <w:left w:val="none" w:sz="0" w:space="0" w:color="auto"/>
        <w:bottom w:val="none" w:sz="0" w:space="0" w:color="auto"/>
        <w:right w:val="none" w:sz="0" w:space="0" w:color="auto"/>
      </w:divBdr>
    </w:div>
    <w:div w:id="1191147100">
      <w:bodyDiv w:val="1"/>
      <w:marLeft w:val="0"/>
      <w:marRight w:val="0"/>
      <w:marTop w:val="0"/>
      <w:marBottom w:val="0"/>
      <w:divBdr>
        <w:top w:val="none" w:sz="0" w:space="0" w:color="auto"/>
        <w:left w:val="none" w:sz="0" w:space="0" w:color="auto"/>
        <w:bottom w:val="none" w:sz="0" w:space="0" w:color="auto"/>
        <w:right w:val="none" w:sz="0" w:space="0" w:color="auto"/>
      </w:divBdr>
    </w:div>
    <w:div w:id="1191332845">
      <w:bodyDiv w:val="1"/>
      <w:marLeft w:val="0"/>
      <w:marRight w:val="0"/>
      <w:marTop w:val="0"/>
      <w:marBottom w:val="0"/>
      <w:divBdr>
        <w:top w:val="none" w:sz="0" w:space="0" w:color="auto"/>
        <w:left w:val="none" w:sz="0" w:space="0" w:color="auto"/>
        <w:bottom w:val="none" w:sz="0" w:space="0" w:color="auto"/>
        <w:right w:val="none" w:sz="0" w:space="0" w:color="auto"/>
      </w:divBdr>
    </w:div>
    <w:div w:id="1192501276">
      <w:bodyDiv w:val="1"/>
      <w:marLeft w:val="0"/>
      <w:marRight w:val="0"/>
      <w:marTop w:val="0"/>
      <w:marBottom w:val="0"/>
      <w:divBdr>
        <w:top w:val="none" w:sz="0" w:space="0" w:color="auto"/>
        <w:left w:val="none" w:sz="0" w:space="0" w:color="auto"/>
        <w:bottom w:val="none" w:sz="0" w:space="0" w:color="auto"/>
        <w:right w:val="none" w:sz="0" w:space="0" w:color="auto"/>
      </w:divBdr>
    </w:div>
    <w:div w:id="1195311189">
      <w:bodyDiv w:val="1"/>
      <w:marLeft w:val="0"/>
      <w:marRight w:val="0"/>
      <w:marTop w:val="0"/>
      <w:marBottom w:val="0"/>
      <w:divBdr>
        <w:top w:val="none" w:sz="0" w:space="0" w:color="auto"/>
        <w:left w:val="none" w:sz="0" w:space="0" w:color="auto"/>
        <w:bottom w:val="none" w:sz="0" w:space="0" w:color="auto"/>
        <w:right w:val="none" w:sz="0" w:space="0" w:color="auto"/>
      </w:divBdr>
    </w:div>
    <w:div w:id="1195967404">
      <w:bodyDiv w:val="1"/>
      <w:marLeft w:val="0"/>
      <w:marRight w:val="0"/>
      <w:marTop w:val="0"/>
      <w:marBottom w:val="0"/>
      <w:divBdr>
        <w:top w:val="none" w:sz="0" w:space="0" w:color="auto"/>
        <w:left w:val="none" w:sz="0" w:space="0" w:color="auto"/>
        <w:bottom w:val="none" w:sz="0" w:space="0" w:color="auto"/>
        <w:right w:val="none" w:sz="0" w:space="0" w:color="auto"/>
      </w:divBdr>
    </w:div>
    <w:div w:id="1197040016">
      <w:bodyDiv w:val="1"/>
      <w:marLeft w:val="0"/>
      <w:marRight w:val="0"/>
      <w:marTop w:val="0"/>
      <w:marBottom w:val="0"/>
      <w:divBdr>
        <w:top w:val="none" w:sz="0" w:space="0" w:color="auto"/>
        <w:left w:val="none" w:sz="0" w:space="0" w:color="auto"/>
        <w:bottom w:val="none" w:sz="0" w:space="0" w:color="auto"/>
        <w:right w:val="none" w:sz="0" w:space="0" w:color="auto"/>
      </w:divBdr>
    </w:div>
    <w:div w:id="1198005236">
      <w:bodyDiv w:val="1"/>
      <w:marLeft w:val="0"/>
      <w:marRight w:val="0"/>
      <w:marTop w:val="0"/>
      <w:marBottom w:val="0"/>
      <w:divBdr>
        <w:top w:val="none" w:sz="0" w:space="0" w:color="auto"/>
        <w:left w:val="none" w:sz="0" w:space="0" w:color="auto"/>
        <w:bottom w:val="none" w:sz="0" w:space="0" w:color="auto"/>
        <w:right w:val="none" w:sz="0" w:space="0" w:color="auto"/>
      </w:divBdr>
    </w:div>
    <w:div w:id="1198737562">
      <w:bodyDiv w:val="1"/>
      <w:marLeft w:val="0"/>
      <w:marRight w:val="0"/>
      <w:marTop w:val="0"/>
      <w:marBottom w:val="0"/>
      <w:divBdr>
        <w:top w:val="none" w:sz="0" w:space="0" w:color="auto"/>
        <w:left w:val="none" w:sz="0" w:space="0" w:color="auto"/>
        <w:bottom w:val="none" w:sz="0" w:space="0" w:color="auto"/>
        <w:right w:val="none" w:sz="0" w:space="0" w:color="auto"/>
      </w:divBdr>
    </w:div>
    <w:div w:id="1199506888">
      <w:bodyDiv w:val="1"/>
      <w:marLeft w:val="0"/>
      <w:marRight w:val="0"/>
      <w:marTop w:val="0"/>
      <w:marBottom w:val="0"/>
      <w:divBdr>
        <w:top w:val="none" w:sz="0" w:space="0" w:color="auto"/>
        <w:left w:val="none" w:sz="0" w:space="0" w:color="auto"/>
        <w:bottom w:val="none" w:sz="0" w:space="0" w:color="auto"/>
        <w:right w:val="none" w:sz="0" w:space="0" w:color="auto"/>
      </w:divBdr>
    </w:div>
    <w:div w:id="1203706641">
      <w:bodyDiv w:val="1"/>
      <w:marLeft w:val="0"/>
      <w:marRight w:val="0"/>
      <w:marTop w:val="0"/>
      <w:marBottom w:val="0"/>
      <w:divBdr>
        <w:top w:val="none" w:sz="0" w:space="0" w:color="auto"/>
        <w:left w:val="none" w:sz="0" w:space="0" w:color="auto"/>
        <w:bottom w:val="none" w:sz="0" w:space="0" w:color="auto"/>
        <w:right w:val="none" w:sz="0" w:space="0" w:color="auto"/>
      </w:divBdr>
    </w:div>
    <w:div w:id="1204830246">
      <w:bodyDiv w:val="1"/>
      <w:marLeft w:val="0"/>
      <w:marRight w:val="0"/>
      <w:marTop w:val="0"/>
      <w:marBottom w:val="0"/>
      <w:divBdr>
        <w:top w:val="none" w:sz="0" w:space="0" w:color="auto"/>
        <w:left w:val="none" w:sz="0" w:space="0" w:color="auto"/>
        <w:bottom w:val="none" w:sz="0" w:space="0" w:color="auto"/>
        <w:right w:val="none" w:sz="0" w:space="0" w:color="auto"/>
      </w:divBdr>
    </w:div>
    <w:div w:id="1206484360">
      <w:bodyDiv w:val="1"/>
      <w:marLeft w:val="0"/>
      <w:marRight w:val="0"/>
      <w:marTop w:val="0"/>
      <w:marBottom w:val="0"/>
      <w:divBdr>
        <w:top w:val="none" w:sz="0" w:space="0" w:color="auto"/>
        <w:left w:val="none" w:sz="0" w:space="0" w:color="auto"/>
        <w:bottom w:val="none" w:sz="0" w:space="0" w:color="auto"/>
        <w:right w:val="none" w:sz="0" w:space="0" w:color="auto"/>
      </w:divBdr>
    </w:div>
    <w:div w:id="1207066361">
      <w:bodyDiv w:val="1"/>
      <w:marLeft w:val="0"/>
      <w:marRight w:val="0"/>
      <w:marTop w:val="0"/>
      <w:marBottom w:val="0"/>
      <w:divBdr>
        <w:top w:val="none" w:sz="0" w:space="0" w:color="auto"/>
        <w:left w:val="none" w:sz="0" w:space="0" w:color="auto"/>
        <w:bottom w:val="none" w:sz="0" w:space="0" w:color="auto"/>
        <w:right w:val="none" w:sz="0" w:space="0" w:color="auto"/>
      </w:divBdr>
    </w:div>
    <w:div w:id="1208418681">
      <w:bodyDiv w:val="1"/>
      <w:marLeft w:val="0"/>
      <w:marRight w:val="0"/>
      <w:marTop w:val="0"/>
      <w:marBottom w:val="0"/>
      <w:divBdr>
        <w:top w:val="none" w:sz="0" w:space="0" w:color="auto"/>
        <w:left w:val="none" w:sz="0" w:space="0" w:color="auto"/>
        <w:bottom w:val="none" w:sz="0" w:space="0" w:color="auto"/>
        <w:right w:val="none" w:sz="0" w:space="0" w:color="auto"/>
      </w:divBdr>
    </w:div>
    <w:div w:id="1212957385">
      <w:bodyDiv w:val="1"/>
      <w:marLeft w:val="0"/>
      <w:marRight w:val="0"/>
      <w:marTop w:val="0"/>
      <w:marBottom w:val="0"/>
      <w:divBdr>
        <w:top w:val="none" w:sz="0" w:space="0" w:color="auto"/>
        <w:left w:val="none" w:sz="0" w:space="0" w:color="auto"/>
        <w:bottom w:val="none" w:sz="0" w:space="0" w:color="auto"/>
        <w:right w:val="none" w:sz="0" w:space="0" w:color="auto"/>
      </w:divBdr>
    </w:div>
    <w:div w:id="1213469118">
      <w:bodyDiv w:val="1"/>
      <w:marLeft w:val="0"/>
      <w:marRight w:val="0"/>
      <w:marTop w:val="0"/>
      <w:marBottom w:val="0"/>
      <w:divBdr>
        <w:top w:val="none" w:sz="0" w:space="0" w:color="auto"/>
        <w:left w:val="none" w:sz="0" w:space="0" w:color="auto"/>
        <w:bottom w:val="none" w:sz="0" w:space="0" w:color="auto"/>
        <w:right w:val="none" w:sz="0" w:space="0" w:color="auto"/>
      </w:divBdr>
    </w:div>
    <w:div w:id="1216896940">
      <w:bodyDiv w:val="1"/>
      <w:marLeft w:val="0"/>
      <w:marRight w:val="0"/>
      <w:marTop w:val="0"/>
      <w:marBottom w:val="0"/>
      <w:divBdr>
        <w:top w:val="none" w:sz="0" w:space="0" w:color="auto"/>
        <w:left w:val="none" w:sz="0" w:space="0" w:color="auto"/>
        <w:bottom w:val="none" w:sz="0" w:space="0" w:color="auto"/>
        <w:right w:val="none" w:sz="0" w:space="0" w:color="auto"/>
      </w:divBdr>
    </w:div>
    <w:div w:id="1220634686">
      <w:bodyDiv w:val="1"/>
      <w:marLeft w:val="0"/>
      <w:marRight w:val="0"/>
      <w:marTop w:val="0"/>
      <w:marBottom w:val="0"/>
      <w:divBdr>
        <w:top w:val="none" w:sz="0" w:space="0" w:color="auto"/>
        <w:left w:val="none" w:sz="0" w:space="0" w:color="auto"/>
        <w:bottom w:val="none" w:sz="0" w:space="0" w:color="auto"/>
        <w:right w:val="none" w:sz="0" w:space="0" w:color="auto"/>
      </w:divBdr>
    </w:div>
    <w:div w:id="1221208223">
      <w:bodyDiv w:val="1"/>
      <w:marLeft w:val="0"/>
      <w:marRight w:val="0"/>
      <w:marTop w:val="0"/>
      <w:marBottom w:val="0"/>
      <w:divBdr>
        <w:top w:val="none" w:sz="0" w:space="0" w:color="auto"/>
        <w:left w:val="none" w:sz="0" w:space="0" w:color="auto"/>
        <w:bottom w:val="none" w:sz="0" w:space="0" w:color="auto"/>
        <w:right w:val="none" w:sz="0" w:space="0" w:color="auto"/>
      </w:divBdr>
    </w:div>
    <w:div w:id="1221401375">
      <w:bodyDiv w:val="1"/>
      <w:marLeft w:val="0"/>
      <w:marRight w:val="0"/>
      <w:marTop w:val="0"/>
      <w:marBottom w:val="0"/>
      <w:divBdr>
        <w:top w:val="none" w:sz="0" w:space="0" w:color="auto"/>
        <w:left w:val="none" w:sz="0" w:space="0" w:color="auto"/>
        <w:bottom w:val="none" w:sz="0" w:space="0" w:color="auto"/>
        <w:right w:val="none" w:sz="0" w:space="0" w:color="auto"/>
      </w:divBdr>
    </w:div>
    <w:div w:id="1221480238">
      <w:bodyDiv w:val="1"/>
      <w:marLeft w:val="0"/>
      <w:marRight w:val="0"/>
      <w:marTop w:val="0"/>
      <w:marBottom w:val="0"/>
      <w:divBdr>
        <w:top w:val="none" w:sz="0" w:space="0" w:color="auto"/>
        <w:left w:val="none" w:sz="0" w:space="0" w:color="auto"/>
        <w:bottom w:val="none" w:sz="0" w:space="0" w:color="auto"/>
        <w:right w:val="none" w:sz="0" w:space="0" w:color="auto"/>
      </w:divBdr>
    </w:div>
    <w:div w:id="1225992510">
      <w:bodyDiv w:val="1"/>
      <w:marLeft w:val="0"/>
      <w:marRight w:val="0"/>
      <w:marTop w:val="0"/>
      <w:marBottom w:val="0"/>
      <w:divBdr>
        <w:top w:val="none" w:sz="0" w:space="0" w:color="auto"/>
        <w:left w:val="none" w:sz="0" w:space="0" w:color="auto"/>
        <w:bottom w:val="none" w:sz="0" w:space="0" w:color="auto"/>
        <w:right w:val="none" w:sz="0" w:space="0" w:color="auto"/>
      </w:divBdr>
    </w:div>
    <w:div w:id="1227034504">
      <w:bodyDiv w:val="1"/>
      <w:marLeft w:val="0"/>
      <w:marRight w:val="0"/>
      <w:marTop w:val="0"/>
      <w:marBottom w:val="0"/>
      <w:divBdr>
        <w:top w:val="none" w:sz="0" w:space="0" w:color="auto"/>
        <w:left w:val="none" w:sz="0" w:space="0" w:color="auto"/>
        <w:bottom w:val="none" w:sz="0" w:space="0" w:color="auto"/>
        <w:right w:val="none" w:sz="0" w:space="0" w:color="auto"/>
      </w:divBdr>
    </w:div>
    <w:div w:id="1227112253">
      <w:bodyDiv w:val="1"/>
      <w:marLeft w:val="0"/>
      <w:marRight w:val="0"/>
      <w:marTop w:val="0"/>
      <w:marBottom w:val="0"/>
      <w:divBdr>
        <w:top w:val="none" w:sz="0" w:space="0" w:color="auto"/>
        <w:left w:val="none" w:sz="0" w:space="0" w:color="auto"/>
        <w:bottom w:val="none" w:sz="0" w:space="0" w:color="auto"/>
        <w:right w:val="none" w:sz="0" w:space="0" w:color="auto"/>
      </w:divBdr>
    </w:div>
    <w:div w:id="1228765614">
      <w:bodyDiv w:val="1"/>
      <w:marLeft w:val="0"/>
      <w:marRight w:val="0"/>
      <w:marTop w:val="0"/>
      <w:marBottom w:val="0"/>
      <w:divBdr>
        <w:top w:val="none" w:sz="0" w:space="0" w:color="auto"/>
        <w:left w:val="none" w:sz="0" w:space="0" w:color="auto"/>
        <w:bottom w:val="none" w:sz="0" w:space="0" w:color="auto"/>
        <w:right w:val="none" w:sz="0" w:space="0" w:color="auto"/>
      </w:divBdr>
    </w:div>
    <w:div w:id="1232542827">
      <w:bodyDiv w:val="1"/>
      <w:marLeft w:val="0"/>
      <w:marRight w:val="0"/>
      <w:marTop w:val="0"/>
      <w:marBottom w:val="0"/>
      <w:divBdr>
        <w:top w:val="none" w:sz="0" w:space="0" w:color="auto"/>
        <w:left w:val="none" w:sz="0" w:space="0" w:color="auto"/>
        <w:bottom w:val="none" w:sz="0" w:space="0" w:color="auto"/>
        <w:right w:val="none" w:sz="0" w:space="0" w:color="auto"/>
      </w:divBdr>
    </w:div>
    <w:div w:id="1235359230">
      <w:bodyDiv w:val="1"/>
      <w:marLeft w:val="0"/>
      <w:marRight w:val="0"/>
      <w:marTop w:val="0"/>
      <w:marBottom w:val="0"/>
      <w:divBdr>
        <w:top w:val="none" w:sz="0" w:space="0" w:color="auto"/>
        <w:left w:val="none" w:sz="0" w:space="0" w:color="auto"/>
        <w:bottom w:val="none" w:sz="0" w:space="0" w:color="auto"/>
        <w:right w:val="none" w:sz="0" w:space="0" w:color="auto"/>
      </w:divBdr>
    </w:div>
    <w:div w:id="1235434008">
      <w:bodyDiv w:val="1"/>
      <w:marLeft w:val="0"/>
      <w:marRight w:val="0"/>
      <w:marTop w:val="0"/>
      <w:marBottom w:val="0"/>
      <w:divBdr>
        <w:top w:val="none" w:sz="0" w:space="0" w:color="auto"/>
        <w:left w:val="none" w:sz="0" w:space="0" w:color="auto"/>
        <w:bottom w:val="none" w:sz="0" w:space="0" w:color="auto"/>
        <w:right w:val="none" w:sz="0" w:space="0" w:color="auto"/>
      </w:divBdr>
    </w:div>
    <w:div w:id="1235626192">
      <w:bodyDiv w:val="1"/>
      <w:marLeft w:val="0"/>
      <w:marRight w:val="0"/>
      <w:marTop w:val="0"/>
      <w:marBottom w:val="0"/>
      <w:divBdr>
        <w:top w:val="none" w:sz="0" w:space="0" w:color="auto"/>
        <w:left w:val="none" w:sz="0" w:space="0" w:color="auto"/>
        <w:bottom w:val="none" w:sz="0" w:space="0" w:color="auto"/>
        <w:right w:val="none" w:sz="0" w:space="0" w:color="auto"/>
      </w:divBdr>
    </w:div>
    <w:div w:id="1235970144">
      <w:bodyDiv w:val="1"/>
      <w:marLeft w:val="0"/>
      <w:marRight w:val="0"/>
      <w:marTop w:val="0"/>
      <w:marBottom w:val="0"/>
      <w:divBdr>
        <w:top w:val="none" w:sz="0" w:space="0" w:color="auto"/>
        <w:left w:val="none" w:sz="0" w:space="0" w:color="auto"/>
        <w:bottom w:val="none" w:sz="0" w:space="0" w:color="auto"/>
        <w:right w:val="none" w:sz="0" w:space="0" w:color="auto"/>
      </w:divBdr>
    </w:div>
    <w:div w:id="1237282417">
      <w:bodyDiv w:val="1"/>
      <w:marLeft w:val="0"/>
      <w:marRight w:val="0"/>
      <w:marTop w:val="0"/>
      <w:marBottom w:val="0"/>
      <w:divBdr>
        <w:top w:val="none" w:sz="0" w:space="0" w:color="auto"/>
        <w:left w:val="none" w:sz="0" w:space="0" w:color="auto"/>
        <w:bottom w:val="none" w:sz="0" w:space="0" w:color="auto"/>
        <w:right w:val="none" w:sz="0" w:space="0" w:color="auto"/>
      </w:divBdr>
    </w:div>
    <w:div w:id="1237938954">
      <w:bodyDiv w:val="1"/>
      <w:marLeft w:val="0"/>
      <w:marRight w:val="0"/>
      <w:marTop w:val="0"/>
      <w:marBottom w:val="0"/>
      <w:divBdr>
        <w:top w:val="none" w:sz="0" w:space="0" w:color="auto"/>
        <w:left w:val="none" w:sz="0" w:space="0" w:color="auto"/>
        <w:bottom w:val="none" w:sz="0" w:space="0" w:color="auto"/>
        <w:right w:val="none" w:sz="0" w:space="0" w:color="auto"/>
      </w:divBdr>
    </w:div>
    <w:div w:id="1242376748">
      <w:bodyDiv w:val="1"/>
      <w:marLeft w:val="0"/>
      <w:marRight w:val="0"/>
      <w:marTop w:val="0"/>
      <w:marBottom w:val="0"/>
      <w:divBdr>
        <w:top w:val="none" w:sz="0" w:space="0" w:color="auto"/>
        <w:left w:val="none" w:sz="0" w:space="0" w:color="auto"/>
        <w:bottom w:val="none" w:sz="0" w:space="0" w:color="auto"/>
        <w:right w:val="none" w:sz="0" w:space="0" w:color="auto"/>
      </w:divBdr>
    </w:div>
    <w:div w:id="1244946779">
      <w:bodyDiv w:val="1"/>
      <w:marLeft w:val="0"/>
      <w:marRight w:val="0"/>
      <w:marTop w:val="0"/>
      <w:marBottom w:val="0"/>
      <w:divBdr>
        <w:top w:val="none" w:sz="0" w:space="0" w:color="auto"/>
        <w:left w:val="none" w:sz="0" w:space="0" w:color="auto"/>
        <w:bottom w:val="none" w:sz="0" w:space="0" w:color="auto"/>
        <w:right w:val="none" w:sz="0" w:space="0" w:color="auto"/>
      </w:divBdr>
    </w:div>
    <w:div w:id="1245803926">
      <w:bodyDiv w:val="1"/>
      <w:marLeft w:val="0"/>
      <w:marRight w:val="0"/>
      <w:marTop w:val="0"/>
      <w:marBottom w:val="0"/>
      <w:divBdr>
        <w:top w:val="none" w:sz="0" w:space="0" w:color="auto"/>
        <w:left w:val="none" w:sz="0" w:space="0" w:color="auto"/>
        <w:bottom w:val="none" w:sz="0" w:space="0" w:color="auto"/>
        <w:right w:val="none" w:sz="0" w:space="0" w:color="auto"/>
      </w:divBdr>
    </w:div>
    <w:div w:id="1252203208">
      <w:bodyDiv w:val="1"/>
      <w:marLeft w:val="0"/>
      <w:marRight w:val="0"/>
      <w:marTop w:val="0"/>
      <w:marBottom w:val="0"/>
      <w:divBdr>
        <w:top w:val="none" w:sz="0" w:space="0" w:color="auto"/>
        <w:left w:val="none" w:sz="0" w:space="0" w:color="auto"/>
        <w:bottom w:val="none" w:sz="0" w:space="0" w:color="auto"/>
        <w:right w:val="none" w:sz="0" w:space="0" w:color="auto"/>
      </w:divBdr>
    </w:div>
    <w:div w:id="1258367792">
      <w:bodyDiv w:val="1"/>
      <w:marLeft w:val="0"/>
      <w:marRight w:val="0"/>
      <w:marTop w:val="0"/>
      <w:marBottom w:val="0"/>
      <w:divBdr>
        <w:top w:val="none" w:sz="0" w:space="0" w:color="auto"/>
        <w:left w:val="none" w:sz="0" w:space="0" w:color="auto"/>
        <w:bottom w:val="none" w:sz="0" w:space="0" w:color="auto"/>
        <w:right w:val="none" w:sz="0" w:space="0" w:color="auto"/>
      </w:divBdr>
    </w:div>
    <w:div w:id="1259293803">
      <w:bodyDiv w:val="1"/>
      <w:marLeft w:val="0"/>
      <w:marRight w:val="0"/>
      <w:marTop w:val="0"/>
      <w:marBottom w:val="0"/>
      <w:divBdr>
        <w:top w:val="none" w:sz="0" w:space="0" w:color="auto"/>
        <w:left w:val="none" w:sz="0" w:space="0" w:color="auto"/>
        <w:bottom w:val="none" w:sz="0" w:space="0" w:color="auto"/>
        <w:right w:val="none" w:sz="0" w:space="0" w:color="auto"/>
      </w:divBdr>
    </w:div>
    <w:div w:id="1261834174">
      <w:bodyDiv w:val="1"/>
      <w:marLeft w:val="0"/>
      <w:marRight w:val="0"/>
      <w:marTop w:val="0"/>
      <w:marBottom w:val="0"/>
      <w:divBdr>
        <w:top w:val="none" w:sz="0" w:space="0" w:color="auto"/>
        <w:left w:val="none" w:sz="0" w:space="0" w:color="auto"/>
        <w:bottom w:val="none" w:sz="0" w:space="0" w:color="auto"/>
        <w:right w:val="none" w:sz="0" w:space="0" w:color="auto"/>
      </w:divBdr>
    </w:div>
    <w:div w:id="1263296623">
      <w:bodyDiv w:val="1"/>
      <w:marLeft w:val="0"/>
      <w:marRight w:val="0"/>
      <w:marTop w:val="0"/>
      <w:marBottom w:val="0"/>
      <w:divBdr>
        <w:top w:val="none" w:sz="0" w:space="0" w:color="auto"/>
        <w:left w:val="none" w:sz="0" w:space="0" w:color="auto"/>
        <w:bottom w:val="none" w:sz="0" w:space="0" w:color="auto"/>
        <w:right w:val="none" w:sz="0" w:space="0" w:color="auto"/>
      </w:divBdr>
    </w:div>
    <w:div w:id="1267957396">
      <w:bodyDiv w:val="1"/>
      <w:marLeft w:val="0"/>
      <w:marRight w:val="0"/>
      <w:marTop w:val="0"/>
      <w:marBottom w:val="0"/>
      <w:divBdr>
        <w:top w:val="none" w:sz="0" w:space="0" w:color="auto"/>
        <w:left w:val="none" w:sz="0" w:space="0" w:color="auto"/>
        <w:bottom w:val="none" w:sz="0" w:space="0" w:color="auto"/>
        <w:right w:val="none" w:sz="0" w:space="0" w:color="auto"/>
      </w:divBdr>
    </w:div>
    <w:div w:id="1269124463">
      <w:bodyDiv w:val="1"/>
      <w:marLeft w:val="0"/>
      <w:marRight w:val="0"/>
      <w:marTop w:val="0"/>
      <w:marBottom w:val="0"/>
      <w:divBdr>
        <w:top w:val="none" w:sz="0" w:space="0" w:color="auto"/>
        <w:left w:val="none" w:sz="0" w:space="0" w:color="auto"/>
        <w:bottom w:val="none" w:sz="0" w:space="0" w:color="auto"/>
        <w:right w:val="none" w:sz="0" w:space="0" w:color="auto"/>
      </w:divBdr>
    </w:div>
    <w:div w:id="1271162248">
      <w:bodyDiv w:val="1"/>
      <w:marLeft w:val="0"/>
      <w:marRight w:val="0"/>
      <w:marTop w:val="0"/>
      <w:marBottom w:val="0"/>
      <w:divBdr>
        <w:top w:val="none" w:sz="0" w:space="0" w:color="auto"/>
        <w:left w:val="none" w:sz="0" w:space="0" w:color="auto"/>
        <w:bottom w:val="none" w:sz="0" w:space="0" w:color="auto"/>
        <w:right w:val="none" w:sz="0" w:space="0" w:color="auto"/>
      </w:divBdr>
    </w:div>
    <w:div w:id="1274485235">
      <w:bodyDiv w:val="1"/>
      <w:marLeft w:val="0"/>
      <w:marRight w:val="0"/>
      <w:marTop w:val="0"/>
      <w:marBottom w:val="0"/>
      <w:divBdr>
        <w:top w:val="none" w:sz="0" w:space="0" w:color="auto"/>
        <w:left w:val="none" w:sz="0" w:space="0" w:color="auto"/>
        <w:bottom w:val="none" w:sz="0" w:space="0" w:color="auto"/>
        <w:right w:val="none" w:sz="0" w:space="0" w:color="auto"/>
      </w:divBdr>
    </w:div>
    <w:div w:id="1275867014">
      <w:bodyDiv w:val="1"/>
      <w:marLeft w:val="0"/>
      <w:marRight w:val="0"/>
      <w:marTop w:val="0"/>
      <w:marBottom w:val="0"/>
      <w:divBdr>
        <w:top w:val="none" w:sz="0" w:space="0" w:color="auto"/>
        <w:left w:val="none" w:sz="0" w:space="0" w:color="auto"/>
        <w:bottom w:val="none" w:sz="0" w:space="0" w:color="auto"/>
        <w:right w:val="none" w:sz="0" w:space="0" w:color="auto"/>
      </w:divBdr>
    </w:div>
    <w:div w:id="1280531981">
      <w:bodyDiv w:val="1"/>
      <w:marLeft w:val="0"/>
      <w:marRight w:val="0"/>
      <w:marTop w:val="0"/>
      <w:marBottom w:val="0"/>
      <w:divBdr>
        <w:top w:val="none" w:sz="0" w:space="0" w:color="auto"/>
        <w:left w:val="none" w:sz="0" w:space="0" w:color="auto"/>
        <w:bottom w:val="none" w:sz="0" w:space="0" w:color="auto"/>
        <w:right w:val="none" w:sz="0" w:space="0" w:color="auto"/>
      </w:divBdr>
    </w:div>
    <w:div w:id="1283151140">
      <w:bodyDiv w:val="1"/>
      <w:marLeft w:val="0"/>
      <w:marRight w:val="0"/>
      <w:marTop w:val="0"/>
      <w:marBottom w:val="0"/>
      <w:divBdr>
        <w:top w:val="none" w:sz="0" w:space="0" w:color="auto"/>
        <w:left w:val="none" w:sz="0" w:space="0" w:color="auto"/>
        <w:bottom w:val="none" w:sz="0" w:space="0" w:color="auto"/>
        <w:right w:val="none" w:sz="0" w:space="0" w:color="auto"/>
      </w:divBdr>
    </w:div>
    <w:div w:id="1283808884">
      <w:bodyDiv w:val="1"/>
      <w:marLeft w:val="0"/>
      <w:marRight w:val="0"/>
      <w:marTop w:val="0"/>
      <w:marBottom w:val="0"/>
      <w:divBdr>
        <w:top w:val="none" w:sz="0" w:space="0" w:color="auto"/>
        <w:left w:val="none" w:sz="0" w:space="0" w:color="auto"/>
        <w:bottom w:val="none" w:sz="0" w:space="0" w:color="auto"/>
        <w:right w:val="none" w:sz="0" w:space="0" w:color="auto"/>
      </w:divBdr>
    </w:div>
    <w:div w:id="1285889886">
      <w:bodyDiv w:val="1"/>
      <w:marLeft w:val="0"/>
      <w:marRight w:val="0"/>
      <w:marTop w:val="0"/>
      <w:marBottom w:val="0"/>
      <w:divBdr>
        <w:top w:val="none" w:sz="0" w:space="0" w:color="auto"/>
        <w:left w:val="none" w:sz="0" w:space="0" w:color="auto"/>
        <w:bottom w:val="none" w:sz="0" w:space="0" w:color="auto"/>
        <w:right w:val="none" w:sz="0" w:space="0" w:color="auto"/>
      </w:divBdr>
    </w:div>
    <w:div w:id="1289242771">
      <w:bodyDiv w:val="1"/>
      <w:marLeft w:val="0"/>
      <w:marRight w:val="0"/>
      <w:marTop w:val="0"/>
      <w:marBottom w:val="0"/>
      <w:divBdr>
        <w:top w:val="none" w:sz="0" w:space="0" w:color="auto"/>
        <w:left w:val="none" w:sz="0" w:space="0" w:color="auto"/>
        <w:bottom w:val="none" w:sz="0" w:space="0" w:color="auto"/>
        <w:right w:val="none" w:sz="0" w:space="0" w:color="auto"/>
      </w:divBdr>
    </w:div>
    <w:div w:id="1289820456">
      <w:bodyDiv w:val="1"/>
      <w:marLeft w:val="0"/>
      <w:marRight w:val="0"/>
      <w:marTop w:val="0"/>
      <w:marBottom w:val="0"/>
      <w:divBdr>
        <w:top w:val="none" w:sz="0" w:space="0" w:color="auto"/>
        <w:left w:val="none" w:sz="0" w:space="0" w:color="auto"/>
        <w:bottom w:val="none" w:sz="0" w:space="0" w:color="auto"/>
        <w:right w:val="none" w:sz="0" w:space="0" w:color="auto"/>
      </w:divBdr>
    </w:div>
    <w:div w:id="1290089146">
      <w:bodyDiv w:val="1"/>
      <w:marLeft w:val="0"/>
      <w:marRight w:val="0"/>
      <w:marTop w:val="0"/>
      <w:marBottom w:val="0"/>
      <w:divBdr>
        <w:top w:val="none" w:sz="0" w:space="0" w:color="auto"/>
        <w:left w:val="none" w:sz="0" w:space="0" w:color="auto"/>
        <w:bottom w:val="none" w:sz="0" w:space="0" w:color="auto"/>
        <w:right w:val="none" w:sz="0" w:space="0" w:color="auto"/>
      </w:divBdr>
    </w:div>
    <w:div w:id="1291012012">
      <w:bodyDiv w:val="1"/>
      <w:marLeft w:val="0"/>
      <w:marRight w:val="0"/>
      <w:marTop w:val="0"/>
      <w:marBottom w:val="0"/>
      <w:divBdr>
        <w:top w:val="none" w:sz="0" w:space="0" w:color="auto"/>
        <w:left w:val="none" w:sz="0" w:space="0" w:color="auto"/>
        <w:bottom w:val="none" w:sz="0" w:space="0" w:color="auto"/>
        <w:right w:val="none" w:sz="0" w:space="0" w:color="auto"/>
      </w:divBdr>
    </w:div>
    <w:div w:id="1295988109">
      <w:bodyDiv w:val="1"/>
      <w:marLeft w:val="0"/>
      <w:marRight w:val="0"/>
      <w:marTop w:val="0"/>
      <w:marBottom w:val="0"/>
      <w:divBdr>
        <w:top w:val="none" w:sz="0" w:space="0" w:color="auto"/>
        <w:left w:val="none" w:sz="0" w:space="0" w:color="auto"/>
        <w:bottom w:val="none" w:sz="0" w:space="0" w:color="auto"/>
        <w:right w:val="none" w:sz="0" w:space="0" w:color="auto"/>
      </w:divBdr>
    </w:div>
    <w:div w:id="1296713040">
      <w:bodyDiv w:val="1"/>
      <w:marLeft w:val="0"/>
      <w:marRight w:val="0"/>
      <w:marTop w:val="0"/>
      <w:marBottom w:val="0"/>
      <w:divBdr>
        <w:top w:val="none" w:sz="0" w:space="0" w:color="auto"/>
        <w:left w:val="none" w:sz="0" w:space="0" w:color="auto"/>
        <w:bottom w:val="none" w:sz="0" w:space="0" w:color="auto"/>
        <w:right w:val="none" w:sz="0" w:space="0" w:color="auto"/>
      </w:divBdr>
    </w:div>
    <w:div w:id="1296987959">
      <w:bodyDiv w:val="1"/>
      <w:marLeft w:val="0"/>
      <w:marRight w:val="0"/>
      <w:marTop w:val="0"/>
      <w:marBottom w:val="0"/>
      <w:divBdr>
        <w:top w:val="none" w:sz="0" w:space="0" w:color="auto"/>
        <w:left w:val="none" w:sz="0" w:space="0" w:color="auto"/>
        <w:bottom w:val="none" w:sz="0" w:space="0" w:color="auto"/>
        <w:right w:val="none" w:sz="0" w:space="0" w:color="auto"/>
      </w:divBdr>
    </w:div>
    <w:div w:id="1298415837">
      <w:bodyDiv w:val="1"/>
      <w:marLeft w:val="0"/>
      <w:marRight w:val="0"/>
      <w:marTop w:val="0"/>
      <w:marBottom w:val="0"/>
      <w:divBdr>
        <w:top w:val="none" w:sz="0" w:space="0" w:color="auto"/>
        <w:left w:val="none" w:sz="0" w:space="0" w:color="auto"/>
        <w:bottom w:val="none" w:sz="0" w:space="0" w:color="auto"/>
        <w:right w:val="none" w:sz="0" w:space="0" w:color="auto"/>
      </w:divBdr>
    </w:div>
    <w:div w:id="1301808459">
      <w:bodyDiv w:val="1"/>
      <w:marLeft w:val="0"/>
      <w:marRight w:val="0"/>
      <w:marTop w:val="0"/>
      <w:marBottom w:val="0"/>
      <w:divBdr>
        <w:top w:val="none" w:sz="0" w:space="0" w:color="auto"/>
        <w:left w:val="none" w:sz="0" w:space="0" w:color="auto"/>
        <w:bottom w:val="none" w:sz="0" w:space="0" w:color="auto"/>
        <w:right w:val="none" w:sz="0" w:space="0" w:color="auto"/>
      </w:divBdr>
    </w:div>
    <w:div w:id="1304969510">
      <w:bodyDiv w:val="1"/>
      <w:marLeft w:val="0"/>
      <w:marRight w:val="0"/>
      <w:marTop w:val="0"/>
      <w:marBottom w:val="0"/>
      <w:divBdr>
        <w:top w:val="none" w:sz="0" w:space="0" w:color="auto"/>
        <w:left w:val="none" w:sz="0" w:space="0" w:color="auto"/>
        <w:bottom w:val="none" w:sz="0" w:space="0" w:color="auto"/>
        <w:right w:val="none" w:sz="0" w:space="0" w:color="auto"/>
      </w:divBdr>
    </w:div>
    <w:div w:id="1306088398">
      <w:bodyDiv w:val="1"/>
      <w:marLeft w:val="0"/>
      <w:marRight w:val="0"/>
      <w:marTop w:val="0"/>
      <w:marBottom w:val="0"/>
      <w:divBdr>
        <w:top w:val="none" w:sz="0" w:space="0" w:color="auto"/>
        <w:left w:val="none" w:sz="0" w:space="0" w:color="auto"/>
        <w:bottom w:val="none" w:sz="0" w:space="0" w:color="auto"/>
        <w:right w:val="none" w:sz="0" w:space="0" w:color="auto"/>
      </w:divBdr>
    </w:div>
    <w:div w:id="1309244348">
      <w:bodyDiv w:val="1"/>
      <w:marLeft w:val="0"/>
      <w:marRight w:val="0"/>
      <w:marTop w:val="0"/>
      <w:marBottom w:val="0"/>
      <w:divBdr>
        <w:top w:val="none" w:sz="0" w:space="0" w:color="auto"/>
        <w:left w:val="none" w:sz="0" w:space="0" w:color="auto"/>
        <w:bottom w:val="none" w:sz="0" w:space="0" w:color="auto"/>
        <w:right w:val="none" w:sz="0" w:space="0" w:color="auto"/>
      </w:divBdr>
    </w:div>
    <w:div w:id="1311909397">
      <w:bodyDiv w:val="1"/>
      <w:marLeft w:val="0"/>
      <w:marRight w:val="0"/>
      <w:marTop w:val="0"/>
      <w:marBottom w:val="0"/>
      <w:divBdr>
        <w:top w:val="none" w:sz="0" w:space="0" w:color="auto"/>
        <w:left w:val="none" w:sz="0" w:space="0" w:color="auto"/>
        <w:bottom w:val="none" w:sz="0" w:space="0" w:color="auto"/>
        <w:right w:val="none" w:sz="0" w:space="0" w:color="auto"/>
      </w:divBdr>
    </w:div>
    <w:div w:id="1321159247">
      <w:bodyDiv w:val="1"/>
      <w:marLeft w:val="0"/>
      <w:marRight w:val="0"/>
      <w:marTop w:val="0"/>
      <w:marBottom w:val="0"/>
      <w:divBdr>
        <w:top w:val="none" w:sz="0" w:space="0" w:color="auto"/>
        <w:left w:val="none" w:sz="0" w:space="0" w:color="auto"/>
        <w:bottom w:val="none" w:sz="0" w:space="0" w:color="auto"/>
        <w:right w:val="none" w:sz="0" w:space="0" w:color="auto"/>
      </w:divBdr>
    </w:div>
    <w:div w:id="1321886420">
      <w:bodyDiv w:val="1"/>
      <w:marLeft w:val="0"/>
      <w:marRight w:val="0"/>
      <w:marTop w:val="0"/>
      <w:marBottom w:val="0"/>
      <w:divBdr>
        <w:top w:val="none" w:sz="0" w:space="0" w:color="auto"/>
        <w:left w:val="none" w:sz="0" w:space="0" w:color="auto"/>
        <w:bottom w:val="none" w:sz="0" w:space="0" w:color="auto"/>
        <w:right w:val="none" w:sz="0" w:space="0" w:color="auto"/>
      </w:divBdr>
    </w:div>
    <w:div w:id="1322078711">
      <w:bodyDiv w:val="1"/>
      <w:marLeft w:val="0"/>
      <w:marRight w:val="0"/>
      <w:marTop w:val="0"/>
      <w:marBottom w:val="0"/>
      <w:divBdr>
        <w:top w:val="none" w:sz="0" w:space="0" w:color="auto"/>
        <w:left w:val="none" w:sz="0" w:space="0" w:color="auto"/>
        <w:bottom w:val="none" w:sz="0" w:space="0" w:color="auto"/>
        <w:right w:val="none" w:sz="0" w:space="0" w:color="auto"/>
      </w:divBdr>
    </w:div>
    <w:div w:id="1325358753">
      <w:bodyDiv w:val="1"/>
      <w:marLeft w:val="0"/>
      <w:marRight w:val="0"/>
      <w:marTop w:val="0"/>
      <w:marBottom w:val="0"/>
      <w:divBdr>
        <w:top w:val="none" w:sz="0" w:space="0" w:color="auto"/>
        <w:left w:val="none" w:sz="0" w:space="0" w:color="auto"/>
        <w:bottom w:val="none" w:sz="0" w:space="0" w:color="auto"/>
        <w:right w:val="none" w:sz="0" w:space="0" w:color="auto"/>
      </w:divBdr>
    </w:div>
    <w:div w:id="1328437909">
      <w:bodyDiv w:val="1"/>
      <w:marLeft w:val="0"/>
      <w:marRight w:val="0"/>
      <w:marTop w:val="0"/>
      <w:marBottom w:val="0"/>
      <w:divBdr>
        <w:top w:val="none" w:sz="0" w:space="0" w:color="auto"/>
        <w:left w:val="none" w:sz="0" w:space="0" w:color="auto"/>
        <w:bottom w:val="none" w:sz="0" w:space="0" w:color="auto"/>
        <w:right w:val="none" w:sz="0" w:space="0" w:color="auto"/>
      </w:divBdr>
    </w:div>
    <w:div w:id="1329137272">
      <w:bodyDiv w:val="1"/>
      <w:marLeft w:val="0"/>
      <w:marRight w:val="0"/>
      <w:marTop w:val="0"/>
      <w:marBottom w:val="0"/>
      <w:divBdr>
        <w:top w:val="none" w:sz="0" w:space="0" w:color="auto"/>
        <w:left w:val="none" w:sz="0" w:space="0" w:color="auto"/>
        <w:bottom w:val="none" w:sz="0" w:space="0" w:color="auto"/>
        <w:right w:val="none" w:sz="0" w:space="0" w:color="auto"/>
      </w:divBdr>
    </w:div>
    <w:div w:id="1330209956">
      <w:bodyDiv w:val="1"/>
      <w:marLeft w:val="0"/>
      <w:marRight w:val="0"/>
      <w:marTop w:val="0"/>
      <w:marBottom w:val="0"/>
      <w:divBdr>
        <w:top w:val="none" w:sz="0" w:space="0" w:color="auto"/>
        <w:left w:val="none" w:sz="0" w:space="0" w:color="auto"/>
        <w:bottom w:val="none" w:sz="0" w:space="0" w:color="auto"/>
        <w:right w:val="none" w:sz="0" w:space="0" w:color="auto"/>
      </w:divBdr>
    </w:div>
    <w:div w:id="1333069799">
      <w:bodyDiv w:val="1"/>
      <w:marLeft w:val="0"/>
      <w:marRight w:val="0"/>
      <w:marTop w:val="0"/>
      <w:marBottom w:val="0"/>
      <w:divBdr>
        <w:top w:val="none" w:sz="0" w:space="0" w:color="auto"/>
        <w:left w:val="none" w:sz="0" w:space="0" w:color="auto"/>
        <w:bottom w:val="none" w:sz="0" w:space="0" w:color="auto"/>
        <w:right w:val="none" w:sz="0" w:space="0" w:color="auto"/>
      </w:divBdr>
    </w:div>
    <w:div w:id="1333217015">
      <w:bodyDiv w:val="1"/>
      <w:marLeft w:val="0"/>
      <w:marRight w:val="0"/>
      <w:marTop w:val="0"/>
      <w:marBottom w:val="0"/>
      <w:divBdr>
        <w:top w:val="none" w:sz="0" w:space="0" w:color="auto"/>
        <w:left w:val="none" w:sz="0" w:space="0" w:color="auto"/>
        <w:bottom w:val="none" w:sz="0" w:space="0" w:color="auto"/>
        <w:right w:val="none" w:sz="0" w:space="0" w:color="auto"/>
      </w:divBdr>
    </w:div>
    <w:div w:id="1338918832">
      <w:bodyDiv w:val="1"/>
      <w:marLeft w:val="0"/>
      <w:marRight w:val="0"/>
      <w:marTop w:val="0"/>
      <w:marBottom w:val="0"/>
      <w:divBdr>
        <w:top w:val="none" w:sz="0" w:space="0" w:color="auto"/>
        <w:left w:val="none" w:sz="0" w:space="0" w:color="auto"/>
        <w:bottom w:val="none" w:sz="0" w:space="0" w:color="auto"/>
        <w:right w:val="none" w:sz="0" w:space="0" w:color="auto"/>
      </w:divBdr>
    </w:div>
    <w:div w:id="1342776703">
      <w:bodyDiv w:val="1"/>
      <w:marLeft w:val="0"/>
      <w:marRight w:val="0"/>
      <w:marTop w:val="0"/>
      <w:marBottom w:val="0"/>
      <w:divBdr>
        <w:top w:val="none" w:sz="0" w:space="0" w:color="auto"/>
        <w:left w:val="none" w:sz="0" w:space="0" w:color="auto"/>
        <w:bottom w:val="none" w:sz="0" w:space="0" w:color="auto"/>
        <w:right w:val="none" w:sz="0" w:space="0" w:color="auto"/>
      </w:divBdr>
    </w:div>
    <w:div w:id="1343554446">
      <w:bodyDiv w:val="1"/>
      <w:marLeft w:val="0"/>
      <w:marRight w:val="0"/>
      <w:marTop w:val="0"/>
      <w:marBottom w:val="0"/>
      <w:divBdr>
        <w:top w:val="none" w:sz="0" w:space="0" w:color="auto"/>
        <w:left w:val="none" w:sz="0" w:space="0" w:color="auto"/>
        <w:bottom w:val="none" w:sz="0" w:space="0" w:color="auto"/>
        <w:right w:val="none" w:sz="0" w:space="0" w:color="auto"/>
      </w:divBdr>
    </w:div>
    <w:div w:id="1350445322">
      <w:bodyDiv w:val="1"/>
      <w:marLeft w:val="0"/>
      <w:marRight w:val="0"/>
      <w:marTop w:val="0"/>
      <w:marBottom w:val="0"/>
      <w:divBdr>
        <w:top w:val="none" w:sz="0" w:space="0" w:color="auto"/>
        <w:left w:val="none" w:sz="0" w:space="0" w:color="auto"/>
        <w:bottom w:val="none" w:sz="0" w:space="0" w:color="auto"/>
        <w:right w:val="none" w:sz="0" w:space="0" w:color="auto"/>
      </w:divBdr>
      <w:divsChild>
        <w:div w:id="193426439">
          <w:marLeft w:val="0"/>
          <w:marRight w:val="0"/>
          <w:marTop w:val="0"/>
          <w:marBottom w:val="0"/>
          <w:divBdr>
            <w:top w:val="none" w:sz="0" w:space="0" w:color="auto"/>
            <w:left w:val="none" w:sz="0" w:space="0" w:color="auto"/>
            <w:bottom w:val="none" w:sz="0" w:space="0" w:color="auto"/>
            <w:right w:val="none" w:sz="0" w:space="0" w:color="auto"/>
          </w:divBdr>
        </w:div>
      </w:divsChild>
    </w:div>
    <w:div w:id="1350721005">
      <w:bodyDiv w:val="1"/>
      <w:marLeft w:val="0"/>
      <w:marRight w:val="0"/>
      <w:marTop w:val="0"/>
      <w:marBottom w:val="0"/>
      <w:divBdr>
        <w:top w:val="none" w:sz="0" w:space="0" w:color="auto"/>
        <w:left w:val="none" w:sz="0" w:space="0" w:color="auto"/>
        <w:bottom w:val="none" w:sz="0" w:space="0" w:color="auto"/>
        <w:right w:val="none" w:sz="0" w:space="0" w:color="auto"/>
      </w:divBdr>
    </w:div>
    <w:div w:id="1351878865">
      <w:bodyDiv w:val="1"/>
      <w:marLeft w:val="0"/>
      <w:marRight w:val="0"/>
      <w:marTop w:val="0"/>
      <w:marBottom w:val="0"/>
      <w:divBdr>
        <w:top w:val="none" w:sz="0" w:space="0" w:color="auto"/>
        <w:left w:val="none" w:sz="0" w:space="0" w:color="auto"/>
        <w:bottom w:val="none" w:sz="0" w:space="0" w:color="auto"/>
        <w:right w:val="none" w:sz="0" w:space="0" w:color="auto"/>
      </w:divBdr>
    </w:div>
    <w:div w:id="1354261484">
      <w:bodyDiv w:val="1"/>
      <w:marLeft w:val="0"/>
      <w:marRight w:val="0"/>
      <w:marTop w:val="0"/>
      <w:marBottom w:val="0"/>
      <w:divBdr>
        <w:top w:val="none" w:sz="0" w:space="0" w:color="auto"/>
        <w:left w:val="none" w:sz="0" w:space="0" w:color="auto"/>
        <w:bottom w:val="none" w:sz="0" w:space="0" w:color="auto"/>
        <w:right w:val="none" w:sz="0" w:space="0" w:color="auto"/>
      </w:divBdr>
    </w:div>
    <w:div w:id="1358432399">
      <w:bodyDiv w:val="1"/>
      <w:marLeft w:val="0"/>
      <w:marRight w:val="0"/>
      <w:marTop w:val="0"/>
      <w:marBottom w:val="0"/>
      <w:divBdr>
        <w:top w:val="none" w:sz="0" w:space="0" w:color="auto"/>
        <w:left w:val="none" w:sz="0" w:space="0" w:color="auto"/>
        <w:bottom w:val="none" w:sz="0" w:space="0" w:color="auto"/>
        <w:right w:val="none" w:sz="0" w:space="0" w:color="auto"/>
      </w:divBdr>
    </w:div>
    <w:div w:id="1365403618">
      <w:bodyDiv w:val="1"/>
      <w:marLeft w:val="0"/>
      <w:marRight w:val="0"/>
      <w:marTop w:val="0"/>
      <w:marBottom w:val="0"/>
      <w:divBdr>
        <w:top w:val="none" w:sz="0" w:space="0" w:color="auto"/>
        <w:left w:val="none" w:sz="0" w:space="0" w:color="auto"/>
        <w:bottom w:val="none" w:sz="0" w:space="0" w:color="auto"/>
        <w:right w:val="none" w:sz="0" w:space="0" w:color="auto"/>
      </w:divBdr>
    </w:div>
    <w:div w:id="1367219569">
      <w:bodyDiv w:val="1"/>
      <w:marLeft w:val="0"/>
      <w:marRight w:val="0"/>
      <w:marTop w:val="0"/>
      <w:marBottom w:val="0"/>
      <w:divBdr>
        <w:top w:val="none" w:sz="0" w:space="0" w:color="auto"/>
        <w:left w:val="none" w:sz="0" w:space="0" w:color="auto"/>
        <w:bottom w:val="none" w:sz="0" w:space="0" w:color="auto"/>
        <w:right w:val="none" w:sz="0" w:space="0" w:color="auto"/>
      </w:divBdr>
    </w:div>
    <w:div w:id="1372723813">
      <w:bodyDiv w:val="1"/>
      <w:marLeft w:val="0"/>
      <w:marRight w:val="0"/>
      <w:marTop w:val="0"/>
      <w:marBottom w:val="0"/>
      <w:divBdr>
        <w:top w:val="none" w:sz="0" w:space="0" w:color="auto"/>
        <w:left w:val="none" w:sz="0" w:space="0" w:color="auto"/>
        <w:bottom w:val="none" w:sz="0" w:space="0" w:color="auto"/>
        <w:right w:val="none" w:sz="0" w:space="0" w:color="auto"/>
      </w:divBdr>
    </w:div>
    <w:div w:id="1374504659">
      <w:bodyDiv w:val="1"/>
      <w:marLeft w:val="0"/>
      <w:marRight w:val="0"/>
      <w:marTop w:val="0"/>
      <w:marBottom w:val="0"/>
      <w:divBdr>
        <w:top w:val="none" w:sz="0" w:space="0" w:color="auto"/>
        <w:left w:val="none" w:sz="0" w:space="0" w:color="auto"/>
        <w:bottom w:val="none" w:sz="0" w:space="0" w:color="auto"/>
        <w:right w:val="none" w:sz="0" w:space="0" w:color="auto"/>
      </w:divBdr>
    </w:div>
    <w:div w:id="1376157456">
      <w:bodyDiv w:val="1"/>
      <w:marLeft w:val="0"/>
      <w:marRight w:val="0"/>
      <w:marTop w:val="0"/>
      <w:marBottom w:val="0"/>
      <w:divBdr>
        <w:top w:val="none" w:sz="0" w:space="0" w:color="auto"/>
        <w:left w:val="none" w:sz="0" w:space="0" w:color="auto"/>
        <w:bottom w:val="none" w:sz="0" w:space="0" w:color="auto"/>
        <w:right w:val="none" w:sz="0" w:space="0" w:color="auto"/>
      </w:divBdr>
    </w:div>
    <w:div w:id="1377317760">
      <w:bodyDiv w:val="1"/>
      <w:marLeft w:val="0"/>
      <w:marRight w:val="0"/>
      <w:marTop w:val="0"/>
      <w:marBottom w:val="0"/>
      <w:divBdr>
        <w:top w:val="none" w:sz="0" w:space="0" w:color="auto"/>
        <w:left w:val="none" w:sz="0" w:space="0" w:color="auto"/>
        <w:bottom w:val="none" w:sz="0" w:space="0" w:color="auto"/>
        <w:right w:val="none" w:sz="0" w:space="0" w:color="auto"/>
      </w:divBdr>
    </w:div>
    <w:div w:id="1377588303">
      <w:bodyDiv w:val="1"/>
      <w:marLeft w:val="0"/>
      <w:marRight w:val="0"/>
      <w:marTop w:val="0"/>
      <w:marBottom w:val="0"/>
      <w:divBdr>
        <w:top w:val="none" w:sz="0" w:space="0" w:color="auto"/>
        <w:left w:val="none" w:sz="0" w:space="0" w:color="auto"/>
        <w:bottom w:val="none" w:sz="0" w:space="0" w:color="auto"/>
        <w:right w:val="none" w:sz="0" w:space="0" w:color="auto"/>
      </w:divBdr>
    </w:div>
    <w:div w:id="1378166459">
      <w:bodyDiv w:val="1"/>
      <w:marLeft w:val="0"/>
      <w:marRight w:val="0"/>
      <w:marTop w:val="0"/>
      <w:marBottom w:val="0"/>
      <w:divBdr>
        <w:top w:val="none" w:sz="0" w:space="0" w:color="auto"/>
        <w:left w:val="none" w:sz="0" w:space="0" w:color="auto"/>
        <w:bottom w:val="none" w:sz="0" w:space="0" w:color="auto"/>
        <w:right w:val="none" w:sz="0" w:space="0" w:color="auto"/>
      </w:divBdr>
    </w:div>
    <w:div w:id="1378629697">
      <w:bodyDiv w:val="1"/>
      <w:marLeft w:val="0"/>
      <w:marRight w:val="0"/>
      <w:marTop w:val="0"/>
      <w:marBottom w:val="0"/>
      <w:divBdr>
        <w:top w:val="none" w:sz="0" w:space="0" w:color="auto"/>
        <w:left w:val="none" w:sz="0" w:space="0" w:color="auto"/>
        <w:bottom w:val="none" w:sz="0" w:space="0" w:color="auto"/>
        <w:right w:val="none" w:sz="0" w:space="0" w:color="auto"/>
      </w:divBdr>
    </w:div>
    <w:div w:id="1380279371">
      <w:bodyDiv w:val="1"/>
      <w:marLeft w:val="0"/>
      <w:marRight w:val="0"/>
      <w:marTop w:val="0"/>
      <w:marBottom w:val="0"/>
      <w:divBdr>
        <w:top w:val="none" w:sz="0" w:space="0" w:color="auto"/>
        <w:left w:val="none" w:sz="0" w:space="0" w:color="auto"/>
        <w:bottom w:val="none" w:sz="0" w:space="0" w:color="auto"/>
        <w:right w:val="none" w:sz="0" w:space="0" w:color="auto"/>
      </w:divBdr>
    </w:div>
    <w:div w:id="1380931984">
      <w:bodyDiv w:val="1"/>
      <w:marLeft w:val="0"/>
      <w:marRight w:val="0"/>
      <w:marTop w:val="0"/>
      <w:marBottom w:val="0"/>
      <w:divBdr>
        <w:top w:val="none" w:sz="0" w:space="0" w:color="auto"/>
        <w:left w:val="none" w:sz="0" w:space="0" w:color="auto"/>
        <w:bottom w:val="none" w:sz="0" w:space="0" w:color="auto"/>
        <w:right w:val="none" w:sz="0" w:space="0" w:color="auto"/>
      </w:divBdr>
    </w:div>
    <w:div w:id="1380933751">
      <w:bodyDiv w:val="1"/>
      <w:marLeft w:val="0"/>
      <w:marRight w:val="0"/>
      <w:marTop w:val="0"/>
      <w:marBottom w:val="0"/>
      <w:divBdr>
        <w:top w:val="none" w:sz="0" w:space="0" w:color="auto"/>
        <w:left w:val="none" w:sz="0" w:space="0" w:color="auto"/>
        <w:bottom w:val="none" w:sz="0" w:space="0" w:color="auto"/>
        <w:right w:val="none" w:sz="0" w:space="0" w:color="auto"/>
      </w:divBdr>
    </w:div>
    <w:div w:id="1382242141">
      <w:bodyDiv w:val="1"/>
      <w:marLeft w:val="0"/>
      <w:marRight w:val="0"/>
      <w:marTop w:val="0"/>
      <w:marBottom w:val="0"/>
      <w:divBdr>
        <w:top w:val="none" w:sz="0" w:space="0" w:color="auto"/>
        <w:left w:val="none" w:sz="0" w:space="0" w:color="auto"/>
        <w:bottom w:val="none" w:sz="0" w:space="0" w:color="auto"/>
        <w:right w:val="none" w:sz="0" w:space="0" w:color="auto"/>
      </w:divBdr>
    </w:div>
    <w:div w:id="1384449607">
      <w:bodyDiv w:val="1"/>
      <w:marLeft w:val="0"/>
      <w:marRight w:val="0"/>
      <w:marTop w:val="0"/>
      <w:marBottom w:val="0"/>
      <w:divBdr>
        <w:top w:val="none" w:sz="0" w:space="0" w:color="auto"/>
        <w:left w:val="none" w:sz="0" w:space="0" w:color="auto"/>
        <w:bottom w:val="none" w:sz="0" w:space="0" w:color="auto"/>
        <w:right w:val="none" w:sz="0" w:space="0" w:color="auto"/>
      </w:divBdr>
    </w:div>
    <w:div w:id="1385374045">
      <w:bodyDiv w:val="1"/>
      <w:marLeft w:val="0"/>
      <w:marRight w:val="0"/>
      <w:marTop w:val="0"/>
      <w:marBottom w:val="0"/>
      <w:divBdr>
        <w:top w:val="none" w:sz="0" w:space="0" w:color="auto"/>
        <w:left w:val="none" w:sz="0" w:space="0" w:color="auto"/>
        <w:bottom w:val="none" w:sz="0" w:space="0" w:color="auto"/>
        <w:right w:val="none" w:sz="0" w:space="0" w:color="auto"/>
      </w:divBdr>
    </w:div>
    <w:div w:id="1385908361">
      <w:bodyDiv w:val="1"/>
      <w:marLeft w:val="0"/>
      <w:marRight w:val="0"/>
      <w:marTop w:val="0"/>
      <w:marBottom w:val="0"/>
      <w:divBdr>
        <w:top w:val="none" w:sz="0" w:space="0" w:color="auto"/>
        <w:left w:val="none" w:sz="0" w:space="0" w:color="auto"/>
        <w:bottom w:val="none" w:sz="0" w:space="0" w:color="auto"/>
        <w:right w:val="none" w:sz="0" w:space="0" w:color="auto"/>
      </w:divBdr>
    </w:div>
    <w:div w:id="1386101202">
      <w:bodyDiv w:val="1"/>
      <w:marLeft w:val="0"/>
      <w:marRight w:val="0"/>
      <w:marTop w:val="0"/>
      <w:marBottom w:val="0"/>
      <w:divBdr>
        <w:top w:val="none" w:sz="0" w:space="0" w:color="auto"/>
        <w:left w:val="none" w:sz="0" w:space="0" w:color="auto"/>
        <w:bottom w:val="none" w:sz="0" w:space="0" w:color="auto"/>
        <w:right w:val="none" w:sz="0" w:space="0" w:color="auto"/>
      </w:divBdr>
    </w:div>
    <w:div w:id="1392146648">
      <w:bodyDiv w:val="1"/>
      <w:marLeft w:val="0"/>
      <w:marRight w:val="0"/>
      <w:marTop w:val="0"/>
      <w:marBottom w:val="0"/>
      <w:divBdr>
        <w:top w:val="none" w:sz="0" w:space="0" w:color="auto"/>
        <w:left w:val="none" w:sz="0" w:space="0" w:color="auto"/>
        <w:bottom w:val="none" w:sz="0" w:space="0" w:color="auto"/>
        <w:right w:val="none" w:sz="0" w:space="0" w:color="auto"/>
      </w:divBdr>
    </w:div>
    <w:div w:id="1396393551">
      <w:bodyDiv w:val="1"/>
      <w:marLeft w:val="0"/>
      <w:marRight w:val="0"/>
      <w:marTop w:val="0"/>
      <w:marBottom w:val="0"/>
      <w:divBdr>
        <w:top w:val="none" w:sz="0" w:space="0" w:color="auto"/>
        <w:left w:val="none" w:sz="0" w:space="0" w:color="auto"/>
        <w:bottom w:val="none" w:sz="0" w:space="0" w:color="auto"/>
        <w:right w:val="none" w:sz="0" w:space="0" w:color="auto"/>
      </w:divBdr>
    </w:div>
    <w:div w:id="1400208973">
      <w:bodyDiv w:val="1"/>
      <w:marLeft w:val="0"/>
      <w:marRight w:val="0"/>
      <w:marTop w:val="0"/>
      <w:marBottom w:val="0"/>
      <w:divBdr>
        <w:top w:val="none" w:sz="0" w:space="0" w:color="auto"/>
        <w:left w:val="none" w:sz="0" w:space="0" w:color="auto"/>
        <w:bottom w:val="none" w:sz="0" w:space="0" w:color="auto"/>
        <w:right w:val="none" w:sz="0" w:space="0" w:color="auto"/>
      </w:divBdr>
    </w:div>
    <w:div w:id="1408961749">
      <w:bodyDiv w:val="1"/>
      <w:marLeft w:val="0"/>
      <w:marRight w:val="0"/>
      <w:marTop w:val="0"/>
      <w:marBottom w:val="0"/>
      <w:divBdr>
        <w:top w:val="none" w:sz="0" w:space="0" w:color="auto"/>
        <w:left w:val="none" w:sz="0" w:space="0" w:color="auto"/>
        <w:bottom w:val="none" w:sz="0" w:space="0" w:color="auto"/>
        <w:right w:val="none" w:sz="0" w:space="0" w:color="auto"/>
      </w:divBdr>
    </w:div>
    <w:div w:id="1409963898">
      <w:bodyDiv w:val="1"/>
      <w:marLeft w:val="0"/>
      <w:marRight w:val="0"/>
      <w:marTop w:val="0"/>
      <w:marBottom w:val="0"/>
      <w:divBdr>
        <w:top w:val="none" w:sz="0" w:space="0" w:color="auto"/>
        <w:left w:val="none" w:sz="0" w:space="0" w:color="auto"/>
        <w:bottom w:val="none" w:sz="0" w:space="0" w:color="auto"/>
        <w:right w:val="none" w:sz="0" w:space="0" w:color="auto"/>
      </w:divBdr>
    </w:div>
    <w:div w:id="1410611124">
      <w:bodyDiv w:val="1"/>
      <w:marLeft w:val="0"/>
      <w:marRight w:val="0"/>
      <w:marTop w:val="0"/>
      <w:marBottom w:val="0"/>
      <w:divBdr>
        <w:top w:val="none" w:sz="0" w:space="0" w:color="auto"/>
        <w:left w:val="none" w:sz="0" w:space="0" w:color="auto"/>
        <w:bottom w:val="none" w:sz="0" w:space="0" w:color="auto"/>
        <w:right w:val="none" w:sz="0" w:space="0" w:color="auto"/>
      </w:divBdr>
    </w:div>
    <w:div w:id="1411808005">
      <w:bodyDiv w:val="1"/>
      <w:marLeft w:val="0"/>
      <w:marRight w:val="0"/>
      <w:marTop w:val="0"/>
      <w:marBottom w:val="0"/>
      <w:divBdr>
        <w:top w:val="none" w:sz="0" w:space="0" w:color="auto"/>
        <w:left w:val="none" w:sz="0" w:space="0" w:color="auto"/>
        <w:bottom w:val="none" w:sz="0" w:space="0" w:color="auto"/>
        <w:right w:val="none" w:sz="0" w:space="0" w:color="auto"/>
      </w:divBdr>
    </w:div>
    <w:div w:id="1412655648">
      <w:bodyDiv w:val="1"/>
      <w:marLeft w:val="0"/>
      <w:marRight w:val="0"/>
      <w:marTop w:val="0"/>
      <w:marBottom w:val="0"/>
      <w:divBdr>
        <w:top w:val="none" w:sz="0" w:space="0" w:color="auto"/>
        <w:left w:val="none" w:sz="0" w:space="0" w:color="auto"/>
        <w:bottom w:val="none" w:sz="0" w:space="0" w:color="auto"/>
        <w:right w:val="none" w:sz="0" w:space="0" w:color="auto"/>
      </w:divBdr>
    </w:div>
    <w:div w:id="1413238398">
      <w:bodyDiv w:val="1"/>
      <w:marLeft w:val="0"/>
      <w:marRight w:val="0"/>
      <w:marTop w:val="0"/>
      <w:marBottom w:val="0"/>
      <w:divBdr>
        <w:top w:val="none" w:sz="0" w:space="0" w:color="auto"/>
        <w:left w:val="none" w:sz="0" w:space="0" w:color="auto"/>
        <w:bottom w:val="none" w:sz="0" w:space="0" w:color="auto"/>
        <w:right w:val="none" w:sz="0" w:space="0" w:color="auto"/>
      </w:divBdr>
    </w:div>
    <w:div w:id="1414661980">
      <w:bodyDiv w:val="1"/>
      <w:marLeft w:val="0"/>
      <w:marRight w:val="0"/>
      <w:marTop w:val="0"/>
      <w:marBottom w:val="0"/>
      <w:divBdr>
        <w:top w:val="none" w:sz="0" w:space="0" w:color="auto"/>
        <w:left w:val="none" w:sz="0" w:space="0" w:color="auto"/>
        <w:bottom w:val="none" w:sz="0" w:space="0" w:color="auto"/>
        <w:right w:val="none" w:sz="0" w:space="0" w:color="auto"/>
      </w:divBdr>
    </w:div>
    <w:div w:id="1416168986">
      <w:bodyDiv w:val="1"/>
      <w:marLeft w:val="0"/>
      <w:marRight w:val="0"/>
      <w:marTop w:val="0"/>
      <w:marBottom w:val="0"/>
      <w:divBdr>
        <w:top w:val="none" w:sz="0" w:space="0" w:color="auto"/>
        <w:left w:val="none" w:sz="0" w:space="0" w:color="auto"/>
        <w:bottom w:val="none" w:sz="0" w:space="0" w:color="auto"/>
        <w:right w:val="none" w:sz="0" w:space="0" w:color="auto"/>
      </w:divBdr>
    </w:div>
    <w:div w:id="1416628754">
      <w:bodyDiv w:val="1"/>
      <w:marLeft w:val="0"/>
      <w:marRight w:val="0"/>
      <w:marTop w:val="0"/>
      <w:marBottom w:val="0"/>
      <w:divBdr>
        <w:top w:val="none" w:sz="0" w:space="0" w:color="auto"/>
        <w:left w:val="none" w:sz="0" w:space="0" w:color="auto"/>
        <w:bottom w:val="none" w:sz="0" w:space="0" w:color="auto"/>
        <w:right w:val="none" w:sz="0" w:space="0" w:color="auto"/>
      </w:divBdr>
    </w:div>
    <w:div w:id="1418867130">
      <w:bodyDiv w:val="1"/>
      <w:marLeft w:val="0"/>
      <w:marRight w:val="0"/>
      <w:marTop w:val="0"/>
      <w:marBottom w:val="0"/>
      <w:divBdr>
        <w:top w:val="none" w:sz="0" w:space="0" w:color="auto"/>
        <w:left w:val="none" w:sz="0" w:space="0" w:color="auto"/>
        <w:bottom w:val="none" w:sz="0" w:space="0" w:color="auto"/>
        <w:right w:val="none" w:sz="0" w:space="0" w:color="auto"/>
      </w:divBdr>
    </w:div>
    <w:div w:id="1420449098">
      <w:bodyDiv w:val="1"/>
      <w:marLeft w:val="0"/>
      <w:marRight w:val="0"/>
      <w:marTop w:val="0"/>
      <w:marBottom w:val="0"/>
      <w:divBdr>
        <w:top w:val="none" w:sz="0" w:space="0" w:color="auto"/>
        <w:left w:val="none" w:sz="0" w:space="0" w:color="auto"/>
        <w:bottom w:val="none" w:sz="0" w:space="0" w:color="auto"/>
        <w:right w:val="none" w:sz="0" w:space="0" w:color="auto"/>
      </w:divBdr>
    </w:div>
    <w:div w:id="1421945438">
      <w:bodyDiv w:val="1"/>
      <w:marLeft w:val="0"/>
      <w:marRight w:val="0"/>
      <w:marTop w:val="0"/>
      <w:marBottom w:val="0"/>
      <w:divBdr>
        <w:top w:val="none" w:sz="0" w:space="0" w:color="auto"/>
        <w:left w:val="none" w:sz="0" w:space="0" w:color="auto"/>
        <w:bottom w:val="none" w:sz="0" w:space="0" w:color="auto"/>
        <w:right w:val="none" w:sz="0" w:space="0" w:color="auto"/>
      </w:divBdr>
    </w:div>
    <w:div w:id="1422481477">
      <w:bodyDiv w:val="1"/>
      <w:marLeft w:val="0"/>
      <w:marRight w:val="0"/>
      <w:marTop w:val="0"/>
      <w:marBottom w:val="0"/>
      <w:divBdr>
        <w:top w:val="none" w:sz="0" w:space="0" w:color="auto"/>
        <w:left w:val="none" w:sz="0" w:space="0" w:color="auto"/>
        <w:bottom w:val="none" w:sz="0" w:space="0" w:color="auto"/>
        <w:right w:val="none" w:sz="0" w:space="0" w:color="auto"/>
      </w:divBdr>
    </w:div>
    <w:div w:id="1422874435">
      <w:bodyDiv w:val="1"/>
      <w:marLeft w:val="0"/>
      <w:marRight w:val="0"/>
      <w:marTop w:val="0"/>
      <w:marBottom w:val="0"/>
      <w:divBdr>
        <w:top w:val="none" w:sz="0" w:space="0" w:color="auto"/>
        <w:left w:val="none" w:sz="0" w:space="0" w:color="auto"/>
        <w:bottom w:val="none" w:sz="0" w:space="0" w:color="auto"/>
        <w:right w:val="none" w:sz="0" w:space="0" w:color="auto"/>
      </w:divBdr>
    </w:div>
    <w:div w:id="1423061504">
      <w:bodyDiv w:val="1"/>
      <w:marLeft w:val="0"/>
      <w:marRight w:val="0"/>
      <w:marTop w:val="0"/>
      <w:marBottom w:val="0"/>
      <w:divBdr>
        <w:top w:val="none" w:sz="0" w:space="0" w:color="auto"/>
        <w:left w:val="none" w:sz="0" w:space="0" w:color="auto"/>
        <w:bottom w:val="none" w:sz="0" w:space="0" w:color="auto"/>
        <w:right w:val="none" w:sz="0" w:space="0" w:color="auto"/>
      </w:divBdr>
    </w:div>
    <w:div w:id="1427186404">
      <w:bodyDiv w:val="1"/>
      <w:marLeft w:val="0"/>
      <w:marRight w:val="0"/>
      <w:marTop w:val="0"/>
      <w:marBottom w:val="0"/>
      <w:divBdr>
        <w:top w:val="none" w:sz="0" w:space="0" w:color="auto"/>
        <w:left w:val="none" w:sz="0" w:space="0" w:color="auto"/>
        <w:bottom w:val="none" w:sz="0" w:space="0" w:color="auto"/>
        <w:right w:val="none" w:sz="0" w:space="0" w:color="auto"/>
      </w:divBdr>
    </w:div>
    <w:div w:id="1429930658">
      <w:bodyDiv w:val="1"/>
      <w:marLeft w:val="0"/>
      <w:marRight w:val="0"/>
      <w:marTop w:val="0"/>
      <w:marBottom w:val="0"/>
      <w:divBdr>
        <w:top w:val="none" w:sz="0" w:space="0" w:color="auto"/>
        <w:left w:val="none" w:sz="0" w:space="0" w:color="auto"/>
        <w:bottom w:val="none" w:sz="0" w:space="0" w:color="auto"/>
        <w:right w:val="none" w:sz="0" w:space="0" w:color="auto"/>
      </w:divBdr>
    </w:div>
    <w:div w:id="1430276202">
      <w:bodyDiv w:val="1"/>
      <w:marLeft w:val="0"/>
      <w:marRight w:val="0"/>
      <w:marTop w:val="0"/>
      <w:marBottom w:val="0"/>
      <w:divBdr>
        <w:top w:val="none" w:sz="0" w:space="0" w:color="auto"/>
        <w:left w:val="none" w:sz="0" w:space="0" w:color="auto"/>
        <w:bottom w:val="none" w:sz="0" w:space="0" w:color="auto"/>
        <w:right w:val="none" w:sz="0" w:space="0" w:color="auto"/>
      </w:divBdr>
    </w:div>
    <w:div w:id="1430468349">
      <w:bodyDiv w:val="1"/>
      <w:marLeft w:val="0"/>
      <w:marRight w:val="0"/>
      <w:marTop w:val="0"/>
      <w:marBottom w:val="0"/>
      <w:divBdr>
        <w:top w:val="none" w:sz="0" w:space="0" w:color="auto"/>
        <w:left w:val="none" w:sz="0" w:space="0" w:color="auto"/>
        <w:bottom w:val="none" w:sz="0" w:space="0" w:color="auto"/>
        <w:right w:val="none" w:sz="0" w:space="0" w:color="auto"/>
      </w:divBdr>
    </w:div>
    <w:div w:id="1431509739">
      <w:bodyDiv w:val="1"/>
      <w:marLeft w:val="0"/>
      <w:marRight w:val="0"/>
      <w:marTop w:val="0"/>
      <w:marBottom w:val="0"/>
      <w:divBdr>
        <w:top w:val="none" w:sz="0" w:space="0" w:color="auto"/>
        <w:left w:val="none" w:sz="0" w:space="0" w:color="auto"/>
        <w:bottom w:val="none" w:sz="0" w:space="0" w:color="auto"/>
        <w:right w:val="none" w:sz="0" w:space="0" w:color="auto"/>
      </w:divBdr>
    </w:div>
    <w:div w:id="1431925634">
      <w:bodyDiv w:val="1"/>
      <w:marLeft w:val="0"/>
      <w:marRight w:val="0"/>
      <w:marTop w:val="0"/>
      <w:marBottom w:val="0"/>
      <w:divBdr>
        <w:top w:val="none" w:sz="0" w:space="0" w:color="auto"/>
        <w:left w:val="none" w:sz="0" w:space="0" w:color="auto"/>
        <w:bottom w:val="none" w:sz="0" w:space="0" w:color="auto"/>
        <w:right w:val="none" w:sz="0" w:space="0" w:color="auto"/>
      </w:divBdr>
    </w:div>
    <w:div w:id="1433167067">
      <w:bodyDiv w:val="1"/>
      <w:marLeft w:val="0"/>
      <w:marRight w:val="0"/>
      <w:marTop w:val="0"/>
      <w:marBottom w:val="0"/>
      <w:divBdr>
        <w:top w:val="none" w:sz="0" w:space="0" w:color="auto"/>
        <w:left w:val="none" w:sz="0" w:space="0" w:color="auto"/>
        <w:bottom w:val="none" w:sz="0" w:space="0" w:color="auto"/>
        <w:right w:val="none" w:sz="0" w:space="0" w:color="auto"/>
      </w:divBdr>
    </w:div>
    <w:div w:id="1437553099">
      <w:bodyDiv w:val="1"/>
      <w:marLeft w:val="0"/>
      <w:marRight w:val="0"/>
      <w:marTop w:val="0"/>
      <w:marBottom w:val="0"/>
      <w:divBdr>
        <w:top w:val="none" w:sz="0" w:space="0" w:color="auto"/>
        <w:left w:val="none" w:sz="0" w:space="0" w:color="auto"/>
        <w:bottom w:val="none" w:sz="0" w:space="0" w:color="auto"/>
        <w:right w:val="none" w:sz="0" w:space="0" w:color="auto"/>
      </w:divBdr>
    </w:div>
    <w:div w:id="1439107488">
      <w:bodyDiv w:val="1"/>
      <w:marLeft w:val="0"/>
      <w:marRight w:val="0"/>
      <w:marTop w:val="0"/>
      <w:marBottom w:val="0"/>
      <w:divBdr>
        <w:top w:val="none" w:sz="0" w:space="0" w:color="auto"/>
        <w:left w:val="none" w:sz="0" w:space="0" w:color="auto"/>
        <w:bottom w:val="none" w:sz="0" w:space="0" w:color="auto"/>
        <w:right w:val="none" w:sz="0" w:space="0" w:color="auto"/>
      </w:divBdr>
    </w:div>
    <w:div w:id="1441215453">
      <w:bodyDiv w:val="1"/>
      <w:marLeft w:val="0"/>
      <w:marRight w:val="0"/>
      <w:marTop w:val="0"/>
      <w:marBottom w:val="0"/>
      <w:divBdr>
        <w:top w:val="none" w:sz="0" w:space="0" w:color="auto"/>
        <w:left w:val="none" w:sz="0" w:space="0" w:color="auto"/>
        <w:bottom w:val="none" w:sz="0" w:space="0" w:color="auto"/>
        <w:right w:val="none" w:sz="0" w:space="0" w:color="auto"/>
      </w:divBdr>
    </w:div>
    <w:div w:id="1441485596">
      <w:bodyDiv w:val="1"/>
      <w:marLeft w:val="0"/>
      <w:marRight w:val="0"/>
      <w:marTop w:val="0"/>
      <w:marBottom w:val="0"/>
      <w:divBdr>
        <w:top w:val="none" w:sz="0" w:space="0" w:color="auto"/>
        <w:left w:val="none" w:sz="0" w:space="0" w:color="auto"/>
        <w:bottom w:val="none" w:sz="0" w:space="0" w:color="auto"/>
        <w:right w:val="none" w:sz="0" w:space="0" w:color="auto"/>
      </w:divBdr>
    </w:div>
    <w:div w:id="1443381966">
      <w:bodyDiv w:val="1"/>
      <w:marLeft w:val="0"/>
      <w:marRight w:val="0"/>
      <w:marTop w:val="0"/>
      <w:marBottom w:val="0"/>
      <w:divBdr>
        <w:top w:val="none" w:sz="0" w:space="0" w:color="auto"/>
        <w:left w:val="none" w:sz="0" w:space="0" w:color="auto"/>
        <w:bottom w:val="none" w:sz="0" w:space="0" w:color="auto"/>
        <w:right w:val="none" w:sz="0" w:space="0" w:color="auto"/>
      </w:divBdr>
    </w:div>
    <w:div w:id="1443454175">
      <w:bodyDiv w:val="1"/>
      <w:marLeft w:val="0"/>
      <w:marRight w:val="0"/>
      <w:marTop w:val="0"/>
      <w:marBottom w:val="0"/>
      <w:divBdr>
        <w:top w:val="none" w:sz="0" w:space="0" w:color="auto"/>
        <w:left w:val="none" w:sz="0" w:space="0" w:color="auto"/>
        <w:bottom w:val="none" w:sz="0" w:space="0" w:color="auto"/>
        <w:right w:val="none" w:sz="0" w:space="0" w:color="auto"/>
      </w:divBdr>
    </w:div>
    <w:div w:id="1448425076">
      <w:bodyDiv w:val="1"/>
      <w:marLeft w:val="0"/>
      <w:marRight w:val="0"/>
      <w:marTop w:val="0"/>
      <w:marBottom w:val="0"/>
      <w:divBdr>
        <w:top w:val="none" w:sz="0" w:space="0" w:color="auto"/>
        <w:left w:val="none" w:sz="0" w:space="0" w:color="auto"/>
        <w:bottom w:val="none" w:sz="0" w:space="0" w:color="auto"/>
        <w:right w:val="none" w:sz="0" w:space="0" w:color="auto"/>
      </w:divBdr>
    </w:div>
    <w:div w:id="1448501678">
      <w:bodyDiv w:val="1"/>
      <w:marLeft w:val="0"/>
      <w:marRight w:val="0"/>
      <w:marTop w:val="0"/>
      <w:marBottom w:val="0"/>
      <w:divBdr>
        <w:top w:val="none" w:sz="0" w:space="0" w:color="auto"/>
        <w:left w:val="none" w:sz="0" w:space="0" w:color="auto"/>
        <w:bottom w:val="none" w:sz="0" w:space="0" w:color="auto"/>
        <w:right w:val="none" w:sz="0" w:space="0" w:color="auto"/>
      </w:divBdr>
    </w:div>
    <w:div w:id="1450276120">
      <w:bodyDiv w:val="1"/>
      <w:marLeft w:val="0"/>
      <w:marRight w:val="0"/>
      <w:marTop w:val="0"/>
      <w:marBottom w:val="0"/>
      <w:divBdr>
        <w:top w:val="none" w:sz="0" w:space="0" w:color="auto"/>
        <w:left w:val="none" w:sz="0" w:space="0" w:color="auto"/>
        <w:bottom w:val="none" w:sz="0" w:space="0" w:color="auto"/>
        <w:right w:val="none" w:sz="0" w:space="0" w:color="auto"/>
      </w:divBdr>
    </w:div>
    <w:div w:id="1452165243">
      <w:bodyDiv w:val="1"/>
      <w:marLeft w:val="0"/>
      <w:marRight w:val="0"/>
      <w:marTop w:val="0"/>
      <w:marBottom w:val="0"/>
      <w:divBdr>
        <w:top w:val="none" w:sz="0" w:space="0" w:color="auto"/>
        <w:left w:val="none" w:sz="0" w:space="0" w:color="auto"/>
        <w:bottom w:val="none" w:sz="0" w:space="0" w:color="auto"/>
        <w:right w:val="none" w:sz="0" w:space="0" w:color="auto"/>
      </w:divBdr>
    </w:div>
    <w:div w:id="1454400908">
      <w:bodyDiv w:val="1"/>
      <w:marLeft w:val="0"/>
      <w:marRight w:val="0"/>
      <w:marTop w:val="0"/>
      <w:marBottom w:val="0"/>
      <w:divBdr>
        <w:top w:val="none" w:sz="0" w:space="0" w:color="auto"/>
        <w:left w:val="none" w:sz="0" w:space="0" w:color="auto"/>
        <w:bottom w:val="none" w:sz="0" w:space="0" w:color="auto"/>
        <w:right w:val="none" w:sz="0" w:space="0" w:color="auto"/>
      </w:divBdr>
    </w:div>
    <w:div w:id="1461458487">
      <w:bodyDiv w:val="1"/>
      <w:marLeft w:val="0"/>
      <w:marRight w:val="0"/>
      <w:marTop w:val="0"/>
      <w:marBottom w:val="0"/>
      <w:divBdr>
        <w:top w:val="none" w:sz="0" w:space="0" w:color="auto"/>
        <w:left w:val="none" w:sz="0" w:space="0" w:color="auto"/>
        <w:bottom w:val="none" w:sz="0" w:space="0" w:color="auto"/>
        <w:right w:val="none" w:sz="0" w:space="0" w:color="auto"/>
      </w:divBdr>
    </w:div>
    <w:div w:id="1462573673">
      <w:bodyDiv w:val="1"/>
      <w:marLeft w:val="0"/>
      <w:marRight w:val="0"/>
      <w:marTop w:val="0"/>
      <w:marBottom w:val="0"/>
      <w:divBdr>
        <w:top w:val="none" w:sz="0" w:space="0" w:color="auto"/>
        <w:left w:val="none" w:sz="0" w:space="0" w:color="auto"/>
        <w:bottom w:val="none" w:sz="0" w:space="0" w:color="auto"/>
        <w:right w:val="none" w:sz="0" w:space="0" w:color="auto"/>
      </w:divBdr>
    </w:div>
    <w:div w:id="1465925275">
      <w:bodyDiv w:val="1"/>
      <w:marLeft w:val="0"/>
      <w:marRight w:val="0"/>
      <w:marTop w:val="0"/>
      <w:marBottom w:val="0"/>
      <w:divBdr>
        <w:top w:val="none" w:sz="0" w:space="0" w:color="auto"/>
        <w:left w:val="none" w:sz="0" w:space="0" w:color="auto"/>
        <w:bottom w:val="none" w:sz="0" w:space="0" w:color="auto"/>
        <w:right w:val="none" w:sz="0" w:space="0" w:color="auto"/>
      </w:divBdr>
    </w:div>
    <w:div w:id="1466044804">
      <w:bodyDiv w:val="1"/>
      <w:marLeft w:val="0"/>
      <w:marRight w:val="0"/>
      <w:marTop w:val="0"/>
      <w:marBottom w:val="0"/>
      <w:divBdr>
        <w:top w:val="none" w:sz="0" w:space="0" w:color="auto"/>
        <w:left w:val="none" w:sz="0" w:space="0" w:color="auto"/>
        <w:bottom w:val="none" w:sz="0" w:space="0" w:color="auto"/>
        <w:right w:val="none" w:sz="0" w:space="0" w:color="auto"/>
      </w:divBdr>
    </w:div>
    <w:div w:id="1469784559">
      <w:bodyDiv w:val="1"/>
      <w:marLeft w:val="0"/>
      <w:marRight w:val="0"/>
      <w:marTop w:val="0"/>
      <w:marBottom w:val="0"/>
      <w:divBdr>
        <w:top w:val="none" w:sz="0" w:space="0" w:color="auto"/>
        <w:left w:val="none" w:sz="0" w:space="0" w:color="auto"/>
        <w:bottom w:val="none" w:sz="0" w:space="0" w:color="auto"/>
        <w:right w:val="none" w:sz="0" w:space="0" w:color="auto"/>
      </w:divBdr>
    </w:div>
    <w:div w:id="1471361464">
      <w:bodyDiv w:val="1"/>
      <w:marLeft w:val="0"/>
      <w:marRight w:val="0"/>
      <w:marTop w:val="0"/>
      <w:marBottom w:val="0"/>
      <w:divBdr>
        <w:top w:val="none" w:sz="0" w:space="0" w:color="auto"/>
        <w:left w:val="none" w:sz="0" w:space="0" w:color="auto"/>
        <w:bottom w:val="none" w:sz="0" w:space="0" w:color="auto"/>
        <w:right w:val="none" w:sz="0" w:space="0" w:color="auto"/>
      </w:divBdr>
    </w:div>
    <w:div w:id="1471942784">
      <w:bodyDiv w:val="1"/>
      <w:marLeft w:val="0"/>
      <w:marRight w:val="0"/>
      <w:marTop w:val="0"/>
      <w:marBottom w:val="0"/>
      <w:divBdr>
        <w:top w:val="none" w:sz="0" w:space="0" w:color="auto"/>
        <w:left w:val="none" w:sz="0" w:space="0" w:color="auto"/>
        <w:bottom w:val="none" w:sz="0" w:space="0" w:color="auto"/>
        <w:right w:val="none" w:sz="0" w:space="0" w:color="auto"/>
      </w:divBdr>
    </w:div>
    <w:div w:id="1476411229">
      <w:bodyDiv w:val="1"/>
      <w:marLeft w:val="0"/>
      <w:marRight w:val="0"/>
      <w:marTop w:val="0"/>
      <w:marBottom w:val="0"/>
      <w:divBdr>
        <w:top w:val="none" w:sz="0" w:space="0" w:color="auto"/>
        <w:left w:val="none" w:sz="0" w:space="0" w:color="auto"/>
        <w:bottom w:val="none" w:sz="0" w:space="0" w:color="auto"/>
        <w:right w:val="none" w:sz="0" w:space="0" w:color="auto"/>
      </w:divBdr>
    </w:div>
    <w:div w:id="1476725978">
      <w:bodyDiv w:val="1"/>
      <w:marLeft w:val="0"/>
      <w:marRight w:val="0"/>
      <w:marTop w:val="0"/>
      <w:marBottom w:val="0"/>
      <w:divBdr>
        <w:top w:val="none" w:sz="0" w:space="0" w:color="auto"/>
        <w:left w:val="none" w:sz="0" w:space="0" w:color="auto"/>
        <w:bottom w:val="none" w:sz="0" w:space="0" w:color="auto"/>
        <w:right w:val="none" w:sz="0" w:space="0" w:color="auto"/>
      </w:divBdr>
    </w:div>
    <w:div w:id="1477063008">
      <w:bodyDiv w:val="1"/>
      <w:marLeft w:val="0"/>
      <w:marRight w:val="0"/>
      <w:marTop w:val="0"/>
      <w:marBottom w:val="0"/>
      <w:divBdr>
        <w:top w:val="none" w:sz="0" w:space="0" w:color="auto"/>
        <w:left w:val="none" w:sz="0" w:space="0" w:color="auto"/>
        <w:bottom w:val="none" w:sz="0" w:space="0" w:color="auto"/>
        <w:right w:val="none" w:sz="0" w:space="0" w:color="auto"/>
      </w:divBdr>
    </w:div>
    <w:div w:id="1482966801">
      <w:bodyDiv w:val="1"/>
      <w:marLeft w:val="0"/>
      <w:marRight w:val="0"/>
      <w:marTop w:val="0"/>
      <w:marBottom w:val="0"/>
      <w:divBdr>
        <w:top w:val="none" w:sz="0" w:space="0" w:color="auto"/>
        <w:left w:val="none" w:sz="0" w:space="0" w:color="auto"/>
        <w:bottom w:val="none" w:sz="0" w:space="0" w:color="auto"/>
        <w:right w:val="none" w:sz="0" w:space="0" w:color="auto"/>
      </w:divBdr>
    </w:div>
    <w:div w:id="1483736881">
      <w:bodyDiv w:val="1"/>
      <w:marLeft w:val="0"/>
      <w:marRight w:val="0"/>
      <w:marTop w:val="0"/>
      <w:marBottom w:val="0"/>
      <w:divBdr>
        <w:top w:val="none" w:sz="0" w:space="0" w:color="auto"/>
        <w:left w:val="none" w:sz="0" w:space="0" w:color="auto"/>
        <w:bottom w:val="none" w:sz="0" w:space="0" w:color="auto"/>
        <w:right w:val="none" w:sz="0" w:space="0" w:color="auto"/>
      </w:divBdr>
    </w:div>
    <w:div w:id="1486052118">
      <w:bodyDiv w:val="1"/>
      <w:marLeft w:val="0"/>
      <w:marRight w:val="0"/>
      <w:marTop w:val="0"/>
      <w:marBottom w:val="0"/>
      <w:divBdr>
        <w:top w:val="none" w:sz="0" w:space="0" w:color="auto"/>
        <w:left w:val="none" w:sz="0" w:space="0" w:color="auto"/>
        <w:bottom w:val="none" w:sz="0" w:space="0" w:color="auto"/>
        <w:right w:val="none" w:sz="0" w:space="0" w:color="auto"/>
      </w:divBdr>
    </w:div>
    <w:div w:id="1486360342">
      <w:bodyDiv w:val="1"/>
      <w:marLeft w:val="0"/>
      <w:marRight w:val="0"/>
      <w:marTop w:val="0"/>
      <w:marBottom w:val="0"/>
      <w:divBdr>
        <w:top w:val="none" w:sz="0" w:space="0" w:color="auto"/>
        <w:left w:val="none" w:sz="0" w:space="0" w:color="auto"/>
        <w:bottom w:val="none" w:sz="0" w:space="0" w:color="auto"/>
        <w:right w:val="none" w:sz="0" w:space="0" w:color="auto"/>
      </w:divBdr>
    </w:div>
    <w:div w:id="1496606959">
      <w:bodyDiv w:val="1"/>
      <w:marLeft w:val="0"/>
      <w:marRight w:val="0"/>
      <w:marTop w:val="0"/>
      <w:marBottom w:val="0"/>
      <w:divBdr>
        <w:top w:val="none" w:sz="0" w:space="0" w:color="auto"/>
        <w:left w:val="none" w:sz="0" w:space="0" w:color="auto"/>
        <w:bottom w:val="none" w:sz="0" w:space="0" w:color="auto"/>
        <w:right w:val="none" w:sz="0" w:space="0" w:color="auto"/>
      </w:divBdr>
    </w:div>
    <w:div w:id="1497039705">
      <w:bodyDiv w:val="1"/>
      <w:marLeft w:val="0"/>
      <w:marRight w:val="0"/>
      <w:marTop w:val="0"/>
      <w:marBottom w:val="0"/>
      <w:divBdr>
        <w:top w:val="none" w:sz="0" w:space="0" w:color="auto"/>
        <w:left w:val="none" w:sz="0" w:space="0" w:color="auto"/>
        <w:bottom w:val="none" w:sz="0" w:space="0" w:color="auto"/>
        <w:right w:val="none" w:sz="0" w:space="0" w:color="auto"/>
      </w:divBdr>
    </w:div>
    <w:div w:id="1498110456">
      <w:bodyDiv w:val="1"/>
      <w:marLeft w:val="0"/>
      <w:marRight w:val="0"/>
      <w:marTop w:val="0"/>
      <w:marBottom w:val="0"/>
      <w:divBdr>
        <w:top w:val="none" w:sz="0" w:space="0" w:color="auto"/>
        <w:left w:val="none" w:sz="0" w:space="0" w:color="auto"/>
        <w:bottom w:val="none" w:sz="0" w:space="0" w:color="auto"/>
        <w:right w:val="none" w:sz="0" w:space="0" w:color="auto"/>
      </w:divBdr>
    </w:div>
    <w:div w:id="1499231760">
      <w:bodyDiv w:val="1"/>
      <w:marLeft w:val="0"/>
      <w:marRight w:val="0"/>
      <w:marTop w:val="0"/>
      <w:marBottom w:val="0"/>
      <w:divBdr>
        <w:top w:val="none" w:sz="0" w:space="0" w:color="auto"/>
        <w:left w:val="none" w:sz="0" w:space="0" w:color="auto"/>
        <w:bottom w:val="none" w:sz="0" w:space="0" w:color="auto"/>
        <w:right w:val="none" w:sz="0" w:space="0" w:color="auto"/>
      </w:divBdr>
    </w:div>
    <w:div w:id="1501575624">
      <w:bodyDiv w:val="1"/>
      <w:marLeft w:val="0"/>
      <w:marRight w:val="0"/>
      <w:marTop w:val="0"/>
      <w:marBottom w:val="0"/>
      <w:divBdr>
        <w:top w:val="none" w:sz="0" w:space="0" w:color="auto"/>
        <w:left w:val="none" w:sz="0" w:space="0" w:color="auto"/>
        <w:bottom w:val="none" w:sz="0" w:space="0" w:color="auto"/>
        <w:right w:val="none" w:sz="0" w:space="0" w:color="auto"/>
      </w:divBdr>
    </w:div>
    <w:div w:id="1502575185">
      <w:bodyDiv w:val="1"/>
      <w:marLeft w:val="0"/>
      <w:marRight w:val="0"/>
      <w:marTop w:val="0"/>
      <w:marBottom w:val="0"/>
      <w:divBdr>
        <w:top w:val="none" w:sz="0" w:space="0" w:color="auto"/>
        <w:left w:val="none" w:sz="0" w:space="0" w:color="auto"/>
        <w:bottom w:val="none" w:sz="0" w:space="0" w:color="auto"/>
        <w:right w:val="none" w:sz="0" w:space="0" w:color="auto"/>
      </w:divBdr>
    </w:div>
    <w:div w:id="1503814980">
      <w:bodyDiv w:val="1"/>
      <w:marLeft w:val="0"/>
      <w:marRight w:val="0"/>
      <w:marTop w:val="0"/>
      <w:marBottom w:val="0"/>
      <w:divBdr>
        <w:top w:val="none" w:sz="0" w:space="0" w:color="auto"/>
        <w:left w:val="none" w:sz="0" w:space="0" w:color="auto"/>
        <w:bottom w:val="none" w:sz="0" w:space="0" w:color="auto"/>
        <w:right w:val="none" w:sz="0" w:space="0" w:color="auto"/>
      </w:divBdr>
    </w:div>
    <w:div w:id="1504272109">
      <w:bodyDiv w:val="1"/>
      <w:marLeft w:val="0"/>
      <w:marRight w:val="0"/>
      <w:marTop w:val="0"/>
      <w:marBottom w:val="0"/>
      <w:divBdr>
        <w:top w:val="none" w:sz="0" w:space="0" w:color="auto"/>
        <w:left w:val="none" w:sz="0" w:space="0" w:color="auto"/>
        <w:bottom w:val="none" w:sz="0" w:space="0" w:color="auto"/>
        <w:right w:val="none" w:sz="0" w:space="0" w:color="auto"/>
      </w:divBdr>
    </w:div>
    <w:div w:id="1505898011">
      <w:bodyDiv w:val="1"/>
      <w:marLeft w:val="0"/>
      <w:marRight w:val="0"/>
      <w:marTop w:val="0"/>
      <w:marBottom w:val="0"/>
      <w:divBdr>
        <w:top w:val="none" w:sz="0" w:space="0" w:color="auto"/>
        <w:left w:val="none" w:sz="0" w:space="0" w:color="auto"/>
        <w:bottom w:val="none" w:sz="0" w:space="0" w:color="auto"/>
        <w:right w:val="none" w:sz="0" w:space="0" w:color="auto"/>
      </w:divBdr>
    </w:div>
    <w:div w:id="1510100645">
      <w:bodyDiv w:val="1"/>
      <w:marLeft w:val="0"/>
      <w:marRight w:val="0"/>
      <w:marTop w:val="0"/>
      <w:marBottom w:val="0"/>
      <w:divBdr>
        <w:top w:val="none" w:sz="0" w:space="0" w:color="auto"/>
        <w:left w:val="none" w:sz="0" w:space="0" w:color="auto"/>
        <w:bottom w:val="none" w:sz="0" w:space="0" w:color="auto"/>
        <w:right w:val="none" w:sz="0" w:space="0" w:color="auto"/>
      </w:divBdr>
    </w:div>
    <w:div w:id="1511792608">
      <w:bodyDiv w:val="1"/>
      <w:marLeft w:val="0"/>
      <w:marRight w:val="0"/>
      <w:marTop w:val="0"/>
      <w:marBottom w:val="0"/>
      <w:divBdr>
        <w:top w:val="none" w:sz="0" w:space="0" w:color="auto"/>
        <w:left w:val="none" w:sz="0" w:space="0" w:color="auto"/>
        <w:bottom w:val="none" w:sz="0" w:space="0" w:color="auto"/>
        <w:right w:val="none" w:sz="0" w:space="0" w:color="auto"/>
      </w:divBdr>
    </w:div>
    <w:div w:id="1513452801">
      <w:bodyDiv w:val="1"/>
      <w:marLeft w:val="0"/>
      <w:marRight w:val="0"/>
      <w:marTop w:val="0"/>
      <w:marBottom w:val="0"/>
      <w:divBdr>
        <w:top w:val="none" w:sz="0" w:space="0" w:color="auto"/>
        <w:left w:val="none" w:sz="0" w:space="0" w:color="auto"/>
        <w:bottom w:val="none" w:sz="0" w:space="0" w:color="auto"/>
        <w:right w:val="none" w:sz="0" w:space="0" w:color="auto"/>
      </w:divBdr>
    </w:div>
    <w:div w:id="1514607754">
      <w:bodyDiv w:val="1"/>
      <w:marLeft w:val="0"/>
      <w:marRight w:val="0"/>
      <w:marTop w:val="0"/>
      <w:marBottom w:val="0"/>
      <w:divBdr>
        <w:top w:val="none" w:sz="0" w:space="0" w:color="auto"/>
        <w:left w:val="none" w:sz="0" w:space="0" w:color="auto"/>
        <w:bottom w:val="none" w:sz="0" w:space="0" w:color="auto"/>
        <w:right w:val="none" w:sz="0" w:space="0" w:color="auto"/>
      </w:divBdr>
    </w:div>
    <w:div w:id="1518470667">
      <w:bodyDiv w:val="1"/>
      <w:marLeft w:val="0"/>
      <w:marRight w:val="0"/>
      <w:marTop w:val="0"/>
      <w:marBottom w:val="0"/>
      <w:divBdr>
        <w:top w:val="none" w:sz="0" w:space="0" w:color="auto"/>
        <w:left w:val="none" w:sz="0" w:space="0" w:color="auto"/>
        <w:bottom w:val="none" w:sz="0" w:space="0" w:color="auto"/>
        <w:right w:val="none" w:sz="0" w:space="0" w:color="auto"/>
      </w:divBdr>
    </w:div>
    <w:div w:id="1519194844">
      <w:bodyDiv w:val="1"/>
      <w:marLeft w:val="0"/>
      <w:marRight w:val="0"/>
      <w:marTop w:val="0"/>
      <w:marBottom w:val="0"/>
      <w:divBdr>
        <w:top w:val="none" w:sz="0" w:space="0" w:color="auto"/>
        <w:left w:val="none" w:sz="0" w:space="0" w:color="auto"/>
        <w:bottom w:val="none" w:sz="0" w:space="0" w:color="auto"/>
        <w:right w:val="none" w:sz="0" w:space="0" w:color="auto"/>
      </w:divBdr>
    </w:div>
    <w:div w:id="1519350860">
      <w:bodyDiv w:val="1"/>
      <w:marLeft w:val="0"/>
      <w:marRight w:val="0"/>
      <w:marTop w:val="0"/>
      <w:marBottom w:val="0"/>
      <w:divBdr>
        <w:top w:val="none" w:sz="0" w:space="0" w:color="auto"/>
        <w:left w:val="none" w:sz="0" w:space="0" w:color="auto"/>
        <w:bottom w:val="none" w:sz="0" w:space="0" w:color="auto"/>
        <w:right w:val="none" w:sz="0" w:space="0" w:color="auto"/>
      </w:divBdr>
    </w:div>
    <w:div w:id="1519470383">
      <w:bodyDiv w:val="1"/>
      <w:marLeft w:val="0"/>
      <w:marRight w:val="0"/>
      <w:marTop w:val="0"/>
      <w:marBottom w:val="0"/>
      <w:divBdr>
        <w:top w:val="none" w:sz="0" w:space="0" w:color="auto"/>
        <w:left w:val="none" w:sz="0" w:space="0" w:color="auto"/>
        <w:bottom w:val="none" w:sz="0" w:space="0" w:color="auto"/>
        <w:right w:val="none" w:sz="0" w:space="0" w:color="auto"/>
      </w:divBdr>
    </w:div>
    <w:div w:id="1523398173">
      <w:bodyDiv w:val="1"/>
      <w:marLeft w:val="0"/>
      <w:marRight w:val="0"/>
      <w:marTop w:val="0"/>
      <w:marBottom w:val="0"/>
      <w:divBdr>
        <w:top w:val="none" w:sz="0" w:space="0" w:color="auto"/>
        <w:left w:val="none" w:sz="0" w:space="0" w:color="auto"/>
        <w:bottom w:val="none" w:sz="0" w:space="0" w:color="auto"/>
        <w:right w:val="none" w:sz="0" w:space="0" w:color="auto"/>
      </w:divBdr>
    </w:div>
    <w:div w:id="1524399027">
      <w:bodyDiv w:val="1"/>
      <w:marLeft w:val="0"/>
      <w:marRight w:val="0"/>
      <w:marTop w:val="0"/>
      <w:marBottom w:val="0"/>
      <w:divBdr>
        <w:top w:val="none" w:sz="0" w:space="0" w:color="auto"/>
        <w:left w:val="none" w:sz="0" w:space="0" w:color="auto"/>
        <w:bottom w:val="none" w:sz="0" w:space="0" w:color="auto"/>
        <w:right w:val="none" w:sz="0" w:space="0" w:color="auto"/>
      </w:divBdr>
    </w:div>
    <w:div w:id="1527017045">
      <w:bodyDiv w:val="1"/>
      <w:marLeft w:val="0"/>
      <w:marRight w:val="0"/>
      <w:marTop w:val="0"/>
      <w:marBottom w:val="0"/>
      <w:divBdr>
        <w:top w:val="none" w:sz="0" w:space="0" w:color="auto"/>
        <w:left w:val="none" w:sz="0" w:space="0" w:color="auto"/>
        <w:bottom w:val="none" w:sz="0" w:space="0" w:color="auto"/>
        <w:right w:val="none" w:sz="0" w:space="0" w:color="auto"/>
      </w:divBdr>
    </w:div>
    <w:div w:id="1533179678">
      <w:bodyDiv w:val="1"/>
      <w:marLeft w:val="0"/>
      <w:marRight w:val="0"/>
      <w:marTop w:val="0"/>
      <w:marBottom w:val="0"/>
      <w:divBdr>
        <w:top w:val="none" w:sz="0" w:space="0" w:color="auto"/>
        <w:left w:val="none" w:sz="0" w:space="0" w:color="auto"/>
        <w:bottom w:val="none" w:sz="0" w:space="0" w:color="auto"/>
        <w:right w:val="none" w:sz="0" w:space="0" w:color="auto"/>
      </w:divBdr>
    </w:div>
    <w:div w:id="1534272121">
      <w:bodyDiv w:val="1"/>
      <w:marLeft w:val="0"/>
      <w:marRight w:val="0"/>
      <w:marTop w:val="0"/>
      <w:marBottom w:val="0"/>
      <w:divBdr>
        <w:top w:val="none" w:sz="0" w:space="0" w:color="auto"/>
        <w:left w:val="none" w:sz="0" w:space="0" w:color="auto"/>
        <w:bottom w:val="none" w:sz="0" w:space="0" w:color="auto"/>
        <w:right w:val="none" w:sz="0" w:space="0" w:color="auto"/>
      </w:divBdr>
    </w:div>
    <w:div w:id="1534460462">
      <w:bodyDiv w:val="1"/>
      <w:marLeft w:val="0"/>
      <w:marRight w:val="0"/>
      <w:marTop w:val="0"/>
      <w:marBottom w:val="0"/>
      <w:divBdr>
        <w:top w:val="none" w:sz="0" w:space="0" w:color="auto"/>
        <w:left w:val="none" w:sz="0" w:space="0" w:color="auto"/>
        <w:bottom w:val="none" w:sz="0" w:space="0" w:color="auto"/>
        <w:right w:val="none" w:sz="0" w:space="0" w:color="auto"/>
      </w:divBdr>
    </w:div>
    <w:div w:id="1534615645">
      <w:bodyDiv w:val="1"/>
      <w:marLeft w:val="0"/>
      <w:marRight w:val="0"/>
      <w:marTop w:val="0"/>
      <w:marBottom w:val="0"/>
      <w:divBdr>
        <w:top w:val="none" w:sz="0" w:space="0" w:color="auto"/>
        <w:left w:val="none" w:sz="0" w:space="0" w:color="auto"/>
        <w:bottom w:val="none" w:sz="0" w:space="0" w:color="auto"/>
        <w:right w:val="none" w:sz="0" w:space="0" w:color="auto"/>
      </w:divBdr>
      <w:divsChild>
        <w:div w:id="268047677">
          <w:marLeft w:val="0"/>
          <w:marRight w:val="0"/>
          <w:marTop w:val="0"/>
          <w:marBottom w:val="0"/>
          <w:divBdr>
            <w:top w:val="none" w:sz="0" w:space="0" w:color="auto"/>
            <w:left w:val="none" w:sz="0" w:space="0" w:color="auto"/>
            <w:bottom w:val="none" w:sz="0" w:space="0" w:color="auto"/>
            <w:right w:val="none" w:sz="0" w:space="0" w:color="auto"/>
          </w:divBdr>
        </w:div>
      </w:divsChild>
    </w:div>
    <w:div w:id="1537234697">
      <w:bodyDiv w:val="1"/>
      <w:marLeft w:val="0"/>
      <w:marRight w:val="0"/>
      <w:marTop w:val="0"/>
      <w:marBottom w:val="0"/>
      <w:divBdr>
        <w:top w:val="none" w:sz="0" w:space="0" w:color="auto"/>
        <w:left w:val="none" w:sz="0" w:space="0" w:color="auto"/>
        <w:bottom w:val="none" w:sz="0" w:space="0" w:color="auto"/>
        <w:right w:val="none" w:sz="0" w:space="0" w:color="auto"/>
      </w:divBdr>
    </w:div>
    <w:div w:id="1537426112">
      <w:bodyDiv w:val="1"/>
      <w:marLeft w:val="0"/>
      <w:marRight w:val="0"/>
      <w:marTop w:val="0"/>
      <w:marBottom w:val="0"/>
      <w:divBdr>
        <w:top w:val="none" w:sz="0" w:space="0" w:color="auto"/>
        <w:left w:val="none" w:sz="0" w:space="0" w:color="auto"/>
        <w:bottom w:val="none" w:sz="0" w:space="0" w:color="auto"/>
        <w:right w:val="none" w:sz="0" w:space="0" w:color="auto"/>
      </w:divBdr>
    </w:div>
    <w:div w:id="1539271845">
      <w:bodyDiv w:val="1"/>
      <w:marLeft w:val="0"/>
      <w:marRight w:val="0"/>
      <w:marTop w:val="0"/>
      <w:marBottom w:val="0"/>
      <w:divBdr>
        <w:top w:val="none" w:sz="0" w:space="0" w:color="auto"/>
        <w:left w:val="none" w:sz="0" w:space="0" w:color="auto"/>
        <w:bottom w:val="none" w:sz="0" w:space="0" w:color="auto"/>
        <w:right w:val="none" w:sz="0" w:space="0" w:color="auto"/>
      </w:divBdr>
    </w:div>
    <w:div w:id="1541282653">
      <w:bodyDiv w:val="1"/>
      <w:marLeft w:val="0"/>
      <w:marRight w:val="0"/>
      <w:marTop w:val="0"/>
      <w:marBottom w:val="0"/>
      <w:divBdr>
        <w:top w:val="none" w:sz="0" w:space="0" w:color="auto"/>
        <w:left w:val="none" w:sz="0" w:space="0" w:color="auto"/>
        <w:bottom w:val="none" w:sz="0" w:space="0" w:color="auto"/>
        <w:right w:val="none" w:sz="0" w:space="0" w:color="auto"/>
      </w:divBdr>
    </w:div>
    <w:div w:id="1543321159">
      <w:bodyDiv w:val="1"/>
      <w:marLeft w:val="0"/>
      <w:marRight w:val="0"/>
      <w:marTop w:val="0"/>
      <w:marBottom w:val="0"/>
      <w:divBdr>
        <w:top w:val="none" w:sz="0" w:space="0" w:color="auto"/>
        <w:left w:val="none" w:sz="0" w:space="0" w:color="auto"/>
        <w:bottom w:val="none" w:sz="0" w:space="0" w:color="auto"/>
        <w:right w:val="none" w:sz="0" w:space="0" w:color="auto"/>
      </w:divBdr>
    </w:div>
    <w:div w:id="1543590929">
      <w:bodyDiv w:val="1"/>
      <w:marLeft w:val="0"/>
      <w:marRight w:val="0"/>
      <w:marTop w:val="0"/>
      <w:marBottom w:val="0"/>
      <w:divBdr>
        <w:top w:val="none" w:sz="0" w:space="0" w:color="auto"/>
        <w:left w:val="none" w:sz="0" w:space="0" w:color="auto"/>
        <w:bottom w:val="none" w:sz="0" w:space="0" w:color="auto"/>
        <w:right w:val="none" w:sz="0" w:space="0" w:color="auto"/>
      </w:divBdr>
    </w:div>
    <w:div w:id="1544175142">
      <w:bodyDiv w:val="1"/>
      <w:marLeft w:val="0"/>
      <w:marRight w:val="0"/>
      <w:marTop w:val="0"/>
      <w:marBottom w:val="0"/>
      <w:divBdr>
        <w:top w:val="none" w:sz="0" w:space="0" w:color="auto"/>
        <w:left w:val="none" w:sz="0" w:space="0" w:color="auto"/>
        <w:bottom w:val="none" w:sz="0" w:space="0" w:color="auto"/>
        <w:right w:val="none" w:sz="0" w:space="0" w:color="auto"/>
      </w:divBdr>
    </w:div>
    <w:div w:id="1546521986">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639012">
      <w:bodyDiv w:val="1"/>
      <w:marLeft w:val="0"/>
      <w:marRight w:val="0"/>
      <w:marTop w:val="0"/>
      <w:marBottom w:val="0"/>
      <w:divBdr>
        <w:top w:val="none" w:sz="0" w:space="0" w:color="auto"/>
        <w:left w:val="none" w:sz="0" w:space="0" w:color="auto"/>
        <w:bottom w:val="none" w:sz="0" w:space="0" w:color="auto"/>
        <w:right w:val="none" w:sz="0" w:space="0" w:color="auto"/>
      </w:divBdr>
    </w:div>
    <w:div w:id="1552233735">
      <w:bodyDiv w:val="1"/>
      <w:marLeft w:val="0"/>
      <w:marRight w:val="0"/>
      <w:marTop w:val="0"/>
      <w:marBottom w:val="0"/>
      <w:divBdr>
        <w:top w:val="none" w:sz="0" w:space="0" w:color="auto"/>
        <w:left w:val="none" w:sz="0" w:space="0" w:color="auto"/>
        <w:bottom w:val="none" w:sz="0" w:space="0" w:color="auto"/>
        <w:right w:val="none" w:sz="0" w:space="0" w:color="auto"/>
      </w:divBdr>
    </w:div>
    <w:div w:id="1554275398">
      <w:bodyDiv w:val="1"/>
      <w:marLeft w:val="0"/>
      <w:marRight w:val="0"/>
      <w:marTop w:val="0"/>
      <w:marBottom w:val="0"/>
      <w:divBdr>
        <w:top w:val="none" w:sz="0" w:space="0" w:color="auto"/>
        <w:left w:val="none" w:sz="0" w:space="0" w:color="auto"/>
        <w:bottom w:val="none" w:sz="0" w:space="0" w:color="auto"/>
        <w:right w:val="none" w:sz="0" w:space="0" w:color="auto"/>
      </w:divBdr>
    </w:div>
    <w:div w:id="1555508639">
      <w:bodyDiv w:val="1"/>
      <w:marLeft w:val="0"/>
      <w:marRight w:val="0"/>
      <w:marTop w:val="0"/>
      <w:marBottom w:val="0"/>
      <w:divBdr>
        <w:top w:val="none" w:sz="0" w:space="0" w:color="auto"/>
        <w:left w:val="none" w:sz="0" w:space="0" w:color="auto"/>
        <w:bottom w:val="none" w:sz="0" w:space="0" w:color="auto"/>
        <w:right w:val="none" w:sz="0" w:space="0" w:color="auto"/>
      </w:divBdr>
    </w:div>
    <w:div w:id="1557667099">
      <w:bodyDiv w:val="1"/>
      <w:marLeft w:val="0"/>
      <w:marRight w:val="0"/>
      <w:marTop w:val="0"/>
      <w:marBottom w:val="0"/>
      <w:divBdr>
        <w:top w:val="none" w:sz="0" w:space="0" w:color="auto"/>
        <w:left w:val="none" w:sz="0" w:space="0" w:color="auto"/>
        <w:bottom w:val="none" w:sz="0" w:space="0" w:color="auto"/>
        <w:right w:val="none" w:sz="0" w:space="0" w:color="auto"/>
      </w:divBdr>
    </w:div>
    <w:div w:id="1560096030">
      <w:bodyDiv w:val="1"/>
      <w:marLeft w:val="0"/>
      <w:marRight w:val="0"/>
      <w:marTop w:val="0"/>
      <w:marBottom w:val="0"/>
      <w:divBdr>
        <w:top w:val="none" w:sz="0" w:space="0" w:color="auto"/>
        <w:left w:val="none" w:sz="0" w:space="0" w:color="auto"/>
        <w:bottom w:val="none" w:sz="0" w:space="0" w:color="auto"/>
        <w:right w:val="none" w:sz="0" w:space="0" w:color="auto"/>
      </w:divBdr>
    </w:div>
    <w:div w:id="1561019545">
      <w:bodyDiv w:val="1"/>
      <w:marLeft w:val="0"/>
      <w:marRight w:val="0"/>
      <w:marTop w:val="0"/>
      <w:marBottom w:val="0"/>
      <w:divBdr>
        <w:top w:val="none" w:sz="0" w:space="0" w:color="auto"/>
        <w:left w:val="none" w:sz="0" w:space="0" w:color="auto"/>
        <w:bottom w:val="none" w:sz="0" w:space="0" w:color="auto"/>
        <w:right w:val="none" w:sz="0" w:space="0" w:color="auto"/>
      </w:divBdr>
    </w:div>
    <w:div w:id="1562591445">
      <w:bodyDiv w:val="1"/>
      <w:marLeft w:val="0"/>
      <w:marRight w:val="0"/>
      <w:marTop w:val="0"/>
      <w:marBottom w:val="0"/>
      <w:divBdr>
        <w:top w:val="none" w:sz="0" w:space="0" w:color="auto"/>
        <w:left w:val="none" w:sz="0" w:space="0" w:color="auto"/>
        <w:bottom w:val="none" w:sz="0" w:space="0" w:color="auto"/>
        <w:right w:val="none" w:sz="0" w:space="0" w:color="auto"/>
      </w:divBdr>
    </w:div>
    <w:div w:id="1564755476">
      <w:bodyDiv w:val="1"/>
      <w:marLeft w:val="0"/>
      <w:marRight w:val="0"/>
      <w:marTop w:val="0"/>
      <w:marBottom w:val="0"/>
      <w:divBdr>
        <w:top w:val="none" w:sz="0" w:space="0" w:color="auto"/>
        <w:left w:val="none" w:sz="0" w:space="0" w:color="auto"/>
        <w:bottom w:val="none" w:sz="0" w:space="0" w:color="auto"/>
        <w:right w:val="none" w:sz="0" w:space="0" w:color="auto"/>
      </w:divBdr>
    </w:div>
    <w:div w:id="1565143772">
      <w:bodyDiv w:val="1"/>
      <w:marLeft w:val="0"/>
      <w:marRight w:val="0"/>
      <w:marTop w:val="0"/>
      <w:marBottom w:val="0"/>
      <w:divBdr>
        <w:top w:val="none" w:sz="0" w:space="0" w:color="auto"/>
        <w:left w:val="none" w:sz="0" w:space="0" w:color="auto"/>
        <w:bottom w:val="none" w:sz="0" w:space="0" w:color="auto"/>
        <w:right w:val="none" w:sz="0" w:space="0" w:color="auto"/>
      </w:divBdr>
    </w:div>
    <w:div w:id="1565725508">
      <w:bodyDiv w:val="1"/>
      <w:marLeft w:val="0"/>
      <w:marRight w:val="0"/>
      <w:marTop w:val="0"/>
      <w:marBottom w:val="0"/>
      <w:divBdr>
        <w:top w:val="none" w:sz="0" w:space="0" w:color="auto"/>
        <w:left w:val="none" w:sz="0" w:space="0" w:color="auto"/>
        <w:bottom w:val="none" w:sz="0" w:space="0" w:color="auto"/>
        <w:right w:val="none" w:sz="0" w:space="0" w:color="auto"/>
      </w:divBdr>
    </w:div>
    <w:div w:id="1567032265">
      <w:bodyDiv w:val="1"/>
      <w:marLeft w:val="0"/>
      <w:marRight w:val="0"/>
      <w:marTop w:val="0"/>
      <w:marBottom w:val="0"/>
      <w:divBdr>
        <w:top w:val="none" w:sz="0" w:space="0" w:color="auto"/>
        <w:left w:val="none" w:sz="0" w:space="0" w:color="auto"/>
        <w:bottom w:val="none" w:sz="0" w:space="0" w:color="auto"/>
        <w:right w:val="none" w:sz="0" w:space="0" w:color="auto"/>
      </w:divBdr>
    </w:div>
    <w:div w:id="1568954479">
      <w:bodyDiv w:val="1"/>
      <w:marLeft w:val="0"/>
      <w:marRight w:val="0"/>
      <w:marTop w:val="0"/>
      <w:marBottom w:val="0"/>
      <w:divBdr>
        <w:top w:val="none" w:sz="0" w:space="0" w:color="auto"/>
        <w:left w:val="none" w:sz="0" w:space="0" w:color="auto"/>
        <w:bottom w:val="none" w:sz="0" w:space="0" w:color="auto"/>
        <w:right w:val="none" w:sz="0" w:space="0" w:color="auto"/>
      </w:divBdr>
    </w:div>
    <w:div w:id="1570385858">
      <w:bodyDiv w:val="1"/>
      <w:marLeft w:val="0"/>
      <w:marRight w:val="0"/>
      <w:marTop w:val="0"/>
      <w:marBottom w:val="0"/>
      <w:divBdr>
        <w:top w:val="none" w:sz="0" w:space="0" w:color="auto"/>
        <w:left w:val="none" w:sz="0" w:space="0" w:color="auto"/>
        <w:bottom w:val="none" w:sz="0" w:space="0" w:color="auto"/>
        <w:right w:val="none" w:sz="0" w:space="0" w:color="auto"/>
      </w:divBdr>
    </w:div>
    <w:div w:id="1571386867">
      <w:bodyDiv w:val="1"/>
      <w:marLeft w:val="0"/>
      <w:marRight w:val="0"/>
      <w:marTop w:val="0"/>
      <w:marBottom w:val="0"/>
      <w:divBdr>
        <w:top w:val="none" w:sz="0" w:space="0" w:color="auto"/>
        <w:left w:val="none" w:sz="0" w:space="0" w:color="auto"/>
        <w:bottom w:val="none" w:sz="0" w:space="0" w:color="auto"/>
        <w:right w:val="none" w:sz="0" w:space="0" w:color="auto"/>
      </w:divBdr>
    </w:div>
    <w:div w:id="1572042116">
      <w:bodyDiv w:val="1"/>
      <w:marLeft w:val="0"/>
      <w:marRight w:val="0"/>
      <w:marTop w:val="0"/>
      <w:marBottom w:val="0"/>
      <w:divBdr>
        <w:top w:val="none" w:sz="0" w:space="0" w:color="auto"/>
        <w:left w:val="none" w:sz="0" w:space="0" w:color="auto"/>
        <w:bottom w:val="none" w:sz="0" w:space="0" w:color="auto"/>
        <w:right w:val="none" w:sz="0" w:space="0" w:color="auto"/>
      </w:divBdr>
    </w:div>
    <w:div w:id="1572158491">
      <w:bodyDiv w:val="1"/>
      <w:marLeft w:val="0"/>
      <w:marRight w:val="0"/>
      <w:marTop w:val="0"/>
      <w:marBottom w:val="0"/>
      <w:divBdr>
        <w:top w:val="none" w:sz="0" w:space="0" w:color="auto"/>
        <w:left w:val="none" w:sz="0" w:space="0" w:color="auto"/>
        <w:bottom w:val="none" w:sz="0" w:space="0" w:color="auto"/>
        <w:right w:val="none" w:sz="0" w:space="0" w:color="auto"/>
      </w:divBdr>
    </w:div>
    <w:div w:id="1574044313">
      <w:bodyDiv w:val="1"/>
      <w:marLeft w:val="0"/>
      <w:marRight w:val="0"/>
      <w:marTop w:val="0"/>
      <w:marBottom w:val="0"/>
      <w:divBdr>
        <w:top w:val="none" w:sz="0" w:space="0" w:color="auto"/>
        <w:left w:val="none" w:sz="0" w:space="0" w:color="auto"/>
        <w:bottom w:val="none" w:sz="0" w:space="0" w:color="auto"/>
        <w:right w:val="none" w:sz="0" w:space="0" w:color="auto"/>
      </w:divBdr>
    </w:div>
    <w:div w:id="1581449972">
      <w:bodyDiv w:val="1"/>
      <w:marLeft w:val="0"/>
      <w:marRight w:val="0"/>
      <w:marTop w:val="0"/>
      <w:marBottom w:val="0"/>
      <w:divBdr>
        <w:top w:val="none" w:sz="0" w:space="0" w:color="auto"/>
        <w:left w:val="none" w:sz="0" w:space="0" w:color="auto"/>
        <w:bottom w:val="none" w:sz="0" w:space="0" w:color="auto"/>
        <w:right w:val="none" w:sz="0" w:space="0" w:color="auto"/>
      </w:divBdr>
    </w:div>
    <w:div w:id="1581715987">
      <w:bodyDiv w:val="1"/>
      <w:marLeft w:val="0"/>
      <w:marRight w:val="0"/>
      <w:marTop w:val="0"/>
      <w:marBottom w:val="0"/>
      <w:divBdr>
        <w:top w:val="none" w:sz="0" w:space="0" w:color="auto"/>
        <w:left w:val="none" w:sz="0" w:space="0" w:color="auto"/>
        <w:bottom w:val="none" w:sz="0" w:space="0" w:color="auto"/>
        <w:right w:val="none" w:sz="0" w:space="0" w:color="auto"/>
      </w:divBdr>
    </w:div>
    <w:div w:id="1581719944">
      <w:bodyDiv w:val="1"/>
      <w:marLeft w:val="0"/>
      <w:marRight w:val="0"/>
      <w:marTop w:val="0"/>
      <w:marBottom w:val="0"/>
      <w:divBdr>
        <w:top w:val="none" w:sz="0" w:space="0" w:color="auto"/>
        <w:left w:val="none" w:sz="0" w:space="0" w:color="auto"/>
        <w:bottom w:val="none" w:sz="0" w:space="0" w:color="auto"/>
        <w:right w:val="none" w:sz="0" w:space="0" w:color="auto"/>
      </w:divBdr>
    </w:div>
    <w:div w:id="1581871658">
      <w:bodyDiv w:val="1"/>
      <w:marLeft w:val="0"/>
      <w:marRight w:val="0"/>
      <w:marTop w:val="0"/>
      <w:marBottom w:val="0"/>
      <w:divBdr>
        <w:top w:val="none" w:sz="0" w:space="0" w:color="auto"/>
        <w:left w:val="none" w:sz="0" w:space="0" w:color="auto"/>
        <w:bottom w:val="none" w:sz="0" w:space="0" w:color="auto"/>
        <w:right w:val="none" w:sz="0" w:space="0" w:color="auto"/>
      </w:divBdr>
    </w:div>
    <w:div w:id="1581988605">
      <w:bodyDiv w:val="1"/>
      <w:marLeft w:val="0"/>
      <w:marRight w:val="0"/>
      <w:marTop w:val="0"/>
      <w:marBottom w:val="0"/>
      <w:divBdr>
        <w:top w:val="none" w:sz="0" w:space="0" w:color="auto"/>
        <w:left w:val="none" w:sz="0" w:space="0" w:color="auto"/>
        <w:bottom w:val="none" w:sz="0" w:space="0" w:color="auto"/>
        <w:right w:val="none" w:sz="0" w:space="0" w:color="auto"/>
      </w:divBdr>
    </w:div>
    <w:div w:id="1584678119">
      <w:bodyDiv w:val="1"/>
      <w:marLeft w:val="0"/>
      <w:marRight w:val="0"/>
      <w:marTop w:val="0"/>
      <w:marBottom w:val="0"/>
      <w:divBdr>
        <w:top w:val="none" w:sz="0" w:space="0" w:color="auto"/>
        <w:left w:val="none" w:sz="0" w:space="0" w:color="auto"/>
        <w:bottom w:val="none" w:sz="0" w:space="0" w:color="auto"/>
        <w:right w:val="none" w:sz="0" w:space="0" w:color="auto"/>
      </w:divBdr>
    </w:div>
    <w:div w:id="1592273248">
      <w:bodyDiv w:val="1"/>
      <w:marLeft w:val="0"/>
      <w:marRight w:val="0"/>
      <w:marTop w:val="0"/>
      <w:marBottom w:val="0"/>
      <w:divBdr>
        <w:top w:val="none" w:sz="0" w:space="0" w:color="auto"/>
        <w:left w:val="none" w:sz="0" w:space="0" w:color="auto"/>
        <w:bottom w:val="none" w:sz="0" w:space="0" w:color="auto"/>
        <w:right w:val="none" w:sz="0" w:space="0" w:color="auto"/>
      </w:divBdr>
    </w:div>
    <w:div w:id="1592395508">
      <w:bodyDiv w:val="1"/>
      <w:marLeft w:val="0"/>
      <w:marRight w:val="0"/>
      <w:marTop w:val="0"/>
      <w:marBottom w:val="0"/>
      <w:divBdr>
        <w:top w:val="none" w:sz="0" w:space="0" w:color="auto"/>
        <w:left w:val="none" w:sz="0" w:space="0" w:color="auto"/>
        <w:bottom w:val="none" w:sz="0" w:space="0" w:color="auto"/>
        <w:right w:val="none" w:sz="0" w:space="0" w:color="auto"/>
      </w:divBdr>
    </w:div>
    <w:div w:id="1594360714">
      <w:bodyDiv w:val="1"/>
      <w:marLeft w:val="0"/>
      <w:marRight w:val="0"/>
      <w:marTop w:val="0"/>
      <w:marBottom w:val="0"/>
      <w:divBdr>
        <w:top w:val="none" w:sz="0" w:space="0" w:color="auto"/>
        <w:left w:val="none" w:sz="0" w:space="0" w:color="auto"/>
        <w:bottom w:val="none" w:sz="0" w:space="0" w:color="auto"/>
        <w:right w:val="none" w:sz="0" w:space="0" w:color="auto"/>
      </w:divBdr>
    </w:div>
    <w:div w:id="1598829066">
      <w:bodyDiv w:val="1"/>
      <w:marLeft w:val="0"/>
      <w:marRight w:val="0"/>
      <w:marTop w:val="0"/>
      <w:marBottom w:val="0"/>
      <w:divBdr>
        <w:top w:val="none" w:sz="0" w:space="0" w:color="auto"/>
        <w:left w:val="none" w:sz="0" w:space="0" w:color="auto"/>
        <w:bottom w:val="none" w:sz="0" w:space="0" w:color="auto"/>
        <w:right w:val="none" w:sz="0" w:space="0" w:color="auto"/>
      </w:divBdr>
    </w:div>
    <w:div w:id="1599024124">
      <w:bodyDiv w:val="1"/>
      <w:marLeft w:val="0"/>
      <w:marRight w:val="0"/>
      <w:marTop w:val="0"/>
      <w:marBottom w:val="0"/>
      <w:divBdr>
        <w:top w:val="none" w:sz="0" w:space="0" w:color="auto"/>
        <w:left w:val="none" w:sz="0" w:space="0" w:color="auto"/>
        <w:bottom w:val="none" w:sz="0" w:space="0" w:color="auto"/>
        <w:right w:val="none" w:sz="0" w:space="0" w:color="auto"/>
      </w:divBdr>
    </w:div>
    <w:div w:id="1601447142">
      <w:bodyDiv w:val="1"/>
      <w:marLeft w:val="0"/>
      <w:marRight w:val="0"/>
      <w:marTop w:val="0"/>
      <w:marBottom w:val="0"/>
      <w:divBdr>
        <w:top w:val="none" w:sz="0" w:space="0" w:color="auto"/>
        <w:left w:val="none" w:sz="0" w:space="0" w:color="auto"/>
        <w:bottom w:val="none" w:sz="0" w:space="0" w:color="auto"/>
        <w:right w:val="none" w:sz="0" w:space="0" w:color="auto"/>
      </w:divBdr>
    </w:div>
    <w:div w:id="1602565917">
      <w:bodyDiv w:val="1"/>
      <w:marLeft w:val="0"/>
      <w:marRight w:val="0"/>
      <w:marTop w:val="0"/>
      <w:marBottom w:val="0"/>
      <w:divBdr>
        <w:top w:val="none" w:sz="0" w:space="0" w:color="auto"/>
        <w:left w:val="none" w:sz="0" w:space="0" w:color="auto"/>
        <w:bottom w:val="none" w:sz="0" w:space="0" w:color="auto"/>
        <w:right w:val="none" w:sz="0" w:space="0" w:color="auto"/>
      </w:divBdr>
    </w:div>
    <w:div w:id="1602688247">
      <w:bodyDiv w:val="1"/>
      <w:marLeft w:val="0"/>
      <w:marRight w:val="0"/>
      <w:marTop w:val="0"/>
      <w:marBottom w:val="0"/>
      <w:divBdr>
        <w:top w:val="none" w:sz="0" w:space="0" w:color="auto"/>
        <w:left w:val="none" w:sz="0" w:space="0" w:color="auto"/>
        <w:bottom w:val="none" w:sz="0" w:space="0" w:color="auto"/>
        <w:right w:val="none" w:sz="0" w:space="0" w:color="auto"/>
      </w:divBdr>
    </w:div>
    <w:div w:id="1603419786">
      <w:bodyDiv w:val="1"/>
      <w:marLeft w:val="0"/>
      <w:marRight w:val="0"/>
      <w:marTop w:val="0"/>
      <w:marBottom w:val="0"/>
      <w:divBdr>
        <w:top w:val="none" w:sz="0" w:space="0" w:color="auto"/>
        <w:left w:val="none" w:sz="0" w:space="0" w:color="auto"/>
        <w:bottom w:val="none" w:sz="0" w:space="0" w:color="auto"/>
        <w:right w:val="none" w:sz="0" w:space="0" w:color="auto"/>
      </w:divBdr>
    </w:div>
    <w:div w:id="1606182833">
      <w:bodyDiv w:val="1"/>
      <w:marLeft w:val="0"/>
      <w:marRight w:val="0"/>
      <w:marTop w:val="0"/>
      <w:marBottom w:val="0"/>
      <w:divBdr>
        <w:top w:val="none" w:sz="0" w:space="0" w:color="auto"/>
        <w:left w:val="none" w:sz="0" w:space="0" w:color="auto"/>
        <w:bottom w:val="none" w:sz="0" w:space="0" w:color="auto"/>
        <w:right w:val="none" w:sz="0" w:space="0" w:color="auto"/>
      </w:divBdr>
    </w:div>
    <w:div w:id="1606647534">
      <w:bodyDiv w:val="1"/>
      <w:marLeft w:val="0"/>
      <w:marRight w:val="0"/>
      <w:marTop w:val="0"/>
      <w:marBottom w:val="0"/>
      <w:divBdr>
        <w:top w:val="none" w:sz="0" w:space="0" w:color="auto"/>
        <w:left w:val="none" w:sz="0" w:space="0" w:color="auto"/>
        <w:bottom w:val="none" w:sz="0" w:space="0" w:color="auto"/>
        <w:right w:val="none" w:sz="0" w:space="0" w:color="auto"/>
      </w:divBdr>
    </w:div>
    <w:div w:id="1607694720">
      <w:bodyDiv w:val="1"/>
      <w:marLeft w:val="0"/>
      <w:marRight w:val="0"/>
      <w:marTop w:val="0"/>
      <w:marBottom w:val="0"/>
      <w:divBdr>
        <w:top w:val="none" w:sz="0" w:space="0" w:color="auto"/>
        <w:left w:val="none" w:sz="0" w:space="0" w:color="auto"/>
        <w:bottom w:val="none" w:sz="0" w:space="0" w:color="auto"/>
        <w:right w:val="none" w:sz="0" w:space="0" w:color="auto"/>
      </w:divBdr>
    </w:div>
    <w:div w:id="1612320142">
      <w:bodyDiv w:val="1"/>
      <w:marLeft w:val="0"/>
      <w:marRight w:val="0"/>
      <w:marTop w:val="0"/>
      <w:marBottom w:val="0"/>
      <w:divBdr>
        <w:top w:val="none" w:sz="0" w:space="0" w:color="auto"/>
        <w:left w:val="none" w:sz="0" w:space="0" w:color="auto"/>
        <w:bottom w:val="none" w:sz="0" w:space="0" w:color="auto"/>
        <w:right w:val="none" w:sz="0" w:space="0" w:color="auto"/>
      </w:divBdr>
    </w:div>
    <w:div w:id="1612859456">
      <w:bodyDiv w:val="1"/>
      <w:marLeft w:val="0"/>
      <w:marRight w:val="0"/>
      <w:marTop w:val="0"/>
      <w:marBottom w:val="0"/>
      <w:divBdr>
        <w:top w:val="none" w:sz="0" w:space="0" w:color="auto"/>
        <w:left w:val="none" w:sz="0" w:space="0" w:color="auto"/>
        <w:bottom w:val="none" w:sz="0" w:space="0" w:color="auto"/>
        <w:right w:val="none" w:sz="0" w:space="0" w:color="auto"/>
      </w:divBdr>
    </w:div>
    <w:div w:id="1614439274">
      <w:bodyDiv w:val="1"/>
      <w:marLeft w:val="0"/>
      <w:marRight w:val="0"/>
      <w:marTop w:val="0"/>
      <w:marBottom w:val="0"/>
      <w:divBdr>
        <w:top w:val="none" w:sz="0" w:space="0" w:color="auto"/>
        <w:left w:val="none" w:sz="0" w:space="0" w:color="auto"/>
        <w:bottom w:val="none" w:sz="0" w:space="0" w:color="auto"/>
        <w:right w:val="none" w:sz="0" w:space="0" w:color="auto"/>
      </w:divBdr>
    </w:div>
    <w:div w:id="1619605668">
      <w:bodyDiv w:val="1"/>
      <w:marLeft w:val="0"/>
      <w:marRight w:val="0"/>
      <w:marTop w:val="0"/>
      <w:marBottom w:val="0"/>
      <w:divBdr>
        <w:top w:val="none" w:sz="0" w:space="0" w:color="auto"/>
        <w:left w:val="none" w:sz="0" w:space="0" w:color="auto"/>
        <w:bottom w:val="none" w:sz="0" w:space="0" w:color="auto"/>
        <w:right w:val="none" w:sz="0" w:space="0" w:color="auto"/>
      </w:divBdr>
    </w:div>
    <w:div w:id="1620061797">
      <w:bodyDiv w:val="1"/>
      <w:marLeft w:val="0"/>
      <w:marRight w:val="0"/>
      <w:marTop w:val="0"/>
      <w:marBottom w:val="0"/>
      <w:divBdr>
        <w:top w:val="none" w:sz="0" w:space="0" w:color="auto"/>
        <w:left w:val="none" w:sz="0" w:space="0" w:color="auto"/>
        <w:bottom w:val="none" w:sz="0" w:space="0" w:color="auto"/>
        <w:right w:val="none" w:sz="0" w:space="0" w:color="auto"/>
      </w:divBdr>
    </w:div>
    <w:div w:id="1620648434">
      <w:bodyDiv w:val="1"/>
      <w:marLeft w:val="0"/>
      <w:marRight w:val="0"/>
      <w:marTop w:val="0"/>
      <w:marBottom w:val="0"/>
      <w:divBdr>
        <w:top w:val="none" w:sz="0" w:space="0" w:color="auto"/>
        <w:left w:val="none" w:sz="0" w:space="0" w:color="auto"/>
        <w:bottom w:val="none" w:sz="0" w:space="0" w:color="auto"/>
        <w:right w:val="none" w:sz="0" w:space="0" w:color="auto"/>
      </w:divBdr>
    </w:div>
    <w:div w:id="1621565605">
      <w:bodyDiv w:val="1"/>
      <w:marLeft w:val="0"/>
      <w:marRight w:val="0"/>
      <w:marTop w:val="0"/>
      <w:marBottom w:val="0"/>
      <w:divBdr>
        <w:top w:val="none" w:sz="0" w:space="0" w:color="auto"/>
        <w:left w:val="none" w:sz="0" w:space="0" w:color="auto"/>
        <w:bottom w:val="none" w:sz="0" w:space="0" w:color="auto"/>
        <w:right w:val="none" w:sz="0" w:space="0" w:color="auto"/>
      </w:divBdr>
    </w:div>
    <w:div w:id="1625499539">
      <w:bodyDiv w:val="1"/>
      <w:marLeft w:val="0"/>
      <w:marRight w:val="0"/>
      <w:marTop w:val="0"/>
      <w:marBottom w:val="0"/>
      <w:divBdr>
        <w:top w:val="none" w:sz="0" w:space="0" w:color="auto"/>
        <w:left w:val="none" w:sz="0" w:space="0" w:color="auto"/>
        <w:bottom w:val="none" w:sz="0" w:space="0" w:color="auto"/>
        <w:right w:val="none" w:sz="0" w:space="0" w:color="auto"/>
      </w:divBdr>
    </w:div>
    <w:div w:id="1626081474">
      <w:bodyDiv w:val="1"/>
      <w:marLeft w:val="0"/>
      <w:marRight w:val="0"/>
      <w:marTop w:val="0"/>
      <w:marBottom w:val="0"/>
      <w:divBdr>
        <w:top w:val="none" w:sz="0" w:space="0" w:color="auto"/>
        <w:left w:val="none" w:sz="0" w:space="0" w:color="auto"/>
        <w:bottom w:val="none" w:sz="0" w:space="0" w:color="auto"/>
        <w:right w:val="none" w:sz="0" w:space="0" w:color="auto"/>
      </w:divBdr>
    </w:div>
    <w:div w:id="1627007909">
      <w:bodyDiv w:val="1"/>
      <w:marLeft w:val="0"/>
      <w:marRight w:val="0"/>
      <w:marTop w:val="0"/>
      <w:marBottom w:val="0"/>
      <w:divBdr>
        <w:top w:val="none" w:sz="0" w:space="0" w:color="auto"/>
        <w:left w:val="none" w:sz="0" w:space="0" w:color="auto"/>
        <w:bottom w:val="none" w:sz="0" w:space="0" w:color="auto"/>
        <w:right w:val="none" w:sz="0" w:space="0" w:color="auto"/>
      </w:divBdr>
    </w:div>
    <w:div w:id="1629165077">
      <w:bodyDiv w:val="1"/>
      <w:marLeft w:val="0"/>
      <w:marRight w:val="0"/>
      <w:marTop w:val="0"/>
      <w:marBottom w:val="0"/>
      <w:divBdr>
        <w:top w:val="none" w:sz="0" w:space="0" w:color="auto"/>
        <w:left w:val="none" w:sz="0" w:space="0" w:color="auto"/>
        <w:bottom w:val="none" w:sz="0" w:space="0" w:color="auto"/>
        <w:right w:val="none" w:sz="0" w:space="0" w:color="auto"/>
      </w:divBdr>
    </w:div>
    <w:div w:id="1629781152">
      <w:bodyDiv w:val="1"/>
      <w:marLeft w:val="0"/>
      <w:marRight w:val="0"/>
      <w:marTop w:val="0"/>
      <w:marBottom w:val="0"/>
      <w:divBdr>
        <w:top w:val="none" w:sz="0" w:space="0" w:color="auto"/>
        <w:left w:val="none" w:sz="0" w:space="0" w:color="auto"/>
        <w:bottom w:val="none" w:sz="0" w:space="0" w:color="auto"/>
        <w:right w:val="none" w:sz="0" w:space="0" w:color="auto"/>
      </w:divBdr>
    </w:div>
    <w:div w:id="1630550047">
      <w:bodyDiv w:val="1"/>
      <w:marLeft w:val="0"/>
      <w:marRight w:val="0"/>
      <w:marTop w:val="0"/>
      <w:marBottom w:val="0"/>
      <w:divBdr>
        <w:top w:val="none" w:sz="0" w:space="0" w:color="auto"/>
        <w:left w:val="none" w:sz="0" w:space="0" w:color="auto"/>
        <w:bottom w:val="none" w:sz="0" w:space="0" w:color="auto"/>
        <w:right w:val="none" w:sz="0" w:space="0" w:color="auto"/>
      </w:divBdr>
    </w:div>
    <w:div w:id="1633437978">
      <w:bodyDiv w:val="1"/>
      <w:marLeft w:val="0"/>
      <w:marRight w:val="0"/>
      <w:marTop w:val="0"/>
      <w:marBottom w:val="0"/>
      <w:divBdr>
        <w:top w:val="none" w:sz="0" w:space="0" w:color="auto"/>
        <w:left w:val="none" w:sz="0" w:space="0" w:color="auto"/>
        <w:bottom w:val="none" w:sz="0" w:space="0" w:color="auto"/>
        <w:right w:val="none" w:sz="0" w:space="0" w:color="auto"/>
      </w:divBdr>
    </w:div>
    <w:div w:id="1635715180">
      <w:bodyDiv w:val="1"/>
      <w:marLeft w:val="0"/>
      <w:marRight w:val="0"/>
      <w:marTop w:val="0"/>
      <w:marBottom w:val="0"/>
      <w:divBdr>
        <w:top w:val="none" w:sz="0" w:space="0" w:color="auto"/>
        <w:left w:val="none" w:sz="0" w:space="0" w:color="auto"/>
        <w:bottom w:val="none" w:sz="0" w:space="0" w:color="auto"/>
        <w:right w:val="none" w:sz="0" w:space="0" w:color="auto"/>
      </w:divBdr>
    </w:div>
    <w:div w:id="1637756354">
      <w:bodyDiv w:val="1"/>
      <w:marLeft w:val="0"/>
      <w:marRight w:val="0"/>
      <w:marTop w:val="0"/>
      <w:marBottom w:val="0"/>
      <w:divBdr>
        <w:top w:val="none" w:sz="0" w:space="0" w:color="auto"/>
        <w:left w:val="none" w:sz="0" w:space="0" w:color="auto"/>
        <w:bottom w:val="none" w:sz="0" w:space="0" w:color="auto"/>
        <w:right w:val="none" w:sz="0" w:space="0" w:color="auto"/>
      </w:divBdr>
    </w:div>
    <w:div w:id="1637952361">
      <w:bodyDiv w:val="1"/>
      <w:marLeft w:val="0"/>
      <w:marRight w:val="0"/>
      <w:marTop w:val="0"/>
      <w:marBottom w:val="0"/>
      <w:divBdr>
        <w:top w:val="none" w:sz="0" w:space="0" w:color="auto"/>
        <w:left w:val="none" w:sz="0" w:space="0" w:color="auto"/>
        <w:bottom w:val="none" w:sz="0" w:space="0" w:color="auto"/>
        <w:right w:val="none" w:sz="0" w:space="0" w:color="auto"/>
      </w:divBdr>
    </w:div>
    <w:div w:id="1644001088">
      <w:bodyDiv w:val="1"/>
      <w:marLeft w:val="0"/>
      <w:marRight w:val="0"/>
      <w:marTop w:val="0"/>
      <w:marBottom w:val="0"/>
      <w:divBdr>
        <w:top w:val="none" w:sz="0" w:space="0" w:color="auto"/>
        <w:left w:val="none" w:sz="0" w:space="0" w:color="auto"/>
        <w:bottom w:val="none" w:sz="0" w:space="0" w:color="auto"/>
        <w:right w:val="none" w:sz="0" w:space="0" w:color="auto"/>
      </w:divBdr>
    </w:div>
    <w:div w:id="1644503749">
      <w:bodyDiv w:val="1"/>
      <w:marLeft w:val="0"/>
      <w:marRight w:val="0"/>
      <w:marTop w:val="0"/>
      <w:marBottom w:val="0"/>
      <w:divBdr>
        <w:top w:val="none" w:sz="0" w:space="0" w:color="auto"/>
        <w:left w:val="none" w:sz="0" w:space="0" w:color="auto"/>
        <w:bottom w:val="none" w:sz="0" w:space="0" w:color="auto"/>
        <w:right w:val="none" w:sz="0" w:space="0" w:color="auto"/>
      </w:divBdr>
    </w:div>
    <w:div w:id="1646667179">
      <w:bodyDiv w:val="1"/>
      <w:marLeft w:val="0"/>
      <w:marRight w:val="0"/>
      <w:marTop w:val="0"/>
      <w:marBottom w:val="0"/>
      <w:divBdr>
        <w:top w:val="none" w:sz="0" w:space="0" w:color="auto"/>
        <w:left w:val="none" w:sz="0" w:space="0" w:color="auto"/>
        <w:bottom w:val="none" w:sz="0" w:space="0" w:color="auto"/>
        <w:right w:val="none" w:sz="0" w:space="0" w:color="auto"/>
      </w:divBdr>
    </w:div>
    <w:div w:id="1647248251">
      <w:bodyDiv w:val="1"/>
      <w:marLeft w:val="0"/>
      <w:marRight w:val="0"/>
      <w:marTop w:val="0"/>
      <w:marBottom w:val="0"/>
      <w:divBdr>
        <w:top w:val="none" w:sz="0" w:space="0" w:color="auto"/>
        <w:left w:val="none" w:sz="0" w:space="0" w:color="auto"/>
        <w:bottom w:val="none" w:sz="0" w:space="0" w:color="auto"/>
        <w:right w:val="none" w:sz="0" w:space="0" w:color="auto"/>
      </w:divBdr>
    </w:div>
    <w:div w:id="1649747029">
      <w:bodyDiv w:val="1"/>
      <w:marLeft w:val="0"/>
      <w:marRight w:val="0"/>
      <w:marTop w:val="0"/>
      <w:marBottom w:val="0"/>
      <w:divBdr>
        <w:top w:val="none" w:sz="0" w:space="0" w:color="auto"/>
        <w:left w:val="none" w:sz="0" w:space="0" w:color="auto"/>
        <w:bottom w:val="none" w:sz="0" w:space="0" w:color="auto"/>
        <w:right w:val="none" w:sz="0" w:space="0" w:color="auto"/>
      </w:divBdr>
    </w:div>
    <w:div w:id="1650210160">
      <w:bodyDiv w:val="1"/>
      <w:marLeft w:val="0"/>
      <w:marRight w:val="0"/>
      <w:marTop w:val="0"/>
      <w:marBottom w:val="0"/>
      <w:divBdr>
        <w:top w:val="none" w:sz="0" w:space="0" w:color="auto"/>
        <w:left w:val="none" w:sz="0" w:space="0" w:color="auto"/>
        <w:bottom w:val="none" w:sz="0" w:space="0" w:color="auto"/>
        <w:right w:val="none" w:sz="0" w:space="0" w:color="auto"/>
      </w:divBdr>
    </w:div>
    <w:div w:id="1651398336">
      <w:bodyDiv w:val="1"/>
      <w:marLeft w:val="0"/>
      <w:marRight w:val="0"/>
      <w:marTop w:val="0"/>
      <w:marBottom w:val="0"/>
      <w:divBdr>
        <w:top w:val="none" w:sz="0" w:space="0" w:color="auto"/>
        <w:left w:val="none" w:sz="0" w:space="0" w:color="auto"/>
        <w:bottom w:val="none" w:sz="0" w:space="0" w:color="auto"/>
        <w:right w:val="none" w:sz="0" w:space="0" w:color="auto"/>
      </w:divBdr>
    </w:div>
    <w:div w:id="1652783601">
      <w:bodyDiv w:val="1"/>
      <w:marLeft w:val="0"/>
      <w:marRight w:val="0"/>
      <w:marTop w:val="0"/>
      <w:marBottom w:val="0"/>
      <w:divBdr>
        <w:top w:val="none" w:sz="0" w:space="0" w:color="auto"/>
        <w:left w:val="none" w:sz="0" w:space="0" w:color="auto"/>
        <w:bottom w:val="none" w:sz="0" w:space="0" w:color="auto"/>
        <w:right w:val="none" w:sz="0" w:space="0" w:color="auto"/>
      </w:divBdr>
    </w:div>
    <w:div w:id="1653369445">
      <w:bodyDiv w:val="1"/>
      <w:marLeft w:val="0"/>
      <w:marRight w:val="0"/>
      <w:marTop w:val="0"/>
      <w:marBottom w:val="0"/>
      <w:divBdr>
        <w:top w:val="none" w:sz="0" w:space="0" w:color="auto"/>
        <w:left w:val="none" w:sz="0" w:space="0" w:color="auto"/>
        <w:bottom w:val="none" w:sz="0" w:space="0" w:color="auto"/>
        <w:right w:val="none" w:sz="0" w:space="0" w:color="auto"/>
      </w:divBdr>
    </w:div>
    <w:div w:id="1656256433">
      <w:bodyDiv w:val="1"/>
      <w:marLeft w:val="0"/>
      <w:marRight w:val="0"/>
      <w:marTop w:val="0"/>
      <w:marBottom w:val="0"/>
      <w:divBdr>
        <w:top w:val="none" w:sz="0" w:space="0" w:color="auto"/>
        <w:left w:val="none" w:sz="0" w:space="0" w:color="auto"/>
        <w:bottom w:val="none" w:sz="0" w:space="0" w:color="auto"/>
        <w:right w:val="none" w:sz="0" w:space="0" w:color="auto"/>
      </w:divBdr>
    </w:div>
    <w:div w:id="1656488556">
      <w:bodyDiv w:val="1"/>
      <w:marLeft w:val="0"/>
      <w:marRight w:val="0"/>
      <w:marTop w:val="0"/>
      <w:marBottom w:val="0"/>
      <w:divBdr>
        <w:top w:val="none" w:sz="0" w:space="0" w:color="auto"/>
        <w:left w:val="none" w:sz="0" w:space="0" w:color="auto"/>
        <w:bottom w:val="none" w:sz="0" w:space="0" w:color="auto"/>
        <w:right w:val="none" w:sz="0" w:space="0" w:color="auto"/>
      </w:divBdr>
    </w:div>
    <w:div w:id="1661621241">
      <w:bodyDiv w:val="1"/>
      <w:marLeft w:val="0"/>
      <w:marRight w:val="0"/>
      <w:marTop w:val="0"/>
      <w:marBottom w:val="0"/>
      <w:divBdr>
        <w:top w:val="none" w:sz="0" w:space="0" w:color="auto"/>
        <w:left w:val="none" w:sz="0" w:space="0" w:color="auto"/>
        <w:bottom w:val="none" w:sz="0" w:space="0" w:color="auto"/>
        <w:right w:val="none" w:sz="0" w:space="0" w:color="auto"/>
      </w:divBdr>
    </w:div>
    <w:div w:id="1663043770">
      <w:bodyDiv w:val="1"/>
      <w:marLeft w:val="0"/>
      <w:marRight w:val="0"/>
      <w:marTop w:val="0"/>
      <w:marBottom w:val="0"/>
      <w:divBdr>
        <w:top w:val="none" w:sz="0" w:space="0" w:color="auto"/>
        <w:left w:val="none" w:sz="0" w:space="0" w:color="auto"/>
        <w:bottom w:val="none" w:sz="0" w:space="0" w:color="auto"/>
        <w:right w:val="none" w:sz="0" w:space="0" w:color="auto"/>
      </w:divBdr>
    </w:div>
    <w:div w:id="1665818823">
      <w:bodyDiv w:val="1"/>
      <w:marLeft w:val="0"/>
      <w:marRight w:val="0"/>
      <w:marTop w:val="0"/>
      <w:marBottom w:val="0"/>
      <w:divBdr>
        <w:top w:val="none" w:sz="0" w:space="0" w:color="auto"/>
        <w:left w:val="none" w:sz="0" w:space="0" w:color="auto"/>
        <w:bottom w:val="none" w:sz="0" w:space="0" w:color="auto"/>
        <w:right w:val="none" w:sz="0" w:space="0" w:color="auto"/>
      </w:divBdr>
    </w:div>
    <w:div w:id="1666283856">
      <w:bodyDiv w:val="1"/>
      <w:marLeft w:val="0"/>
      <w:marRight w:val="0"/>
      <w:marTop w:val="0"/>
      <w:marBottom w:val="0"/>
      <w:divBdr>
        <w:top w:val="none" w:sz="0" w:space="0" w:color="auto"/>
        <w:left w:val="none" w:sz="0" w:space="0" w:color="auto"/>
        <w:bottom w:val="none" w:sz="0" w:space="0" w:color="auto"/>
        <w:right w:val="none" w:sz="0" w:space="0" w:color="auto"/>
      </w:divBdr>
    </w:div>
    <w:div w:id="1672024386">
      <w:bodyDiv w:val="1"/>
      <w:marLeft w:val="0"/>
      <w:marRight w:val="0"/>
      <w:marTop w:val="0"/>
      <w:marBottom w:val="0"/>
      <w:divBdr>
        <w:top w:val="none" w:sz="0" w:space="0" w:color="auto"/>
        <w:left w:val="none" w:sz="0" w:space="0" w:color="auto"/>
        <w:bottom w:val="none" w:sz="0" w:space="0" w:color="auto"/>
        <w:right w:val="none" w:sz="0" w:space="0" w:color="auto"/>
      </w:divBdr>
    </w:div>
    <w:div w:id="1673482483">
      <w:bodyDiv w:val="1"/>
      <w:marLeft w:val="0"/>
      <w:marRight w:val="0"/>
      <w:marTop w:val="0"/>
      <w:marBottom w:val="0"/>
      <w:divBdr>
        <w:top w:val="none" w:sz="0" w:space="0" w:color="auto"/>
        <w:left w:val="none" w:sz="0" w:space="0" w:color="auto"/>
        <w:bottom w:val="none" w:sz="0" w:space="0" w:color="auto"/>
        <w:right w:val="none" w:sz="0" w:space="0" w:color="auto"/>
      </w:divBdr>
    </w:div>
    <w:div w:id="1675691753">
      <w:bodyDiv w:val="1"/>
      <w:marLeft w:val="0"/>
      <w:marRight w:val="0"/>
      <w:marTop w:val="0"/>
      <w:marBottom w:val="0"/>
      <w:divBdr>
        <w:top w:val="none" w:sz="0" w:space="0" w:color="auto"/>
        <w:left w:val="none" w:sz="0" w:space="0" w:color="auto"/>
        <w:bottom w:val="none" w:sz="0" w:space="0" w:color="auto"/>
        <w:right w:val="none" w:sz="0" w:space="0" w:color="auto"/>
      </w:divBdr>
    </w:div>
    <w:div w:id="1677344361">
      <w:bodyDiv w:val="1"/>
      <w:marLeft w:val="0"/>
      <w:marRight w:val="0"/>
      <w:marTop w:val="0"/>
      <w:marBottom w:val="0"/>
      <w:divBdr>
        <w:top w:val="none" w:sz="0" w:space="0" w:color="auto"/>
        <w:left w:val="none" w:sz="0" w:space="0" w:color="auto"/>
        <w:bottom w:val="none" w:sz="0" w:space="0" w:color="auto"/>
        <w:right w:val="none" w:sz="0" w:space="0" w:color="auto"/>
      </w:divBdr>
    </w:div>
    <w:div w:id="1678311591">
      <w:bodyDiv w:val="1"/>
      <w:marLeft w:val="0"/>
      <w:marRight w:val="0"/>
      <w:marTop w:val="0"/>
      <w:marBottom w:val="0"/>
      <w:divBdr>
        <w:top w:val="none" w:sz="0" w:space="0" w:color="auto"/>
        <w:left w:val="none" w:sz="0" w:space="0" w:color="auto"/>
        <w:bottom w:val="none" w:sz="0" w:space="0" w:color="auto"/>
        <w:right w:val="none" w:sz="0" w:space="0" w:color="auto"/>
      </w:divBdr>
    </w:div>
    <w:div w:id="1679232625">
      <w:bodyDiv w:val="1"/>
      <w:marLeft w:val="0"/>
      <w:marRight w:val="0"/>
      <w:marTop w:val="0"/>
      <w:marBottom w:val="0"/>
      <w:divBdr>
        <w:top w:val="none" w:sz="0" w:space="0" w:color="auto"/>
        <w:left w:val="none" w:sz="0" w:space="0" w:color="auto"/>
        <w:bottom w:val="none" w:sz="0" w:space="0" w:color="auto"/>
        <w:right w:val="none" w:sz="0" w:space="0" w:color="auto"/>
      </w:divBdr>
    </w:div>
    <w:div w:id="1679235489">
      <w:bodyDiv w:val="1"/>
      <w:marLeft w:val="0"/>
      <w:marRight w:val="0"/>
      <w:marTop w:val="0"/>
      <w:marBottom w:val="0"/>
      <w:divBdr>
        <w:top w:val="none" w:sz="0" w:space="0" w:color="auto"/>
        <w:left w:val="none" w:sz="0" w:space="0" w:color="auto"/>
        <w:bottom w:val="none" w:sz="0" w:space="0" w:color="auto"/>
        <w:right w:val="none" w:sz="0" w:space="0" w:color="auto"/>
      </w:divBdr>
    </w:div>
    <w:div w:id="1682972547">
      <w:bodyDiv w:val="1"/>
      <w:marLeft w:val="0"/>
      <w:marRight w:val="0"/>
      <w:marTop w:val="0"/>
      <w:marBottom w:val="0"/>
      <w:divBdr>
        <w:top w:val="none" w:sz="0" w:space="0" w:color="auto"/>
        <w:left w:val="none" w:sz="0" w:space="0" w:color="auto"/>
        <w:bottom w:val="none" w:sz="0" w:space="0" w:color="auto"/>
        <w:right w:val="none" w:sz="0" w:space="0" w:color="auto"/>
      </w:divBdr>
    </w:div>
    <w:div w:id="1684042222">
      <w:bodyDiv w:val="1"/>
      <w:marLeft w:val="0"/>
      <w:marRight w:val="0"/>
      <w:marTop w:val="0"/>
      <w:marBottom w:val="0"/>
      <w:divBdr>
        <w:top w:val="none" w:sz="0" w:space="0" w:color="auto"/>
        <w:left w:val="none" w:sz="0" w:space="0" w:color="auto"/>
        <w:bottom w:val="none" w:sz="0" w:space="0" w:color="auto"/>
        <w:right w:val="none" w:sz="0" w:space="0" w:color="auto"/>
      </w:divBdr>
    </w:div>
    <w:div w:id="1685323843">
      <w:bodyDiv w:val="1"/>
      <w:marLeft w:val="0"/>
      <w:marRight w:val="0"/>
      <w:marTop w:val="0"/>
      <w:marBottom w:val="0"/>
      <w:divBdr>
        <w:top w:val="none" w:sz="0" w:space="0" w:color="auto"/>
        <w:left w:val="none" w:sz="0" w:space="0" w:color="auto"/>
        <w:bottom w:val="none" w:sz="0" w:space="0" w:color="auto"/>
        <w:right w:val="none" w:sz="0" w:space="0" w:color="auto"/>
      </w:divBdr>
    </w:div>
    <w:div w:id="1685352933">
      <w:bodyDiv w:val="1"/>
      <w:marLeft w:val="0"/>
      <w:marRight w:val="0"/>
      <w:marTop w:val="0"/>
      <w:marBottom w:val="0"/>
      <w:divBdr>
        <w:top w:val="none" w:sz="0" w:space="0" w:color="auto"/>
        <w:left w:val="none" w:sz="0" w:space="0" w:color="auto"/>
        <w:bottom w:val="none" w:sz="0" w:space="0" w:color="auto"/>
        <w:right w:val="none" w:sz="0" w:space="0" w:color="auto"/>
      </w:divBdr>
    </w:div>
    <w:div w:id="1686780917">
      <w:bodyDiv w:val="1"/>
      <w:marLeft w:val="0"/>
      <w:marRight w:val="0"/>
      <w:marTop w:val="0"/>
      <w:marBottom w:val="0"/>
      <w:divBdr>
        <w:top w:val="none" w:sz="0" w:space="0" w:color="auto"/>
        <w:left w:val="none" w:sz="0" w:space="0" w:color="auto"/>
        <w:bottom w:val="none" w:sz="0" w:space="0" w:color="auto"/>
        <w:right w:val="none" w:sz="0" w:space="0" w:color="auto"/>
      </w:divBdr>
    </w:div>
    <w:div w:id="1689718556">
      <w:bodyDiv w:val="1"/>
      <w:marLeft w:val="0"/>
      <w:marRight w:val="0"/>
      <w:marTop w:val="0"/>
      <w:marBottom w:val="0"/>
      <w:divBdr>
        <w:top w:val="none" w:sz="0" w:space="0" w:color="auto"/>
        <w:left w:val="none" w:sz="0" w:space="0" w:color="auto"/>
        <w:bottom w:val="none" w:sz="0" w:space="0" w:color="auto"/>
        <w:right w:val="none" w:sz="0" w:space="0" w:color="auto"/>
      </w:divBdr>
    </w:div>
    <w:div w:id="1691687711">
      <w:bodyDiv w:val="1"/>
      <w:marLeft w:val="0"/>
      <w:marRight w:val="0"/>
      <w:marTop w:val="0"/>
      <w:marBottom w:val="0"/>
      <w:divBdr>
        <w:top w:val="none" w:sz="0" w:space="0" w:color="auto"/>
        <w:left w:val="none" w:sz="0" w:space="0" w:color="auto"/>
        <w:bottom w:val="none" w:sz="0" w:space="0" w:color="auto"/>
        <w:right w:val="none" w:sz="0" w:space="0" w:color="auto"/>
      </w:divBdr>
    </w:div>
    <w:div w:id="1691756583">
      <w:bodyDiv w:val="1"/>
      <w:marLeft w:val="0"/>
      <w:marRight w:val="0"/>
      <w:marTop w:val="0"/>
      <w:marBottom w:val="0"/>
      <w:divBdr>
        <w:top w:val="none" w:sz="0" w:space="0" w:color="auto"/>
        <w:left w:val="none" w:sz="0" w:space="0" w:color="auto"/>
        <w:bottom w:val="none" w:sz="0" w:space="0" w:color="auto"/>
        <w:right w:val="none" w:sz="0" w:space="0" w:color="auto"/>
      </w:divBdr>
    </w:div>
    <w:div w:id="1693149463">
      <w:bodyDiv w:val="1"/>
      <w:marLeft w:val="0"/>
      <w:marRight w:val="0"/>
      <w:marTop w:val="0"/>
      <w:marBottom w:val="0"/>
      <w:divBdr>
        <w:top w:val="none" w:sz="0" w:space="0" w:color="auto"/>
        <w:left w:val="none" w:sz="0" w:space="0" w:color="auto"/>
        <w:bottom w:val="none" w:sz="0" w:space="0" w:color="auto"/>
        <w:right w:val="none" w:sz="0" w:space="0" w:color="auto"/>
      </w:divBdr>
    </w:div>
    <w:div w:id="1693802651">
      <w:bodyDiv w:val="1"/>
      <w:marLeft w:val="0"/>
      <w:marRight w:val="0"/>
      <w:marTop w:val="0"/>
      <w:marBottom w:val="0"/>
      <w:divBdr>
        <w:top w:val="none" w:sz="0" w:space="0" w:color="auto"/>
        <w:left w:val="none" w:sz="0" w:space="0" w:color="auto"/>
        <w:bottom w:val="none" w:sz="0" w:space="0" w:color="auto"/>
        <w:right w:val="none" w:sz="0" w:space="0" w:color="auto"/>
      </w:divBdr>
    </w:div>
    <w:div w:id="1695955903">
      <w:bodyDiv w:val="1"/>
      <w:marLeft w:val="0"/>
      <w:marRight w:val="0"/>
      <w:marTop w:val="0"/>
      <w:marBottom w:val="0"/>
      <w:divBdr>
        <w:top w:val="none" w:sz="0" w:space="0" w:color="auto"/>
        <w:left w:val="none" w:sz="0" w:space="0" w:color="auto"/>
        <w:bottom w:val="none" w:sz="0" w:space="0" w:color="auto"/>
        <w:right w:val="none" w:sz="0" w:space="0" w:color="auto"/>
      </w:divBdr>
    </w:div>
    <w:div w:id="1697343050">
      <w:bodyDiv w:val="1"/>
      <w:marLeft w:val="0"/>
      <w:marRight w:val="0"/>
      <w:marTop w:val="0"/>
      <w:marBottom w:val="0"/>
      <w:divBdr>
        <w:top w:val="none" w:sz="0" w:space="0" w:color="auto"/>
        <w:left w:val="none" w:sz="0" w:space="0" w:color="auto"/>
        <w:bottom w:val="none" w:sz="0" w:space="0" w:color="auto"/>
        <w:right w:val="none" w:sz="0" w:space="0" w:color="auto"/>
      </w:divBdr>
    </w:div>
    <w:div w:id="1698920838">
      <w:bodyDiv w:val="1"/>
      <w:marLeft w:val="0"/>
      <w:marRight w:val="0"/>
      <w:marTop w:val="0"/>
      <w:marBottom w:val="0"/>
      <w:divBdr>
        <w:top w:val="none" w:sz="0" w:space="0" w:color="auto"/>
        <w:left w:val="none" w:sz="0" w:space="0" w:color="auto"/>
        <w:bottom w:val="none" w:sz="0" w:space="0" w:color="auto"/>
        <w:right w:val="none" w:sz="0" w:space="0" w:color="auto"/>
      </w:divBdr>
    </w:div>
    <w:div w:id="1699938435">
      <w:bodyDiv w:val="1"/>
      <w:marLeft w:val="0"/>
      <w:marRight w:val="0"/>
      <w:marTop w:val="0"/>
      <w:marBottom w:val="0"/>
      <w:divBdr>
        <w:top w:val="none" w:sz="0" w:space="0" w:color="auto"/>
        <w:left w:val="none" w:sz="0" w:space="0" w:color="auto"/>
        <w:bottom w:val="none" w:sz="0" w:space="0" w:color="auto"/>
        <w:right w:val="none" w:sz="0" w:space="0" w:color="auto"/>
      </w:divBdr>
    </w:div>
    <w:div w:id="1700546784">
      <w:bodyDiv w:val="1"/>
      <w:marLeft w:val="0"/>
      <w:marRight w:val="0"/>
      <w:marTop w:val="0"/>
      <w:marBottom w:val="0"/>
      <w:divBdr>
        <w:top w:val="none" w:sz="0" w:space="0" w:color="auto"/>
        <w:left w:val="none" w:sz="0" w:space="0" w:color="auto"/>
        <w:bottom w:val="none" w:sz="0" w:space="0" w:color="auto"/>
        <w:right w:val="none" w:sz="0" w:space="0" w:color="auto"/>
      </w:divBdr>
    </w:div>
    <w:div w:id="1701972804">
      <w:bodyDiv w:val="1"/>
      <w:marLeft w:val="0"/>
      <w:marRight w:val="0"/>
      <w:marTop w:val="0"/>
      <w:marBottom w:val="0"/>
      <w:divBdr>
        <w:top w:val="none" w:sz="0" w:space="0" w:color="auto"/>
        <w:left w:val="none" w:sz="0" w:space="0" w:color="auto"/>
        <w:bottom w:val="none" w:sz="0" w:space="0" w:color="auto"/>
        <w:right w:val="none" w:sz="0" w:space="0" w:color="auto"/>
      </w:divBdr>
    </w:div>
    <w:div w:id="1704330252">
      <w:bodyDiv w:val="1"/>
      <w:marLeft w:val="0"/>
      <w:marRight w:val="0"/>
      <w:marTop w:val="0"/>
      <w:marBottom w:val="0"/>
      <w:divBdr>
        <w:top w:val="none" w:sz="0" w:space="0" w:color="auto"/>
        <w:left w:val="none" w:sz="0" w:space="0" w:color="auto"/>
        <w:bottom w:val="none" w:sz="0" w:space="0" w:color="auto"/>
        <w:right w:val="none" w:sz="0" w:space="0" w:color="auto"/>
      </w:divBdr>
    </w:div>
    <w:div w:id="1704861481">
      <w:bodyDiv w:val="1"/>
      <w:marLeft w:val="0"/>
      <w:marRight w:val="0"/>
      <w:marTop w:val="0"/>
      <w:marBottom w:val="0"/>
      <w:divBdr>
        <w:top w:val="none" w:sz="0" w:space="0" w:color="auto"/>
        <w:left w:val="none" w:sz="0" w:space="0" w:color="auto"/>
        <w:bottom w:val="none" w:sz="0" w:space="0" w:color="auto"/>
        <w:right w:val="none" w:sz="0" w:space="0" w:color="auto"/>
      </w:divBdr>
    </w:div>
    <w:div w:id="1706635363">
      <w:bodyDiv w:val="1"/>
      <w:marLeft w:val="0"/>
      <w:marRight w:val="0"/>
      <w:marTop w:val="0"/>
      <w:marBottom w:val="0"/>
      <w:divBdr>
        <w:top w:val="none" w:sz="0" w:space="0" w:color="auto"/>
        <w:left w:val="none" w:sz="0" w:space="0" w:color="auto"/>
        <w:bottom w:val="none" w:sz="0" w:space="0" w:color="auto"/>
        <w:right w:val="none" w:sz="0" w:space="0" w:color="auto"/>
      </w:divBdr>
    </w:div>
    <w:div w:id="1707024376">
      <w:bodyDiv w:val="1"/>
      <w:marLeft w:val="0"/>
      <w:marRight w:val="0"/>
      <w:marTop w:val="0"/>
      <w:marBottom w:val="0"/>
      <w:divBdr>
        <w:top w:val="none" w:sz="0" w:space="0" w:color="auto"/>
        <w:left w:val="none" w:sz="0" w:space="0" w:color="auto"/>
        <w:bottom w:val="none" w:sz="0" w:space="0" w:color="auto"/>
        <w:right w:val="none" w:sz="0" w:space="0" w:color="auto"/>
      </w:divBdr>
    </w:div>
    <w:div w:id="1708948826">
      <w:bodyDiv w:val="1"/>
      <w:marLeft w:val="0"/>
      <w:marRight w:val="0"/>
      <w:marTop w:val="0"/>
      <w:marBottom w:val="0"/>
      <w:divBdr>
        <w:top w:val="none" w:sz="0" w:space="0" w:color="auto"/>
        <w:left w:val="none" w:sz="0" w:space="0" w:color="auto"/>
        <w:bottom w:val="none" w:sz="0" w:space="0" w:color="auto"/>
        <w:right w:val="none" w:sz="0" w:space="0" w:color="auto"/>
      </w:divBdr>
    </w:div>
    <w:div w:id="1710763018">
      <w:bodyDiv w:val="1"/>
      <w:marLeft w:val="0"/>
      <w:marRight w:val="0"/>
      <w:marTop w:val="0"/>
      <w:marBottom w:val="0"/>
      <w:divBdr>
        <w:top w:val="none" w:sz="0" w:space="0" w:color="auto"/>
        <w:left w:val="none" w:sz="0" w:space="0" w:color="auto"/>
        <w:bottom w:val="none" w:sz="0" w:space="0" w:color="auto"/>
        <w:right w:val="none" w:sz="0" w:space="0" w:color="auto"/>
      </w:divBdr>
    </w:div>
    <w:div w:id="1711102319">
      <w:bodyDiv w:val="1"/>
      <w:marLeft w:val="0"/>
      <w:marRight w:val="0"/>
      <w:marTop w:val="0"/>
      <w:marBottom w:val="0"/>
      <w:divBdr>
        <w:top w:val="none" w:sz="0" w:space="0" w:color="auto"/>
        <w:left w:val="none" w:sz="0" w:space="0" w:color="auto"/>
        <w:bottom w:val="none" w:sz="0" w:space="0" w:color="auto"/>
        <w:right w:val="none" w:sz="0" w:space="0" w:color="auto"/>
      </w:divBdr>
    </w:div>
    <w:div w:id="1713651642">
      <w:bodyDiv w:val="1"/>
      <w:marLeft w:val="0"/>
      <w:marRight w:val="0"/>
      <w:marTop w:val="0"/>
      <w:marBottom w:val="0"/>
      <w:divBdr>
        <w:top w:val="none" w:sz="0" w:space="0" w:color="auto"/>
        <w:left w:val="none" w:sz="0" w:space="0" w:color="auto"/>
        <w:bottom w:val="none" w:sz="0" w:space="0" w:color="auto"/>
        <w:right w:val="none" w:sz="0" w:space="0" w:color="auto"/>
      </w:divBdr>
    </w:div>
    <w:div w:id="1714622908">
      <w:bodyDiv w:val="1"/>
      <w:marLeft w:val="0"/>
      <w:marRight w:val="0"/>
      <w:marTop w:val="0"/>
      <w:marBottom w:val="0"/>
      <w:divBdr>
        <w:top w:val="none" w:sz="0" w:space="0" w:color="auto"/>
        <w:left w:val="none" w:sz="0" w:space="0" w:color="auto"/>
        <w:bottom w:val="none" w:sz="0" w:space="0" w:color="auto"/>
        <w:right w:val="none" w:sz="0" w:space="0" w:color="auto"/>
      </w:divBdr>
    </w:div>
    <w:div w:id="1715038902">
      <w:bodyDiv w:val="1"/>
      <w:marLeft w:val="0"/>
      <w:marRight w:val="0"/>
      <w:marTop w:val="0"/>
      <w:marBottom w:val="0"/>
      <w:divBdr>
        <w:top w:val="none" w:sz="0" w:space="0" w:color="auto"/>
        <w:left w:val="none" w:sz="0" w:space="0" w:color="auto"/>
        <w:bottom w:val="none" w:sz="0" w:space="0" w:color="auto"/>
        <w:right w:val="none" w:sz="0" w:space="0" w:color="auto"/>
      </w:divBdr>
    </w:div>
    <w:div w:id="1716347659">
      <w:bodyDiv w:val="1"/>
      <w:marLeft w:val="0"/>
      <w:marRight w:val="0"/>
      <w:marTop w:val="0"/>
      <w:marBottom w:val="0"/>
      <w:divBdr>
        <w:top w:val="none" w:sz="0" w:space="0" w:color="auto"/>
        <w:left w:val="none" w:sz="0" w:space="0" w:color="auto"/>
        <w:bottom w:val="none" w:sz="0" w:space="0" w:color="auto"/>
        <w:right w:val="none" w:sz="0" w:space="0" w:color="auto"/>
      </w:divBdr>
    </w:div>
    <w:div w:id="1717509667">
      <w:bodyDiv w:val="1"/>
      <w:marLeft w:val="0"/>
      <w:marRight w:val="0"/>
      <w:marTop w:val="0"/>
      <w:marBottom w:val="0"/>
      <w:divBdr>
        <w:top w:val="none" w:sz="0" w:space="0" w:color="auto"/>
        <w:left w:val="none" w:sz="0" w:space="0" w:color="auto"/>
        <w:bottom w:val="none" w:sz="0" w:space="0" w:color="auto"/>
        <w:right w:val="none" w:sz="0" w:space="0" w:color="auto"/>
      </w:divBdr>
    </w:div>
    <w:div w:id="1720742112">
      <w:bodyDiv w:val="1"/>
      <w:marLeft w:val="0"/>
      <w:marRight w:val="0"/>
      <w:marTop w:val="0"/>
      <w:marBottom w:val="0"/>
      <w:divBdr>
        <w:top w:val="none" w:sz="0" w:space="0" w:color="auto"/>
        <w:left w:val="none" w:sz="0" w:space="0" w:color="auto"/>
        <w:bottom w:val="none" w:sz="0" w:space="0" w:color="auto"/>
        <w:right w:val="none" w:sz="0" w:space="0" w:color="auto"/>
      </w:divBdr>
    </w:div>
    <w:div w:id="1721978162">
      <w:bodyDiv w:val="1"/>
      <w:marLeft w:val="0"/>
      <w:marRight w:val="0"/>
      <w:marTop w:val="0"/>
      <w:marBottom w:val="0"/>
      <w:divBdr>
        <w:top w:val="none" w:sz="0" w:space="0" w:color="auto"/>
        <w:left w:val="none" w:sz="0" w:space="0" w:color="auto"/>
        <w:bottom w:val="none" w:sz="0" w:space="0" w:color="auto"/>
        <w:right w:val="none" w:sz="0" w:space="0" w:color="auto"/>
      </w:divBdr>
    </w:div>
    <w:div w:id="1723750743">
      <w:bodyDiv w:val="1"/>
      <w:marLeft w:val="0"/>
      <w:marRight w:val="0"/>
      <w:marTop w:val="0"/>
      <w:marBottom w:val="0"/>
      <w:divBdr>
        <w:top w:val="none" w:sz="0" w:space="0" w:color="auto"/>
        <w:left w:val="none" w:sz="0" w:space="0" w:color="auto"/>
        <w:bottom w:val="none" w:sz="0" w:space="0" w:color="auto"/>
        <w:right w:val="none" w:sz="0" w:space="0" w:color="auto"/>
      </w:divBdr>
    </w:div>
    <w:div w:id="1725760893">
      <w:bodyDiv w:val="1"/>
      <w:marLeft w:val="0"/>
      <w:marRight w:val="0"/>
      <w:marTop w:val="0"/>
      <w:marBottom w:val="0"/>
      <w:divBdr>
        <w:top w:val="none" w:sz="0" w:space="0" w:color="auto"/>
        <w:left w:val="none" w:sz="0" w:space="0" w:color="auto"/>
        <w:bottom w:val="none" w:sz="0" w:space="0" w:color="auto"/>
        <w:right w:val="none" w:sz="0" w:space="0" w:color="auto"/>
      </w:divBdr>
    </w:div>
    <w:div w:id="1726490049">
      <w:bodyDiv w:val="1"/>
      <w:marLeft w:val="0"/>
      <w:marRight w:val="0"/>
      <w:marTop w:val="0"/>
      <w:marBottom w:val="0"/>
      <w:divBdr>
        <w:top w:val="none" w:sz="0" w:space="0" w:color="auto"/>
        <w:left w:val="none" w:sz="0" w:space="0" w:color="auto"/>
        <w:bottom w:val="none" w:sz="0" w:space="0" w:color="auto"/>
        <w:right w:val="none" w:sz="0" w:space="0" w:color="auto"/>
      </w:divBdr>
    </w:div>
    <w:div w:id="1727026749">
      <w:bodyDiv w:val="1"/>
      <w:marLeft w:val="0"/>
      <w:marRight w:val="0"/>
      <w:marTop w:val="0"/>
      <w:marBottom w:val="0"/>
      <w:divBdr>
        <w:top w:val="none" w:sz="0" w:space="0" w:color="auto"/>
        <w:left w:val="none" w:sz="0" w:space="0" w:color="auto"/>
        <w:bottom w:val="none" w:sz="0" w:space="0" w:color="auto"/>
        <w:right w:val="none" w:sz="0" w:space="0" w:color="auto"/>
      </w:divBdr>
    </w:div>
    <w:div w:id="1730417205">
      <w:bodyDiv w:val="1"/>
      <w:marLeft w:val="0"/>
      <w:marRight w:val="0"/>
      <w:marTop w:val="0"/>
      <w:marBottom w:val="0"/>
      <w:divBdr>
        <w:top w:val="none" w:sz="0" w:space="0" w:color="auto"/>
        <w:left w:val="none" w:sz="0" w:space="0" w:color="auto"/>
        <w:bottom w:val="none" w:sz="0" w:space="0" w:color="auto"/>
        <w:right w:val="none" w:sz="0" w:space="0" w:color="auto"/>
      </w:divBdr>
    </w:div>
    <w:div w:id="1730760738">
      <w:bodyDiv w:val="1"/>
      <w:marLeft w:val="0"/>
      <w:marRight w:val="0"/>
      <w:marTop w:val="0"/>
      <w:marBottom w:val="0"/>
      <w:divBdr>
        <w:top w:val="none" w:sz="0" w:space="0" w:color="auto"/>
        <w:left w:val="none" w:sz="0" w:space="0" w:color="auto"/>
        <w:bottom w:val="none" w:sz="0" w:space="0" w:color="auto"/>
        <w:right w:val="none" w:sz="0" w:space="0" w:color="auto"/>
      </w:divBdr>
    </w:div>
    <w:div w:id="1736196144">
      <w:bodyDiv w:val="1"/>
      <w:marLeft w:val="0"/>
      <w:marRight w:val="0"/>
      <w:marTop w:val="0"/>
      <w:marBottom w:val="0"/>
      <w:divBdr>
        <w:top w:val="none" w:sz="0" w:space="0" w:color="auto"/>
        <w:left w:val="none" w:sz="0" w:space="0" w:color="auto"/>
        <w:bottom w:val="none" w:sz="0" w:space="0" w:color="auto"/>
        <w:right w:val="none" w:sz="0" w:space="0" w:color="auto"/>
      </w:divBdr>
    </w:div>
    <w:div w:id="1738817310">
      <w:bodyDiv w:val="1"/>
      <w:marLeft w:val="0"/>
      <w:marRight w:val="0"/>
      <w:marTop w:val="0"/>
      <w:marBottom w:val="0"/>
      <w:divBdr>
        <w:top w:val="none" w:sz="0" w:space="0" w:color="auto"/>
        <w:left w:val="none" w:sz="0" w:space="0" w:color="auto"/>
        <w:bottom w:val="none" w:sz="0" w:space="0" w:color="auto"/>
        <w:right w:val="none" w:sz="0" w:space="0" w:color="auto"/>
      </w:divBdr>
    </w:div>
    <w:div w:id="1739016168">
      <w:bodyDiv w:val="1"/>
      <w:marLeft w:val="0"/>
      <w:marRight w:val="0"/>
      <w:marTop w:val="0"/>
      <w:marBottom w:val="0"/>
      <w:divBdr>
        <w:top w:val="none" w:sz="0" w:space="0" w:color="auto"/>
        <w:left w:val="none" w:sz="0" w:space="0" w:color="auto"/>
        <w:bottom w:val="none" w:sz="0" w:space="0" w:color="auto"/>
        <w:right w:val="none" w:sz="0" w:space="0" w:color="auto"/>
      </w:divBdr>
    </w:div>
    <w:div w:id="1740057175">
      <w:bodyDiv w:val="1"/>
      <w:marLeft w:val="0"/>
      <w:marRight w:val="0"/>
      <w:marTop w:val="0"/>
      <w:marBottom w:val="0"/>
      <w:divBdr>
        <w:top w:val="none" w:sz="0" w:space="0" w:color="auto"/>
        <w:left w:val="none" w:sz="0" w:space="0" w:color="auto"/>
        <w:bottom w:val="none" w:sz="0" w:space="0" w:color="auto"/>
        <w:right w:val="none" w:sz="0" w:space="0" w:color="auto"/>
      </w:divBdr>
    </w:div>
    <w:div w:id="1740131787">
      <w:bodyDiv w:val="1"/>
      <w:marLeft w:val="0"/>
      <w:marRight w:val="0"/>
      <w:marTop w:val="0"/>
      <w:marBottom w:val="0"/>
      <w:divBdr>
        <w:top w:val="none" w:sz="0" w:space="0" w:color="auto"/>
        <w:left w:val="none" w:sz="0" w:space="0" w:color="auto"/>
        <w:bottom w:val="none" w:sz="0" w:space="0" w:color="auto"/>
        <w:right w:val="none" w:sz="0" w:space="0" w:color="auto"/>
      </w:divBdr>
    </w:div>
    <w:div w:id="1741168308">
      <w:bodyDiv w:val="1"/>
      <w:marLeft w:val="0"/>
      <w:marRight w:val="0"/>
      <w:marTop w:val="0"/>
      <w:marBottom w:val="0"/>
      <w:divBdr>
        <w:top w:val="none" w:sz="0" w:space="0" w:color="auto"/>
        <w:left w:val="none" w:sz="0" w:space="0" w:color="auto"/>
        <w:bottom w:val="none" w:sz="0" w:space="0" w:color="auto"/>
        <w:right w:val="none" w:sz="0" w:space="0" w:color="auto"/>
      </w:divBdr>
    </w:div>
    <w:div w:id="1753745186">
      <w:bodyDiv w:val="1"/>
      <w:marLeft w:val="0"/>
      <w:marRight w:val="0"/>
      <w:marTop w:val="0"/>
      <w:marBottom w:val="0"/>
      <w:divBdr>
        <w:top w:val="none" w:sz="0" w:space="0" w:color="auto"/>
        <w:left w:val="none" w:sz="0" w:space="0" w:color="auto"/>
        <w:bottom w:val="none" w:sz="0" w:space="0" w:color="auto"/>
        <w:right w:val="none" w:sz="0" w:space="0" w:color="auto"/>
      </w:divBdr>
    </w:div>
    <w:div w:id="1754087673">
      <w:bodyDiv w:val="1"/>
      <w:marLeft w:val="0"/>
      <w:marRight w:val="0"/>
      <w:marTop w:val="0"/>
      <w:marBottom w:val="0"/>
      <w:divBdr>
        <w:top w:val="none" w:sz="0" w:space="0" w:color="auto"/>
        <w:left w:val="none" w:sz="0" w:space="0" w:color="auto"/>
        <w:bottom w:val="none" w:sz="0" w:space="0" w:color="auto"/>
        <w:right w:val="none" w:sz="0" w:space="0" w:color="auto"/>
      </w:divBdr>
    </w:div>
    <w:div w:id="1754356043">
      <w:bodyDiv w:val="1"/>
      <w:marLeft w:val="0"/>
      <w:marRight w:val="0"/>
      <w:marTop w:val="0"/>
      <w:marBottom w:val="0"/>
      <w:divBdr>
        <w:top w:val="none" w:sz="0" w:space="0" w:color="auto"/>
        <w:left w:val="none" w:sz="0" w:space="0" w:color="auto"/>
        <w:bottom w:val="none" w:sz="0" w:space="0" w:color="auto"/>
        <w:right w:val="none" w:sz="0" w:space="0" w:color="auto"/>
      </w:divBdr>
    </w:div>
    <w:div w:id="1754358024">
      <w:bodyDiv w:val="1"/>
      <w:marLeft w:val="0"/>
      <w:marRight w:val="0"/>
      <w:marTop w:val="0"/>
      <w:marBottom w:val="0"/>
      <w:divBdr>
        <w:top w:val="none" w:sz="0" w:space="0" w:color="auto"/>
        <w:left w:val="none" w:sz="0" w:space="0" w:color="auto"/>
        <w:bottom w:val="none" w:sz="0" w:space="0" w:color="auto"/>
        <w:right w:val="none" w:sz="0" w:space="0" w:color="auto"/>
      </w:divBdr>
    </w:div>
    <w:div w:id="1754617724">
      <w:bodyDiv w:val="1"/>
      <w:marLeft w:val="0"/>
      <w:marRight w:val="0"/>
      <w:marTop w:val="0"/>
      <w:marBottom w:val="0"/>
      <w:divBdr>
        <w:top w:val="none" w:sz="0" w:space="0" w:color="auto"/>
        <w:left w:val="none" w:sz="0" w:space="0" w:color="auto"/>
        <w:bottom w:val="none" w:sz="0" w:space="0" w:color="auto"/>
        <w:right w:val="none" w:sz="0" w:space="0" w:color="auto"/>
      </w:divBdr>
    </w:div>
    <w:div w:id="1754620707">
      <w:bodyDiv w:val="1"/>
      <w:marLeft w:val="0"/>
      <w:marRight w:val="0"/>
      <w:marTop w:val="0"/>
      <w:marBottom w:val="0"/>
      <w:divBdr>
        <w:top w:val="none" w:sz="0" w:space="0" w:color="auto"/>
        <w:left w:val="none" w:sz="0" w:space="0" w:color="auto"/>
        <w:bottom w:val="none" w:sz="0" w:space="0" w:color="auto"/>
        <w:right w:val="none" w:sz="0" w:space="0" w:color="auto"/>
      </w:divBdr>
    </w:div>
    <w:div w:id="1755395275">
      <w:bodyDiv w:val="1"/>
      <w:marLeft w:val="0"/>
      <w:marRight w:val="0"/>
      <w:marTop w:val="0"/>
      <w:marBottom w:val="0"/>
      <w:divBdr>
        <w:top w:val="none" w:sz="0" w:space="0" w:color="auto"/>
        <w:left w:val="none" w:sz="0" w:space="0" w:color="auto"/>
        <w:bottom w:val="none" w:sz="0" w:space="0" w:color="auto"/>
        <w:right w:val="none" w:sz="0" w:space="0" w:color="auto"/>
      </w:divBdr>
    </w:div>
    <w:div w:id="1756172694">
      <w:bodyDiv w:val="1"/>
      <w:marLeft w:val="0"/>
      <w:marRight w:val="0"/>
      <w:marTop w:val="0"/>
      <w:marBottom w:val="0"/>
      <w:divBdr>
        <w:top w:val="none" w:sz="0" w:space="0" w:color="auto"/>
        <w:left w:val="none" w:sz="0" w:space="0" w:color="auto"/>
        <w:bottom w:val="none" w:sz="0" w:space="0" w:color="auto"/>
        <w:right w:val="none" w:sz="0" w:space="0" w:color="auto"/>
      </w:divBdr>
    </w:div>
    <w:div w:id="1758020514">
      <w:bodyDiv w:val="1"/>
      <w:marLeft w:val="0"/>
      <w:marRight w:val="0"/>
      <w:marTop w:val="0"/>
      <w:marBottom w:val="0"/>
      <w:divBdr>
        <w:top w:val="none" w:sz="0" w:space="0" w:color="auto"/>
        <w:left w:val="none" w:sz="0" w:space="0" w:color="auto"/>
        <w:bottom w:val="none" w:sz="0" w:space="0" w:color="auto"/>
        <w:right w:val="none" w:sz="0" w:space="0" w:color="auto"/>
      </w:divBdr>
    </w:div>
    <w:div w:id="1760903525">
      <w:bodyDiv w:val="1"/>
      <w:marLeft w:val="0"/>
      <w:marRight w:val="0"/>
      <w:marTop w:val="0"/>
      <w:marBottom w:val="0"/>
      <w:divBdr>
        <w:top w:val="none" w:sz="0" w:space="0" w:color="auto"/>
        <w:left w:val="none" w:sz="0" w:space="0" w:color="auto"/>
        <w:bottom w:val="none" w:sz="0" w:space="0" w:color="auto"/>
        <w:right w:val="none" w:sz="0" w:space="0" w:color="auto"/>
      </w:divBdr>
    </w:div>
    <w:div w:id="1762019779">
      <w:bodyDiv w:val="1"/>
      <w:marLeft w:val="0"/>
      <w:marRight w:val="0"/>
      <w:marTop w:val="0"/>
      <w:marBottom w:val="0"/>
      <w:divBdr>
        <w:top w:val="none" w:sz="0" w:space="0" w:color="auto"/>
        <w:left w:val="none" w:sz="0" w:space="0" w:color="auto"/>
        <w:bottom w:val="none" w:sz="0" w:space="0" w:color="auto"/>
        <w:right w:val="none" w:sz="0" w:space="0" w:color="auto"/>
      </w:divBdr>
    </w:div>
    <w:div w:id="1763066283">
      <w:bodyDiv w:val="1"/>
      <w:marLeft w:val="0"/>
      <w:marRight w:val="0"/>
      <w:marTop w:val="0"/>
      <w:marBottom w:val="0"/>
      <w:divBdr>
        <w:top w:val="none" w:sz="0" w:space="0" w:color="auto"/>
        <w:left w:val="none" w:sz="0" w:space="0" w:color="auto"/>
        <w:bottom w:val="none" w:sz="0" w:space="0" w:color="auto"/>
        <w:right w:val="none" w:sz="0" w:space="0" w:color="auto"/>
      </w:divBdr>
    </w:div>
    <w:div w:id="1766681153">
      <w:bodyDiv w:val="1"/>
      <w:marLeft w:val="0"/>
      <w:marRight w:val="0"/>
      <w:marTop w:val="0"/>
      <w:marBottom w:val="0"/>
      <w:divBdr>
        <w:top w:val="none" w:sz="0" w:space="0" w:color="auto"/>
        <w:left w:val="none" w:sz="0" w:space="0" w:color="auto"/>
        <w:bottom w:val="none" w:sz="0" w:space="0" w:color="auto"/>
        <w:right w:val="none" w:sz="0" w:space="0" w:color="auto"/>
      </w:divBdr>
    </w:div>
    <w:div w:id="1770270561">
      <w:bodyDiv w:val="1"/>
      <w:marLeft w:val="0"/>
      <w:marRight w:val="0"/>
      <w:marTop w:val="0"/>
      <w:marBottom w:val="0"/>
      <w:divBdr>
        <w:top w:val="none" w:sz="0" w:space="0" w:color="auto"/>
        <w:left w:val="none" w:sz="0" w:space="0" w:color="auto"/>
        <w:bottom w:val="none" w:sz="0" w:space="0" w:color="auto"/>
        <w:right w:val="none" w:sz="0" w:space="0" w:color="auto"/>
      </w:divBdr>
    </w:div>
    <w:div w:id="1773040870">
      <w:bodyDiv w:val="1"/>
      <w:marLeft w:val="0"/>
      <w:marRight w:val="0"/>
      <w:marTop w:val="0"/>
      <w:marBottom w:val="0"/>
      <w:divBdr>
        <w:top w:val="none" w:sz="0" w:space="0" w:color="auto"/>
        <w:left w:val="none" w:sz="0" w:space="0" w:color="auto"/>
        <w:bottom w:val="none" w:sz="0" w:space="0" w:color="auto"/>
        <w:right w:val="none" w:sz="0" w:space="0" w:color="auto"/>
      </w:divBdr>
    </w:div>
    <w:div w:id="1773667874">
      <w:bodyDiv w:val="1"/>
      <w:marLeft w:val="0"/>
      <w:marRight w:val="0"/>
      <w:marTop w:val="0"/>
      <w:marBottom w:val="0"/>
      <w:divBdr>
        <w:top w:val="none" w:sz="0" w:space="0" w:color="auto"/>
        <w:left w:val="none" w:sz="0" w:space="0" w:color="auto"/>
        <w:bottom w:val="none" w:sz="0" w:space="0" w:color="auto"/>
        <w:right w:val="none" w:sz="0" w:space="0" w:color="auto"/>
      </w:divBdr>
    </w:div>
    <w:div w:id="1776096915">
      <w:bodyDiv w:val="1"/>
      <w:marLeft w:val="0"/>
      <w:marRight w:val="0"/>
      <w:marTop w:val="0"/>
      <w:marBottom w:val="0"/>
      <w:divBdr>
        <w:top w:val="none" w:sz="0" w:space="0" w:color="auto"/>
        <w:left w:val="none" w:sz="0" w:space="0" w:color="auto"/>
        <w:bottom w:val="none" w:sz="0" w:space="0" w:color="auto"/>
        <w:right w:val="none" w:sz="0" w:space="0" w:color="auto"/>
      </w:divBdr>
    </w:div>
    <w:div w:id="1777094282">
      <w:bodyDiv w:val="1"/>
      <w:marLeft w:val="0"/>
      <w:marRight w:val="0"/>
      <w:marTop w:val="0"/>
      <w:marBottom w:val="0"/>
      <w:divBdr>
        <w:top w:val="none" w:sz="0" w:space="0" w:color="auto"/>
        <w:left w:val="none" w:sz="0" w:space="0" w:color="auto"/>
        <w:bottom w:val="none" w:sz="0" w:space="0" w:color="auto"/>
        <w:right w:val="none" w:sz="0" w:space="0" w:color="auto"/>
      </w:divBdr>
    </w:div>
    <w:div w:id="1779326646">
      <w:bodyDiv w:val="1"/>
      <w:marLeft w:val="0"/>
      <w:marRight w:val="0"/>
      <w:marTop w:val="0"/>
      <w:marBottom w:val="0"/>
      <w:divBdr>
        <w:top w:val="none" w:sz="0" w:space="0" w:color="auto"/>
        <w:left w:val="none" w:sz="0" w:space="0" w:color="auto"/>
        <w:bottom w:val="none" w:sz="0" w:space="0" w:color="auto"/>
        <w:right w:val="none" w:sz="0" w:space="0" w:color="auto"/>
      </w:divBdr>
    </w:div>
    <w:div w:id="1782147396">
      <w:bodyDiv w:val="1"/>
      <w:marLeft w:val="0"/>
      <w:marRight w:val="0"/>
      <w:marTop w:val="0"/>
      <w:marBottom w:val="0"/>
      <w:divBdr>
        <w:top w:val="none" w:sz="0" w:space="0" w:color="auto"/>
        <w:left w:val="none" w:sz="0" w:space="0" w:color="auto"/>
        <w:bottom w:val="none" w:sz="0" w:space="0" w:color="auto"/>
        <w:right w:val="none" w:sz="0" w:space="0" w:color="auto"/>
      </w:divBdr>
    </w:div>
    <w:div w:id="1783571995">
      <w:bodyDiv w:val="1"/>
      <w:marLeft w:val="0"/>
      <w:marRight w:val="0"/>
      <w:marTop w:val="0"/>
      <w:marBottom w:val="0"/>
      <w:divBdr>
        <w:top w:val="none" w:sz="0" w:space="0" w:color="auto"/>
        <w:left w:val="none" w:sz="0" w:space="0" w:color="auto"/>
        <w:bottom w:val="none" w:sz="0" w:space="0" w:color="auto"/>
        <w:right w:val="none" w:sz="0" w:space="0" w:color="auto"/>
      </w:divBdr>
    </w:div>
    <w:div w:id="1791633581">
      <w:bodyDiv w:val="1"/>
      <w:marLeft w:val="0"/>
      <w:marRight w:val="0"/>
      <w:marTop w:val="0"/>
      <w:marBottom w:val="0"/>
      <w:divBdr>
        <w:top w:val="none" w:sz="0" w:space="0" w:color="auto"/>
        <w:left w:val="none" w:sz="0" w:space="0" w:color="auto"/>
        <w:bottom w:val="none" w:sz="0" w:space="0" w:color="auto"/>
        <w:right w:val="none" w:sz="0" w:space="0" w:color="auto"/>
      </w:divBdr>
    </w:div>
    <w:div w:id="1792355074">
      <w:bodyDiv w:val="1"/>
      <w:marLeft w:val="0"/>
      <w:marRight w:val="0"/>
      <w:marTop w:val="0"/>
      <w:marBottom w:val="0"/>
      <w:divBdr>
        <w:top w:val="none" w:sz="0" w:space="0" w:color="auto"/>
        <w:left w:val="none" w:sz="0" w:space="0" w:color="auto"/>
        <w:bottom w:val="none" w:sz="0" w:space="0" w:color="auto"/>
        <w:right w:val="none" w:sz="0" w:space="0" w:color="auto"/>
      </w:divBdr>
    </w:div>
    <w:div w:id="1795520326">
      <w:bodyDiv w:val="1"/>
      <w:marLeft w:val="0"/>
      <w:marRight w:val="0"/>
      <w:marTop w:val="0"/>
      <w:marBottom w:val="0"/>
      <w:divBdr>
        <w:top w:val="none" w:sz="0" w:space="0" w:color="auto"/>
        <w:left w:val="none" w:sz="0" w:space="0" w:color="auto"/>
        <w:bottom w:val="none" w:sz="0" w:space="0" w:color="auto"/>
        <w:right w:val="none" w:sz="0" w:space="0" w:color="auto"/>
      </w:divBdr>
    </w:div>
    <w:div w:id="1796101966">
      <w:bodyDiv w:val="1"/>
      <w:marLeft w:val="0"/>
      <w:marRight w:val="0"/>
      <w:marTop w:val="0"/>
      <w:marBottom w:val="0"/>
      <w:divBdr>
        <w:top w:val="none" w:sz="0" w:space="0" w:color="auto"/>
        <w:left w:val="none" w:sz="0" w:space="0" w:color="auto"/>
        <w:bottom w:val="none" w:sz="0" w:space="0" w:color="auto"/>
        <w:right w:val="none" w:sz="0" w:space="0" w:color="auto"/>
      </w:divBdr>
    </w:div>
    <w:div w:id="1796561180">
      <w:bodyDiv w:val="1"/>
      <w:marLeft w:val="0"/>
      <w:marRight w:val="0"/>
      <w:marTop w:val="0"/>
      <w:marBottom w:val="0"/>
      <w:divBdr>
        <w:top w:val="none" w:sz="0" w:space="0" w:color="auto"/>
        <w:left w:val="none" w:sz="0" w:space="0" w:color="auto"/>
        <w:bottom w:val="none" w:sz="0" w:space="0" w:color="auto"/>
        <w:right w:val="none" w:sz="0" w:space="0" w:color="auto"/>
      </w:divBdr>
    </w:div>
    <w:div w:id="1798336320">
      <w:bodyDiv w:val="1"/>
      <w:marLeft w:val="0"/>
      <w:marRight w:val="0"/>
      <w:marTop w:val="0"/>
      <w:marBottom w:val="0"/>
      <w:divBdr>
        <w:top w:val="none" w:sz="0" w:space="0" w:color="auto"/>
        <w:left w:val="none" w:sz="0" w:space="0" w:color="auto"/>
        <w:bottom w:val="none" w:sz="0" w:space="0" w:color="auto"/>
        <w:right w:val="none" w:sz="0" w:space="0" w:color="auto"/>
      </w:divBdr>
    </w:div>
    <w:div w:id="1798794673">
      <w:bodyDiv w:val="1"/>
      <w:marLeft w:val="0"/>
      <w:marRight w:val="0"/>
      <w:marTop w:val="0"/>
      <w:marBottom w:val="0"/>
      <w:divBdr>
        <w:top w:val="none" w:sz="0" w:space="0" w:color="auto"/>
        <w:left w:val="none" w:sz="0" w:space="0" w:color="auto"/>
        <w:bottom w:val="none" w:sz="0" w:space="0" w:color="auto"/>
        <w:right w:val="none" w:sz="0" w:space="0" w:color="auto"/>
      </w:divBdr>
    </w:div>
    <w:div w:id="1807044270">
      <w:bodyDiv w:val="1"/>
      <w:marLeft w:val="0"/>
      <w:marRight w:val="0"/>
      <w:marTop w:val="0"/>
      <w:marBottom w:val="0"/>
      <w:divBdr>
        <w:top w:val="none" w:sz="0" w:space="0" w:color="auto"/>
        <w:left w:val="none" w:sz="0" w:space="0" w:color="auto"/>
        <w:bottom w:val="none" w:sz="0" w:space="0" w:color="auto"/>
        <w:right w:val="none" w:sz="0" w:space="0" w:color="auto"/>
      </w:divBdr>
    </w:div>
    <w:div w:id="1807746305">
      <w:bodyDiv w:val="1"/>
      <w:marLeft w:val="0"/>
      <w:marRight w:val="0"/>
      <w:marTop w:val="0"/>
      <w:marBottom w:val="0"/>
      <w:divBdr>
        <w:top w:val="none" w:sz="0" w:space="0" w:color="auto"/>
        <w:left w:val="none" w:sz="0" w:space="0" w:color="auto"/>
        <w:bottom w:val="none" w:sz="0" w:space="0" w:color="auto"/>
        <w:right w:val="none" w:sz="0" w:space="0" w:color="auto"/>
      </w:divBdr>
    </w:div>
    <w:div w:id="1811173494">
      <w:bodyDiv w:val="1"/>
      <w:marLeft w:val="0"/>
      <w:marRight w:val="0"/>
      <w:marTop w:val="0"/>
      <w:marBottom w:val="0"/>
      <w:divBdr>
        <w:top w:val="none" w:sz="0" w:space="0" w:color="auto"/>
        <w:left w:val="none" w:sz="0" w:space="0" w:color="auto"/>
        <w:bottom w:val="none" w:sz="0" w:space="0" w:color="auto"/>
        <w:right w:val="none" w:sz="0" w:space="0" w:color="auto"/>
      </w:divBdr>
    </w:div>
    <w:div w:id="1814718715">
      <w:bodyDiv w:val="1"/>
      <w:marLeft w:val="0"/>
      <w:marRight w:val="0"/>
      <w:marTop w:val="0"/>
      <w:marBottom w:val="0"/>
      <w:divBdr>
        <w:top w:val="none" w:sz="0" w:space="0" w:color="auto"/>
        <w:left w:val="none" w:sz="0" w:space="0" w:color="auto"/>
        <w:bottom w:val="none" w:sz="0" w:space="0" w:color="auto"/>
        <w:right w:val="none" w:sz="0" w:space="0" w:color="auto"/>
      </w:divBdr>
    </w:div>
    <w:div w:id="1822888314">
      <w:bodyDiv w:val="1"/>
      <w:marLeft w:val="0"/>
      <w:marRight w:val="0"/>
      <w:marTop w:val="0"/>
      <w:marBottom w:val="0"/>
      <w:divBdr>
        <w:top w:val="none" w:sz="0" w:space="0" w:color="auto"/>
        <w:left w:val="none" w:sz="0" w:space="0" w:color="auto"/>
        <w:bottom w:val="none" w:sz="0" w:space="0" w:color="auto"/>
        <w:right w:val="none" w:sz="0" w:space="0" w:color="auto"/>
      </w:divBdr>
    </w:div>
    <w:div w:id="1825392948">
      <w:bodyDiv w:val="1"/>
      <w:marLeft w:val="0"/>
      <w:marRight w:val="0"/>
      <w:marTop w:val="0"/>
      <w:marBottom w:val="0"/>
      <w:divBdr>
        <w:top w:val="none" w:sz="0" w:space="0" w:color="auto"/>
        <w:left w:val="none" w:sz="0" w:space="0" w:color="auto"/>
        <w:bottom w:val="none" w:sz="0" w:space="0" w:color="auto"/>
        <w:right w:val="none" w:sz="0" w:space="0" w:color="auto"/>
      </w:divBdr>
    </w:div>
    <w:div w:id="1826168965">
      <w:bodyDiv w:val="1"/>
      <w:marLeft w:val="0"/>
      <w:marRight w:val="0"/>
      <w:marTop w:val="0"/>
      <w:marBottom w:val="0"/>
      <w:divBdr>
        <w:top w:val="none" w:sz="0" w:space="0" w:color="auto"/>
        <w:left w:val="none" w:sz="0" w:space="0" w:color="auto"/>
        <w:bottom w:val="none" w:sz="0" w:space="0" w:color="auto"/>
        <w:right w:val="none" w:sz="0" w:space="0" w:color="auto"/>
      </w:divBdr>
    </w:div>
    <w:div w:id="1830050929">
      <w:bodyDiv w:val="1"/>
      <w:marLeft w:val="0"/>
      <w:marRight w:val="0"/>
      <w:marTop w:val="0"/>
      <w:marBottom w:val="0"/>
      <w:divBdr>
        <w:top w:val="none" w:sz="0" w:space="0" w:color="auto"/>
        <w:left w:val="none" w:sz="0" w:space="0" w:color="auto"/>
        <w:bottom w:val="none" w:sz="0" w:space="0" w:color="auto"/>
        <w:right w:val="none" w:sz="0" w:space="0" w:color="auto"/>
      </w:divBdr>
    </w:div>
    <w:div w:id="1830124909">
      <w:bodyDiv w:val="1"/>
      <w:marLeft w:val="0"/>
      <w:marRight w:val="0"/>
      <w:marTop w:val="0"/>
      <w:marBottom w:val="0"/>
      <w:divBdr>
        <w:top w:val="none" w:sz="0" w:space="0" w:color="auto"/>
        <w:left w:val="none" w:sz="0" w:space="0" w:color="auto"/>
        <w:bottom w:val="none" w:sz="0" w:space="0" w:color="auto"/>
        <w:right w:val="none" w:sz="0" w:space="0" w:color="auto"/>
      </w:divBdr>
    </w:div>
    <w:div w:id="1830438327">
      <w:bodyDiv w:val="1"/>
      <w:marLeft w:val="0"/>
      <w:marRight w:val="0"/>
      <w:marTop w:val="0"/>
      <w:marBottom w:val="0"/>
      <w:divBdr>
        <w:top w:val="none" w:sz="0" w:space="0" w:color="auto"/>
        <w:left w:val="none" w:sz="0" w:space="0" w:color="auto"/>
        <w:bottom w:val="none" w:sz="0" w:space="0" w:color="auto"/>
        <w:right w:val="none" w:sz="0" w:space="0" w:color="auto"/>
      </w:divBdr>
    </w:div>
    <w:div w:id="1831408391">
      <w:bodyDiv w:val="1"/>
      <w:marLeft w:val="0"/>
      <w:marRight w:val="0"/>
      <w:marTop w:val="0"/>
      <w:marBottom w:val="0"/>
      <w:divBdr>
        <w:top w:val="none" w:sz="0" w:space="0" w:color="auto"/>
        <w:left w:val="none" w:sz="0" w:space="0" w:color="auto"/>
        <w:bottom w:val="none" w:sz="0" w:space="0" w:color="auto"/>
        <w:right w:val="none" w:sz="0" w:space="0" w:color="auto"/>
      </w:divBdr>
    </w:div>
    <w:div w:id="1831822241">
      <w:bodyDiv w:val="1"/>
      <w:marLeft w:val="0"/>
      <w:marRight w:val="0"/>
      <w:marTop w:val="0"/>
      <w:marBottom w:val="0"/>
      <w:divBdr>
        <w:top w:val="none" w:sz="0" w:space="0" w:color="auto"/>
        <w:left w:val="none" w:sz="0" w:space="0" w:color="auto"/>
        <w:bottom w:val="none" w:sz="0" w:space="0" w:color="auto"/>
        <w:right w:val="none" w:sz="0" w:space="0" w:color="auto"/>
      </w:divBdr>
    </w:div>
    <w:div w:id="1834250363">
      <w:bodyDiv w:val="1"/>
      <w:marLeft w:val="0"/>
      <w:marRight w:val="0"/>
      <w:marTop w:val="0"/>
      <w:marBottom w:val="0"/>
      <w:divBdr>
        <w:top w:val="none" w:sz="0" w:space="0" w:color="auto"/>
        <w:left w:val="none" w:sz="0" w:space="0" w:color="auto"/>
        <w:bottom w:val="none" w:sz="0" w:space="0" w:color="auto"/>
        <w:right w:val="none" w:sz="0" w:space="0" w:color="auto"/>
      </w:divBdr>
    </w:div>
    <w:div w:id="1834568336">
      <w:bodyDiv w:val="1"/>
      <w:marLeft w:val="0"/>
      <w:marRight w:val="0"/>
      <w:marTop w:val="0"/>
      <w:marBottom w:val="0"/>
      <w:divBdr>
        <w:top w:val="none" w:sz="0" w:space="0" w:color="auto"/>
        <w:left w:val="none" w:sz="0" w:space="0" w:color="auto"/>
        <w:bottom w:val="none" w:sz="0" w:space="0" w:color="auto"/>
        <w:right w:val="none" w:sz="0" w:space="0" w:color="auto"/>
      </w:divBdr>
    </w:div>
    <w:div w:id="1838378067">
      <w:bodyDiv w:val="1"/>
      <w:marLeft w:val="0"/>
      <w:marRight w:val="0"/>
      <w:marTop w:val="0"/>
      <w:marBottom w:val="0"/>
      <w:divBdr>
        <w:top w:val="none" w:sz="0" w:space="0" w:color="auto"/>
        <w:left w:val="none" w:sz="0" w:space="0" w:color="auto"/>
        <w:bottom w:val="none" w:sz="0" w:space="0" w:color="auto"/>
        <w:right w:val="none" w:sz="0" w:space="0" w:color="auto"/>
      </w:divBdr>
    </w:div>
    <w:div w:id="1839884925">
      <w:bodyDiv w:val="1"/>
      <w:marLeft w:val="0"/>
      <w:marRight w:val="0"/>
      <w:marTop w:val="0"/>
      <w:marBottom w:val="0"/>
      <w:divBdr>
        <w:top w:val="none" w:sz="0" w:space="0" w:color="auto"/>
        <w:left w:val="none" w:sz="0" w:space="0" w:color="auto"/>
        <w:bottom w:val="none" w:sz="0" w:space="0" w:color="auto"/>
        <w:right w:val="none" w:sz="0" w:space="0" w:color="auto"/>
      </w:divBdr>
    </w:div>
    <w:div w:id="1840461272">
      <w:bodyDiv w:val="1"/>
      <w:marLeft w:val="0"/>
      <w:marRight w:val="0"/>
      <w:marTop w:val="0"/>
      <w:marBottom w:val="0"/>
      <w:divBdr>
        <w:top w:val="none" w:sz="0" w:space="0" w:color="auto"/>
        <w:left w:val="none" w:sz="0" w:space="0" w:color="auto"/>
        <w:bottom w:val="none" w:sz="0" w:space="0" w:color="auto"/>
        <w:right w:val="none" w:sz="0" w:space="0" w:color="auto"/>
      </w:divBdr>
    </w:div>
    <w:div w:id="1847283112">
      <w:bodyDiv w:val="1"/>
      <w:marLeft w:val="0"/>
      <w:marRight w:val="0"/>
      <w:marTop w:val="0"/>
      <w:marBottom w:val="0"/>
      <w:divBdr>
        <w:top w:val="none" w:sz="0" w:space="0" w:color="auto"/>
        <w:left w:val="none" w:sz="0" w:space="0" w:color="auto"/>
        <w:bottom w:val="none" w:sz="0" w:space="0" w:color="auto"/>
        <w:right w:val="none" w:sz="0" w:space="0" w:color="auto"/>
      </w:divBdr>
    </w:div>
    <w:div w:id="1848015048">
      <w:bodyDiv w:val="1"/>
      <w:marLeft w:val="0"/>
      <w:marRight w:val="0"/>
      <w:marTop w:val="0"/>
      <w:marBottom w:val="0"/>
      <w:divBdr>
        <w:top w:val="none" w:sz="0" w:space="0" w:color="auto"/>
        <w:left w:val="none" w:sz="0" w:space="0" w:color="auto"/>
        <w:bottom w:val="none" w:sz="0" w:space="0" w:color="auto"/>
        <w:right w:val="none" w:sz="0" w:space="0" w:color="auto"/>
      </w:divBdr>
    </w:div>
    <w:div w:id="1848522361">
      <w:bodyDiv w:val="1"/>
      <w:marLeft w:val="0"/>
      <w:marRight w:val="0"/>
      <w:marTop w:val="0"/>
      <w:marBottom w:val="0"/>
      <w:divBdr>
        <w:top w:val="none" w:sz="0" w:space="0" w:color="auto"/>
        <w:left w:val="none" w:sz="0" w:space="0" w:color="auto"/>
        <w:bottom w:val="none" w:sz="0" w:space="0" w:color="auto"/>
        <w:right w:val="none" w:sz="0" w:space="0" w:color="auto"/>
      </w:divBdr>
    </w:div>
    <w:div w:id="1851096543">
      <w:bodyDiv w:val="1"/>
      <w:marLeft w:val="0"/>
      <w:marRight w:val="0"/>
      <w:marTop w:val="0"/>
      <w:marBottom w:val="0"/>
      <w:divBdr>
        <w:top w:val="none" w:sz="0" w:space="0" w:color="auto"/>
        <w:left w:val="none" w:sz="0" w:space="0" w:color="auto"/>
        <w:bottom w:val="none" w:sz="0" w:space="0" w:color="auto"/>
        <w:right w:val="none" w:sz="0" w:space="0" w:color="auto"/>
      </w:divBdr>
    </w:div>
    <w:div w:id="1851135526">
      <w:bodyDiv w:val="1"/>
      <w:marLeft w:val="0"/>
      <w:marRight w:val="0"/>
      <w:marTop w:val="0"/>
      <w:marBottom w:val="0"/>
      <w:divBdr>
        <w:top w:val="none" w:sz="0" w:space="0" w:color="auto"/>
        <w:left w:val="none" w:sz="0" w:space="0" w:color="auto"/>
        <w:bottom w:val="none" w:sz="0" w:space="0" w:color="auto"/>
        <w:right w:val="none" w:sz="0" w:space="0" w:color="auto"/>
      </w:divBdr>
    </w:div>
    <w:div w:id="1852910987">
      <w:bodyDiv w:val="1"/>
      <w:marLeft w:val="0"/>
      <w:marRight w:val="0"/>
      <w:marTop w:val="0"/>
      <w:marBottom w:val="0"/>
      <w:divBdr>
        <w:top w:val="none" w:sz="0" w:space="0" w:color="auto"/>
        <w:left w:val="none" w:sz="0" w:space="0" w:color="auto"/>
        <w:bottom w:val="none" w:sz="0" w:space="0" w:color="auto"/>
        <w:right w:val="none" w:sz="0" w:space="0" w:color="auto"/>
      </w:divBdr>
    </w:div>
    <w:div w:id="1857189206">
      <w:bodyDiv w:val="1"/>
      <w:marLeft w:val="0"/>
      <w:marRight w:val="0"/>
      <w:marTop w:val="0"/>
      <w:marBottom w:val="0"/>
      <w:divBdr>
        <w:top w:val="none" w:sz="0" w:space="0" w:color="auto"/>
        <w:left w:val="none" w:sz="0" w:space="0" w:color="auto"/>
        <w:bottom w:val="none" w:sz="0" w:space="0" w:color="auto"/>
        <w:right w:val="none" w:sz="0" w:space="0" w:color="auto"/>
      </w:divBdr>
    </w:div>
    <w:div w:id="1858039704">
      <w:bodyDiv w:val="1"/>
      <w:marLeft w:val="0"/>
      <w:marRight w:val="0"/>
      <w:marTop w:val="0"/>
      <w:marBottom w:val="0"/>
      <w:divBdr>
        <w:top w:val="none" w:sz="0" w:space="0" w:color="auto"/>
        <w:left w:val="none" w:sz="0" w:space="0" w:color="auto"/>
        <w:bottom w:val="none" w:sz="0" w:space="0" w:color="auto"/>
        <w:right w:val="none" w:sz="0" w:space="0" w:color="auto"/>
      </w:divBdr>
    </w:div>
    <w:div w:id="1858425190">
      <w:bodyDiv w:val="1"/>
      <w:marLeft w:val="0"/>
      <w:marRight w:val="0"/>
      <w:marTop w:val="0"/>
      <w:marBottom w:val="0"/>
      <w:divBdr>
        <w:top w:val="none" w:sz="0" w:space="0" w:color="auto"/>
        <w:left w:val="none" w:sz="0" w:space="0" w:color="auto"/>
        <w:bottom w:val="none" w:sz="0" w:space="0" w:color="auto"/>
        <w:right w:val="none" w:sz="0" w:space="0" w:color="auto"/>
      </w:divBdr>
    </w:div>
    <w:div w:id="1859738713">
      <w:bodyDiv w:val="1"/>
      <w:marLeft w:val="0"/>
      <w:marRight w:val="0"/>
      <w:marTop w:val="0"/>
      <w:marBottom w:val="0"/>
      <w:divBdr>
        <w:top w:val="none" w:sz="0" w:space="0" w:color="auto"/>
        <w:left w:val="none" w:sz="0" w:space="0" w:color="auto"/>
        <w:bottom w:val="none" w:sz="0" w:space="0" w:color="auto"/>
        <w:right w:val="none" w:sz="0" w:space="0" w:color="auto"/>
      </w:divBdr>
    </w:div>
    <w:div w:id="1861819844">
      <w:bodyDiv w:val="1"/>
      <w:marLeft w:val="0"/>
      <w:marRight w:val="0"/>
      <w:marTop w:val="0"/>
      <w:marBottom w:val="0"/>
      <w:divBdr>
        <w:top w:val="none" w:sz="0" w:space="0" w:color="auto"/>
        <w:left w:val="none" w:sz="0" w:space="0" w:color="auto"/>
        <w:bottom w:val="none" w:sz="0" w:space="0" w:color="auto"/>
        <w:right w:val="none" w:sz="0" w:space="0" w:color="auto"/>
      </w:divBdr>
    </w:div>
    <w:div w:id="1867599969">
      <w:bodyDiv w:val="1"/>
      <w:marLeft w:val="0"/>
      <w:marRight w:val="0"/>
      <w:marTop w:val="0"/>
      <w:marBottom w:val="0"/>
      <w:divBdr>
        <w:top w:val="none" w:sz="0" w:space="0" w:color="auto"/>
        <w:left w:val="none" w:sz="0" w:space="0" w:color="auto"/>
        <w:bottom w:val="none" w:sz="0" w:space="0" w:color="auto"/>
        <w:right w:val="none" w:sz="0" w:space="0" w:color="auto"/>
      </w:divBdr>
    </w:div>
    <w:div w:id="1872573198">
      <w:bodyDiv w:val="1"/>
      <w:marLeft w:val="0"/>
      <w:marRight w:val="0"/>
      <w:marTop w:val="0"/>
      <w:marBottom w:val="0"/>
      <w:divBdr>
        <w:top w:val="none" w:sz="0" w:space="0" w:color="auto"/>
        <w:left w:val="none" w:sz="0" w:space="0" w:color="auto"/>
        <w:bottom w:val="none" w:sz="0" w:space="0" w:color="auto"/>
        <w:right w:val="none" w:sz="0" w:space="0" w:color="auto"/>
      </w:divBdr>
    </w:div>
    <w:div w:id="1875536781">
      <w:bodyDiv w:val="1"/>
      <w:marLeft w:val="0"/>
      <w:marRight w:val="0"/>
      <w:marTop w:val="0"/>
      <w:marBottom w:val="0"/>
      <w:divBdr>
        <w:top w:val="none" w:sz="0" w:space="0" w:color="auto"/>
        <w:left w:val="none" w:sz="0" w:space="0" w:color="auto"/>
        <w:bottom w:val="none" w:sz="0" w:space="0" w:color="auto"/>
        <w:right w:val="none" w:sz="0" w:space="0" w:color="auto"/>
      </w:divBdr>
    </w:div>
    <w:div w:id="1876382446">
      <w:bodyDiv w:val="1"/>
      <w:marLeft w:val="0"/>
      <w:marRight w:val="0"/>
      <w:marTop w:val="0"/>
      <w:marBottom w:val="0"/>
      <w:divBdr>
        <w:top w:val="none" w:sz="0" w:space="0" w:color="auto"/>
        <w:left w:val="none" w:sz="0" w:space="0" w:color="auto"/>
        <w:bottom w:val="none" w:sz="0" w:space="0" w:color="auto"/>
        <w:right w:val="none" w:sz="0" w:space="0" w:color="auto"/>
      </w:divBdr>
    </w:div>
    <w:div w:id="1879077250">
      <w:bodyDiv w:val="1"/>
      <w:marLeft w:val="0"/>
      <w:marRight w:val="0"/>
      <w:marTop w:val="0"/>
      <w:marBottom w:val="0"/>
      <w:divBdr>
        <w:top w:val="none" w:sz="0" w:space="0" w:color="auto"/>
        <w:left w:val="none" w:sz="0" w:space="0" w:color="auto"/>
        <w:bottom w:val="none" w:sz="0" w:space="0" w:color="auto"/>
        <w:right w:val="none" w:sz="0" w:space="0" w:color="auto"/>
      </w:divBdr>
    </w:div>
    <w:div w:id="1879121570">
      <w:bodyDiv w:val="1"/>
      <w:marLeft w:val="0"/>
      <w:marRight w:val="0"/>
      <w:marTop w:val="0"/>
      <w:marBottom w:val="0"/>
      <w:divBdr>
        <w:top w:val="none" w:sz="0" w:space="0" w:color="auto"/>
        <w:left w:val="none" w:sz="0" w:space="0" w:color="auto"/>
        <w:bottom w:val="none" w:sz="0" w:space="0" w:color="auto"/>
        <w:right w:val="none" w:sz="0" w:space="0" w:color="auto"/>
      </w:divBdr>
    </w:div>
    <w:div w:id="1883903151">
      <w:bodyDiv w:val="1"/>
      <w:marLeft w:val="0"/>
      <w:marRight w:val="0"/>
      <w:marTop w:val="0"/>
      <w:marBottom w:val="0"/>
      <w:divBdr>
        <w:top w:val="none" w:sz="0" w:space="0" w:color="auto"/>
        <w:left w:val="none" w:sz="0" w:space="0" w:color="auto"/>
        <w:bottom w:val="none" w:sz="0" w:space="0" w:color="auto"/>
        <w:right w:val="none" w:sz="0" w:space="0" w:color="auto"/>
      </w:divBdr>
    </w:div>
    <w:div w:id="1885412188">
      <w:bodyDiv w:val="1"/>
      <w:marLeft w:val="0"/>
      <w:marRight w:val="0"/>
      <w:marTop w:val="0"/>
      <w:marBottom w:val="0"/>
      <w:divBdr>
        <w:top w:val="none" w:sz="0" w:space="0" w:color="auto"/>
        <w:left w:val="none" w:sz="0" w:space="0" w:color="auto"/>
        <w:bottom w:val="none" w:sz="0" w:space="0" w:color="auto"/>
        <w:right w:val="none" w:sz="0" w:space="0" w:color="auto"/>
      </w:divBdr>
    </w:div>
    <w:div w:id="1887788064">
      <w:bodyDiv w:val="1"/>
      <w:marLeft w:val="0"/>
      <w:marRight w:val="0"/>
      <w:marTop w:val="0"/>
      <w:marBottom w:val="0"/>
      <w:divBdr>
        <w:top w:val="none" w:sz="0" w:space="0" w:color="auto"/>
        <w:left w:val="none" w:sz="0" w:space="0" w:color="auto"/>
        <w:bottom w:val="none" w:sz="0" w:space="0" w:color="auto"/>
        <w:right w:val="none" w:sz="0" w:space="0" w:color="auto"/>
      </w:divBdr>
    </w:div>
    <w:div w:id="1888489551">
      <w:bodyDiv w:val="1"/>
      <w:marLeft w:val="0"/>
      <w:marRight w:val="0"/>
      <w:marTop w:val="0"/>
      <w:marBottom w:val="0"/>
      <w:divBdr>
        <w:top w:val="none" w:sz="0" w:space="0" w:color="auto"/>
        <w:left w:val="none" w:sz="0" w:space="0" w:color="auto"/>
        <w:bottom w:val="none" w:sz="0" w:space="0" w:color="auto"/>
        <w:right w:val="none" w:sz="0" w:space="0" w:color="auto"/>
      </w:divBdr>
    </w:div>
    <w:div w:id="1888683334">
      <w:bodyDiv w:val="1"/>
      <w:marLeft w:val="0"/>
      <w:marRight w:val="0"/>
      <w:marTop w:val="0"/>
      <w:marBottom w:val="0"/>
      <w:divBdr>
        <w:top w:val="none" w:sz="0" w:space="0" w:color="auto"/>
        <w:left w:val="none" w:sz="0" w:space="0" w:color="auto"/>
        <w:bottom w:val="none" w:sz="0" w:space="0" w:color="auto"/>
        <w:right w:val="none" w:sz="0" w:space="0" w:color="auto"/>
      </w:divBdr>
    </w:div>
    <w:div w:id="1892886918">
      <w:bodyDiv w:val="1"/>
      <w:marLeft w:val="0"/>
      <w:marRight w:val="0"/>
      <w:marTop w:val="0"/>
      <w:marBottom w:val="0"/>
      <w:divBdr>
        <w:top w:val="none" w:sz="0" w:space="0" w:color="auto"/>
        <w:left w:val="none" w:sz="0" w:space="0" w:color="auto"/>
        <w:bottom w:val="none" w:sz="0" w:space="0" w:color="auto"/>
        <w:right w:val="none" w:sz="0" w:space="0" w:color="auto"/>
      </w:divBdr>
    </w:div>
    <w:div w:id="1893688114">
      <w:bodyDiv w:val="1"/>
      <w:marLeft w:val="0"/>
      <w:marRight w:val="0"/>
      <w:marTop w:val="0"/>
      <w:marBottom w:val="0"/>
      <w:divBdr>
        <w:top w:val="none" w:sz="0" w:space="0" w:color="auto"/>
        <w:left w:val="none" w:sz="0" w:space="0" w:color="auto"/>
        <w:bottom w:val="none" w:sz="0" w:space="0" w:color="auto"/>
        <w:right w:val="none" w:sz="0" w:space="0" w:color="auto"/>
      </w:divBdr>
    </w:div>
    <w:div w:id="1895506270">
      <w:bodyDiv w:val="1"/>
      <w:marLeft w:val="0"/>
      <w:marRight w:val="0"/>
      <w:marTop w:val="0"/>
      <w:marBottom w:val="0"/>
      <w:divBdr>
        <w:top w:val="none" w:sz="0" w:space="0" w:color="auto"/>
        <w:left w:val="none" w:sz="0" w:space="0" w:color="auto"/>
        <w:bottom w:val="none" w:sz="0" w:space="0" w:color="auto"/>
        <w:right w:val="none" w:sz="0" w:space="0" w:color="auto"/>
      </w:divBdr>
    </w:div>
    <w:div w:id="1897080039">
      <w:bodyDiv w:val="1"/>
      <w:marLeft w:val="0"/>
      <w:marRight w:val="0"/>
      <w:marTop w:val="0"/>
      <w:marBottom w:val="0"/>
      <w:divBdr>
        <w:top w:val="none" w:sz="0" w:space="0" w:color="auto"/>
        <w:left w:val="none" w:sz="0" w:space="0" w:color="auto"/>
        <w:bottom w:val="none" w:sz="0" w:space="0" w:color="auto"/>
        <w:right w:val="none" w:sz="0" w:space="0" w:color="auto"/>
      </w:divBdr>
    </w:div>
    <w:div w:id="1905949709">
      <w:bodyDiv w:val="1"/>
      <w:marLeft w:val="0"/>
      <w:marRight w:val="0"/>
      <w:marTop w:val="0"/>
      <w:marBottom w:val="0"/>
      <w:divBdr>
        <w:top w:val="none" w:sz="0" w:space="0" w:color="auto"/>
        <w:left w:val="none" w:sz="0" w:space="0" w:color="auto"/>
        <w:bottom w:val="none" w:sz="0" w:space="0" w:color="auto"/>
        <w:right w:val="none" w:sz="0" w:space="0" w:color="auto"/>
      </w:divBdr>
    </w:div>
    <w:div w:id="1906866860">
      <w:bodyDiv w:val="1"/>
      <w:marLeft w:val="0"/>
      <w:marRight w:val="0"/>
      <w:marTop w:val="0"/>
      <w:marBottom w:val="0"/>
      <w:divBdr>
        <w:top w:val="none" w:sz="0" w:space="0" w:color="auto"/>
        <w:left w:val="none" w:sz="0" w:space="0" w:color="auto"/>
        <w:bottom w:val="none" w:sz="0" w:space="0" w:color="auto"/>
        <w:right w:val="none" w:sz="0" w:space="0" w:color="auto"/>
      </w:divBdr>
    </w:div>
    <w:div w:id="1907110601">
      <w:bodyDiv w:val="1"/>
      <w:marLeft w:val="0"/>
      <w:marRight w:val="0"/>
      <w:marTop w:val="0"/>
      <w:marBottom w:val="0"/>
      <w:divBdr>
        <w:top w:val="none" w:sz="0" w:space="0" w:color="auto"/>
        <w:left w:val="none" w:sz="0" w:space="0" w:color="auto"/>
        <w:bottom w:val="none" w:sz="0" w:space="0" w:color="auto"/>
        <w:right w:val="none" w:sz="0" w:space="0" w:color="auto"/>
      </w:divBdr>
    </w:div>
    <w:div w:id="1913195786">
      <w:bodyDiv w:val="1"/>
      <w:marLeft w:val="0"/>
      <w:marRight w:val="0"/>
      <w:marTop w:val="0"/>
      <w:marBottom w:val="0"/>
      <w:divBdr>
        <w:top w:val="none" w:sz="0" w:space="0" w:color="auto"/>
        <w:left w:val="none" w:sz="0" w:space="0" w:color="auto"/>
        <w:bottom w:val="none" w:sz="0" w:space="0" w:color="auto"/>
        <w:right w:val="none" w:sz="0" w:space="0" w:color="auto"/>
      </w:divBdr>
    </w:div>
    <w:div w:id="1913924609">
      <w:bodyDiv w:val="1"/>
      <w:marLeft w:val="0"/>
      <w:marRight w:val="0"/>
      <w:marTop w:val="0"/>
      <w:marBottom w:val="0"/>
      <w:divBdr>
        <w:top w:val="none" w:sz="0" w:space="0" w:color="auto"/>
        <w:left w:val="none" w:sz="0" w:space="0" w:color="auto"/>
        <w:bottom w:val="none" w:sz="0" w:space="0" w:color="auto"/>
        <w:right w:val="none" w:sz="0" w:space="0" w:color="auto"/>
      </w:divBdr>
    </w:div>
    <w:div w:id="1913930159">
      <w:bodyDiv w:val="1"/>
      <w:marLeft w:val="0"/>
      <w:marRight w:val="0"/>
      <w:marTop w:val="0"/>
      <w:marBottom w:val="0"/>
      <w:divBdr>
        <w:top w:val="none" w:sz="0" w:space="0" w:color="auto"/>
        <w:left w:val="none" w:sz="0" w:space="0" w:color="auto"/>
        <w:bottom w:val="none" w:sz="0" w:space="0" w:color="auto"/>
        <w:right w:val="none" w:sz="0" w:space="0" w:color="auto"/>
      </w:divBdr>
    </w:div>
    <w:div w:id="1915895956">
      <w:bodyDiv w:val="1"/>
      <w:marLeft w:val="0"/>
      <w:marRight w:val="0"/>
      <w:marTop w:val="0"/>
      <w:marBottom w:val="0"/>
      <w:divBdr>
        <w:top w:val="none" w:sz="0" w:space="0" w:color="auto"/>
        <w:left w:val="none" w:sz="0" w:space="0" w:color="auto"/>
        <w:bottom w:val="none" w:sz="0" w:space="0" w:color="auto"/>
        <w:right w:val="none" w:sz="0" w:space="0" w:color="auto"/>
      </w:divBdr>
    </w:div>
    <w:div w:id="1918662132">
      <w:bodyDiv w:val="1"/>
      <w:marLeft w:val="0"/>
      <w:marRight w:val="0"/>
      <w:marTop w:val="0"/>
      <w:marBottom w:val="0"/>
      <w:divBdr>
        <w:top w:val="none" w:sz="0" w:space="0" w:color="auto"/>
        <w:left w:val="none" w:sz="0" w:space="0" w:color="auto"/>
        <w:bottom w:val="none" w:sz="0" w:space="0" w:color="auto"/>
        <w:right w:val="none" w:sz="0" w:space="0" w:color="auto"/>
      </w:divBdr>
    </w:div>
    <w:div w:id="1926576436">
      <w:bodyDiv w:val="1"/>
      <w:marLeft w:val="0"/>
      <w:marRight w:val="0"/>
      <w:marTop w:val="0"/>
      <w:marBottom w:val="0"/>
      <w:divBdr>
        <w:top w:val="none" w:sz="0" w:space="0" w:color="auto"/>
        <w:left w:val="none" w:sz="0" w:space="0" w:color="auto"/>
        <w:bottom w:val="none" w:sz="0" w:space="0" w:color="auto"/>
        <w:right w:val="none" w:sz="0" w:space="0" w:color="auto"/>
      </w:divBdr>
    </w:div>
    <w:div w:id="1927575166">
      <w:bodyDiv w:val="1"/>
      <w:marLeft w:val="0"/>
      <w:marRight w:val="0"/>
      <w:marTop w:val="0"/>
      <w:marBottom w:val="0"/>
      <w:divBdr>
        <w:top w:val="none" w:sz="0" w:space="0" w:color="auto"/>
        <w:left w:val="none" w:sz="0" w:space="0" w:color="auto"/>
        <w:bottom w:val="none" w:sz="0" w:space="0" w:color="auto"/>
        <w:right w:val="none" w:sz="0" w:space="0" w:color="auto"/>
      </w:divBdr>
    </w:div>
    <w:div w:id="1931310633">
      <w:bodyDiv w:val="1"/>
      <w:marLeft w:val="0"/>
      <w:marRight w:val="0"/>
      <w:marTop w:val="0"/>
      <w:marBottom w:val="0"/>
      <w:divBdr>
        <w:top w:val="none" w:sz="0" w:space="0" w:color="auto"/>
        <w:left w:val="none" w:sz="0" w:space="0" w:color="auto"/>
        <w:bottom w:val="none" w:sz="0" w:space="0" w:color="auto"/>
        <w:right w:val="none" w:sz="0" w:space="0" w:color="auto"/>
      </w:divBdr>
    </w:div>
    <w:div w:id="1932278331">
      <w:bodyDiv w:val="1"/>
      <w:marLeft w:val="0"/>
      <w:marRight w:val="0"/>
      <w:marTop w:val="0"/>
      <w:marBottom w:val="0"/>
      <w:divBdr>
        <w:top w:val="none" w:sz="0" w:space="0" w:color="auto"/>
        <w:left w:val="none" w:sz="0" w:space="0" w:color="auto"/>
        <w:bottom w:val="none" w:sz="0" w:space="0" w:color="auto"/>
        <w:right w:val="none" w:sz="0" w:space="0" w:color="auto"/>
      </w:divBdr>
    </w:div>
    <w:div w:id="1932280020">
      <w:bodyDiv w:val="1"/>
      <w:marLeft w:val="0"/>
      <w:marRight w:val="0"/>
      <w:marTop w:val="0"/>
      <w:marBottom w:val="0"/>
      <w:divBdr>
        <w:top w:val="none" w:sz="0" w:space="0" w:color="auto"/>
        <w:left w:val="none" w:sz="0" w:space="0" w:color="auto"/>
        <w:bottom w:val="none" w:sz="0" w:space="0" w:color="auto"/>
        <w:right w:val="none" w:sz="0" w:space="0" w:color="auto"/>
      </w:divBdr>
    </w:div>
    <w:div w:id="1933194979">
      <w:bodyDiv w:val="1"/>
      <w:marLeft w:val="0"/>
      <w:marRight w:val="0"/>
      <w:marTop w:val="0"/>
      <w:marBottom w:val="0"/>
      <w:divBdr>
        <w:top w:val="none" w:sz="0" w:space="0" w:color="auto"/>
        <w:left w:val="none" w:sz="0" w:space="0" w:color="auto"/>
        <w:bottom w:val="none" w:sz="0" w:space="0" w:color="auto"/>
        <w:right w:val="none" w:sz="0" w:space="0" w:color="auto"/>
      </w:divBdr>
    </w:div>
    <w:div w:id="1935432845">
      <w:bodyDiv w:val="1"/>
      <w:marLeft w:val="0"/>
      <w:marRight w:val="0"/>
      <w:marTop w:val="0"/>
      <w:marBottom w:val="0"/>
      <w:divBdr>
        <w:top w:val="none" w:sz="0" w:space="0" w:color="auto"/>
        <w:left w:val="none" w:sz="0" w:space="0" w:color="auto"/>
        <w:bottom w:val="none" w:sz="0" w:space="0" w:color="auto"/>
        <w:right w:val="none" w:sz="0" w:space="0" w:color="auto"/>
      </w:divBdr>
    </w:div>
    <w:div w:id="1936790736">
      <w:bodyDiv w:val="1"/>
      <w:marLeft w:val="0"/>
      <w:marRight w:val="0"/>
      <w:marTop w:val="0"/>
      <w:marBottom w:val="0"/>
      <w:divBdr>
        <w:top w:val="none" w:sz="0" w:space="0" w:color="auto"/>
        <w:left w:val="none" w:sz="0" w:space="0" w:color="auto"/>
        <w:bottom w:val="none" w:sz="0" w:space="0" w:color="auto"/>
        <w:right w:val="none" w:sz="0" w:space="0" w:color="auto"/>
      </w:divBdr>
    </w:div>
    <w:div w:id="1948806111">
      <w:bodyDiv w:val="1"/>
      <w:marLeft w:val="0"/>
      <w:marRight w:val="0"/>
      <w:marTop w:val="0"/>
      <w:marBottom w:val="0"/>
      <w:divBdr>
        <w:top w:val="none" w:sz="0" w:space="0" w:color="auto"/>
        <w:left w:val="none" w:sz="0" w:space="0" w:color="auto"/>
        <w:bottom w:val="none" w:sz="0" w:space="0" w:color="auto"/>
        <w:right w:val="none" w:sz="0" w:space="0" w:color="auto"/>
      </w:divBdr>
    </w:div>
    <w:div w:id="1950773762">
      <w:bodyDiv w:val="1"/>
      <w:marLeft w:val="0"/>
      <w:marRight w:val="0"/>
      <w:marTop w:val="0"/>
      <w:marBottom w:val="0"/>
      <w:divBdr>
        <w:top w:val="none" w:sz="0" w:space="0" w:color="auto"/>
        <w:left w:val="none" w:sz="0" w:space="0" w:color="auto"/>
        <w:bottom w:val="none" w:sz="0" w:space="0" w:color="auto"/>
        <w:right w:val="none" w:sz="0" w:space="0" w:color="auto"/>
      </w:divBdr>
    </w:div>
    <w:div w:id="1952085440">
      <w:bodyDiv w:val="1"/>
      <w:marLeft w:val="0"/>
      <w:marRight w:val="0"/>
      <w:marTop w:val="0"/>
      <w:marBottom w:val="0"/>
      <w:divBdr>
        <w:top w:val="none" w:sz="0" w:space="0" w:color="auto"/>
        <w:left w:val="none" w:sz="0" w:space="0" w:color="auto"/>
        <w:bottom w:val="none" w:sz="0" w:space="0" w:color="auto"/>
        <w:right w:val="none" w:sz="0" w:space="0" w:color="auto"/>
      </w:divBdr>
    </w:div>
    <w:div w:id="1959951091">
      <w:bodyDiv w:val="1"/>
      <w:marLeft w:val="0"/>
      <w:marRight w:val="0"/>
      <w:marTop w:val="0"/>
      <w:marBottom w:val="0"/>
      <w:divBdr>
        <w:top w:val="none" w:sz="0" w:space="0" w:color="auto"/>
        <w:left w:val="none" w:sz="0" w:space="0" w:color="auto"/>
        <w:bottom w:val="none" w:sz="0" w:space="0" w:color="auto"/>
        <w:right w:val="none" w:sz="0" w:space="0" w:color="auto"/>
      </w:divBdr>
    </w:div>
    <w:div w:id="1962347507">
      <w:bodyDiv w:val="1"/>
      <w:marLeft w:val="0"/>
      <w:marRight w:val="0"/>
      <w:marTop w:val="0"/>
      <w:marBottom w:val="0"/>
      <w:divBdr>
        <w:top w:val="none" w:sz="0" w:space="0" w:color="auto"/>
        <w:left w:val="none" w:sz="0" w:space="0" w:color="auto"/>
        <w:bottom w:val="none" w:sz="0" w:space="0" w:color="auto"/>
        <w:right w:val="none" w:sz="0" w:space="0" w:color="auto"/>
      </w:divBdr>
    </w:div>
    <w:div w:id="1962490985">
      <w:bodyDiv w:val="1"/>
      <w:marLeft w:val="0"/>
      <w:marRight w:val="0"/>
      <w:marTop w:val="0"/>
      <w:marBottom w:val="0"/>
      <w:divBdr>
        <w:top w:val="none" w:sz="0" w:space="0" w:color="auto"/>
        <w:left w:val="none" w:sz="0" w:space="0" w:color="auto"/>
        <w:bottom w:val="none" w:sz="0" w:space="0" w:color="auto"/>
        <w:right w:val="none" w:sz="0" w:space="0" w:color="auto"/>
      </w:divBdr>
    </w:div>
    <w:div w:id="1965842788">
      <w:bodyDiv w:val="1"/>
      <w:marLeft w:val="0"/>
      <w:marRight w:val="0"/>
      <w:marTop w:val="0"/>
      <w:marBottom w:val="0"/>
      <w:divBdr>
        <w:top w:val="none" w:sz="0" w:space="0" w:color="auto"/>
        <w:left w:val="none" w:sz="0" w:space="0" w:color="auto"/>
        <w:bottom w:val="none" w:sz="0" w:space="0" w:color="auto"/>
        <w:right w:val="none" w:sz="0" w:space="0" w:color="auto"/>
      </w:divBdr>
    </w:div>
    <w:div w:id="1968779902">
      <w:bodyDiv w:val="1"/>
      <w:marLeft w:val="0"/>
      <w:marRight w:val="0"/>
      <w:marTop w:val="0"/>
      <w:marBottom w:val="0"/>
      <w:divBdr>
        <w:top w:val="none" w:sz="0" w:space="0" w:color="auto"/>
        <w:left w:val="none" w:sz="0" w:space="0" w:color="auto"/>
        <w:bottom w:val="none" w:sz="0" w:space="0" w:color="auto"/>
        <w:right w:val="none" w:sz="0" w:space="0" w:color="auto"/>
      </w:divBdr>
    </w:div>
    <w:div w:id="1969818162">
      <w:bodyDiv w:val="1"/>
      <w:marLeft w:val="0"/>
      <w:marRight w:val="0"/>
      <w:marTop w:val="0"/>
      <w:marBottom w:val="0"/>
      <w:divBdr>
        <w:top w:val="none" w:sz="0" w:space="0" w:color="auto"/>
        <w:left w:val="none" w:sz="0" w:space="0" w:color="auto"/>
        <w:bottom w:val="none" w:sz="0" w:space="0" w:color="auto"/>
        <w:right w:val="none" w:sz="0" w:space="0" w:color="auto"/>
      </w:divBdr>
    </w:div>
    <w:div w:id="1970503363">
      <w:bodyDiv w:val="1"/>
      <w:marLeft w:val="0"/>
      <w:marRight w:val="0"/>
      <w:marTop w:val="0"/>
      <w:marBottom w:val="0"/>
      <w:divBdr>
        <w:top w:val="none" w:sz="0" w:space="0" w:color="auto"/>
        <w:left w:val="none" w:sz="0" w:space="0" w:color="auto"/>
        <w:bottom w:val="none" w:sz="0" w:space="0" w:color="auto"/>
        <w:right w:val="none" w:sz="0" w:space="0" w:color="auto"/>
      </w:divBdr>
    </w:div>
    <w:div w:id="1973246685">
      <w:bodyDiv w:val="1"/>
      <w:marLeft w:val="0"/>
      <w:marRight w:val="0"/>
      <w:marTop w:val="0"/>
      <w:marBottom w:val="0"/>
      <w:divBdr>
        <w:top w:val="none" w:sz="0" w:space="0" w:color="auto"/>
        <w:left w:val="none" w:sz="0" w:space="0" w:color="auto"/>
        <w:bottom w:val="none" w:sz="0" w:space="0" w:color="auto"/>
        <w:right w:val="none" w:sz="0" w:space="0" w:color="auto"/>
      </w:divBdr>
    </w:div>
    <w:div w:id="1980570045">
      <w:bodyDiv w:val="1"/>
      <w:marLeft w:val="0"/>
      <w:marRight w:val="0"/>
      <w:marTop w:val="0"/>
      <w:marBottom w:val="0"/>
      <w:divBdr>
        <w:top w:val="none" w:sz="0" w:space="0" w:color="auto"/>
        <w:left w:val="none" w:sz="0" w:space="0" w:color="auto"/>
        <w:bottom w:val="none" w:sz="0" w:space="0" w:color="auto"/>
        <w:right w:val="none" w:sz="0" w:space="0" w:color="auto"/>
      </w:divBdr>
    </w:div>
    <w:div w:id="1986082299">
      <w:bodyDiv w:val="1"/>
      <w:marLeft w:val="0"/>
      <w:marRight w:val="0"/>
      <w:marTop w:val="0"/>
      <w:marBottom w:val="0"/>
      <w:divBdr>
        <w:top w:val="none" w:sz="0" w:space="0" w:color="auto"/>
        <w:left w:val="none" w:sz="0" w:space="0" w:color="auto"/>
        <w:bottom w:val="none" w:sz="0" w:space="0" w:color="auto"/>
        <w:right w:val="none" w:sz="0" w:space="0" w:color="auto"/>
      </w:divBdr>
    </w:div>
    <w:div w:id="1990549076">
      <w:bodyDiv w:val="1"/>
      <w:marLeft w:val="0"/>
      <w:marRight w:val="0"/>
      <w:marTop w:val="0"/>
      <w:marBottom w:val="0"/>
      <w:divBdr>
        <w:top w:val="none" w:sz="0" w:space="0" w:color="auto"/>
        <w:left w:val="none" w:sz="0" w:space="0" w:color="auto"/>
        <w:bottom w:val="none" w:sz="0" w:space="0" w:color="auto"/>
        <w:right w:val="none" w:sz="0" w:space="0" w:color="auto"/>
      </w:divBdr>
    </w:div>
    <w:div w:id="1994142735">
      <w:bodyDiv w:val="1"/>
      <w:marLeft w:val="0"/>
      <w:marRight w:val="0"/>
      <w:marTop w:val="0"/>
      <w:marBottom w:val="0"/>
      <w:divBdr>
        <w:top w:val="none" w:sz="0" w:space="0" w:color="auto"/>
        <w:left w:val="none" w:sz="0" w:space="0" w:color="auto"/>
        <w:bottom w:val="none" w:sz="0" w:space="0" w:color="auto"/>
        <w:right w:val="none" w:sz="0" w:space="0" w:color="auto"/>
      </w:divBdr>
    </w:div>
    <w:div w:id="1994677567">
      <w:bodyDiv w:val="1"/>
      <w:marLeft w:val="0"/>
      <w:marRight w:val="0"/>
      <w:marTop w:val="0"/>
      <w:marBottom w:val="0"/>
      <w:divBdr>
        <w:top w:val="none" w:sz="0" w:space="0" w:color="auto"/>
        <w:left w:val="none" w:sz="0" w:space="0" w:color="auto"/>
        <w:bottom w:val="none" w:sz="0" w:space="0" w:color="auto"/>
        <w:right w:val="none" w:sz="0" w:space="0" w:color="auto"/>
      </w:divBdr>
    </w:div>
    <w:div w:id="1995140134">
      <w:bodyDiv w:val="1"/>
      <w:marLeft w:val="0"/>
      <w:marRight w:val="0"/>
      <w:marTop w:val="0"/>
      <w:marBottom w:val="0"/>
      <w:divBdr>
        <w:top w:val="none" w:sz="0" w:space="0" w:color="auto"/>
        <w:left w:val="none" w:sz="0" w:space="0" w:color="auto"/>
        <w:bottom w:val="none" w:sz="0" w:space="0" w:color="auto"/>
        <w:right w:val="none" w:sz="0" w:space="0" w:color="auto"/>
      </w:divBdr>
    </w:div>
    <w:div w:id="1995718399">
      <w:bodyDiv w:val="1"/>
      <w:marLeft w:val="0"/>
      <w:marRight w:val="0"/>
      <w:marTop w:val="0"/>
      <w:marBottom w:val="0"/>
      <w:divBdr>
        <w:top w:val="none" w:sz="0" w:space="0" w:color="auto"/>
        <w:left w:val="none" w:sz="0" w:space="0" w:color="auto"/>
        <w:bottom w:val="none" w:sz="0" w:space="0" w:color="auto"/>
        <w:right w:val="none" w:sz="0" w:space="0" w:color="auto"/>
      </w:divBdr>
    </w:div>
    <w:div w:id="1996953293">
      <w:bodyDiv w:val="1"/>
      <w:marLeft w:val="0"/>
      <w:marRight w:val="0"/>
      <w:marTop w:val="0"/>
      <w:marBottom w:val="0"/>
      <w:divBdr>
        <w:top w:val="none" w:sz="0" w:space="0" w:color="auto"/>
        <w:left w:val="none" w:sz="0" w:space="0" w:color="auto"/>
        <w:bottom w:val="none" w:sz="0" w:space="0" w:color="auto"/>
        <w:right w:val="none" w:sz="0" w:space="0" w:color="auto"/>
      </w:divBdr>
    </w:div>
    <w:div w:id="1997679823">
      <w:bodyDiv w:val="1"/>
      <w:marLeft w:val="0"/>
      <w:marRight w:val="0"/>
      <w:marTop w:val="0"/>
      <w:marBottom w:val="0"/>
      <w:divBdr>
        <w:top w:val="none" w:sz="0" w:space="0" w:color="auto"/>
        <w:left w:val="none" w:sz="0" w:space="0" w:color="auto"/>
        <w:bottom w:val="none" w:sz="0" w:space="0" w:color="auto"/>
        <w:right w:val="none" w:sz="0" w:space="0" w:color="auto"/>
      </w:divBdr>
    </w:div>
    <w:div w:id="2001888907">
      <w:bodyDiv w:val="1"/>
      <w:marLeft w:val="0"/>
      <w:marRight w:val="0"/>
      <w:marTop w:val="0"/>
      <w:marBottom w:val="0"/>
      <w:divBdr>
        <w:top w:val="none" w:sz="0" w:space="0" w:color="auto"/>
        <w:left w:val="none" w:sz="0" w:space="0" w:color="auto"/>
        <w:bottom w:val="none" w:sz="0" w:space="0" w:color="auto"/>
        <w:right w:val="none" w:sz="0" w:space="0" w:color="auto"/>
      </w:divBdr>
    </w:div>
    <w:div w:id="2004620723">
      <w:bodyDiv w:val="1"/>
      <w:marLeft w:val="0"/>
      <w:marRight w:val="0"/>
      <w:marTop w:val="0"/>
      <w:marBottom w:val="0"/>
      <w:divBdr>
        <w:top w:val="none" w:sz="0" w:space="0" w:color="auto"/>
        <w:left w:val="none" w:sz="0" w:space="0" w:color="auto"/>
        <w:bottom w:val="none" w:sz="0" w:space="0" w:color="auto"/>
        <w:right w:val="none" w:sz="0" w:space="0" w:color="auto"/>
      </w:divBdr>
    </w:div>
    <w:div w:id="2006738660">
      <w:bodyDiv w:val="1"/>
      <w:marLeft w:val="0"/>
      <w:marRight w:val="0"/>
      <w:marTop w:val="0"/>
      <w:marBottom w:val="0"/>
      <w:divBdr>
        <w:top w:val="none" w:sz="0" w:space="0" w:color="auto"/>
        <w:left w:val="none" w:sz="0" w:space="0" w:color="auto"/>
        <w:bottom w:val="none" w:sz="0" w:space="0" w:color="auto"/>
        <w:right w:val="none" w:sz="0" w:space="0" w:color="auto"/>
      </w:divBdr>
    </w:div>
    <w:div w:id="2010211586">
      <w:bodyDiv w:val="1"/>
      <w:marLeft w:val="0"/>
      <w:marRight w:val="0"/>
      <w:marTop w:val="0"/>
      <w:marBottom w:val="0"/>
      <w:divBdr>
        <w:top w:val="none" w:sz="0" w:space="0" w:color="auto"/>
        <w:left w:val="none" w:sz="0" w:space="0" w:color="auto"/>
        <w:bottom w:val="none" w:sz="0" w:space="0" w:color="auto"/>
        <w:right w:val="none" w:sz="0" w:space="0" w:color="auto"/>
      </w:divBdr>
    </w:div>
    <w:div w:id="2011447983">
      <w:bodyDiv w:val="1"/>
      <w:marLeft w:val="0"/>
      <w:marRight w:val="0"/>
      <w:marTop w:val="0"/>
      <w:marBottom w:val="0"/>
      <w:divBdr>
        <w:top w:val="none" w:sz="0" w:space="0" w:color="auto"/>
        <w:left w:val="none" w:sz="0" w:space="0" w:color="auto"/>
        <w:bottom w:val="none" w:sz="0" w:space="0" w:color="auto"/>
        <w:right w:val="none" w:sz="0" w:space="0" w:color="auto"/>
      </w:divBdr>
    </w:div>
    <w:div w:id="2011986807">
      <w:bodyDiv w:val="1"/>
      <w:marLeft w:val="0"/>
      <w:marRight w:val="0"/>
      <w:marTop w:val="0"/>
      <w:marBottom w:val="0"/>
      <w:divBdr>
        <w:top w:val="none" w:sz="0" w:space="0" w:color="auto"/>
        <w:left w:val="none" w:sz="0" w:space="0" w:color="auto"/>
        <w:bottom w:val="none" w:sz="0" w:space="0" w:color="auto"/>
        <w:right w:val="none" w:sz="0" w:space="0" w:color="auto"/>
      </w:divBdr>
    </w:div>
    <w:div w:id="2013414167">
      <w:bodyDiv w:val="1"/>
      <w:marLeft w:val="0"/>
      <w:marRight w:val="0"/>
      <w:marTop w:val="0"/>
      <w:marBottom w:val="0"/>
      <w:divBdr>
        <w:top w:val="none" w:sz="0" w:space="0" w:color="auto"/>
        <w:left w:val="none" w:sz="0" w:space="0" w:color="auto"/>
        <w:bottom w:val="none" w:sz="0" w:space="0" w:color="auto"/>
        <w:right w:val="none" w:sz="0" w:space="0" w:color="auto"/>
      </w:divBdr>
    </w:div>
    <w:div w:id="2013678864">
      <w:bodyDiv w:val="1"/>
      <w:marLeft w:val="0"/>
      <w:marRight w:val="0"/>
      <w:marTop w:val="0"/>
      <w:marBottom w:val="0"/>
      <w:divBdr>
        <w:top w:val="none" w:sz="0" w:space="0" w:color="auto"/>
        <w:left w:val="none" w:sz="0" w:space="0" w:color="auto"/>
        <w:bottom w:val="none" w:sz="0" w:space="0" w:color="auto"/>
        <w:right w:val="none" w:sz="0" w:space="0" w:color="auto"/>
      </w:divBdr>
    </w:div>
    <w:div w:id="2014527847">
      <w:bodyDiv w:val="1"/>
      <w:marLeft w:val="0"/>
      <w:marRight w:val="0"/>
      <w:marTop w:val="0"/>
      <w:marBottom w:val="0"/>
      <w:divBdr>
        <w:top w:val="none" w:sz="0" w:space="0" w:color="auto"/>
        <w:left w:val="none" w:sz="0" w:space="0" w:color="auto"/>
        <w:bottom w:val="none" w:sz="0" w:space="0" w:color="auto"/>
        <w:right w:val="none" w:sz="0" w:space="0" w:color="auto"/>
      </w:divBdr>
    </w:div>
    <w:div w:id="2014601609">
      <w:bodyDiv w:val="1"/>
      <w:marLeft w:val="0"/>
      <w:marRight w:val="0"/>
      <w:marTop w:val="0"/>
      <w:marBottom w:val="0"/>
      <w:divBdr>
        <w:top w:val="none" w:sz="0" w:space="0" w:color="auto"/>
        <w:left w:val="none" w:sz="0" w:space="0" w:color="auto"/>
        <w:bottom w:val="none" w:sz="0" w:space="0" w:color="auto"/>
        <w:right w:val="none" w:sz="0" w:space="0" w:color="auto"/>
      </w:divBdr>
    </w:div>
    <w:div w:id="2021811153">
      <w:bodyDiv w:val="1"/>
      <w:marLeft w:val="0"/>
      <w:marRight w:val="0"/>
      <w:marTop w:val="0"/>
      <w:marBottom w:val="0"/>
      <w:divBdr>
        <w:top w:val="none" w:sz="0" w:space="0" w:color="auto"/>
        <w:left w:val="none" w:sz="0" w:space="0" w:color="auto"/>
        <w:bottom w:val="none" w:sz="0" w:space="0" w:color="auto"/>
        <w:right w:val="none" w:sz="0" w:space="0" w:color="auto"/>
      </w:divBdr>
    </w:div>
    <w:div w:id="2024239137">
      <w:bodyDiv w:val="1"/>
      <w:marLeft w:val="0"/>
      <w:marRight w:val="0"/>
      <w:marTop w:val="0"/>
      <w:marBottom w:val="0"/>
      <w:divBdr>
        <w:top w:val="none" w:sz="0" w:space="0" w:color="auto"/>
        <w:left w:val="none" w:sz="0" w:space="0" w:color="auto"/>
        <w:bottom w:val="none" w:sz="0" w:space="0" w:color="auto"/>
        <w:right w:val="none" w:sz="0" w:space="0" w:color="auto"/>
      </w:divBdr>
    </w:div>
    <w:div w:id="2025856556">
      <w:bodyDiv w:val="1"/>
      <w:marLeft w:val="0"/>
      <w:marRight w:val="0"/>
      <w:marTop w:val="0"/>
      <w:marBottom w:val="0"/>
      <w:divBdr>
        <w:top w:val="none" w:sz="0" w:space="0" w:color="auto"/>
        <w:left w:val="none" w:sz="0" w:space="0" w:color="auto"/>
        <w:bottom w:val="none" w:sz="0" w:space="0" w:color="auto"/>
        <w:right w:val="none" w:sz="0" w:space="0" w:color="auto"/>
      </w:divBdr>
    </w:div>
    <w:div w:id="2034304971">
      <w:bodyDiv w:val="1"/>
      <w:marLeft w:val="0"/>
      <w:marRight w:val="0"/>
      <w:marTop w:val="0"/>
      <w:marBottom w:val="0"/>
      <w:divBdr>
        <w:top w:val="none" w:sz="0" w:space="0" w:color="auto"/>
        <w:left w:val="none" w:sz="0" w:space="0" w:color="auto"/>
        <w:bottom w:val="none" w:sz="0" w:space="0" w:color="auto"/>
        <w:right w:val="none" w:sz="0" w:space="0" w:color="auto"/>
      </w:divBdr>
    </w:div>
    <w:div w:id="2034762611">
      <w:bodyDiv w:val="1"/>
      <w:marLeft w:val="0"/>
      <w:marRight w:val="0"/>
      <w:marTop w:val="0"/>
      <w:marBottom w:val="0"/>
      <w:divBdr>
        <w:top w:val="none" w:sz="0" w:space="0" w:color="auto"/>
        <w:left w:val="none" w:sz="0" w:space="0" w:color="auto"/>
        <w:bottom w:val="none" w:sz="0" w:space="0" w:color="auto"/>
        <w:right w:val="none" w:sz="0" w:space="0" w:color="auto"/>
      </w:divBdr>
    </w:div>
    <w:div w:id="2034989847">
      <w:bodyDiv w:val="1"/>
      <w:marLeft w:val="0"/>
      <w:marRight w:val="0"/>
      <w:marTop w:val="0"/>
      <w:marBottom w:val="0"/>
      <w:divBdr>
        <w:top w:val="none" w:sz="0" w:space="0" w:color="auto"/>
        <w:left w:val="none" w:sz="0" w:space="0" w:color="auto"/>
        <w:bottom w:val="none" w:sz="0" w:space="0" w:color="auto"/>
        <w:right w:val="none" w:sz="0" w:space="0" w:color="auto"/>
      </w:divBdr>
    </w:div>
    <w:div w:id="2037844568">
      <w:bodyDiv w:val="1"/>
      <w:marLeft w:val="0"/>
      <w:marRight w:val="0"/>
      <w:marTop w:val="0"/>
      <w:marBottom w:val="0"/>
      <w:divBdr>
        <w:top w:val="none" w:sz="0" w:space="0" w:color="auto"/>
        <w:left w:val="none" w:sz="0" w:space="0" w:color="auto"/>
        <w:bottom w:val="none" w:sz="0" w:space="0" w:color="auto"/>
        <w:right w:val="none" w:sz="0" w:space="0" w:color="auto"/>
      </w:divBdr>
    </w:div>
    <w:div w:id="2037998225">
      <w:bodyDiv w:val="1"/>
      <w:marLeft w:val="0"/>
      <w:marRight w:val="0"/>
      <w:marTop w:val="0"/>
      <w:marBottom w:val="0"/>
      <w:divBdr>
        <w:top w:val="none" w:sz="0" w:space="0" w:color="auto"/>
        <w:left w:val="none" w:sz="0" w:space="0" w:color="auto"/>
        <w:bottom w:val="none" w:sz="0" w:space="0" w:color="auto"/>
        <w:right w:val="none" w:sz="0" w:space="0" w:color="auto"/>
      </w:divBdr>
    </w:div>
    <w:div w:id="2041665700">
      <w:bodyDiv w:val="1"/>
      <w:marLeft w:val="0"/>
      <w:marRight w:val="0"/>
      <w:marTop w:val="0"/>
      <w:marBottom w:val="0"/>
      <w:divBdr>
        <w:top w:val="none" w:sz="0" w:space="0" w:color="auto"/>
        <w:left w:val="none" w:sz="0" w:space="0" w:color="auto"/>
        <w:bottom w:val="none" w:sz="0" w:space="0" w:color="auto"/>
        <w:right w:val="none" w:sz="0" w:space="0" w:color="auto"/>
      </w:divBdr>
    </w:div>
    <w:div w:id="2042045205">
      <w:bodyDiv w:val="1"/>
      <w:marLeft w:val="0"/>
      <w:marRight w:val="0"/>
      <w:marTop w:val="0"/>
      <w:marBottom w:val="0"/>
      <w:divBdr>
        <w:top w:val="none" w:sz="0" w:space="0" w:color="auto"/>
        <w:left w:val="none" w:sz="0" w:space="0" w:color="auto"/>
        <w:bottom w:val="none" w:sz="0" w:space="0" w:color="auto"/>
        <w:right w:val="none" w:sz="0" w:space="0" w:color="auto"/>
      </w:divBdr>
    </w:div>
    <w:div w:id="2044862154">
      <w:bodyDiv w:val="1"/>
      <w:marLeft w:val="0"/>
      <w:marRight w:val="0"/>
      <w:marTop w:val="0"/>
      <w:marBottom w:val="0"/>
      <w:divBdr>
        <w:top w:val="none" w:sz="0" w:space="0" w:color="auto"/>
        <w:left w:val="none" w:sz="0" w:space="0" w:color="auto"/>
        <w:bottom w:val="none" w:sz="0" w:space="0" w:color="auto"/>
        <w:right w:val="none" w:sz="0" w:space="0" w:color="auto"/>
      </w:divBdr>
    </w:div>
    <w:div w:id="2046128578">
      <w:bodyDiv w:val="1"/>
      <w:marLeft w:val="0"/>
      <w:marRight w:val="0"/>
      <w:marTop w:val="0"/>
      <w:marBottom w:val="0"/>
      <w:divBdr>
        <w:top w:val="none" w:sz="0" w:space="0" w:color="auto"/>
        <w:left w:val="none" w:sz="0" w:space="0" w:color="auto"/>
        <w:bottom w:val="none" w:sz="0" w:space="0" w:color="auto"/>
        <w:right w:val="none" w:sz="0" w:space="0" w:color="auto"/>
      </w:divBdr>
    </w:div>
    <w:div w:id="2051109725">
      <w:bodyDiv w:val="1"/>
      <w:marLeft w:val="0"/>
      <w:marRight w:val="0"/>
      <w:marTop w:val="0"/>
      <w:marBottom w:val="0"/>
      <w:divBdr>
        <w:top w:val="none" w:sz="0" w:space="0" w:color="auto"/>
        <w:left w:val="none" w:sz="0" w:space="0" w:color="auto"/>
        <w:bottom w:val="none" w:sz="0" w:space="0" w:color="auto"/>
        <w:right w:val="none" w:sz="0" w:space="0" w:color="auto"/>
      </w:divBdr>
    </w:div>
    <w:div w:id="2052340350">
      <w:bodyDiv w:val="1"/>
      <w:marLeft w:val="0"/>
      <w:marRight w:val="0"/>
      <w:marTop w:val="0"/>
      <w:marBottom w:val="0"/>
      <w:divBdr>
        <w:top w:val="none" w:sz="0" w:space="0" w:color="auto"/>
        <w:left w:val="none" w:sz="0" w:space="0" w:color="auto"/>
        <w:bottom w:val="none" w:sz="0" w:space="0" w:color="auto"/>
        <w:right w:val="none" w:sz="0" w:space="0" w:color="auto"/>
      </w:divBdr>
    </w:div>
    <w:div w:id="2053383821">
      <w:bodyDiv w:val="1"/>
      <w:marLeft w:val="0"/>
      <w:marRight w:val="0"/>
      <w:marTop w:val="0"/>
      <w:marBottom w:val="0"/>
      <w:divBdr>
        <w:top w:val="none" w:sz="0" w:space="0" w:color="auto"/>
        <w:left w:val="none" w:sz="0" w:space="0" w:color="auto"/>
        <w:bottom w:val="none" w:sz="0" w:space="0" w:color="auto"/>
        <w:right w:val="none" w:sz="0" w:space="0" w:color="auto"/>
      </w:divBdr>
    </w:div>
    <w:div w:id="2053462040">
      <w:bodyDiv w:val="1"/>
      <w:marLeft w:val="0"/>
      <w:marRight w:val="0"/>
      <w:marTop w:val="0"/>
      <w:marBottom w:val="0"/>
      <w:divBdr>
        <w:top w:val="none" w:sz="0" w:space="0" w:color="auto"/>
        <w:left w:val="none" w:sz="0" w:space="0" w:color="auto"/>
        <w:bottom w:val="none" w:sz="0" w:space="0" w:color="auto"/>
        <w:right w:val="none" w:sz="0" w:space="0" w:color="auto"/>
      </w:divBdr>
    </w:div>
    <w:div w:id="2054453274">
      <w:bodyDiv w:val="1"/>
      <w:marLeft w:val="0"/>
      <w:marRight w:val="0"/>
      <w:marTop w:val="0"/>
      <w:marBottom w:val="0"/>
      <w:divBdr>
        <w:top w:val="none" w:sz="0" w:space="0" w:color="auto"/>
        <w:left w:val="none" w:sz="0" w:space="0" w:color="auto"/>
        <w:bottom w:val="none" w:sz="0" w:space="0" w:color="auto"/>
        <w:right w:val="none" w:sz="0" w:space="0" w:color="auto"/>
      </w:divBdr>
    </w:div>
    <w:div w:id="2055083738">
      <w:bodyDiv w:val="1"/>
      <w:marLeft w:val="0"/>
      <w:marRight w:val="0"/>
      <w:marTop w:val="0"/>
      <w:marBottom w:val="0"/>
      <w:divBdr>
        <w:top w:val="none" w:sz="0" w:space="0" w:color="auto"/>
        <w:left w:val="none" w:sz="0" w:space="0" w:color="auto"/>
        <w:bottom w:val="none" w:sz="0" w:space="0" w:color="auto"/>
        <w:right w:val="none" w:sz="0" w:space="0" w:color="auto"/>
      </w:divBdr>
    </w:div>
    <w:div w:id="2056805598">
      <w:bodyDiv w:val="1"/>
      <w:marLeft w:val="0"/>
      <w:marRight w:val="0"/>
      <w:marTop w:val="0"/>
      <w:marBottom w:val="0"/>
      <w:divBdr>
        <w:top w:val="none" w:sz="0" w:space="0" w:color="auto"/>
        <w:left w:val="none" w:sz="0" w:space="0" w:color="auto"/>
        <w:bottom w:val="none" w:sz="0" w:space="0" w:color="auto"/>
        <w:right w:val="none" w:sz="0" w:space="0" w:color="auto"/>
      </w:divBdr>
    </w:div>
    <w:div w:id="2058310678">
      <w:bodyDiv w:val="1"/>
      <w:marLeft w:val="0"/>
      <w:marRight w:val="0"/>
      <w:marTop w:val="0"/>
      <w:marBottom w:val="0"/>
      <w:divBdr>
        <w:top w:val="none" w:sz="0" w:space="0" w:color="auto"/>
        <w:left w:val="none" w:sz="0" w:space="0" w:color="auto"/>
        <w:bottom w:val="none" w:sz="0" w:space="0" w:color="auto"/>
        <w:right w:val="none" w:sz="0" w:space="0" w:color="auto"/>
      </w:divBdr>
    </w:div>
    <w:div w:id="2063216010">
      <w:bodyDiv w:val="1"/>
      <w:marLeft w:val="0"/>
      <w:marRight w:val="0"/>
      <w:marTop w:val="0"/>
      <w:marBottom w:val="0"/>
      <w:divBdr>
        <w:top w:val="none" w:sz="0" w:space="0" w:color="auto"/>
        <w:left w:val="none" w:sz="0" w:space="0" w:color="auto"/>
        <w:bottom w:val="none" w:sz="0" w:space="0" w:color="auto"/>
        <w:right w:val="none" w:sz="0" w:space="0" w:color="auto"/>
      </w:divBdr>
    </w:div>
    <w:div w:id="2063672279">
      <w:bodyDiv w:val="1"/>
      <w:marLeft w:val="0"/>
      <w:marRight w:val="0"/>
      <w:marTop w:val="0"/>
      <w:marBottom w:val="0"/>
      <w:divBdr>
        <w:top w:val="none" w:sz="0" w:space="0" w:color="auto"/>
        <w:left w:val="none" w:sz="0" w:space="0" w:color="auto"/>
        <w:bottom w:val="none" w:sz="0" w:space="0" w:color="auto"/>
        <w:right w:val="none" w:sz="0" w:space="0" w:color="auto"/>
      </w:divBdr>
    </w:div>
    <w:div w:id="2065830969">
      <w:bodyDiv w:val="1"/>
      <w:marLeft w:val="0"/>
      <w:marRight w:val="0"/>
      <w:marTop w:val="0"/>
      <w:marBottom w:val="0"/>
      <w:divBdr>
        <w:top w:val="none" w:sz="0" w:space="0" w:color="auto"/>
        <w:left w:val="none" w:sz="0" w:space="0" w:color="auto"/>
        <w:bottom w:val="none" w:sz="0" w:space="0" w:color="auto"/>
        <w:right w:val="none" w:sz="0" w:space="0" w:color="auto"/>
      </w:divBdr>
    </w:div>
    <w:div w:id="2066903916">
      <w:bodyDiv w:val="1"/>
      <w:marLeft w:val="0"/>
      <w:marRight w:val="0"/>
      <w:marTop w:val="0"/>
      <w:marBottom w:val="0"/>
      <w:divBdr>
        <w:top w:val="none" w:sz="0" w:space="0" w:color="auto"/>
        <w:left w:val="none" w:sz="0" w:space="0" w:color="auto"/>
        <w:bottom w:val="none" w:sz="0" w:space="0" w:color="auto"/>
        <w:right w:val="none" w:sz="0" w:space="0" w:color="auto"/>
      </w:divBdr>
    </w:div>
    <w:div w:id="2069763412">
      <w:bodyDiv w:val="1"/>
      <w:marLeft w:val="0"/>
      <w:marRight w:val="0"/>
      <w:marTop w:val="0"/>
      <w:marBottom w:val="0"/>
      <w:divBdr>
        <w:top w:val="none" w:sz="0" w:space="0" w:color="auto"/>
        <w:left w:val="none" w:sz="0" w:space="0" w:color="auto"/>
        <w:bottom w:val="none" w:sz="0" w:space="0" w:color="auto"/>
        <w:right w:val="none" w:sz="0" w:space="0" w:color="auto"/>
      </w:divBdr>
    </w:div>
    <w:div w:id="2070152997">
      <w:bodyDiv w:val="1"/>
      <w:marLeft w:val="0"/>
      <w:marRight w:val="0"/>
      <w:marTop w:val="0"/>
      <w:marBottom w:val="0"/>
      <w:divBdr>
        <w:top w:val="none" w:sz="0" w:space="0" w:color="auto"/>
        <w:left w:val="none" w:sz="0" w:space="0" w:color="auto"/>
        <w:bottom w:val="none" w:sz="0" w:space="0" w:color="auto"/>
        <w:right w:val="none" w:sz="0" w:space="0" w:color="auto"/>
      </w:divBdr>
    </w:div>
    <w:div w:id="2073768157">
      <w:bodyDiv w:val="1"/>
      <w:marLeft w:val="0"/>
      <w:marRight w:val="0"/>
      <w:marTop w:val="0"/>
      <w:marBottom w:val="0"/>
      <w:divBdr>
        <w:top w:val="none" w:sz="0" w:space="0" w:color="auto"/>
        <w:left w:val="none" w:sz="0" w:space="0" w:color="auto"/>
        <w:bottom w:val="none" w:sz="0" w:space="0" w:color="auto"/>
        <w:right w:val="none" w:sz="0" w:space="0" w:color="auto"/>
      </w:divBdr>
    </w:div>
    <w:div w:id="2078554364">
      <w:bodyDiv w:val="1"/>
      <w:marLeft w:val="0"/>
      <w:marRight w:val="0"/>
      <w:marTop w:val="0"/>
      <w:marBottom w:val="0"/>
      <w:divBdr>
        <w:top w:val="none" w:sz="0" w:space="0" w:color="auto"/>
        <w:left w:val="none" w:sz="0" w:space="0" w:color="auto"/>
        <w:bottom w:val="none" w:sz="0" w:space="0" w:color="auto"/>
        <w:right w:val="none" w:sz="0" w:space="0" w:color="auto"/>
      </w:divBdr>
    </w:div>
    <w:div w:id="2084721936">
      <w:bodyDiv w:val="1"/>
      <w:marLeft w:val="0"/>
      <w:marRight w:val="0"/>
      <w:marTop w:val="0"/>
      <w:marBottom w:val="0"/>
      <w:divBdr>
        <w:top w:val="none" w:sz="0" w:space="0" w:color="auto"/>
        <w:left w:val="none" w:sz="0" w:space="0" w:color="auto"/>
        <w:bottom w:val="none" w:sz="0" w:space="0" w:color="auto"/>
        <w:right w:val="none" w:sz="0" w:space="0" w:color="auto"/>
      </w:divBdr>
    </w:div>
    <w:div w:id="2088333500">
      <w:bodyDiv w:val="1"/>
      <w:marLeft w:val="0"/>
      <w:marRight w:val="0"/>
      <w:marTop w:val="0"/>
      <w:marBottom w:val="0"/>
      <w:divBdr>
        <w:top w:val="none" w:sz="0" w:space="0" w:color="auto"/>
        <w:left w:val="none" w:sz="0" w:space="0" w:color="auto"/>
        <w:bottom w:val="none" w:sz="0" w:space="0" w:color="auto"/>
        <w:right w:val="none" w:sz="0" w:space="0" w:color="auto"/>
      </w:divBdr>
    </w:div>
    <w:div w:id="2088646987">
      <w:bodyDiv w:val="1"/>
      <w:marLeft w:val="0"/>
      <w:marRight w:val="0"/>
      <w:marTop w:val="0"/>
      <w:marBottom w:val="0"/>
      <w:divBdr>
        <w:top w:val="none" w:sz="0" w:space="0" w:color="auto"/>
        <w:left w:val="none" w:sz="0" w:space="0" w:color="auto"/>
        <w:bottom w:val="none" w:sz="0" w:space="0" w:color="auto"/>
        <w:right w:val="none" w:sz="0" w:space="0" w:color="auto"/>
      </w:divBdr>
    </w:div>
    <w:div w:id="2089232505">
      <w:bodyDiv w:val="1"/>
      <w:marLeft w:val="0"/>
      <w:marRight w:val="0"/>
      <w:marTop w:val="0"/>
      <w:marBottom w:val="0"/>
      <w:divBdr>
        <w:top w:val="none" w:sz="0" w:space="0" w:color="auto"/>
        <w:left w:val="none" w:sz="0" w:space="0" w:color="auto"/>
        <w:bottom w:val="none" w:sz="0" w:space="0" w:color="auto"/>
        <w:right w:val="none" w:sz="0" w:space="0" w:color="auto"/>
      </w:divBdr>
    </w:div>
    <w:div w:id="2089687087">
      <w:bodyDiv w:val="1"/>
      <w:marLeft w:val="0"/>
      <w:marRight w:val="0"/>
      <w:marTop w:val="0"/>
      <w:marBottom w:val="0"/>
      <w:divBdr>
        <w:top w:val="none" w:sz="0" w:space="0" w:color="auto"/>
        <w:left w:val="none" w:sz="0" w:space="0" w:color="auto"/>
        <w:bottom w:val="none" w:sz="0" w:space="0" w:color="auto"/>
        <w:right w:val="none" w:sz="0" w:space="0" w:color="auto"/>
      </w:divBdr>
    </w:div>
    <w:div w:id="2092970854">
      <w:bodyDiv w:val="1"/>
      <w:marLeft w:val="0"/>
      <w:marRight w:val="0"/>
      <w:marTop w:val="0"/>
      <w:marBottom w:val="0"/>
      <w:divBdr>
        <w:top w:val="none" w:sz="0" w:space="0" w:color="auto"/>
        <w:left w:val="none" w:sz="0" w:space="0" w:color="auto"/>
        <w:bottom w:val="none" w:sz="0" w:space="0" w:color="auto"/>
        <w:right w:val="none" w:sz="0" w:space="0" w:color="auto"/>
      </w:divBdr>
    </w:div>
    <w:div w:id="2093970063">
      <w:bodyDiv w:val="1"/>
      <w:marLeft w:val="0"/>
      <w:marRight w:val="0"/>
      <w:marTop w:val="0"/>
      <w:marBottom w:val="0"/>
      <w:divBdr>
        <w:top w:val="none" w:sz="0" w:space="0" w:color="auto"/>
        <w:left w:val="none" w:sz="0" w:space="0" w:color="auto"/>
        <w:bottom w:val="none" w:sz="0" w:space="0" w:color="auto"/>
        <w:right w:val="none" w:sz="0" w:space="0" w:color="auto"/>
      </w:divBdr>
    </w:div>
    <w:div w:id="2094542204">
      <w:bodyDiv w:val="1"/>
      <w:marLeft w:val="0"/>
      <w:marRight w:val="0"/>
      <w:marTop w:val="0"/>
      <w:marBottom w:val="0"/>
      <w:divBdr>
        <w:top w:val="none" w:sz="0" w:space="0" w:color="auto"/>
        <w:left w:val="none" w:sz="0" w:space="0" w:color="auto"/>
        <w:bottom w:val="none" w:sz="0" w:space="0" w:color="auto"/>
        <w:right w:val="none" w:sz="0" w:space="0" w:color="auto"/>
      </w:divBdr>
    </w:div>
    <w:div w:id="2094617277">
      <w:bodyDiv w:val="1"/>
      <w:marLeft w:val="0"/>
      <w:marRight w:val="0"/>
      <w:marTop w:val="0"/>
      <w:marBottom w:val="0"/>
      <w:divBdr>
        <w:top w:val="none" w:sz="0" w:space="0" w:color="auto"/>
        <w:left w:val="none" w:sz="0" w:space="0" w:color="auto"/>
        <w:bottom w:val="none" w:sz="0" w:space="0" w:color="auto"/>
        <w:right w:val="none" w:sz="0" w:space="0" w:color="auto"/>
      </w:divBdr>
    </w:div>
    <w:div w:id="2099128593">
      <w:bodyDiv w:val="1"/>
      <w:marLeft w:val="0"/>
      <w:marRight w:val="0"/>
      <w:marTop w:val="0"/>
      <w:marBottom w:val="0"/>
      <w:divBdr>
        <w:top w:val="none" w:sz="0" w:space="0" w:color="auto"/>
        <w:left w:val="none" w:sz="0" w:space="0" w:color="auto"/>
        <w:bottom w:val="none" w:sz="0" w:space="0" w:color="auto"/>
        <w:right w:val="none" w:sz="0" w:space="0" w:color="auto"/>
      </w:divBdr>
    </w:div>
    <w:div w:id="2099255555">
      <w:bodyDiv w:val="1"/>
      <w:marLeft w:val="0"/>
      <w:marRight w:val="0"/>
      <w:marTop w:val="0"/>
      <w:marBottom w:val="0"/>
      <w:divBdr>
        <w:top w:val="none" w:sz="0" w:space="0" w:color="auto"/>
        <w:left w:val="none" w:sz="0" w:space="0" w:color="auto"/>
        <w:bottom w:val="none" w:sz="0" w:space="0" w:color="auto"/>
        <w:right w:val="none" w:sz="0" w:space="0" w:color="auto"/>
      </w:divBdr>
    </w:div>
    <w:div w:id="2102868855">
      <w:bodyDiv w:val="1"/>
      <w:marLeft w:val="0"/>
      <w:marRight w:val="0"/>
      <w:marTop w:val="0"/>
      <w:marBottom w:val="0"/>
      <w:divBdr>
        <w:top w:val="none" w:sz="0" w:space="0" w:color="auto"/>
        <w:left w:val="none" w:sz="0" w:space="0" w:color="auto"/>
        <w:bottom w:val="none" w:sz="0" w:space="0" w:color="auto"/>
        <w:right w:val="none" w:sz="0" w:space="0" w:color="auto"/>
      </w:divBdr>
    </w:div>
    <w:div w:id="2104103914">
      <w:bodyDiv w:val="1"/>
      <w:marLeft w:val="0"/>
      <w:marRight w:val="0"/>
      <w:marTop w:val="0"/>
      <w:marBottom w:val="0"/>
      <w:divBdr>
        <w:top w:val="none" w:sz="0" w:space="0" w:color="auto"/>
        <w:left w:val="none" w:sz="0" w:space="0" w:color="auto"/>
        <w:bottom w:val="none" w:sz="0" w:space="0" w:color="auto"/>
        <w:right w:val="none" w:sz="0" w:space="0" w:color="auto"/>
      </w:divBdr>
    </w:div>
    <w:div w:id="2112117859">
      <w:bodyDiv w:val="1"/>
      <w:marLeft w:val="0"/>
      <w:marRight w:val="0"/>
      <w:marTop w:val="0"/>
      <w:marBottom w:val="0"/>
      <w:divBdr>
        <w:top w:val="none" w:sz="0" w:space="0" w:color="auto"/>
        <w:left w:val="none" w:sz="0" w:space="0" w:color="auto"/>
        <w:bottom w:val="none" w:sz="0" w:space="0" w:color="auto"/>
        <w:right w:val="none" w:sz="0" w:space="0" w:color="auto"/>
      </w:divBdr>
    </w:div>
    <w:div w:id="2113745611">
      <w:bodyDiv w:val="1"/>
      <w:marLeft w:val="0"/>
      <w:marRight w:val="0"/>
      <w:marTop w:val="0"/>
      <w:marBottom w:val="0"/>
      <w:divBdr>
        <w:top w:val="none" w:sz="0" w:space="0" w:color="auto"/>
        <w:left w:val="none" w:sz="0" w:space="0" w:color="auto"/>
        <w:bottom w:val="none" w:sz="0" w:space="0" w:color="auto"/>
        <w:right w:val="none" w:sz="0" w:space="0" w:color="auto"/>
      </w:divBdr>
    </w:div>
    <w:div w:id="2116553871">
      <w:bodyDiv w:val="1"/>
      <w:marLeft w:val="0"/>
      <w:marRight w:val="0"/>
      <w:marTop w:val="0"/>
      <w:marBottom w:val="0"/>
      <w:divBdr>
        <w:top w:val="none" w:sz="0" w:space="0" w:color="auto"/>
        <w:left w:val="none" w:sz="0" w:space="0" w:color="auto"/>
        <w:bottom w:val="none" w:sz="0" w:space="0" w:color="auto"/>
        <w:right w:val="none" w:sz="0" w:space="0" w:color="auto"/>
      </w:divBdr>
    </w:div>
    <w:div w:id="2117363033">
      <w:bodyDiv w:val="1"/>
      <w:marLeft w:val="0"/>
      <w:marRight w:val="0"/>
      <w:marTop w:val="0"/>
      <w:marBottom w:val="0"/>
      <w:divBdr>
        <w:top w:val="none" w:sz="0" w:space="0" w:color="auto"/>
        <w:left w:val="none" w:sz="0" w:space="0" w:color="auto"/>
        <w:bottom w:val="none" w:sz="0" w:space="0" w:color="auto"/>
        <w:right w:val="none" w:sz="0" w:space="0" w:color="auto"/>
      </w:divBdr>
    </w:div>
    <w:div w:id="2117407236">
      <w:bodyDiv w:val="1"/>
      <w:marLeft w:val="0"/>
      <w:marRight w:val="0"/>
      <w:marTop w:val="0"/>
      <w:marBottom w:val="0"/>
      <w:divBdr>
        <w:top w:val="none" w:sz="0" w:space="0" w:color="auto"/>
        <w:left w:val="none" w:sz="0" w:space="0" w:color="auto"/>
        <w:bottom w:val="none" w:sz="0" w:space="0" w:color="auto"/>
        <w:right w:val="none" w:sz="0" w:space="0" w:color="auto"/>
      </w:divBdr>
    </w:div>
    <w:div w:id="2119248884">
      <w:bodyDiv w:val="1"/>
      <w:marLeft w:val="0"/>
      <w:marRight w:val="0"/>
      <w:marTop w:val="0"/>
      <w:marBottom w:val="0"/>
      <w:divBdr>
        <w:top w:val="none" w:sz="0" w:space="0" w:color="auto"/>
        <w:left w:val="none" w:sz="0" w:space="0" w:color="auto"/>
        <w:bottom w:val="none" w:sz="0" w:space="0" w:color="auto"/>
        <w:right w:val="none" w:sz="0" w:space="0" w:color="auto"/>
      </w:divBdr>
    </w:div>
    <w:div w:id="2126583237">
      <w:bodyDiv w:val="1"/>
      <w:marLeft w:val="0"/>
      <w:marRight w:val="0"/>
      <w:marTop w:val="0"/>
      <w:marBottom w:val="0"/>
      <w:divBdr>
        <w:top w:val="none" w:sz="0" w:space="0" w:color="auto"/>
        <w:left w:val="none" w:sz="0" w:space="0" w:color="auto"/>
        <w:bottom w:val="none" w:sz="0" w:space="0" w:color="auto"/>
        <w:right w:val="none" w:sz="0" w:space="0" w:color="auto"/>
      </w:divBdr>
    </w:div>
    <w:div w:id="2128498911">
      <w:bodyDiv w:val="1"/>
      <w:marLeft w:val="0"/>
      <w:marRight w:val="0"/>
      <w:marTop w:val="0"/>
      <w:marBottom w:val="0"/>
      <w:divBdr>
        <w:top w:val="none" w:sz="0" w:space="0" w:color="auto"/>
        <w:left w:val="none" w:sz="0" w:space="0" w:color="auto"/>
        <w:bottom w:val="none" w:sz="0" w:space="0" w:color="auto"/>
        <w:right w:val="none" w:sz="0" w:space="0" w:color="auto"/>
      </w:divBdr>
    </w:div>
    <w:div w:id="2129472996">
      <w:bodyDiv w:val="1"/>
      <w:marLeft w:val="0"/>
      <w:marRight w:val="0"/>
      <w:marTop w:val="0"/>
      <w:marBottom w:val="0"/>
      <w:divBdr>
        <w:top w:val="none" w:sz="0" w:space="0" w:color="auto"/>
        <w:left w:val="none" w:sz="0" w:space="0" w:color="auto"/>
        <w:bottom w:val="none" w:sz="0" w:space="0" w:color="auto"/>
        <w:right w:val="none" w:sz="0" w:space="0" w:color="auto"/>
      </w:divBdr>
    </w:div>
    <w:div w:id="2132090022">
      <w:bodyDiv w:val="1"/>
      <w:marLeft w:val="0"/>
      <w:marRight w:val="0"/>
      <w:marTop w:val="0"/>
      <w:marBottom w:val="0"/>
      <w:divBdr>
        <w:top w:val="none" w:sz="0" w:space="0" w:color="auto"/>
        <w:left w:val="none" w:sz="0" w:space="0" w:color="auto"/>
        <w:bottom w:val="none" w:sz="0" w:space="0" w:color="auto"/>
        <w:right w:val="none" w:sz="0" w:space="0" w:color="auto"/>
      </w:divBdr>
    </w:div>
    <w:div w:id="2143576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image" Target="media/image4.emf"/><Relationship Id="rId34" Type="http://schemas.openxmlformats.org/officeDocument/2006/relationships/image" Target="media/image12.emf"/><Relationship Id="rId42" Type="http://schemas.openxmlformats.org/officeDocument/2006/relationships/image" Target="media/image20.emf"/><Relationship Id="rId47" Type="http://schemas.openxmlformats.org/officeDocument/2006/relationships/image" Target="media/image25.emf"/><Relationship Id="rId50" Type="http://schemas.openxmlformats.org/officeDocument/2006/relationships/image" Target="media/image28.emf"/><Relationship Id="rId55" Type="http://schemas.openxmlformats.org/officeDocument/2006/relationships/image" Target="media/image33.emf"/><Relationship Id="rId63" Type="http://schemas.openxmlformats.org/officeDocument/2006/relationships/header" Target="header8.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header" Target="header4.xml"/><Relationship Id="rId11" Type="http://schemas.openxmlformats.org/officeDocument/2006/relationships/styles" Target="styles.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image" Target="media/image15.emf"/><Relationship Id="rId40" Type="http://schemas.openxmlformats.org/officeDocument/2006/relationships/image" Target="media/image18.emf"/><Relationship Id="rId45" Type="http://schemas.openxmlformats.org/officeDocument/2006/relationships/image" Target="media/image23.emf"/><Relationship Id="rId53" Type="http://schemas.openxmlformats.org/officeDocument/2006/relationships/image" Target="media/image31.emf"/><Relationship Id="rId58" Type="http://schemas.openxmlformats.org/officeDocument/2006/relationships/image" Target="media/image36.png"/><Relationship Id="rId66"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header" Target="header6.xml"/><Relationship Id="rId19" Type="http://schemas.openxmlformats.org/officeDocument/2006/relationships/footer" Target="footer1.xml"/><Relationship Id="rId14" Type="http://schemas.openxmlformats.org/officeDocument/2006/relationships/footnotes" Target="footnotes.xml"/><Relationship Id="rId22" Type="http://schemas.openxmlformats.org/officeDocument/2006/relationships/image" Target="media/image5.emf"/><Relationship Id="rId27" Type="http://schemas.openxmlformats.org/officeDocument/2006/relationships/image" Target="media/image9.emf"/><Relationship Id="rId30" Type="http://schemas.openxmlformats.org/officeDocument/2006/relationships/header" Target="header5.xml"/><Relationship Id="rId35" Type="http://schemas.openxmlformats.org/officeDocument/2006/relationships/image" Target="media/image13.emf"/><Relationship Id="rId43" Type="http://schemas.openxmlformats.org/officeDocument/2006/relationships/image" Target="media/image21.emf"/><Relationship Id="rId48" Type="http://schemas.openxmlformats.org/officeDocument/2006/relationships/image" Target="media/image26.emf"/><Relationship Id="rId56" Type="http://schemas.openxmlformats.org/officeDocument/2006/relationships/image" Target="media/image34.emf"/><Relationship Id="rId64" Type="http://schemas.openxmlformats.org/officeDocument/2006/relationships/footer" Target="footer3.xml"/><Relationship Id="rId8" Type="http://schemas.openxmlformats.org/officeDocument/2006/relationships/customXml" Target="../customXml/item8.xml"/><Relationship Id="rId51" Type="http://schemas.openxmlformats.org/officeDocument/2006/relationships/image" Target="media/image29.emf"/><Relationship Id="rId3" Type="http://schemas.openxmlformats.org/officeDocument/2006/relationships/customXml" Target="../customXml/item3.xml"/><Relationship Id="rId12" Type="http://schemas.openxmlformats.org/officeDocument/2006/relationships/settings" Target="settings.xml"/><Relationship Id="rId17" Type="http://schemas.openxmlformats.org/officeDocument/2006/relationships/image" Target="media/image2.png"/><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image" Target="media/image16.emf"/><Relationship Id="rId46" Type="http://schemas.openxmlformats.org/officeDocument/2006/relationships/image" Target="media/image24.emf"/><Relationship Id="rId59" Type="http://schemas.openxmlformats.org/officeDocument/2006/relationships/image" Target="media/image37.png"/><Relationship Id="rId20" Type="http://schemas.openxmlformats.org/officeDocument/2006/relationships/image" Target="media/image3.png"/><Relationship Id="rId41" Type="http://schemas.openxmlformats.org/officeDocument/2006/relationships/image" Target="media/image19.emf"/><Relationship Id="rId54" Type="http://schemas.openxmlformats.org/officeDocument/2006/relationships/image" Target="media/image32.emf"/><Relationship Id="rId62"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endnotes" Target="endnotes.xml"/><Relationship Id="rId23" Type="http://schemas.openxmlformats.org/officeDocument/2006/relationships/header" Target="header2.xml"/><Relationship Id="rId28" Type="http://schemas.openxmlformats.org/officeDocument/2006/relationships/header" Target="header3.xml"/><Relationship Id="rId36" Type="http://schemas.openxmlformats.org/officeDocument/2006/relationships/image" Target="media/image14.emf"/><Relationship Id="rId49" Type="http://schemas.openxmlformats.org/officeDocument/2006/relationships/image" Target="media/image27.emf"/><Relationship Id="rId57" Type="http://schemas.openxmlformats.org/officeDocument/2006/relationships/image" Target="media/image35.emf"/><Relationship Id="rId10" Type="http://schemas.openxmlformats.org/officeDocument/2006/relationships/numbering" Target="numbering.xml"/><Relationship Id="rId31" Type="http://schemas.openxmlformats.org/officeDocument/2006/relationships/footer" Target="footer2.xml"/><Relationship Id="rId44" Type="http://schemas.openxmlformats.org/officeDocument/2006/relationships/image" Target="media/image22.emf"/><Relationship Id="rId52" Type="http://schemas.openxmlformats.org/officeDocument/2006/relationships/image" Target="media/image30.emf"/><Relationship Id="rId60" Type="http://schemas.openxmlformats.org/officeDocument/2006/relationships/image" Target="media/image38.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3" Type="http://schemas.openxmlformats.org/officeDocument/2006/relationships/webSettings" Target="webSettings.xml"/><Relationship Id="rId18" Type="http://schemas.openxmlformats.org/officeDocument/2006/relationships/header" Target="header1.xml"/><Relationship Id="rId39" Type="http://schemas.openxmlformats.org/officeDocument/2006/relationships/image" Target="media/image17.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overPageProperties xmlns="http://schemas.microsoft.com/office/2006/coverPageProps">
  <PublishDate>2021-08-31T00:00:00</PublishDate>
  <Abstract/>
  <CompanyAddress/>
  <CompanyPhone/>
  <CompanyFax/>
  <CompanyEmail/>
</CoverPage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mso-contentType ?>
<FormTemplates xmlns="http://schemas.microsoft.com/sharepoint/v3/contenttype/forms">
  <Display>DocumentLibraryForm</Display>
  <Edit>DocumentLibraryForm</Edit>
  <New>DocumentLibraryForm</New>
</FormTemplates>
</file>

<file path=customXml/item8.xml><?xml version="1.0" encoding="utf-8"?>
<p:properties xmlns:p="http://schemas.microsoft.com/office/2006/metadata/properties" xmlns:xsi="http://www.w3.org/2001/XMLSchema-instance" xmlns:pc="http://schemas.microsoft.com/office/infopath/2007/PartnerControls">
  <documentManagement>
    <_dlc_DocId xmlns="c0b75fb8-db8d-4fe1-a3d7-8378c8cec544">WPD3V775VRA5-923500620-3326</_dlc_DocId>
    <_dlc_DocIdUrl xmlns="c0b75fb8-db8d-4fe1-a3d7-8378c8cec544">
      <Url>https://units.ovh.team/share/tm_finacomm/_layouts/15/DocIdRedir.aspx?ID=WPD3V775VRA5-923500620-3326</Url>
      <Description>WPD3V775VRA5-923500620-3326</Description>
    </_dlc_DocIdUrl>
  </documentManagement>
</p:properties>
</file>

<file path=customXml/item9.xml><?xml version="1.0" encoding="utf-8"?>
<ct:contentTypeSchema xmlns:ct="http://schemas.microsoft.com/office/2006/metadata/contentType" xmlns:ma="http://schemas.microsoft.com/office/2006/metadata/properties/metaAttributes" ct:_="" ma:_="" ma:contentTypeName="Document" ma:contentTypeID="0x0101002EB3E9FF88DDD64E8CEEA7BE966AE076" ma:contentTypeVersion="0" ma:contentTypeDescription="Create a new document." ma:contentTypeScope="" ma:versionID="dab0fb0f931b53955472c762fd158f48">
  <xsd:schema xmlns:xsd="http://www.w3.org/2001/XMLSchema" xmlns:xs="http://www.w3.org/2001/XMLSchema" xmlns:p="http://schemas.microsoft.com/office/2006/metadata/properties" xmlns:ns2="c0b75fb8-db8d-4fe1-a3d7-8378c8cec544" targetNamespace="http://schemas.microsoft.com/office/2006/metadata/properties" ma:root="true" ma:fieldsID="79699036748ac8d3119f5321956ba7de" ns2:_="">
    <xsd:import namespace="c0b75fb8-db8d-4fe1-a3d7-8378c8cec544"/>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b75fb8-db8d-4fe1-a3d7-8378c8cec54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A272039-5EBA-49DD-A922-D1EA0CF6C536}"/>
</file>

<file path=customXml/itemProps2.xml><?xml version="1.0" encoding="utf-8"?>
<ds:datastoreItem xmlns:ds="http://schemas.openxmlformats.org/officeDocument/2006/customXml" ds:itemID="{820AD5B6-2309-464B-8A74-C81CFFFDDF31}"/>
</file>

<file path=customXml/itemProps3.xml><?xml version="1.0" encoding="utf-8"?>
<ds:datastoreItem xmlns:ds="http://schemas.openxmlformats.org/officeDocument/2006/customXml" ds:itemID="{55AF091B-3C7A-41E3-B477-F2FDAA23CFDA}"/>
</file>

<file path=customXml/itemProps4.xml><?xml version="1.0" encoding="utf-8"?>
<ds:datastoreItem xmlns:ds="http://schemas.openxmlformats.org/officeDocument/2006/customXml" ds:itemID="{3876AFEB-B0D2-4ADA-B012-9F262729205A}"/>
</file>

<file path=customXml/itemProps5.xml><?xml version="1.0" encoding="utf-8"?>
<ds:datastoreItem xmlns:ds="http://schemas.openxmlformats.org/officeDocument/2006/customXml" ds:itemID="{3FFCAA7D-D60D-4048-AD47-CF0F6670FA8E}"/>
</file>

<file path=customXml/itemProps6.xml><?xml version="1.0" encoding="utf-8"?>
<ds:datastoreItem xmlns:ds="http://schemas.openxmlformats.org/officeDocument/2006/customXml" ds:itemID="{F161BDF2-961D-42E8-9DA7-6FA3F5ADDE64}"/>
</file>

<file path=customXml/itemProps7.xml><?xml version="1.0" encoding="utf-8"?>
<ds:datastoreItem xmlns:ds="http://schemas.openxmlformats.org/officeDocument/2006/customXml" ds:itemID="{0CB1D7BB-F912-47C8-B636-6BFAD408E7D7}"/>
</file>

<file path=customXml/itemProps8.xml><?xml version="1.0" encoding="utf-8"?>
<ds:datastoreItem xmlns:ds="http://schemas.openxmlformats.org/officeDocument/2006/customXml" ds:itemID="{A33EEB2F-F8FC-40EB-A361-41260B8278C4}"/>
</file>

<file path=customXml/itemProps9.xml><?xml version="1.0" encoding="utf-8"?>
<ds:datastoreItem xmlns:ds="http://schemas.openxmlformats.org/officeDocument/2006/customXml" ds:itemID="{70911307-B555-4B47-9CF0-75D6DF2E64FE}"/>
</file>

<file path=docProps/app.xml><?xml version="1.0" encoding="utf-8"?>
<Properties xmlns="http://schemas.openxmlformats.org/officeDocument/2006/extended-properties" xmlns:vt="http://schemas.openxmlformats.org/officeDocument/2006/docPropsVTypes">
  <Template>Normal</Template>
  <TotalTime>2</TotalTime>
  <Pages>44</Pages>
  <Words>10467</Words>
  <Characters>60208</Characters>
  <Application>Microsoft Office Word</Application>
  <DocSecurity>0</DocSecurity>
  <Lines>501</Lines>
  <Paragraphs>141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Comptes Consolidés Semestriels Résumés</vt:lpstr>
      <vt:lpstr>Comptes Consolidés Semestriels Résumés</vt:lpstr>
    </vt:vector>
  </TitlesOfParts>
  <Company>OVH S.A.S.</Company>
  <LinksUpToDate>false</LinksUpToDate>
  <CharactersWithSpaces>70534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Comptes Consolidés Semestriels Résumés</dc:title>
  <dc:creator>pitchouague.ext sophie</dc:creator>
  <cp:lastModifiedBy>mennesson benjamin</cp:lastModifiedBy>
  <cp:revision>3</cp:revision>
  <cp:lastPrinted>2022-04-13T19:37:00Z</cp:lastPrinted>
  <dcterms:created xsi:type="dcterms:W3CDTF">2022-04-13T19:37:00Z</dcterms:created>
  <dcterms:modified xsi:type="dcterms:W3CDTF">2022-04-13T19:38:00Z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0x0101002EB3E9FF88DDD64E8CEEA7BE966AE076</vt:lpwstr>
  </property>
  <property fmtid="{D5CDD505-2E9C-101B-9397-08002B2CF9AE}" pid="3" name="_dlc_DocIdItemGuid">
    <vt:lpwstr>a37c27db-2924-4385-880a-7b777579707a</vt:lpwstr>
  </property>
</Properties>
</file>